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58EF9D">
      <w:pPr>
        <w:spacing w:line="540" w:lineRule="exact"/>
        <w:ind w:firstLine="437"/>
        <w:rPr>
          <w:color w:val="auto"/>
          <w:sz w:val="28"/>
          <w:szCs w:val="28"/>
          <w:highlight w:val="none"/>
        </w:rPr>
      </w:pPr>
      <w:r>
        <w:rPr>
          <w:rFonts w:hint="eastAsia"/>
          <w:color w:val="auto"/>
          <w:sz w:val="28"/>
          <w:szCs w:val="28"/>
          <w:highlight w:val="none"/>
        </w:rPr>
        <w:t xml:space="preserve"> </w:t>
      </w:r>
    </w:p>
    <w:p w14:paraId="14DF2BF7">
      <w:pPr>
        <w:spacing w:line="360" w:lineRule="auto"/>
        <w:jc w:val="center"/>
        <w:rPr>
          <w:b/>
          <w:color w:val="auto"/>
          <w:sz w:val="52"/>
          <w:szCs w:val="52"/>
          <w:highlight w:val="none"/>
        </w:rPr>
      </w:pPr>
      <w:r>
        <w:rPr>
          <w:b/>
          <w:color w:val="auto"/>
          <w:sz w:val="52"/>
          <w:szCs w:val="52"/>
          <w:highlight w:val="none"/>
        </w:rPr>
        <w:t>广西壮族自治区房屋建筑和市政工程</w:t>
      </w:r>
      <w:r>
        <w:rPr>
          <w:rFonts w:hint="eastAsia"/>
          <w:b/>
          <w:color w:val="auto"/>
          <w:sz w:val="52"/>
          <w:szCs w:val="52"/>
          <w:highlight w:val="none"/>
        </w:rPr>
        <w:t>设计公开</w:t>
      </w:r>
      <w:r>
        <w:rPr>
          <w:b/>
          <w:color w:val="auto"/>
          <w:sz w:val="52"/>
          <w:szCs w:val="52"/>
          <w:highlight w:val="none"/>
        </w:rPr>
        <w:t>招标文件范本</w:t>
      </w:r>
    </w:p>
    <w:p w14:paraId="2DCDC421">
      <w:pPr>
        <w:spacing w:line="360" w:lineRule="auto"/>
        <w:jc w:val="center"/>
        <w:rPr>
          <w:b/>
          <w:color w:val="auto"/>
          <w:sz w:val="52"/>
          <w:szCs w:val="52"/>
          <w:highlight w:val="none"/>
        </w:rPr>
      </w:pPr>
      <w:r>
        <w:rPr>
          <w:b/>
          <w:color w:val="auto"/>
          <w:sz w:val="52"/>
          <w:szCs w:val="52"/>
          <w:highlight w:val="none"/>
        </w:rPr>
        <w:t>（</w:t>
      </w:r>
      <w:r>
        <w:rPr>
          <w:rFonts w:hint="eastAsia"/>
          <w:b/>
          <w:color w:val="auto"/>
          <w:sz w:val="52"/>
          <w:szCs w:val="52"/>
          <w:highlight w:val="none"/>
        </w:rPr>
        <w:t>2</w:t>
      </w:r>
      <w:r>
        <w:rPr>
          <w:b/>
          <w:color w:val="auto"/>
          <w:sz w:val="52"/>
          <w:szCs w:val="52"/>
          <w:highlight w:val="none"/>
        </w:rPr>
        <w:t>02</w:t>
      </w:r>
      <w:r>
        <w:rPr>
          <w:rFonts w:hint="eastAsia"/>
          <w:b/>
          <w:color w:val="auto"/>
          <w:sz w:val="52"/>
          <w:szCs w:val="52"/>
          <w:highlight w:val="none"/>
        </w:rPr>
        <w:t>2年</w:t>
      </w:r>
      <w:r>
        <w:rPr>
          <w:b/>
          <w:color w:val="auto"/>
          <w:sz w:val="52"/>
          <w:szCs w:val="52"/>
          <w:highlight w:val="none"/>
        </w:rPr>
        <w:t>版）</w:t>
      </w:r>
    </w:p>
    <w:p w14:paraId="4474DD60">
      <w:pPr>
        <w:spacing w:line="360" w:lineRule="auto"/>
        <w:jc w:val="center"/>
        <w:rPr>
          <w:b/>
          <w:color w:val="auto"/>
          <w:sz w:val="52"/>
          <w:szCs w:val="52"/>
          <w:highlight w:val="none"/>
        </w:rPr>
      </w:pPr>
    </w:p>
    <w:p w14:paraId="1D580D2E">
      <w:pPr>
        <w:spacing w:line="540" w:lineRule="exact"/>
        <w:ind w:firstLine="437"/>
        <w:rPr>
          <w:color w:val="auto"/>
          <w:sz w:val="28"/>
          <w:szCs w:val="28"/>
          <w:highlight w:val="none"/>
        </w:rPr>
      </w:pPr>
    </w:p>
    <w:p w14:paraId="6FF39106">
      <w:pPr>
        <w:pStyle w:val="137"/>
        <w:jc w:val="center"/>
        <w:rPr>
          <w:rFonts w:hint="eastAsia" w:eastAsia="宋体"/>
          <w:color w:val="auto"/>
          <w:sz w:val="32"/>
          <w:szCs w:val="32"/>
          <w:highlight w:val="none"/>
          <w:lang w:eastAsia="zh-CN"/>
        </w:rPr>
      </w:pPr>
      <w:r>
        <w:rPr>
          <w:rFonts w:hint="eastAsia" w:eastAsia="宋体"/>
          <w:color w:val="auto"/>
          <w:sz w:val="32"/>
          <w:szCs w:val="32"/>
          <w:highlight w:val="none"/>
          <w:lang w:eastAsia="zh-CN"/>
        </w:rPr>
        <w:t>桂林理工大学自然资源科研楼工程设计服务</w:t>
      </w:r>
    </w:p>
    <w:p w14:paraId="5E743A09">
      <w:pPr>
        <w:spacing w:line="460" w:lineRule="exact"/>
        <w:ind w:firstLine="437"/>
        <w:rPr>
          <w:color w:val="auto"/>
          <w:szCs w:val="21"/>
          <w:highlight w:val="none"/>
        </w:rPr>
      </w:pPr>
    </w:p>
    <w:p w14:paraId="37EF0ACE">
      <w:pPr>
        <w:spacing w:line="540" w:lineRule="exact"/>
        <w:rPr>
          <w:color w:val="auto"/>
          <w:szCs w:val="21"/>
          <w:highlight w:val="none"/>
        </w:rPr>
      </w:pPr>
    </w:p>
    <w:p w14:paraId="54EAEEC3">
      <w:pPr>
        <w:jc w:val="center"/>
        <w:rPr>
          <w:color w:val="auto"/>
          <w:sz w:val="72"/>
          <w:szCs w:val="72"/>
          <w:highlight w:val="none"/>
        </w:rPr>
      </w:pPr>
      <w:r>
        <w:rPr>
          <w:color w:val="auto"/>
          <w:sz w:val="72"/>
          <w:szCs w:val="72"/>
          <w:highlight w:val="none"/>
        </w:rPr>
        <w:t>招 标 文 件</w:t>
      </w:r>
    </w:p>
    <w:p w14:paraId="66400B0F">
      <w:pPr>
        <w:spacing w:line="540" w:lineRule="exact"/>
        <w:ind w:firstLine="437"/>
        <w:rPr>
          <w:color w:val="auto"/>
          <w:szCs w:val="21"/>
          <w:highlight w:val="none"/>
        </w:rPr>
      </w:pPr>
    </w:p>
    <w:p w14:paraId="2FEF7F21">
      <w:pPr>
        <w:spacing w:line="540" w:lineRule="exact"/>
        <w:ind w:firstLine="437"/>
        <w:rPr>
          <w:color w:val="auto"/>
          <w:szCs w:val="21"/>
          <w:highlight w:val="none"/>
        </w:rPr>
      </w:pPr>
    </w:p>
    <w:p w14:paraId="31A55AB8">
      <w:pPr>
        <w:spacing w:line="540" w:lineRule="exact"/>
        <w:ind w:firstLine="1540" w:firstLineChars="550"/>
        <w:jc w:val="left"/>
        <w:rPr>
          <w:rFonts w:hint="eastAsia" w:eastAsia="宋体"/>
          <w:color w:val="auto"/>
          <w:sz w:val="28"/>
          <w:szCs w:val="28"/>
          <w:highlight w:val="none"/>
          <w:u w:val="single"/>
          <w:lang w:eastAsia="zh-CN"/>
        </w:rPr>
      </w:pPr>
      <w:r>
        <w:rPr>
          <w:color w:val="auto"/>
          <w:sz w:val="28"/>
          <w:szCs w:val="28"/>
          <w:highlight w:val="none"/>
        </w:rPr>
        <w:t xml:space="preserve">     </w:t>
      </w:r>
      <w:r>
        <w:rPr>
          <w:color w:val="auto"/>
          <w:sz w:val="28"/>
          <w:szCs w:val="28"/>
          <w:highlight w:val="none"/>
        </w:rPr>
        <w:t>项目</w:t>
      </w:r>
      <w:r>
        <w:rPr>
          <w:rFonts w:hint="eastAsia"/>
          <w:color w:val="auto"/>
          <w:sz w:val="28"/>
          <w:szCs w:val="28"/>
          <w:highlight w:val="none"/>
        </w:rPr>
        <w:t>招标</w:t>
      </w:r>
      <w:r>
        <w:rPr>
          <w:color w:val="auto"/>
          <w:sz w:val="28"/>
          <w:szCs w:val="28"/>
          <w:highlight w:val="none"/>
        </w:rPr>
        <w:t xml:space="preserve">编号： </w:t>
      </w:r>
      <w:r>
        <w:rPr>
          <w:rFonts w:hint="eastAsia"/>
          <w:color w:val="auto"/>
          <w:sz w:val="28"/>
          <w:szCs w:val="28"/>
          <w:highlight w:val="none"/>
          <w:u w:val="none"/>
          <w:lang w:val="en-US" w:eastAsia="zh-CN"/>
        </w:rPr>
        <w:t xml:space="preserve"> </w:t>
      </w:r>
    </w:p>
    <w:p w14:paraId="6B32BEC7">
      <w:pPr>
        <w:spacing w:line="540" w:lineRule="exact"/>
        <w:ind w:firstLine="437"/>
        <w:rPr>
          <w:color w:val="auto"/>
          <w:szCs w:val="21"/>
          <w:highlight w:val="none"/>
        </w:rPr>
      </w:pPr>
    </w:p>
    <w:p w14:paraId="2701BAB4">
      <w:pPr>
        <w:spacing w:line="540" w:lineRule="exact"/>
        <w:rPr>
          <w:rFonts w:hint="eastAsia" w:ascii="宋体" w:hAnsi="宋体" w:cs="宋体"/>
          <w:color w:val="auto"/>
          <w:sz w:val="32"/>
          <w:szCs w:val="32"/>
          <w:highlight w:val="none"/>
        </w:rPr>
      </w:pPr>
    </w:p>
    <w:p w14:paraId="27B97229">
      <w:pPr>
        <w:spacing w:line="540" w:lineRule="exact"/>
        <w:ind w:firstLine="960" w:firstLineChars="300"/>
        <w:rPr>
          <w:rFonts w:ascii="宋体" w:hAnsi="宋体" w:cs="宋体"/>
          <w:color w:val="auto"/>
          <w:sz w:val="32"/>
          <w:szCs w:val="32"/>
          <w:highlight w:val="none"/>
        </w:rPr>
      </w:pPr>
      <w:r>
        <w:rPr>
          <w:rFonts w:hint="eastAsia" w:ascii="宋体" w:hAnsi="宋体" w:cs="宋体"/>
          <w:color w:val="auto"/>
          <w:sz w:val="32"/>
          <w:szCs w:val="32"/>
          <w:highlight w:val="none"/>
        </w:rPr>
        <w:t>招 标 人：</w:t>
      </w:r>
      <w:r>
        <w:rPr>
          <w:rFonts w:hint="eastAsia" w:ascii="宋体" w:hAnsi="宋体" w:cs="宋体"/>
          <w:color w:val="auto"/>
          <w:sz w:val="32"/>
          <w:szCs w:val="32"/>
          <w:highlight w:val="none"/>
          <w:u w:val="single"/>
        </w:rPr>
        <w:t>桂林理工大学</w:t>
      </w:r>
      <w:r>
        <w:rPr>
          <w:rFonts w:hint="eastAsia" w:ascii="宋体" w:hAnsi="宋体" w:cs="宋体"/>
          <w:color w:val="auto"/>
          <w:sz w:val="32"/>
          <w:szCs w:val="32"/>
          <w:highlight w:val="none"/>
        </w:rPr>
        <w:t>（盖单位公章）</w:t>
      </w:r>
    </w:p>
    <w:p w14:paraId="258DEDC9">
      <w:pPr>
        <w:spacing w:line="540" w:lineRule="exact"/>
        <w:ind w:firstLine="437"/>
        <w:rPr>
          <w:rFonts w:ascii="宋体" w:hAnsi="宋体" w:cs="宋体"/>
          <w:color w:val="auto"/>
          <w:sz w:val="32"/>
          <w:szCs w:val="32"/>
          <w:highlight w:val="none"/>
        </w:rPr>
      </w:pPr>
    </w:p>
    <w:p w14:paraId="498D4420">
      <w:pPr>
        <w:spacing w:line="540" w:lineRule="exact"/>
        <w:ind w:firstLine="437"/>
        <w:rPr>
          <w:rFonts w:ascii="宋体" w:hAnsi="宋体" w:cs="宋体"/>
          <w:color w:val="auto"/>
          <w:sz w:val="32"/>
          <w:szCs w:val="32"/>
          <w:highlight w:val="none"/>
        </w:rPr>
      </w:pPr>
      <w:r>
        <w:rPr>
          <w:rFonts w:hint="eastAsia" w:ascii="宋体" w:hAnsi="宋体" w:cs="宋体"/>
          <w:color w:val="auto"/>
          <w:sz w:val="32"/>
          <w:szCs w:val="32"/>
          <w:highlight w:val="none"/>
        </w:rPr>
        <w:t xml:space="preserve">   招标代理机构：</w:t>
      </w:r>
      <w:r>
        <w:rPr>
          <w:rFonts w:hint="eastAsia" w:ascii="宋体" w:hAnsi="宋体" w:cs="宋体"/>
          <w:color w:val="auto"/>
          <w:sz w:val="32"/>
          <w:szCs w:val="32"/>
          <w:highlight w:val="none"/>
          <w:u w:val="single"/>
        </w:rPr>
        <w:t>云之龙咨询集团有限公司</w:t>
      </w:r>
      <w:r>
        <w:rPr>
          <w:rFonts w:hint="eastAsia" w:ascii="宋体" w:hAnsi="宋体" w:cs="宋体"/>
          <w:color w:val="auto"/>
          <w:sz w:val="32"/>
          <w:szCs w:val="32"/>
          <w:highlight w:val="none"/>
        </w:rPr>
        <w:t>（盖单位公章）</w:t>
      </w:r>
    </w:p>
    <w:p w14:paraId="75F511F5">
      <w:pPr>
        <w:spacing w:line="540" w:lineRule="exact"/>
        <w:ind w:firstLine="437"/>
        <w:rPr>
          <w:color w:val="auto"/>
          <w:sz w:val="32"/>
          <w:szCs w:val="32"/>
          <w:highlight w:val="none"/>
        </w:rPr>
      </w:pPr>
    </w:p>
    <w:p w14:paraId="5A675BE2">
      <w:pPr>
        <w:spacing w:line="540" w:lineRule="exact"/>
        <w:ind w:firstLine="437"/>
        <w:rPr>
          <w:color w:val="auto"/>
          <w:sz w:val="32"/>
          <w:szCs w:val="32"/>
          <w:highlight w:val="none"/>
        </w:rPr>
      </w:pPr>
      <w:r>
        <w:rPr>
          <w:color w:val="auto"/>
          <w:sz w:val="32"/>
          <w:szCs w:val="32"/>
          <w:highlight w:val="none"/>
        </w:rPr>
        <w:t xml:space="preserve">   发布日期：</w:t>
      </w:r>
      <w:r>
        <w:rPr>
          <w:rFonts w:hint="eastAsia"/>
          <w:color w:val="auto"/>
          <w:sz w:val="32"/>
          <w:szCs w:val="32"/>
          <w:highlight w:val="none"/>
          <w:u w:val="single"/>
        </w:rPr>
        <w:t>202</w:t>
      </w:r>
      <w:r>
        <w:rPr>
          <w:rFonts w:hint="eastAsia"/>
          <w:color w:val="auto"/>
          <w:sz w:val="32"/>
          <w:szCs w:val="32"/>
          <w:highlight w:val="none"/>
          <w:u w:val="single"/>
          <w:lang w:val="en-US" w:eastAsia="zh-CN"/>
        </w:rPr>
        <w:t>6</w:t>
      </w:r>
      <w:r>
        <w:rPr>
          <w:color w:val="auto"/>
          <w:sz w:val="32"/>
          <w:szCs w:val="32"/>
          <w:highlight w:val="none"/>
          <w:u w:val="single"/>
        </w:rPr>
        <w:t xml:space="preserve"> </w:t>
      </w:r>
      <w:r>
        <w:rPr>
          <w:color w:val="auto"/>
          <w:sz w:val="32"/>
          <w:szCs w:val="32"/>
          <w:highlight w:val="none"/>
        </w:rPr>
        <w:t>年</w:t>
      </w:r>
      <w:r>
        <w:rPr>
          <w:rFonts w:hint="eastAsia"/>
          <w:color w:val="auto"/>
          <w:sz w:val="32"/>
          <w:szCs w:val="32"/>
          <w:highlight w:val="none"/>
          <w:u w:val="single"/>
          <w:lang w:val="en-US" w:eastAsia="zh-CN"/>
        </w:rPr>
        <w:t xml:space="preserve">  </w:t>
      </w:r>
      <w:r>
        <w:rPr>
          <w:color w:val="auto"/>
          <w:sz w:val="32"/>
          <w:szCs w:val="32"/>
          <w:highlight w:val="none"/>
        </w:rPr>
        <w:t>月</w:t>
      </w:r>
      <w:r>
        <w:rPr>
          <w:rFonts w:hint="eastAsia"/>
          <w:color w:val="auto"/>
          <w:sz w:val="32"/>
          <w:szCs w:val="32"/>
          <w:highlight w:val="none"/>
          <w:u w:val="single"/>
          <w:lang w:val="en-US" w:eastAsia="zh-CN"/>
        </w:rPr>
        <w:t xml:space="preserve">  </w:t>
      </w:r>
      <w:r>
        <w:rPr>
          <w:color w:val="auto"/>
          <w:sz w:val="32"/>
          <w:szCs w:val="32"/>
          <w:highlight w:val="none"/>
        </w:rPr>
        <w:t xml:space="preserve"> 日</w:t>
      </w:r>
    </w:p>
    <w:p w14:paraId="01F27742">
      <w:pPr>
        <w:spacing w:after="360" w:afterLines="150" w:line="540" w:lineRule="exact"/>
        <w:jc w:val="center"/>
        <w:rPr>
          <w:rFonts w:hint="eastAsia"/>
          <w:b/>
          <w:color w:val="auto"/>
          <w:sz w:val="52"/>
          <w:szCs w:val="52"/>
          <w:highlight w:val="none"/>
        </w:rPr>
      </w:pPr>
    </w:p>
    <w:p w14:paraId="757F4226">
      <w:pPr>
        <w:spacing w:after="360" w:afterLines="150" w:line="540" w:lineRule="exact"/>
        <w:jc w:val="center"/>
        <w:rPr>
          <w:b/>
          <w:color w:val="auto"/>
          <w:sz w:val="52"/>
          <w:szCs w:val="52"/>
          <w:highlight w:val="none"/>
        </w:rPr>
      </w:pPr>
      <w:r>
        <w:rPr>
          <w:rFonts w:hint="eastAsia"/>
          <w:b/>
          <w:color w:val="auto"/>
          <w:sz w:val="52"/>
          <w:szCs w:val="52"/>
          <w:highlight w:val="none"/>
        </w:rPr>
        <w:t>使用说明</w:t>
      </w:r>
    </w:p>
    <w:p w14:paraId="53B3A39A">
      <w:pPr>
        <w:tabs>
          <w:tab w:val="left" w:pos="1080"/>
        </w:tabs>
        <w:spacing w:line="360" w:lineRule="auto"/>
        <w:ind w:firstLine="420" w:firstLineChars="200"/>
        <w:rPr>
          <w:rFonts w:ascii="黑体" w:hAnsi="宋体" w:eastAsia="黑体"/>
          <w:color w:val="auto"/>
          <w:szCs w:val="21"/>
          <w:highlight w:val="none"/>
        </w:rPr>
      </w:pPr>
      <w:r>
        <w:rPr>
          <w:rFonts w:hint="eastAsia" w:ascii="黑体" w:hAnsi="宋体" w:eastAsia="黑体"/>
          <w:color w:val="auto"/>
          <w:szCs w:val="21"/>
          <w:highlight w:val="none"/>
        </w:rPr>
        <w:t>一、编写主要依据及参考</w:t>
      </w:r>
    </w:p>
    <w:p w14:paraId="6DB34791">
      <w:pPr>
        <w:tabs>
          <w:tab w:val="left" w:pos="108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 《中华人民共和国招标投标法》；</w:t>
      </w:r>
    </w:p>
    <w:p w14:paraId="4F0C39E7">
      <w:pPr>
        <w:tabs>
          <w:tab w:val="left" w:pos="108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 《中华人民共和国建筑法》；</w:t>
      </w:r>
    </w:p>
    <w:p w14:paraId="7FE15057">
      <w:pPr>
        <w:tabs>
          <w:tab w:val="left" w:pos="108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 《中华人民共和国民法典》；</w:t>
      </w:r>
    </w:p>
    <w:p w14:paraId="69FA3FCD">
      <w:pPr>
        <w:tabs>
          <w:tab w:val="left" w:pos="108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 《中华人民共和国招标投标法实施条例》；</w:t>
      </w:r>
    </w:p>
    <w:p w14:paraId="4E8930DA">
      <w:pPr>
        <w:tabs>
          <w:tab w:val="left" w:pos="1080"/>
        </w:tabs>
        <w:spacing w:line="360" w:lineRule="auto"/>
        <w:ind w:firstLine="420" w:firstLineChars="200"/>
        <w:rPr>
          <w:rFonts w:ascii="宋体" w:hAnsi="宋体" w:cs="宋体"/>
          <w:color w:val="auto"/>
          <w:highlight w:val="none"/>
        </w:rPr>
      </w:pPr>
      <w:r>
        <w:rPr>
          <w:rFonts w:hint="eastAsia" w:ascii="宋体" w:hAnsi="宋体"/>
          <w:color w:val="auto"/>
          <w:szCs w:val="21"/>
          <w:highlight w:val="none"/>
        </w:rPr>
        <w:t>5</w:t>
      </w:r>
      <w:r>
        <w:rPr>
          <w:rFonts w:ascii="宋体" w:hAnsi="宋体"/>
          <w:color w:val="auto"/>
          <w:szCs w:val="21"/>
          <w:highlight w:val="none"/>
        </w:rPr>
        <w:t xml:space="preserve">. </w:t>
      </w:r>
      <w:r>
        <w:rPr>
          <w:rFonts w:hint="eastAsia" w:ascii="宋体" w:hAnsi="宋体" w:cs="宋体"/>
          <w:color w:val="auto"/>
          <w:highlight w:val="none"/>
        </w:rPr>
        <w:t>《中华人民共和国电子签名法》；</w:t>
      </w:r>
    </w:p>
    <w:p w14:paraId="71F41900">
      <w:pPr>
        <w:tabs>
          <w:tab w:val="left" w:pos="1080"/>
        </w:tabs>
        <w:spacing w:line="360" w:lineRule="auto"/>
        <w:ind w:firstLine="420" w:firstLineChars="200"/>
        <w:rPr>
          <w:rFonts w:ascii="宋体" w:hAnsi="宋体"/>
          <w:color w:val="auto"/>
          <w:highlight w:val="none"/>
        </w:rPr>
      </w:pPr>
      <w:r>
        <w:rPr>
          <w:rFonts w:hint="eastAsia" w:ascii="宋体" w:hAnsi="宋体" w:cs="宋体"/>
          <w:color w:val="auto"/>
          <w:highlight w:val="none"/>
        </w:rPr>
        <w:t>6</w:t>
      </w:r>
      <w:r>
        <w:rPr>
          <w:rFonts w:ascii="宋体" w:hAnsi="宋体" w:cs="宋体"/>
          <w:color w:val="auto"/>
          <w:highlight w:val="none"/>
        </w:rPr>
        <w:t xml:space="preserve">. </w:t>
      </w:r>
      <w:r>
        <w:rPr>
          <w:rFonts w:hint="eastAsia" w:ascii="宋体" w:hAnsi="宋体" w:cs="宋体"/>
          <w:color w:val="auto"/>
          <w:highlight w:val="none"/>
        </w:rPr>
        <w:t>《电子招标投标办法》；</w:t>
      </w:r>
    </w:p>
    <w:p w14:paraId="0C5DD8E2">
      <w:pPr>
        <w:tabs>
          <w:tab w:val="left" w:pos="1080"/>
        </w:tabs>
        <w:spacing w:line="360" w:lineRule="auto"/>
        <w:ind w:firstLine="420" w:firstLineChars="200"/>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 《建设工程勘察设计管理条例》；</w:t>
      </w:r>
    </w:p>
    <w:p w14:paraId="5DA24F35">
      <w:pPr>
        <w:tabs>
          <w:tab w:val="left" w:pos="1080"/>
        </w:tabs>
        <w:spacing w:line="360" w:lineRule="auto"/>
        <w:ind w:firstLine="420" w:firstLineChars="200"/>
        <w:rPr>
          <w:rFonts w:ascii="宋体" w:hAnsi="宋体" w:cs="宋体"/>
          <w:color w:val="auto"/>
          <w:highlight w:val="none"/>
        </w:rPr>
      </w:pPr>
      <w:r>
        <w:rPr>
          <w:rFonts w:hint="eastAsia" w:ascii="宋体" w:hAnsi="宋体"/>
          <w:color w:val="auto"/>
          <w:szCs w:val="21"/>
          <w:highlight w:val="none"/>
        </w:rPr>
        <w:t>6. 《广西壮族自治区实施〈中华人民共和国招标投标法〉办法》</w:t>
      </w:r>
      <w:r>
        <w:rPr>
          <w:rFonts w:ascii="宋体" w:hAnsi="宋体" w:cs="宋体"/>
          <w:color w:val="auto"/>
          <w:highlight w:val="none"/>
        </w:rPr>
        <w:t>(</w:t>
      </w:r>
      <w:r>
        <w:rPr>
          <w:rFonts w:hint="eastAsia" w:ascii="宋体" w:hAnsi="宋体" w:cs="宋体"/>
          <w:color w:val="auto"/>
          <w:highlight w:val="none"/>
        </w:rPr>
        <w:t>广西壮族自治区人大常委会公告（十二届第</w:t>
      </w:r>
      <w:r>
        <w:rPr>
          <w:rFonts w:ascii="宋体" w:hAnsi="宋体" w:cs="宋体"/>
          <w:color w:val="auto"/>
          <w:highlight w:val="none"/>
        </w:rPr>
        <w:t>42</w:t>
      </w:r>
      <w:r>
        <w:rPr>
          <w:rFonts w:hint="eastAsia" w:ascii="宋体" w:hAnsi="宋体" w:cs="宋体"/>
          <w:color w:val="auto"/>
          <w:highlight w:val="none"/>
        </w:rPr>
        <w:t>号）</w:t>
      </w:r>
      <w:r>
        <w:rPr>
          <w:rFonts w:ascii="宋体" w:hAnsi="宋体" w:cs="宋体"/>
          <w:color w:val="auto"/>
          <w:highlight w:val="none"/>
        </w:rPr>
        <w:t>)</w:t>
      </w:r>
      <w:r>
        <w:rPr>
          <w:rFonts w:hint="eastAsia" w:ascii="宋体" w:hAnsi="宋体" w:cs="宋体"/>
          <w:color w:val="auto"/>
          <w:highlight w:val="none"/>
        </w:rPr>
        <w:t>；</w:t>
      </w:r>
    </w:p>
    <w:p w14:paraId="789C55D9">
      <w:pPr>
        <w:tabs>
          <w:tab w:val="left" w:pos="1080"/>
        </w:tabs>
        <w:spacing w:line="360" w:lineRule="auto"/>
        <w:ind w:firstLine="420" w:firstLineChars="200"/>
        <w:rPr>
          <w:rFonts w:ascii="宋体" w:hAnsi="宋体"/>
          <w:color w:val="auto"/>
          <w:highlight w:val="none"/>
        </w:rPr>
      </w:pPr>
      <w:r>
        <w:rPr>
          <w:rFonts w:hint="eastAsia" w:ascii="宋体" w:hAnsi="宋体"/>
          <w:color w:val="auto"/>
          <w:szCs w:val="21"/>
          <w:highlight w:val="none"/>
        </w:rPr>
        <w:t>7.</w:t>
      </w:r>
      <w:r>
        <w:rPr>
          <w:rFonts w:hint="eastAsia" w:ascii="宋体" w:hAnsi="宋体"/>
          <w:color w:val="auto"/>
          <w:highlight w:val="none"/>
        </w:rPr>
        <w:t xml:space="preserve"> 《广西壮族自治区建设工程勘察设计管理条例》（1999年自治区九届人大常委第十次会议通过，2016年修订）；</w:t>
      </w:r>
    </w:p>
    <w:p w14:paraId="08A65AA0">
      <w:pPr>
        <w:tabs>
          <w:tab w:val="left" w:pos="1080"/>
        </w:tabs>
        <w:spacing w:line="360" w:lineRule="auto"/>
        <w:ind w:firstLine="420" w:firstLineChars="200"/>
        <w:rPr>
          <w:rFonts w:ascii="宋体" w:hAnsi="宋体"/>
          <w:color w:val="auto"/>
          <w:highlight w:val="none"/>
        </w:rPr>
      </w:pPr>
      <w:r>
        <w:rPr>
          <w:rFonts w:hint="eastAsia" w:ascii="宋体" w:hAnsi="宋体"/>
          <w:color w:val="auto"/>
          <w:szCs w:val="21"/>
          <w:highlight w:val="none"/>
        </w:rPr>
        <w:t xml:space="preserve">8. </w:t>
      </w:r>
      <w:r>
        <w:rPr>
          <w:rFonts w:hint="eastAsia" w:ascii="宋体" w:hAnsi="宋体"/>
          <w:color w:val="auto"/>
          <w:highlight w:val="none"/>
        </w:rPr>
        <w:t>《工程建设项目招标范围和规模标准规定》（2000年国家计委令第3号，</w:t>
      </w:r>
      <w:r>
        <w:rPr>
          <w:rFonts w:hint="eastAsia" w:ascii="宋体" w:hAnsi="宋体"/>
          <w:color w:val="auto"/>
          <w:szCs w:val="21"/>
          <w:highlight w:val="none"/>
        </w:rPr>
        <w:t>2013年国家发展改革委等9部委令23号修订</w:t>
      </w:r>
      <w:r>
        <w:rPr>
          <w:rFonts w:hint="eastAsia" w:ascii="宋体" w:hAnsi="宋体"/>
          <w:color w:val="auto"/>
          <w:highlight w:val="none"/>
        </w:rPr>
        <w:t>）；</w:t>
      </w:r>
    </w:p>
    <w:p w14:paraId="4ADCD67B">
      <w:pPr>
        <w:tabs>
          <w:tab w:val="left" w:pos="1080"/>
        </w:tabs>
        <w:spacing w:line="360" w:lineRule="auto"/>
        <w:ind w:firstLine="420" w:firstLineChars="200"/>
        <w:rPr>
          <w:rFonts w:ascii="宋体" w:hAnsi="宋体"/>
          <w:color w:val="auto"/>
          <w:highlight w:val="none"/>
        </w:rPr>
      </w:pPr>
      <w:r>
        <w:rPr>
          <w:rFonts w:hint="eastAsia" w:ascii="宋体" w:hAnsi="宋体"/>
          <w:color w:val="auto"/>
          <w:szCs w:val="21"/>
          <w:highlight w:val="none"/>
        </w:rPr>
        <w:t xml:space="preserve">9. </w:t>
      </w:r>
      <w:r>
        <w:rPr>
          <w:rFonts w:hint="eastAsia" w:ascii="宋体" w:hAnsi="宋体"/>
          <w:color w:val="auto"/>
          <w:highlight w:val="none"/>
        </w:rPr>
        <w:t>《招标公告和公示信息发布管理办法》</w:t>
      </w:r>
      <w:r>
        <w:rPr>
          <w:rFonts w:ascii="宋体" w:hAnsi="宋体" w:cs="宋体"/>
          <w:color w:val="auto"/>
          <w:highlight w:val="none"/>
        </w:rPr>
        <w:t>（国家发展改革委第10号令）</w:t>
      </w:r>
      <w:r>
        <w:rPr>
          <w:rFonts w:hint="eastAsia" w:ascii="宋体" w:hAnsi="宋体"/>
          <w:color w:val="auto"/>
          <w:highlight w:val="none"/>
        </w:rPr>
        <w:t>；</w:t>
      </w:r>
    </w:p>
    <w:p w14:paraId="30BB4B5E">
      <w:pPr>
        <w:tabs>
          <w:tab w:val="left" w:pos="1080"/>
        </w:tabs>
        <w:spacing w:line="360" w:lineRule="auto"/>
        <w:ind w:firstLine="420" w:firstLineChars="200"/>
        <w:rPr>
          <w:rFonts w:ascii="宋体" w:hAnsi="宋体"/>
          <w:color w:val="auto"/>
          <w:highlight w:val="none"/>
        </w:rPr>
      </w:pPr>
      <w:r>
        <w:rPr>
          <w:rFonts w:hint="eastAsia" w:ascii="宋体" w:hAnsi="宋体"/>
          <w:color w:val="auto"/>
          <w:szCs w:val="21"/>
          <w:highlight w:val="none"/>
        </w:rPr>
        <w:t xml:space="preserve">10. </w:t>
      </w:r>
      <w:r>
        <w:rPr>
          <w:rFonts w:hint="eastAsia" w:ascii="宋体" w:hAnsi="宋体"/>
          <w:color w:val="auto"/>
          <w:highlight w:val="none"/>
        </w:rPr>
        <w:t>《工程建设项目自行招标试行办法》（2000年国家计委令第5号，</w:t>
      </w:r>
      <w:r>
        <w:rPr>
          <w:rFonts w:hint="eastAsia" w:ascii="宋体" w:hAnsi="宋体"/>
          <w:color w:val="auto"/>
          <w:szCs w:val="21"/>
          <w:highlight w:val="none"/>
        </w:rPr>
        <w:t>2013年国家发展改革委等9部委令23号修订</w:t>
      </w:r>
      <w:r>
        <w:rPr>
          <w:rFonts w:hint="eastAsia" w:ascii="宋体" w:hAnsi="宋体"/>
          <w:color w:val="auto"/>
          <w:highlight w:val="none"/>
        </w:rPr>
        <w:t>）；</w:t>
      </w:r>
    </w:p>
    <w:p w14:paraId="4575DA45">
      <w:pPr>
        <w:tabs>
          <w:tab w:val="left" w:pos="1080"/>
        </w:tabs>
        <w:spacing w:line="360" w:lineRule="auto"/>
        <w:ind w:firstLine="420" w:firstLineChars="200"/>
        <w:rPr>
          <w:rFonts w:ascii="宋体" w:hAnsi="宋体"/>
          <w:color w:val="auto"/>
          <w:highlight w:val="none"/>
        </w:rPr>
      </w:pPr>
      <w:r>
        <w:rPr>
          <w:rFonts w:hint="eastAsia" w:ascii="宋体" w:hAnsi="宋体"/>
          <w:color w:val="auto"/>
          <w:szCs w:val="21"/>
          <w:highlight w:val="none"/>
        </w:rPr>
        <w:t xml:space="preserve">11. </w:t>
      </w:r>
      <w:r>
        <w:rPr>
          <w:rFonts w:hint="eastAsia" w:ascii="宋体" w:hAnsi="宋体" w:cs="宋体"/>
          <w:color w:val="auto"/>
          <w:highlight w:val="none"/>
        </w:rPr>
        <w:t>《评标委员会和评标方法暂行规定》（</w:t>
      </w:r>
      <w:r>
        <w:rPr>
          <w:rFonts w:ascii="宋体" w:hAnsi="宋体" w:cs="宋体"/>
          <w:color w:val="auto"/>
          <w:highlight w:val="none"/>
        </w:rPr>
        <w:t>国家发展计划委员会</w:t>
      </w:r>
      <w:r>
        <w:rPr>
          <w:rFonts w:hint="eastAsia" w:ascii="宋体" w:hAnsi="宋体" w:cs="宋体"/>
          <w:color w:val="auto"/>
          <w:highlight w:val="none"/>
        </w:rPr>
        <w:t>等7部委</w:t>
      </w:r>
      <w:r>
        <w:rPr>
          <w:rFonts w:ascii="宋体" w:hAnsi="宋体" w:cs="宋体"/>
          <w:color w:val="auto"/>
          <w:highlight w:val="none"/>
        </w:rPr>
        <w:t>第12号</w:t>
      </w:r>
      <w:r>
        <w:rPr>
          <w:rFonts w:hint="eastAsia" w:ascii="宋体" w:hAnsi="宋体" w:cs="宋体"/>
          <w:color w:val="auto"/>
          <w:highlight w:val="none"/>
        </w:rPr>
        <w:t>令，根据2013年3月11日国家发展改革委等9部委第23号令修订）；</w:t>
      </w:r>
    </w:p>
    <w:p w14:paraId="3F816938">
      <w:pPr>
        <w:tabs>
          <w:tab w:val="left" w:pos="108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2</w:t>
      </w:r>
      <w:r>
        <w:rPr>
          <w:rFonts w:hint="eastAsia" w:ascii="宋体" w:hAnsi="宋体"/>
          <w:color w:val="auto"/>
          <w:szCs w:val="21"/>
          <w:highlight w:val="none"/>
        </w:rPr>
        <w:t>. 《工程建设项目勘察设计招标投标办法》（2003年国家发展改革委等8部委令第2号，2013年国家发展改革委等9部委令23号修订）；</w:t>
      </w:r>
    </w:p>
    <w:p w14:paraId="799877FE">
      <w:pPr>
        <w:tabs>
          <w:tab w:val="left" w:pos="108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w:t>
      </w:r>
      <w:r>
        <w:rPr>
          <w:rFonts w:hint="eastAsia" w:ascii="宋体" w:hAnsi="宋体"/>
          <w:color w:val="auto"/>
          <w:szCs w:val="21"/>
          <w:highlight w:val="none"/>
        </w:rPr>
        <w:t>. 《建筑工程设计招标投标管理办法》（2017年住房和城乡建设部令第33号）；</w:t>
      </w:r>
    </w:p>
    <w:p w14:paraId="08D70B46">
      <w:pPr>
        <w:widowControl/>
        <w:tabs>
          <w:tab w:val="left" w:pos="1080"/>
        </w:tabs>
        <w:jc w:val="left"/>
        <w:rPr>
          <w:rFonts w:ascii="宋体" w:hAnsi="宋体"/>
          <w:color w:val="auto"/>
          <w:szCs w:val="21"/>
          <w:highlight w:val="none"/>
        </w:rPr>
      </w:pPr>
      <w:r>
        <w:rPr>
          <w:rFonts w:hint="eastAsia" w:ascii="宋体" w:hAnsi="宋体"/>
          <w:color w:val="auto"/>
          <w:szCs w:val="21"/>
          <w:highlight w:val="none"/>
        </w:rPr>
        <w:t xml:space="preserve">    1</w:t>
      </w:r>
      <w:r>
        <w:rPr>
          <w:rFonts w:ascii="宋体" w:hAnsi="宋体"/>
          <w:color w:val="auto"/>
          <w:szCs w:val="21"/>
          <w:highlight w:val="none"/>
        </w:rPr>
        <w:t>4</w:t>
      </w:r>
      <w:r>
        <w:rPr>
          <w:rFonts w:hint="eastAsia" w:ascii="宋体" w:hAnsi="宋体"/>
          <w:color w:val="auto"/>
          <w:szCs w:val="21"/>
          <w:highlight w:val="none"/>
        </w:rPr>
        <w:t>. 《建筑工程方案设计招标投标管理办法》（2008年建市〔2008〕63号，</w:t>
      </w:r>
      <w:r>
        <w:rPr>
          <w:rFonts w:hint="eastAsia" w:ascii="宋体" w:hAnsi="宋体"/>
          <w:color w:val="auto"/>
          <w:szCs w:val="21"/>
          <w:highlight w:val="none"/>
          <w:lang w:bidi="ar"/>
        </w:rPr>
        <w:t>建法规〔2019〕3号文修订</w:t>
      </w:r>
      <w:r>
        <w:rPr>
          <w:rFonts w:hint="eastAsia" w:ascii="宋体" w:hAnsi="宋体"/>
          <w:color w:val="auto"/>
          <w:szCs w:val="21"/>
          <w:highlight w:val="none"/>
        </w:rPr>
        <w:t>）；</w:t>
      </w:r>
    </w:p>
    <w:p w14:paraId="23F819CF">
      <w:pPr>
        <w:tabs>
          <w:tab w:val="left" w:pos="108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5</w:t>
      </w:r>
      <w:r>
        <w:rPr>
          <w:rFonts w:hint="eastAsia" w:ascii="宋体" w:hAnsi="宋体"/>
          <w:color w:val="auto"/>
          <w:szCs w:val="21"/>
          <w:highlight w:val="none"/>
        </w:rPr>
        <w:t>. 《中华人民共和国标准设计招标文件》（2017年版）；</w:t>
      </w:r>
    </w:p>
    <w:p w14:paraId="720E1E7F">
      <w:pPr>
        <w:tabs>
          <w:tab w:val="left" w:pos="108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6</w:t>
      </w:r>
      <w:r>
        <w:rPr>
          <w:rFonts w:hint="eastAsia" w:ascii="宋体" w:hAnsi="宋体"/>
          <w:color w:val="auto"/>
          <w:szCs w:val="21"/>
          <w:highlight w:val="none"/>
        </w:rPr>
        <w:t>. 《建设工程设计合同示范文本（房屋建筑工程）》（GF-2015-0209）；</w:t>
      </w:r>
    </w:p>
    <w:p w14:paraId="4808DA4A">
      <w:pPr>
        <w:tabs>
          <w:tab w:val="left" w:pos="108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7</w:t>
      </w:r>
      <w:r>
        <w:rPr>
          <w:rFonts w:hint="eastAsia" w:ascii="宋体" w:hAnsi="宋体"/>
          <w:color w:val="auto"/>
          <w:szCs w:val="21"/>
          <w:highlight w:val="none"/>
        </w:rPr>
        <w:t>.</w:t>
      </w:r>
      <w:r>
        <w:rPr>
          <w:rFonts w:hint="eastAsia" w:ascii="宋体" w:hAnsi="宋体"/>
          <w:color w:val="auto"/>
          <w:highlight w:val="none"/>
        </w:rPr>
        <w:t xml:space="preserve"> </w:t>
      </w:r>
      <w:r>
        <w:rPr>
          <w:rFonts w:hint="eastAsia" w:ascii="宋体" w:hAnsi="宋体"/>
          <w:color w:val="auto"/>
          <w:szCs w:val="21"/>
          <w:highlight w:val="none"/>
        </w:rPr>
        <w:t>《建设工程设计合同示范文本（专业建设工程）》（GF-2015-0210）；</w:t>
      </w:r>
    </w:p>
    <w:p w14:paraId="7CAA18BD">
      <w:pPr>
        <w:tabs>
          <w:tab w:val="left" w:pos="1080"/>
        </w:tabs>
        <w:spacing w:line="360" w:lineRule="auto"/>
        <w:ind w:firstLine="420" w:firstLineChars="200"/>
        <w:rPr>
          <w:rFonts w:ascii="宋体" w:hAnsi="宋体" w:cs="宋体"/>
          <w:color w:val="auto"/>
          <w:highlight w:val="none"/>
        </w:rPr>
      </w:pPr>
      <w:r>
        <w:rPr>
          <w:rFonts w:hint="eastAsia" w:ascii="宋体" w:hAnsi="宋体"/>
          <w:color w:val="auto"/>
          <w:szCs w:val="21"/>
          <w:highlight w:val="none"/>
        </w:rPr>
        <w:t>1</w:t>
      </w:r>
      <w:r>
        <w:rPr>
          <w:rFonts w:ascii="宋体" w:hAnsi="宋体"/>
          <w:color w:val="auto"/>
          <w:szCs w:val="21"/>
          <w:highlight w:val="none"/>
        </w:rPr>
        <w:t xml:space="preserve">8. </w:t>
      </w:r>
      <w:r>
        <w:rPr>
          <w:rFonts w:hint="eastAsia" w:ascii="宋体" w:hAnsi="宋体" w:cs="宋体"/>
          <w:color w:val="auto"/>
          <w:highlight w:val="none"/>
        </w:rPr>
        <w:t>《</w:t>
      </w:r>
      <w:r>
        <w:rPr>
          <w:rFonts w:ascii="宋体" w:hAnsi="宋体" w:cs="宋体"/>
          <w:color w:val="auto"/>
          <w:highlight w:val="none"/>
        </w:rPr>
        <w:t>国务院办公厅关于推进公共资源配置领域政府信息公开的意见》（国办发〔2017〕97号）；</w:t>
      </w:r>
    </w:p>
    <w:p w14:paraId="0F8D043A">
      <w:pPr>
        <w:tabs>
          <w:tab w:val="left" w:pos="1080"/>
        </w:tabs>
        <w:spacing w:line="360" w:lineRule="auto"/>
        <w:ind w:firstLine="420" w:firstLineChars="200"/>
        <w:rPr>
          <w:rFonts w:ascii="宋体" w:hAnsi="宋体" w:cs="宋体"/>
          <w:color w:val="auto"/>
          <w:highlight w:val="none"/>
        </w:rPr>
      </w:pPr>
      <w:r>
        <w:rPr>
          <w:rFonts w:ascii="宋体" w:hAnsi="宋体"/>
          <w:color w:val="auto"/>
          <w:szCs w:val="21"/>
          <w:highlight w:val="none"/>
        </w:rPr>
        <w:t xml:space="preserve">19. </w:t>
      </w:r>
      <w:r>
        <w:rPr>
          <w:rFonts w:ascii="宋体" w:hAnsi="宋体" w:cs="宋体"/>
          <w:color w:val="auto"/>
          <w:highlight w:val="none"/>
        </w:rPr>
        <w:t>《必须招标的工程项目规定》（国家发展改革委第16号令）；</w:t>
      </w:r>
    </w:p>
    <w:p w14:paraId="1F4EEF3D">
      <w:pPr>
        <w:tabs>
          <w:tab w:val="left" w:pos="1080"/>
        </w:tabs>
        <w:spacing w:line="360" w:lineRule="auto"/>
        <w:ind w:firstLine="420" w:firstLineChars="200"/>
        <w:rPr>
          <w:rFonts w:ascii="宋体" w:hAnsi="宋体"/>
          <w:color w:val="auto"/>
          <w:highlight w:val="none"/>
        </w:rPr>
      </w:pPr>
      <w:r>
        <w:rPr>
          <w:rFonts w:ascii="宋体" w:hAnsi="宋体"/>
          <w:color w:val="auto"/>
          <w:szCs w:val="21"/>
          <w:highlight w:val="none"/>
        </w:rPr>
        <w:t xml:space="preserve">20. </w:t>
      </w:r>
      <w:r>
        <w:rPr>
          <w:rFonts w:hint="eastAsia" w:ascii="宋体" w:hAnsi="宋体"/>
          <w:color w:val="auto"/>
          <w:szCs w:val="21"/>
          <w:highlight w:val="none"/>
        </w:rPr>
        <w:t>《广西壮族自治区房屋建筑和市政基础设施工程勘察设计企业信用管理评价办法》</w:t>
      </w:r>
      <w:r>
        <w:rPr>
          <w:rFonts w:hint="eastAsia" w:ascii="宋体" w:hAnsi="宋体"/>
          <w:color w:val="auto"/>
          <w:highlight w:val="none"/>
        </w:rPr>
        <w:t>（桂建发〔20</w:t>
      </w:r>
      <w:r>
        <w:rPr>
          <w:rFonts w:ascii="宋体" w:hAnsi="宋体"/>
          <w:color w:val="auto"/>
          <w:highlight w:val="none"/>
        </w:rPr>
        <w:t>20</w:t>
      </w:r>
      <w:r>
        <w:rPr>
          <w:rFonts w:hint="eastAsia" w:ascii="宋体" w:hAnsi="宋体"/>
          <w:color w:val="auto"/>
          <w:highlight w:val="none"/>
        </w:rPr>
        <w:t>〕1</w:t>
      </w:r>
      <w:r>
        <w:rPr>
          <w:rFonts w:ascii="宋体" w:hAnsi="宋体"/>
          <w:color w:val="auto"/>
          <w:highlight w:val="none"/>
        </w:rPr>
        <w:t>9</w:t>
      </w:r>
      <w:r>
        <w:rPr>
          <w:rFonts w:hint="eastAsia" w:ascii="宋体" w:hAnsi="宋体"/>
          <w:color w:val="auto"/>
          <w:highlight w:val="none"/>
        </w:rPr>
        <w:t>号）；</w:t>
      </w:r>
    </w:p>
    <w:p w14:paraId="063E3206">
      <w:pPr>
        <w:tabs>
          <w:tab w:val="left" w:pos="1080"/>
        </w:tabs>
        <w:spacing w:line="360" w:lineRule="auto"/>
        <w:ind w:firstLine="420" w:firstLineChars="200"/>
        <w:rPr>
          <w:rFonts w:ascii="宋体" w:hAnsi="宋体"/>
          <w:color w:val="auto"/>
          <w:highlight w:val="none"/>
        </w:rPr>
      </w:pPr>
      <w:r>
        <w:rPr>
          <w:rFonts w:hint="eastAsia" w:ascii="宋体" w:hAnsi="宋体"/>
          <w:color w:val="auto"/>
          <w:highlight w:val="none"/>
        </w:rPr>
        <w:t>21. 财政部 国家发展改革委关于印发《节能产品政府采购实施意见》的通知（财库〔2004〕185号）</w:t>
      </w:r>
    </w:p>
    <w:p w14:paraId="16C8C4FC">
      <w:pPr>
        <w:tabs>
          <w:tab w:val="left" w:pos="1080"/>
        </w:tabs>
        <w:spacing w:line="360" w:lineRule="auto"/>
        <w:ind w:firstLine="420" w:firstLineChars="200"/>
        <w:rPr>
          <w:rFonts w:ascii="宋体" w:hAnsi="宋体"/>
          <w:color w:val="auto"/>
          <w:highlight w:val="none"/>
        </w:rPr>
      </w:pPr>
      <w:r>
        <w:rPr>
          <w:rFonts w:hint="eastAsia" w:ascii="宋体" w:hAnsi="宋体"/>
          <w:color w:val="auto"/>
          <w:highlight w:val="none"/>
        </w:rPr>
        <w:t>22. 财政部 环保总局关于环境标志产品政府采购实施的意见（财库〔2006〕90号）</w:t>
      </w:r>
    </w:p>
    <w:p w14:paraId="200C29B2">
      <w:pPr>
        <w:tabs>
          <w:tab w:val="left" w:pos="1080"/>
        </w:tabs>
        <w:spacing w:line="360" w:lineRule="auto"/>
        <w:ind w:firstLine="420" w:firstLineChars="200"/>
        <w:rPr>
          <w:rFonts w:ascii="宋体" w:hAnsi="宋体"/>
          <w:color w:val="auto"/>
          <w:highlight w:val="none"/>
        </w:rPr>
      </w:pPr>
      <w:r>
        <w:rPr>
          <w:rFonts w:hint="eastAsia" w:ascii="宋体" w:hAnsi="宋体"/>
          <w:color w:val="auto"/>
          <w:highlight w:val="none"/>
        </w:rPr>
        <w:t>23 财政部 司法部关于政府采购支持监狱企业发展有关问题的通知（财库〔2014〕68号）</w:t>
      </w:r>
    </w:p>
    <w:p w14:paraId="576EBD0F">
      <w:pPr>
        <w:tabs>
          <w:tab w:val="left" w:pos="1080"/>
        </w:tabs>
        <w:spacing w:line="360" w:lineRule="auto"/>
        <w:ind w:firstLine="420" w:firstLineChars="200"/>
        <w:rPr>
          <w:rFonts w:ascii="宋体" w:hAnsi="宋体"/>
          <w:color w:val="auto"/>
          <w:highlight w:val="none"/>
        </w:rPr>
      </w:pPr>
      <w:r>
        <w:rPr>
          <w:rFonts w:hint="eastAsia" w:ascii="宋体" w:hAnsi="宋体" w:cs="宋体"/>
          <w:color w:val="auto"/>
          <w:highlight w:val="none"/>
        </w:rPr>
        <w:t>24.</w:t>
      </w:r>
      <w:r>
        <w:rPr>
          <w:rFonts w:hint="eastAsia" w:ascii="宋体" w:hAnsi="宋体"/>
          <w:color w:val="auto"/>
          <w:highlight w:val="none"/>
        </w:rPr>
        <w:t xml:space="preserve"> 财政部 民政部 中国残疾人联合会关于促进残疾人就业政府采购政策的通知（财库〔2017〕141号）</w:t>
      </w:r>
    </w:p>
    <w:p w14:paraId="6A62CC67">
      <w:pPr>
        <w:tabs>
          <w:tab w:val="left" w:pos="1080"/>
        </w:tabs>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25.</w:t>
      </w:r>
      <w:r>
        <w:rPr>
          <w:rFonts w:hint="eastAsia"/>
          <w:color w:val="auto"/>
          <w:highlight w:val="none"/>
        </w:rPr>
        <w:t xml:space="preserve"> </w:t>
      </w:r>
      <w:r>
        <w:rPr>
          <w:rFonts w:hint="eastAsia" w:ascii="宋体" w:hAnsi="宋体"/>
          <w:color w:val="auto"/>
          <w:highlight w:val="none"/>
        </w:rPr>
        <w:t>财政部 工业和信息化部关于印发《政府采购促进中小企业发展管理办法》的通知</w:t>
      </w:r>
      <w:r>
        <w:rPr>
          <w:rFonts w:hint="eastAsia" w:ascii="宋体" w:hAnsi="宋体" w:cs="宋体"/>
          <w:color w:val="auto"/>
          <w:highlight w:val="none"/>
        </w:rPr>
        <w:t>（财库〔2020〕46号）</w:t>
      </w:r>
    </w:p>
    <w:p w14:paraId="5B304C93">
      <w:pPr>
        <w:tabs>
          <w:tab w:val="left" w:pos="1080"/>
        </w:tabs>
        <w:spacing w:line="360" w:lineRule="auto"/>
        <w:ind w:firstLine="420" w:firstLineChars="200"/>
        <w:rPr>
          <w:rFonts w:ascii="宋体" w:hAnsi="宋体"/>
          <w:color w:val="auto"/>
          <w:highlight w:val="none"/>
        </w:rPr>
      </w:pPr>
      <w:r>
        <w:rPr>
          <w:rFonts w:hint="eastAsia" w:ascii="宋体" w:hAnsi="宋体"/>
          <w:color w:val="auto"/>
          <w:highlight w:val="none"/>
        </w:rPr>
        <w:t xml:space="preserve">26. </w:t>
      </w:r>
      <w:r>
        <w:rPr>
          <w:rFonts w:hint="eastAsia" w:ascii="宋体" w:hAnsi="宋体" w:cs="宋体"/>
          <w:color w:val="auto"/>
          <w:highlight w:val="none"/>
        </w:rPr>
        <w:t>关于我区政府采购支持监狱企业发展有关问题的通知</w:t>
      </w:r>
      <w:r>
        <w:rPr>
          <w:rFonts w:hint="eastAsia" w:ascii="宋体" w:hAnsi="宋体"/>
          <w:color w:val="auto"/>
          <w:highlight w:val="none"/>
        </w:rPr>
        <w:t>（桂财采</w:t>
      </w:r>
      <w:r>
        <w:rPr>
          <w:rFonts w:hint="eastAsia" w:ascii="宋体" w:hAnsi="宋体" w:cs="宋体"/>
          <w:color w:val="auto"/>
          <w:highlight w:val="none"/>
        </w:rPr>
        <w:t>〔2015〕</w:t>
      </w:r>
      <w:r>
        <w:rPr>
          <w:rFonts w:hint="eastAsia" w:ascii="宋体" w:hAnsi="宋体"/>
          <w:color w:val="auto"/>
          <w:highlight w:val="none"/>
        </w:rPr>
        <w:t>24号）</w:t>
      </w:r>
    </w:p>
    <w:p w14:paraId="6B429745">
      <w:pPr>
        <w:tabs>
          <w:tab w:val="left" w:pos="1080"/>
        </w:tabs>
        <w:spacing w:line="360" w:lineRule="auto"/>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7. 其他有关工程建设和招标投标的法律、法规、规章。</w:t>
      </w:r>
    </w:p>
    <w:p w14:paraId="127D7003">
      <w:pPr>
        <w:tabs>
          <w:tab w:val="left" w:pos="1080"/>
        </w:tabs>
        <w:spacing w:line="360" w:lineRule="auto"/>
        <w:ind w:firstLine="420" w:firstLineChars="200"/>
        <w:rPr>
          <w:rFonts w:ascii="黑体" w:hAnsi="宋体" w:eastAsia="黑体"/>
          <w:color w:val="auto"/>
          <w:szCs w:val="21"/>
          <w:highlight w:val="none"/>
        </w:rPr>
      </w:pPr>
      <w:r>
        <w:rPr>
          <w:rFonts w:hint="eastAsia" w:ascii="黑体" w:hAnsi="宋体" w:eastAsia="黑体"/>
          <w:color w:val="auto"/>
          <w:szCs w:val="21"/>
          <w:highlight w:val="none"/>
        </w:rPr>
        <w:t>二、适用范围</w:t>
      </w:r>
    </w:p>
    <w:p w14:paraId="38B0C3A6">
      <w:pPr>
        <w:spacing w:line="312" w:lineRule="auto"/>
        <w:ind w:firstLine="420" w:firstLineChars="200"/>
        <w:rPr>
          <w:rFonts w:ascii="宋体" w:hAnsi="宋体"/>
          <w:color w:val="auto"/>
          <w:highlight w:val="none"/>
        </w:rPr>
      </w:pPr>
      <w:r>
        <w:rPr>
          <w:rFonts w:ascii="宋体" w:hAnsi="宋体"/>
          <w:color w:val="auto"/>
          <w:szCs w:val="21"/>
          <w:highlight w:val="none"/>
        </w:rPr>
        <w:t>《</w:t>
      </w:r>
      <w:r>
        <w:rPr>
          <w:rFonts w:hint="eastAsia" w:ascii="宋体" w:hAnsi="宋体"/>
          <w:color w:val="auto"/>
          <w:szCs w:val="21"/>
          <w:highlight w:val="none"/>
        </w:rPr>
        <w:t>广西壮族自治区</w:t>
      </w:r>
      <w:r>
        <w:rPr>
          <w:rFonts w:ascii="宋体" w:hAnsi="宋体"/>
          <w:color w:val="auto"/>
          <w:szCs w:val="21"/>
          <w:highlight w:val="none"/>
        </w:rPr>
        <w:t>房屋建筑和市政工程</w:t>
      </w:r>
      <w:r>
        <w:rPr>
          <w:rFonts w:hint="eastAsia" w:ascii="宋体" w:hAnsi="宋体"/>
          <w:color w:val="auto"/>
          <w:szCs w:val="21"/>
          <w:highlight w:val="none"/>
        </w:rPr>
        <w:t>设计公开</w:t>
      </w:r>
      <w:r>
        <w:rPr>
          <w:rFonts w:ascii="宋体" w:hAnsi="宋体"/>
          <w:color w:val="auto"/>
          <w:szCs w:val="21"/>
          <w:highlight w:val="none"/>
        </w:rPr>
        <w:t>招标文件</w:t>
      </w:r>
      <w:r>
        <w:rPr>
          <w:rFonts w:hint="eastAsia" w:ascii="宋体" w:hAnsi="宋体"/>
          <w:color w:val="auto"/>
          <w:szCs w:val="21"/>
          <w:highlight w:val="none"/>
        </w:rPr>
        <w:t>范本</w:t>
      </w:r>
      <w:r>
        <w:rPr>
          <w:rFonts w:ascii="宋体" w:hAnsi="宋体"/>
          <w:color w:val="auto"/>
          <w:szCs w:val="21"/>
          <w:highlight w:val="none"/>
        </w:rPr>
        <w:t>（</w:t>
      </w:r>
      <w:r>
        <w:rPr>
          <w:rFonts w:hint="eastAsia" w:ascii="宋体" w:hAnsi="宋体"/>
          <w:color w:val="auto"/>
          <w:szCs w:val="21"/>
          <w:highlight w:val="none"/>
        </w:rPr>
        <w:t>2</w:t>
      </w:r>
      <w:r>
        <w:rPr>
          <w:rFonts w:ascii="宋体" w:hAnsi="宋体"/>
          <w:color w:val="auto"/>
          <w:szCs w:val="21"/>
          <w:highlight w:val="none"/>
        </w:rPr>
        <w:t>02</w:t>
      </w:r>
      <w:r>
        <w:rPr>
          <w:rFonts w:hint="eastAsia" w:ascii="宋体" w:hAnsi="宋体"/>
          <w:color w:val="auto"/>
          <w:szCs w:val="21"/>
          <w:highlight w:val="none"/>
        </w:rPr>
        <w:t>2年</w:t>
      </w:r>
      <w:r>
        <w:rPr>
          <w:rFonts w:ascii="宋体" w:hAnsi="宋体"/>
          <w:color w:val="auto"/>
          <w:szCs w:val="21"/>
          <w:highlight w:val="none"/>
        </w:rPr>
        <w:t>版</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rPr>
        <w:t>（以下简称《设计公开招标文件范本（2022年版）》</w:t>
      </w:r>
      <w:r>
        <w:rPr>
          <w:rFonts w:ascii="宋体" w:hAnsi="宋体"/>
          <w:color w:val="auto"/>
          <w:szCs w:val="21"/>
          <w:highlight w:val="none"/>
        </w:rPr>
        <w:t>，适用于</w:t>
      </w:r>
      <w:r>
        <w:rPr>
          <w:rFonts w:hint="eastAsia" w:ascii="宋体" w:hAnsi="宋体"/>
          <w:color w:val="auto"/>
          <w:szCs w:val="21"/>
          <w:highlight w:val="none"/>
        </w:rPr>
        <w:t>广西壮族自治区行政区域内依法必须进行招标的房屋建筑和市政基础设施</w:t>
      </w:r>
      <w:r>
        <w:rPr>
          <w:rFonts w:ascii="宋体" w:hAnsi="宋体"/>
          <w:color w:val="auto"/>
          <w:szCs w:val="21"/>
          <w:highlight w:val="none"/>
        </w:rPr>
        <w:t>工程</w:t>
      </w:r>
      <w:r>
        <w:rPr>
          <w:rFonts w:hint="eastAsia" w:ascii="宋体" w:hAnsi="宋体"/>
          <w:color w:val="auto"/>
          <w:szCs w:val="21"/>
          <w:highlight w:val="none"/>
        </w:rPr>
        <w:t>的设计</w:t>
      </w:r>
      <w:r>
        <w:rPr>
          <w:rFonts w:ascii="宋体" w:hAnsi="宋体"/>
          <w:color w:val="auto"/>
          <w:szCs w:val="21"/>
          <w:highlight w:val="none"/>
        </w:rPr>
        <w:t>招标。</w:t>
      </w:r>
      <w:r>
        <w:rPr>
          <w:rFonts w:hint="eastAsia" w:ascii="宋体" w:hAnsi="宋体" w:cs="宋体"/>
          <w:color w:val="auto"/>
          <w:highlight w:val="none"/>
        </w:rPr>
        <w:t>文中所述“投标文件”即指</w:t>
      </w:r>
      <w:r>
        <w:rPr>
          <w:rFonts w:hint="eastAsia" w:ascii="宋体" w:hAnsi="宋体"/>
          <w:color w:val="auto"/>
          <w:highlight w:val="none"/>
        </w:rPr>
        <w:t>投标人应用</w:t>
      </w:r>
      <w:r>
        <w:rPr>
          <w:rFonts w:hint="eastAsia"/>
          <w:color w:val="auto"/>
          <w:highlight w:val="none"/>
        </w:rPr>
        <w:t>全国公共资源交易平台（广西壮族自治区）</w:t>
      </w:r>
      <w:r>
        <w:rPr>
          <w:rFonts w:hint="eastAsia" w:ascii="宋体" w:hAnsi="宋体"/>
          <w:color w:val="auto"/>
          <w:highlight w:val="none"/>
        </w:rPr>
        <w:t>兼容的投标文件制作软件，根据招标文件要求编制完成的电子投标文件。</w:t>
      </w:r>
    </w:p>
    <w:p w14:paraId="10D80D74">
      <w:pPr>
        <w:tabs>
          <w:tab w:val="left" w:pos="108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学术性的项目方案设计竞赛或不对某工程项目下一步设计工作的承接具有直接因果关系的“创意征集”等活动，不适用本范本。</w:t>
      </w:r>
    </w:p>
    <w:p w14:paraId="6BC2C520">
      <w:pPr>
        <w:spacing w:line="360" w:lineRule="auto"/>
        <w:ind w:firstLine="420" w:firstLineChars="200"/>
        <w:rPr>
          <w:rFonts w:ascii="黑体" w:hAnsi="宋体" w:eastAsia="黑体"/>
          <w:color w:val="auto"/>
          <w:szCs w:val="21"/>
          <w:highlight w:val="none"/>
        </w:rPr>
      </w:pPr>
      <w:r>
        <w:rPr>
          <w:rFonts w:hint="eastAsia" w:ascii="黑体" w:hAnsi="宋体" w:eastAsia="黑体"/>
          <w:color w:val="auto"/>
          <w:szCs w:val="21"/>
          <w:highlight w:val="none"/>
        </w:rPr>
        <w:t>三、使用要求</w:t>
      </w:r>
    </w:p>
    <w:p w14:paraId="340F5404">
      <w:pPr>
        <w:tabs>
          <w:tab w:val="left" w:pos="108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《设计公开招标文件范本（2</w:t>
      </w:r>
      <w:r>
        <w:rPr>
          <w:rFonts w:ascii="宋体" w:hAnsi="宋体"/>
          <w:color w:val="auto"/>
          <w:szCs w:val="21"/>
          <w:highlight w:val="none"/>
        </w:rPr>
        <w:t>02</w:t>
      </w:r>
      <w:r>
        <w:rPr>
          <w:rFonts w:hint="eastAsia" w:ascii="宋体" w:hAnsi="宋体"/>
          <w:color w:val="auto"/>
          <w:szCs w:val="21"/>
          <w:highlight w:val="none"/>
        </w:rPr>
        <w:t>2年</w:t>
      </w:r>
      <w:r>
        <w:rPr>
          <w:rFonts w:ascii="宋体" w:hAnsi="宋体"/>
          <w:color w:val="auto"/>
          <w:szCs w:val="21"/>
          <w:highlight w:val="none"/>
        </w:rPr>
        <w:t>版</w:t>
      </w:r>
      <w:r>
        <w:rPr>
          <w:rFonts w:hint="eastAsia" w:ascii="宋体" w:hAnsi="宋体"/>
          <w:color w:val="auto"/>
          <w:szCs w:val="21"/>
          <w:highlight w:val="none"/>
        </w:rPr>
        <w:t>）》用相同序号标示的章、节、条、款、项、目，供招标人和投标人选择使用；以空格标示的位置，由招标人根据</w:t>
      </w:r>
      <w:r>
        <w:rPr>
          <w:rFonts w:ascii="宋体" w:hAnsi="宋体"/>
          <w:color w:val="auto"/>
          <w:szCs w:val="21"/>
          <w:highlight w:val="none"/>
        </w:rPr>
        <w:t>国家和地方有关法律法规的规定以及招标项目具体</w:t>
      </w:r>
      <w:r>
        <w:rPr>
          <w:color w:val="auto"/>
          <w:highlight w:val="none"/>
        </w:rPr>
        <w:t>特点和实际需要填写具体内容</w:t>
      </w:r>
      <w:r>
        <w:rPr>
          <w:rFonts w:hint="eastAsia" w:ascii="宋体" w:hAnsi="宋体"/>
          <w:color w:val="auto"/>
          <w:szCs w:val="21"/>
          <w:highlight w:val="none"/>
        </w:rPr>
        <w:t>，</w:t>
      </w:r>
      <w:r>
        <w:rPr>
          <w:color w:val="auto"/>
          <w:highlight w:val="none"/>
        </w:rPr>
        <w:t>空格后以括号标示的选择性内容，也由招标人根据提示内容填写</w:t>
      </w:r>
      <w:r>
        <w:rPr>
          <w:rFonts w:hint="eastAsia"/>
          <w:color w:val="auto"/>
          <w:highlight w:val="none"/>
        </w:rPr>
        <w:t>，</w:t>
      </w:r>
      <w:r>
        <w:rPr>
          <w:rFonts w:hint="eastAsia" w:ascii="宋体" w:hAnsi="宋体"/>
          <w:color w:val="auto"/>
          <w:szCs w:val="21"/>
          <w:highlight w:val="none"/>
        </w:rPr>
        <w:t>确实没有需要填写的，在空格中用“/”标示；在选择项中，招标人可结合实际情况在选择的“□”里打“√”；其余内容</w:t>
      </w:r>
      <w:r>
        <w:rPr>
          <w:rFonts w:ascii="宋体" w:hAnsi="宋体"/>
          <w:color w:val="auto"/>
          <w:szCs w:val="21"/>
          <w:highlight w:val="none"/>
        </w:rPr>
        <w:t>应不加修改直接引用。</w:t>
      </w:r>
    </w:p>
    <w:p w14:paraId="5968D222">
      <w:pPr>
        <w:spacing w:line="360" w:lineRule="auto"/>
        <w:ind w:firstLine="420" w:firstLineChars="200"/>
        <w:rPr>
          <w:rFonts w:ascii="黑体" w:hAnsi="宋体" w:eastAsia="黑体"/>
          <w:color w:val="auto"/>
          <w:szCs w:val="21"/>
          <w:highlight w:val="none"/>
        </w:rPr>
      </w:pPr>
      <w:r>
        <w:rPr>
          <w:rFonts w:hint="eastAsia" w:ascii="黑体" w:hAnsi="宋体" w:eastAsia="黑体"/>
          <w:color w:val="auto"/>
          <w:szCs w:val="21"/>
          <w:highlight w:val="none"/>
        </w:rPr>
        <w:t>四、招标公告有关说明</w:t>
      </w:r>
    </w:p>
    <w:p w14:paraId="5A8FE6F9">
      <w:pPr>
        <w:spacing w:line="360" w:lineRule="auto"/>
        <w:ind w:firstLine="422" w:firstLineChars="200"/>
        <w:rPr>
          <w:rFonts w:ascii="宋体" w:hAnsi="宋体" w:cs="宋体"/>
          <w:color w:val="auto"/>
          <w:highlight w:val="none"/>
        </w:rPr>
      </w:pPr>
      <w:r>
        <w:rPr>
          <w:rFonts w:hint="eastAsia" w:ascii="楷体_GB2312" w:hAnsi="宋体" w:eastAsia="楷体_GB2312"/>
          <w:b/>
          <w:color w:val="auto"/>
          <w:szCs w:val="21"/>
          <w:highlight w:val="none"/>
        </w:rPr>
        <w:t>（一）投标人资质条件。</w:t>
      </w:r>
      <w:r>
        <w:rPr>
          <w:rFonts w:hint="eastAsia" w:ascii="宋体" w:hAnsi="宋体"/>
          <w:color w:val="auto"/>
          <w:szCs w:val="21"/>
          <w:highlight w:val="none"/>
        </w:rPr>
        <w:t>招标人应根据国家法律法规对企业资质等级许可的相关规定以及招标项目特点，合理设置企业资质等级和类似工程业绩要求，招标项目特点与企业资质等级及业绩要求应相一致，不得提高资质等级要求。</w:t>
      </w:r>
      <w:r>
        <w:rPr>
          <w:rFonts w:hint="eastAsia" w:ascii="楷体" w:hAnsi="楷体" w:eastAsia="楷体" w:cs="楷体"/>
          <w:b/>
          <w:bCs/>
          <w:color w:val="auto"/>
          <w:szCs w:val="21"/>
          <w:highlight w:val="none"/>
        </w:rPr>
        <w:t>【备注：允许中华人民共和国境外投标人参与方案设计投标的，应按照《建筑工程方案设计招标投标管理办法》（建市〔2008〕63号）执行；允许中华人民共和国境外投标人参与初步设计或施工图设计投标的，应按照《关于外国企业在中华人民共和国境内从事建设工程设计活动的管理暂行规定》（建市〔2004〕78号）执行。】</w:t>
      </w:r>
      <w:r>
        <w:rPr>
          <w:rFonts w:hint="eastAsia" w:ascii="宋体" w:hAnsi="宋体" w:cs="宋体"/>
          <w:color w:val="auto"/>
          <w:highlight w:val="none"/>
        </w:rPr>
        <w:t>企业已完成的工程业绩取自“桂建云”系统。原则上代表业绩的工程应为已完成的工程，如招标人选择接受在建工程作为业绩的，应约定在建工程业绩以“桂建云”系统中提供的“业绩（在建工程）”为准，并应按约定在投标文件组成的“业绩（在建工程）”节点导入“桂建云”系统录入的相关证明材料，时间的限定一般按近三年。</w:t>
      </w:r>
    </w:p>
    <w:p w14:paraId="49997F66">
      <w:pPr>
        <w:spacing w:line="360" w:lineRule="auto"/>
        <w:ind w:firstLine="422" w:firstLineChars="200"/>
        <w:rPr>
          <w:rFonts w:ascii="宋体" w:hAnsi="宋体"/>
          <w:color w:val="auto"/>
          <w:szCs w:val="21"/>
          <w:highlight w:val="none"/>
        </w:rPr>
      </w:pPr>
      <w:r>
        <w:rPr>
          <w:rFonts w:hint="eastAsia" w:ascii="楷体_GB2312" w:hAnsi="宋体" w:eastAsia="楷体_GB2312"/>
          <w:b/>
          <w:color w:val="auto"/>
          <w:szCs w:val="21"/>
          <w:highlight w:val="none"/>
        </w:rPr>
        <w:t>（二）招标范围。</w:t>
      </w:r>
      <w:r>
        <w:rPr>
          <w:rFonts w:hint="eastAsia" w:ascii="宋体" w:hAnsi="宋体"/>
          <w:color w:val="auto"/>
          <w:szCs w:val="21"/>
          <w:highlight w:val="none"/>
        </w:rPr>
        <w:t>范本中列出概念性方案设计招标、实施性方案设计招标、初步设计招标、施工图设计招标，除概念性设计方案外，鼓励对实施性方案设计、初步设计、施工图设计进行设计总包招标。</w:t>
      </w:r>
    </w:p>
    <w:p w14:paraId="70714B44">
      <w:pPr>
        <w:spacing w:line="360" w:lineRule="auto"/>
        <w:ind w:firstLine="422" w:firstLineChars="200"/>
        <w:rPr>
          <w:rFonts w:ascii="楷体_GB2312" w:hAnsi="宋体" w:eastAsia="楷体_GB2312" w:cs="楷体_GB2312"/>
          <w:b/>
          <w:bCs/>
          <w:color w:val="auto"/>
          <w:highlight w:val="none"/>
        </w:rPr>
      </w:pPr>
      <w:r>
        <w:rPr>
          <w:rFonts w:hint="eastAsia" w:ascii="楷体_GB2312" w:hAnsi="宋体" w:eastAsia="楷体_GB2312" w:cs="楷体_GB2312"/>
          <w:b/>
          <w:bCs/>
          <w:color w:val="auto"/>
          <w:highlight w:val="none"/>
        </w:rPr>
        <w:t>（三）预留份额专门面向中小企业采购。</w:t>
      </w:r>
      <w:r>
        <w:rPr>
          <w:rFonts w:hint="eastAsia" w:ascii="宋体" w:hAnsi="宋体"/>
          <w:color w:val="auto"/>
          <w:szCs w:val="21"/>
          <w:highlight w:val="none"/>
        </w:rPr>
        <w:t>根据《中华人民共和国政府采购法》、《中华人民共和国中小企业促进法》及《政府采购促进中小企业发展管理办法》，政府采购服务项目应当执行中小企业扶持政策。招标人根据主管预算单位统筹制定的面向中小企业预留采购份额的具体方案，对适宜由中小企业提供的工程项目和标段，预留采购份额专门面向中小企业采购。如属于预留份额专门面向中小企业采购的政府采购服务项目，招标人应当在招标公告的投标人资格要求中明确。</w:t>
      </w:r>
    </w:p>
    <w:p w14:paraId="0BB7DC0C">
      <w:pPr>
        <w:spacing w:line="360" w:lineRule="auto"/>
        <w:ind w:firstLine="422" w:firstLineChars="200"/>
        <w:rPr>
          <w:rFonts w:ascii="宋体" w:hAnsi="宋体"/>
          <w:color w:val="auto"/>
          <w:szCs w:val="21"/>
          <w:highlight w:val="none"/>
        </w:rPr>
      </w:pPr>
      <w:r>
        <w:rPr>
          <w:rFonts w:hint="eastAsia" w:ascii="楷体_GB2312" w:hAnsi="宋体" w:eastAsia="楷体_GB2312"/>
          <w:b/>
          <w:color w:val="auto"/>
          <w:szCs w:val="21"/>
          <w:highlight w:val="none"/>
        </w:rPr>
        <w:t>（四）技术成果经济补偿。</w:t>
      </w:r>
      <w:r>
        <w:rPr>
          <w:rFonts w:hint="eastAsia" w:ascii="宋体" w:hAnsi="宋体"/>
          <w:color w:val="auto"/>
          <w:szCs w:val="21"/>
          <w:highlight w:val="none"/>
        </w:rPr>
        <w:t>招标人应在招标公告中明确对未中标人投标文件中的技术成果是否给予经济补偿以及补偿的标准。若投标人数量过多，招标人可以约定根据评标委员会对投标文件中提供的技术成果评分高低排序对一定数量的投标人进行补偿，也可以约定给予技术成果评分达到评分办法规定合格标准的投标人进行补偿，而其他投标人的技术成果不予以补偿。</w:t>
      </w:r>
    </w:p>
    <w:p w14:paraId="400E32B7">
      <w:pPr>
        <w:spacing w:line="360" w:lineRule="auto"/>
        <w:ind w:firstLine="422" w:firstLineChars="200"/>
        <w:rPr>
          <w:rFonts w:ascii="宋体" w:hAnsi="宋体"/>
          <w:color w:val="auto"/>
          <w:szCs w:val="21"/>
          <w:highlight w:val="none"/>
        </w:rPr>
      </w:pPr>
      <w:r>
        <w:rPr>
          <w:rFonts w:hint="eastAsia" w:ascii="楷体_GB2312" w:hAnsi="宋体" w:eastAsia="楷体_GB2312"/>
          <w:b/>
          <w:color w:val="auto"/>
          <w:szCs w:val="21"/>
          <w:highlight w:val="none"/>
        </w:rPr>
        <w:t>（五）交易中心。</w:t>
      </w:r>
      <w:r>
        <w:rPr>
          <w:rFonts w:hint="eastAsia" w:ascii="宋体" w:hAnsi="宋体"/>
          <w:color w:val="auto"/>
          <w:szCs w:val="21"/>
          <w:highlight w:val="none"/>
        </w:rPr>
        <w:t>指当地政府批准设立的公共资源交易中心。</w:t>
      </w:r>
    </w:p>
    <w:p w14:paraId="54A9A47B">
      <w:pPr>
        <w:spacing w:line="360" w:lineRule="auto"/>
        <w:ind w:firstLine="422" w:firstLineChars="200"/>
        <w:rPr>
          <w:rFonts w:ascii="宋体"/>
          <w:color w:val="auto"/>
          <w:highlight w:val="none"/>
        </w:rPr>
      </w:pPr>
      <w:r>
        <w:rPr>
          <w:rFonts w:hint="eastAsia" w:ascii="楷体_GB2312" w:hAnsi="宋体" w:eastAsia="楷体_GB2312" w:cs="楷体_GB2312"/>
          <w:b/>
          <w:bCs/>
          <w:color w:val="auto"/>
          <w:highlight w:val="none"/>
        </w:rPr>
        <w:t>（六）发布媒介。</w:t>
      </w:r>
      <w:r>
        <w:rPr>
          <w:rFonts w:hint="eastAsia" w:ascii="仿宋_GB2312" w:hAnsi="宋体" w:cs="宋体"/>
          <w:color w:val="auto"/>
          <w:highlight w:val="none"/>
        </w:rPr>
        <w:t>依法必须进行招标的工程项目的招标公告应在国务院发展改革部门依法指定的媒介发布。招标公告应注明发布所在的所有媒介名称。</w:t>
      </w:r>
    </w:p>
    <w:p w14:paraId="2755B855">
      <w:pPr>
        <w:spacing w:line="360" w:lineRule="auto"/>
        <w:ind w:firstLine="422" w:firstLineChars="200"/>
        <w:rPr>
          <w:rFonts w:ascii="宋体" w:hAnsi="宋体"/>
          <w:color w:val="auto"/>
          <w:szCs w:val="21"/>
          <w:highlight w:val="none"/>
        </w:rPr>
      </w:pPr>
      <w:r>
        <w:rPr>
          <w:rFonts w:hint="eastAsia" w:ascii="楷体_GB2312" w:hAnsi="宋体" w:eastAsia="楷体_GB2312"/>
          <w:b/>
          <w:color w:val="auto"/>
          <w:szCs w:val="21"/>
          <w:highlight w:val="none"/>
        </w:rPr>
        <w:t>（七）其他。</w:t>
      </w:r>
      <w:r>
        <w:rPr>
          <w:rFonts w:hint="eastAsia" w:ascii="宋体" w:hAnsi="宋体"/>
          <w:color w:val="auto"/>
          <w:szCs w:val="21"/>
          <w:highlight w:val="none"/>
        </w:rPr>
        <w:t>招标人按照本范本格式发布招标公告或发出投标邀请书后，应将实际发布的招标公告或实际发出的投标邀请书编入出售的招标文件中，作为投标邀请。</w:t>
      </w:r>
    </w:p>
    <w:p w14:paraId="4A26EC34">
      <w:pPr>
        <w:spacing w:line="360" w:lineRule="auto"/>
        <w:ind w:firstLine="420" w:firstLineChars="200"/>
        <w:rPr>
          <w:rFonts w:ascii="黑体" w:hAnsi="宋体" w:eastAsia="黑体"/>
          <w:color w:val="auto"/>
          <w:szCs w:val="21"/>
          <w:highlight w:val="none"/>
        </w:rPr>
      </w:pPr>
      <w:r>
        <w:rPr>
          <w:rFonts w:hint="eastAsia" w:ascii="黑体" w:hAnsi="宋体" w:eastAsia="黑体"/>
          <w:color w:val="auto"/>
          <w:szCs w:val="21"/>
          <w:highlight w:val="none"/>
        </w:rPr>
        <w:t>五、投标人须知有关说明</w:t>
      </w:r>
    </w:p>
    <w:p w14:paraId="1FBE7C4F">
      <w:pPr>
        <w:spacing w:line="360" w:lineRule="auto"/>
        <w:ind w:firstLine="422" w:firstLineChars="200"/>
        <w:rPr>
          <w:rFonts w:ascii="宋体" w:hAnsi="宋体"/>
          <w:color w:val="auto"/>
          <w:szCs w:val="21"/>
          <w:highlight w:val="none"/>
        </w:rPr>
      </w:pPr>
      <w:r>
        <w:rPr>
          <w:rFonts w:hint="eastAsia" w:ascii="楷体_GB2312" w:hAnsi="宋体" w:eastAsia="楷体_GB2312"/>
          <w:b/>
          <w:color w:val="auto"/>
          <w:szCs w:val="21"/>
          <w:highlight w:val="none"/>
        </w:rPr>
        <w:t>（一）投标保证金。</w:t>
      </w:r>
      <w:r>
        <w:rPr>
          <w:rFonts w:hint="eastAsia" w:ascii="宋体" w:hAnsi="宋体"/>
          <w:color w:val="auto"/>
          <w:szCs w:val="21"/>
          <w:highlight w:val="none"/>
        </w:rPr>
        <w:t>可以采用银行保函、</w:t>
      </w:r>
      <w:r>
        <w:rPr>
          <w:rFonts w:hint="eastAsia" w:hAnsi="宋体"/>
          <w:color w:val="auto"/>
          <w:szCs w:val="21"/>
          <w:highlight w:val="none"/>
        </w:rPr>
        <w:t>银行转账、电汇、</w:t>
      </w:r>
      <w:r>
        <w:rPr>
          <w:rFonts w:hint="eastAsia" w:ascii="宋体" w:hAnsi="宋体"/>
          <w:color w:val="auto"/>
          <w:szCs w:val="21"/>
          <w:highlight w:val="none"/>
        </w:rPr>
        <w:t>工程担保、工程保证保险等方式提交，银行保函或担保</w:t>
      </w:r>
      <w:r>
        <w:rPr>
          <w:rFonts w:hint="eastAsia"/>
          <w:color w:val="auto"/>
          <w:szCs w:val="21"/>
          <w:highlight w:val="none"/>
        </w:rPr>
        <w:t>必须是无条件银行保函或担保，保函有效期不得低于投标有效期。</w:t>
      </w:r>
      <w:r>
        <w:rPr>
          <w:rFonts w:hint="eastAsia" w:ascii="宋体" w:hAnsi="宋体"/>
          <w:color w:val="auto"/>
          <w:szCs w:val="21"/>
          <w:highlight w:val="none"/>
        </w:rPr>
        <w:t>采用现金形式的应通过基本账户转账方式交纳，</w:t>
      </w:r>
      <w:r>
        <w:rPr>
          <w:rFonts w:ascii="宋体" w:hAnsi="宋体"/>
          <w:color w:val="auto"/>
          <w:szCs w:val="21"/>
          <w:highlight w:val="none"/>
        </w:rPr>
        <w:t>禁止采用现金现场交纳方式。</w:t>
      </w:r>
      <w:r>
        <w:rPr>
          <w:rFonts w:hint="eastAsia" w:ascii="宋体" w:hAnsi="宋体"/>
          <w:color w:val="auto"/>
          <w:szCs w:val="21"/>
          <w:highlight w:val="none"/>
        </w:rPr>
        <w:t>严禁招标人要求投标人只能以现金方式提交保证金的行为。</w:t>
      </w:r>
      <w:r>
        <w:rPr>
          <w:rFonts w:cs="宋体"/>
          <w:color w:val="auto"/>
          <w:highlight w:val="none"/>
        </w:rPr>
        <w:t>鼓励</w:t>
      </w:r>
      <w:r>
        <w:rPr>
          <w:rFonts w:hint="eastAsia" w:cs="宋体"/>
          <w:color w:val="auto"/>
          <w:highlight w:val="none"/>
        </w:rPr>
        <w:t>采</w:t>
      </w:r>
      <w:r>
        <w:rPr>
          <w:rFonts w:cs="宋体"/>
          <w:color w:val="auto"/>
          <w:highlight w:val="none"/>
        </w:rPr>
        <w:t>用电子保函形式</w:t>
      </w:r>
      <w:r>
        <w:rPr>
          <w:rFonts w:hint="eastAsia" w:cs="宋体"/>
          <w:color w:val="auto"/>
          <w:highlight w:val="none"/>
        </w:rPr>
        <w:t>。</w:t>
      </w:r>
    </w:p>
    <w:p w14:paraId="753EA969">
      <w:pPr>
        <w:spacing w:line="360" w:lineRule="auto"/>
        <w:ind w:firstLine="422" w:firstLineChars="200"/>
        <w:rPr>
          <w:rFonts w:ascii="宋体" w:hAnsi="宋体"/>
          <w:color w:val="auto"/>
          <w:szCs w:val="21"/>
          <w:highlight w:val="none"/>
        </w:rPr>
      </w:pPr>
      <w:r>
        <w:rPr>
          <w:rFonts w:hint="eastAsia" w:ascii="楷体_GB2312" w:hAnsi="宋体" w:eastAsia="楷体_GB2312"/>
          <w:b/>
          <w:color w:val="auto"/>
          <w:szCs w:val="21"/>
          <w:highlight w:val="none"/>
        </w:rPr>
        <w:t>（二）招标代理服务费的计算与收取。</w:t>
      </w:r>
      <w:r>
        <w:rPr>
          <w:rFonts w:hint="eastAsia" w:ascii="宋体" w:hAnsi="宋体"/>
          <w:color w:val="auto"/>
          <w:szCs w:val="21"/>
          <w:highlight w:val="none"/>
        </w:rPr>
        <w:t>国有投资和使用国有资金的项目在建设项目费用组成中已包含招标代理服务费的，该项费用应由招标人支付；其余项目可由招标人和招标代理机构确定，但应在招标文件中明确。</w:t>
      </w:r>
    </w:p>
    <w:p w14:paraId="67B0DFFB">
      <w:pPr>
        <w:spacing w:line="360" w:lineRule="auto"/>
        <w:ind w:firstLine="422" w:firstLineChars="200"/>
        <w:rPr>
          <w:rFonts w:ascii="宋体" w:hAnsi="宋体"/>
          <w:color w:val="auto"/>
          <w:szCs w:val="21"/>
          <w:highlight w:val="none"/>
        </w:rPr>
      </w:pPr>
      <w:r>
        <w:rPr>
          <w:rFonts w:hint="eastAsia" w:ascii="楷体_GB2312" w:hAnsi="宋体" w:eastAsia="楷体_GB2312"/>
          <w:b/>
          <w:color w:val="auto"/>
          <w:szCs w:val="21"/>
          <w:highlight w:val="none"/>
        </w:rPr>
        <w:t>（三）需要提供的财务状况、类似工程业绩年份一般为近三年</w:t>
      </w:r>
      <w:r>
        <w:rPr>
          <w:rFonts w:hint="eastAsia" w:ascii="宋体" w:hAnsi="宋体"/>
          <w:color w:val="auto"/>
          <w:szCs w:val="21"/>
          <w:highlight w:val="none"/>
        </w:rPr>
        <w:t>。</w:t>
      </w:r>
    </w:p>
    <w:p w14:paraId="1C91D748">
      <w:pPr>
        <w:spacing w:line="360" w:lineRule="auto"/>
        <w:ind w:firstLine="420" w:firstLineChars="200"/>
        <w:rPr>
          <w:rFonts w:ascii="黑体" w:hAnsi="宋体" w:eastAsia="黑体"/>
          <w:color w:val="auto"/>
          <w:szCs w:val="21"/>
          <w:highlight w:val="none"/>
        </w:rPr>
      </w:pPr>
      <w:r>
        <w:rPr>
          <w:rFonts w:hint="eastAsia" w:ascii="黑体" w:hAnsi="宋体" w:eastAsia="黑体"/>
          <w:color w:val="auto"/>
          <w:szCs w:val="21"/>
          <w:highlight w:val="none"/>
        </w:rPr>
        <w:t>六、评标办法有关说明</w:t>
      </w:r>
    </w:p>
    <w:p w14:paraId="5F15E14E">
      <w:pPr>
        <w:spacing w:line="360" w:lineRule="auto"/>
        <w:ind w:firstLine="422" w:firstLineChars="200"/>
        <w:rPr>
          <w:rFonts w:ascii="宋体" w:hAnsi="宋体"/>
          <w:color w:val="auto"/>
          <w:szCs w:val="21"/>
          <w:highlight w:val="none"/>
        </w:rPr>
      </w:pPr>
      <w:r>
        <w:rPr>
          <w:rFonts w:hint="eastAsia" w:ascii="楷体_GB2312" w:hAnsi="宋体" w:eastAsia="楷体_GB2312"/>
          <w:b/>
          <w:color w:val="auto"/>
          <w:szCs w:val="21"/>
          <w:highlight w:val="none"/>
        </w:rPr>
        <w:t>（一）评标办法的选择。</w:t>
      </w:r>
      <w:r>
        <w:rPr>
          <w:rFonts w:hint="eastAsia" w:ascii="宋体" w:hAnsi="宋体"/>
          <w:color w:val="auto"/>
          <w:szCs w:val="21"/>
          <w:highlight w:val="none"/>
        </w:rPr>
        <w:t>《设计公开招标文件范本（2</w:t>
      </w:r>
      <w:r>
        <w:rPr>
          <w:rFonts w:ascii="宋体" w:hAnsi="宋体"/>
          <w:color w:val="auto"/>
          <w:szCs w:val="21"/>
          <w:highlight w:val="none"/>
        </w:rPr>
        <w:t>02</w:t>
      </w:r>
      <w:r>
        <w:rPr>
          <w:rFonts w:hint="eastAsia" w:ascii="宋体" w:hAnsi="宋体"/>
          <w:color w:val="auto"/>
          <w:szCs w:val="21"/>
          <w:highlight w:val="none"/>
        </w:rPr>
        <w:t>2年</w:t>
      </w:r>
      <w:r>
        <w:rPr>
          <w:rFonts w:ascii="宋体" w:hAnsi="宋体"/>
          <w:color w:val="auto"/>
          <w:szCs w:val="21"/>
          <w:highlight w:val="none"/>
        </w:rPr>
        <w:t>版</w:t>
      </w:r>
      <w:r>
        <w:rPr>
          <w:rFonts w:hint="eastAsia" w:ascii="宋体" w:hAnsi="宋体"/>
          <w:color w:val="auto"/>
          <w:szCs w:val="21"/>
          <w:highlight w:val="none"/>
        </w:rPr>
        <w:t>）》列出了</w:t>
      </w:r>
      <w:r>
        <w:rPr>
          <w:color w:val="auto"/>
          <w:szCs w:val="32"/>
          <w:highlight w:val="none"/>
        </w:rPr>
        <w:t>综合评估法</w:t>
      </w:r>
      <w:r>
        <w:rPr>
          <w:rFonts w:hint="eastAsia"/>
          <w:color w:val="auto"/>
          <w:szCs w:val="32"/>
          <w:highlight w:val="none"/>
        </w:rPr>
        <w:t>（设计方案招标）和</w:t>
      </w:r>
      <w:r>
        <w:rPr>
          <w:rFonts w:hint="eastAsia" w:ascii="宋体" w:hAnsi="宋体"/>
          <w:color w:val="auto"/>
          <w:szCs w:val="21"/>
          <w:highlight w:val="none"/>
        </w:rPr>
        <w:t>综合评估法（设计团队招标）两种</w:t>
      </w:r>
      <w:r>
        <w:rPr>
          <w:rFonts w:ascii="宋体" w:hAnsi="宋体"/>
          <w:color w:val="auto"/>
          <w:szCs w:val="21"/>
          <w:highlight w:val="none"/>
        </w:rPr>
        <w:t>评标</w:t>
      </w:r>
      <w:r>
        <w:rPr>
          <w:rFonts w:hint="eastAsia" w:ascii="宋体" w:hAnsi="宋体"/>
          <w:color w:val="auto"/>
          <w:szCs w:val="21"/>
          <w:highlight w:val="none"/>
        </w:rPr>
        <w:t>办</w:t>
      </w:r>
      <w:r>
        <w:rPr>
          <w:rFonts w:ascii="宋体" w:hAnsi="宋体"/>
          <w:color w:val="auto"/>
          <w:szCs w:val="21"/>
          <w:highlight w:val="none"/>
        </w:rPr>
        <w:t>法，供招标人根据招标项目具体特点和实际需要选择使用</w:t>
      </w:r>
      <w:r>
        <w:rPr>
          <w:rFonts w:hint="eastAsia" w:ascii="宋体" w:hAnsi="宋体"/>
          <w:color w:val="auto"/>
          <w:szCs w:val="21"/>
          <w:highlight w:val="none"/>
        </w:rPr>
        <w:t>。</w:t>
      </w:r>
    </w:p>
    <w:p w14:paraId="116122F3">
      <w:pPr>
        <w:spacing w:line="360" w:lineRule="auto"/>
        <w:ind w:firstLine="422" w:firstLineChars="200"/>
        <w:rPr>
          <w:rFonts w:ascii="楷体_GB2312" w:hAnsi="宋体" w:eastAsia="楷体_GB2312"/>
          <w:b/>
          <w:color w:val="auto"/>
          <w:szCs w:val="21"/>
          <w:highlight w:val="none"/>
        </w:rPr>
      </w:pPr>
      <w:r>
        <w:rPr>
          <w:rFonts w:hint="eastAsia" w:ascii="楷体_GB2312" w:hAnsi="宋体" w:eastAsia="楷体_GB2312"/>
          <w:b/>
          <w:color w:val="auto"/>
          <w:szCs w:val="21"/>
          <w:highlight w:val="none"/>
        </w:rPr>
        <w:t>（二）中小企业价格评审优惠（适用于政府采购服务项目）</w:t>
      </w:r>
    </w:p>
    <w:p w14:paraId="0B7EDFEF">
      <w:pPr>
        <w:spacing w:line="360" w:lineRule="auto"/>
        <w:ind w:firstLine="420" w:firstLineChars="200"/>
        <w:rPr>
          <w:rFonts w:ascii="宋体" w:hAnsi="宋体" w:cs="宋体"/>
          <w:color w:val="auto"/>
          <w:highlight w:val="none"/>
        </w:rPr>
      </w:pPr>
      <w:r>
        <w:rPr>
          <w:rFonts w:ascii="Sweetie" w:hAnsi="Sweetie"/>
          <w:color w:val="auto"/>
          <w:highlight w:val="none"/>
          <w:shd w:val="clear" w:color="auto" w:fill="FFFFFF"/>
        </w:rPr>
        <w:t>对于经主管预算单位统筹后未预留份额专门面向中小企业采购的</w:t>
      </w:r>
      <w:r>
        <w:rPr>
          <w:rFonts w:hint="eastAsia" w:ascii="Sweetie" w:hAnsi="Sweetie"/>
          <w:color w:val="auto"/>
          <w:highlight w:val="none"/>
          <w:shd w:val="clear" w:color="auto" w:fill="FFFFFF"/>
        </w:rPr>
        <w:t>招标</w:t>
      </w:r>
      <w:r>
        <w:rPr>
          <w:rFonts w:ascii="Sweetie" w:hAnsi="Sweetie"/>
          <w:color w:val="auto"/>
          <w:highlight w:val="none"/>
          <w:shd w:val="clear" w:color="auto" w:fill="FFFFFF"/>
        </w:rPr>
        <w:t>项目，以及预留份额项目中的非预留部分</w:t>
      </w:r>
      <w:r>
        <w:rPr>
          <w:rFonts w:hint="eastAsia" w:ascii="Sweetie" w:hAnsi="Sweetie"/>
          <w:color w:val="auto"/>
          <w:highlight w:val="none"/>
          <w:shd w:val="clear" w:color="auto" w:fill="FFFFFF"/>
        </w:rPr>
        <w:t>标段</w:t>
      </w:r>
      <w:r>
        <w:rPr>
          <w:rFonts w:ascii="Sweetie" w:hAnsi="Sweetie"/>
          <w:color w:val="auto"/>
          <w:highlight w:val="none"/>
          <w:shd w:val="clear" w:color="auto" w:fill="FFFFFF"/>
        </w:rPr>
        <w:t>，采用综合评估法但未采用低价优先法计算价格分的，评标时应当在采用原报价进行评分的基础上增加其价格得</w:t>
      </w:r>
      <w:r>
        <w:rPr>
          <w:rFonts w:ascii="宋体" w:hAnsi="宋体"/>
          <w:color w:val="auto"/>
          <w:highlight w:val="none"/>
          <w:shd w:val="clear" w:color="auto" w:fill="FFFFFF"/>
        </w:rPr>
        <w:t>分的3%</w:t>
      </w:r>
      <w:r>
        <w:rPr>
          <w:rFonts w:hint="eastAsia" w:ascii="宋体" w:hAnsi="宋体" w:cs="宋体"/>
          <w:color w:val="auto"/>
          <w:highlight w:val="none"/>
        </w:rPr>
        <w:t>—</w:t>
      </w:r>
      <w:r>
        <w:rPr>
          <w:rFonts w:ascii="宋体" w:hAnsi="宋体"/>
          <w:color w:val="auto"/>
          <w:highlight w:val="none"/>
          <w:shd w:val="clear" w:color="auto" w:fill="FFFFFF"/>
        </w:rPr>
        <w:t>5%作为</w:t>
      </w:r>
      <w:r>
        <w:rPr>
          <w:rFonts w:ascii="Sweetie" w:hAnsi="Sweetie"/>
          <w:color w:val="auto"/>
          <w:highlight w:val="none"/>
          <w:shd w:val="clear" w:color="auto" w:fill="FFFFFF"/>
        </w:rPr>
        <w:t>其价格分。</w:t>
      </w:r>
      <w:r>
        <w:rPr>
          <w:rFonts w:hint="eastAsia" w:ascii="Sweetie" w:hAnsi="Sweetie"/>
          <w:color w:val="auto"/>
          <w:highlight w:val="none"/>
          <w:shd w:val="clear" w:color="auto" w:fill="FFFFFF"/>
        </w:rPr>
        <w:t>小微企业价格分即使是满分也应当享受政策优惠，再给予加分。</w:t>
      </w:r>
    </w:p>
    <w:p w14:paraId="342FB37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接受大中型企业与小微企业组成联合体或者允许大中型企业向一家或者多家小微企业分包的招标项目，对于联合协议或者分包意向协议约定小微企业的合同份额占到合同总金额30%以上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33A3C1B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价格扣除比例或者价格分加分比例对小型企业和微型企业同等对待，不作区分。具体招标项目的价格扣除比例或者价格分加分比例，由招标人根据招标标的相关行业平均利润率、市场竞争状况等，在规定的幅度内确定。</w:t>
      </w:r>
    </w:p>
    <w:p w14:paraId="6723D6AE">
      <w:pPr>
        <w:spacing w:line="360" w:lineRule="auto"/>
        <w:ind w:firstLine="422" w:firstLineChars="200"/>
        <w:rPr>
          <w:rFonts w:ascii="宋体" w:hAnsi="宋体"/>
          <w:color w:val="auto"/>
          <w:szCs w:val="21"/>
          <w:highlight w:val="none"/>
        </w:rPr>
      </w:pPr>
      <w:r>
        <w:rPr>
          <w:rFonts w:hint="eastAsia" w:ascii="楷体_GB2312" w:hAnsi="宋体" w:eastAsia="楷体_GB2312"/>
          <w:b/>
          <w:color w:val="auto"/>
          <w:szCs w:val="21"/>
          <w:highlight w:val="none"/>
        </w:rPr>
        <w:t>（三）“评标办法”前附表。</w:t>
      </w:r>
      <w:r>
        <w:rPr>
          <w:rFonts w:hint="eastAsia" w:ascii="宋体" w:hAnsi="宋体"/>
          <w:color w:val="auto"/>
          <w:szCs w:val="21"/>
          <w:highlight w:val="none"/>
        </w:rPr>
        <w:t>“评标办法”前附表应列明全部评审因素和评审标准，并在本章前附表标明投标人不满足要求即否决其投标的全部条款。“评标办法”前附表中技术标及商务标评审标准、细化分值、评分子项目，由招标人根据招标工程的特点及要求确定；已确定的评分项目、分值和权重，招标人不得修改或调整。</w:t>
      </w:r>
    </w:p>
    <w:p w14:paraId="132DF0DE">
      <w:pPr>
        <w:tabs>
          <w:tab w:val="left" w:pos="1080"/>
        </w:tabs>
        <w:spacing w:line="360" w:lineRule="auto"/>
        <w:ind w:firstLine="422" w:firstLineChars="200"/>
        <w:rPr>
          <w:rFonts w:ascii="宋体" w:hAnsi="宋体" w:cs="宋体"/>
          <w:color w:val="auto"/>
          <w:highlight w:val="none"/>
        </w:rPr>
      </w:pPr>
      <w:r>
        <w:rPr>
          <w:rFonts w:hint="eastAsia" w:ascii="楷体_GB2312" w:hAnsi="宋体" w:eastAsia="楷体_GB2312"/>
          <w:b/>
          <w:color w:val="auto"/>
          <w:szCs w:val="21"/>
          <w:highlight w:val="none"/>
        </w:rPr>
        <w:t>（四）评标过程用表。</w:t>
      </w:r>
      <w:r>
        <w:rPr>
          <w:rFonts w:hint="eastAsia" w:ascii="宋体" w:hAnsi="宋体"/>
          <w:color w:val="auto"/>
          <w:szCs w:val="21"/>
          <w:highlight w:val="none"/>
        </w:rPr>
        <w:t>《设计公开招标文件范本（2</w:t>
      </w:r>
      <w:r>
        <w:rPr>
          <w:rFonts w:ascii="宋体" w:hAnsi="宋体"/>
          <w:color w:val="auto"/>
          <w:szCs w:val="21"/>
          <w:highlight w:val="none"/>
        </w:rPr>
        <w:t>02</w:t>
      </w:r>
      <w:r>
        <w:rPr>
          <w:rFonts w:hint="eastAsia" w:ascii="宋体" w:hAnsi="宋体"/>
          <w:color w:val="auto"/>
          <w:szCs w:val="21"/>
          <w:highlight w:val="none"/>
        </w:rPr>
        <w:t>2年</w:t>
      </w:r>
      <w:r>
        <w:rPr>
          <w:rFonts w:ascii="宋体" w:hAnsi="宋体"/>
          <w:color w:val="auto"/>
          <w:szCs w:val="21"/>
          <w:highlight w:val="none"/>
        </w:rPr>
        <w:t>版</w:t>
      </w:r>
      <w:r>
        <w:rPr>
          <w:rFonts w:hint="eastAsia" w:ascii="宋体" w:hAnsi="宋体"/>
          <w:color w:val="auto"/>
          <w:szCs w:val="21"/>
          <w:highlight w:val="none"/>
        </w:rPr>
        <w:t>）》列出了评标过程用表式样，各地可根据需要适当修改。</w:t>
      </w:r>
      <w:r>
        <w:rPr>
          <w:rFonts w:hint="eastAsia" w:ascii="宋体" w:hAnsi="宋体" w:cs="宋体"/>
          <w:color w:val="auto"/>
          <w:highlight w:val="none"/>
        </w:rPr>
        <w:t>但《中标候选人公示》和《中标通知书》格式原则上不得修改。</w:t>
      </w:r>
    </w:p>
    <w:p w14:paraId="394D9C1F">
      <w:pPr>
        <w:tabs>
          <w:tab w:val="left" w:pos="1080"/>
        </w:tabs>
        <w:spacing w:line="360" w:lineRule="auto"/>
        <w:ind w:firstLine="422" w:firstLineChars="200"/>
        <w:rPr>
          <w:rFonts w:ascii="宋体"/>
          <w:color w:val="auto"/>
          <w:highlight w:val="none"/>
        </w:rPr>
      </w:pPr>
      <w:r>
        <w:rPr>
          <w:rFonts w:hint="eastAsia" w:ascii="楷体_GB2312" w:hAnsi="宋体" w:eastAsia="楷体_GB2312" w:cs="楷体_GB2312"/>
          <w:b/>
          <w:bCs/>
          <w:color w:val="auto"/>
          <w:highlight w:val="none"/>
        </w:rPr>
        <w:t>（五）否决投标条件。</w:t>
      </w:r>
      <w:r>
        <w:rPr>
          <w:rFonts w:hint="eastAsia" w:ascii="宋体" w:hAnsi="宋体" w:cs="宋体"/>
          <w:color w:val="auto"/>
          <w:highlight w:val="none"/>
        </w:rPr>
        <w:t>《</w:t>
      </w:r>
      <w:r>
        <w:rPr>
          <w:rFonts w:hint="eastAsia" w:ascii="宋体" w:hAnsi="宋体"/>
          <w:color w:val="auto"/>
          <w:szCs w:val="21"/>
          <w:highlight w:val="none"/>
        </w:rPr>
        <w:t>设计公开招标文件范本（2</w:t>
      </w:r>
      <w:r>
        <w:rPr>
          <w:rFonts w:ascii="宋体" w:hAnsi="宋体"/>
          <w:color w:val="auto"/>
          <w:szCs w:val="21"/>
          <w:highlight w:val="none"/>
        </w:rPr>
        <w:t>02</w:t>
      </w:r>
      <w:r>
        <w:rPr>
          <w:rFonts w:hint="eastAsia" w:ascii="宋体" w:hAnsi="宋体"/>
          <w:color w:val="auto"/>
          <w:szCs w:val="21"/>
          <w:highlight w:val="none"/>
        </w:rPr>
        <w:t>2年</w:t>
      </w:r>
      <w:r>
        <w:rPr>
          <w:rFonts w:ascii="宋体" w:hAnsi="宋体"/>
          <w:color w:val="auto"/>
          <w:szCs w:val="21"/>
          <w:highlight w:val="none"/>
        </w:rPr>
        <w:t>版</w:t>
      </w:r>
      <w:r>
        <w:rPr>
          <w:rFonts w:hint="eastAsia" w:ascii="宋体" w:hAnsi="宋体"/>
          <w:color w:val="auto"/>
          <w:szCs w:val="21"/>
          <w:highlight w:val="none"/>
        </w:rPr>
        <w:t>）</w:t>
      </w:r>
      <w:r>
        <w:rPr>
          <w:rFonts w:hint="eastAsia" w:ascii="宋体" w:hAnsi="宋体" w:cs="宋体"/>
          <w:color w:val="auto"/>
          <w:highlight w:val="none"/>
        </w:rPr>
        <w:t>》附录</w:t>
      </w:r>
      <w:r>
        <w:rPr>
          <w:rFonts w:ascii="宋体" w:hAnsi="宋体" w:cs="宋体"/>
          <w:color w:val="auto"/>
          <w:highlight w:val="none"/>
        </w:rPr>
        <w:t>B</w:t>
      </w:r>
      <w:r>
        <w:rPr>
          <w:rFonts w:hint="eastAsia" w:ascii="宋体" w:hAnsi="宋体" w:cs="宋体"/>
          <w:color w:val="auto"/>
          <w:highlight w:val="none"/>
        </w:rPr>
        <w:t>详细列出了否决投标条件。否决性条款应当明确，易于判断，不可含有评标委员会难以界定的条款。</w:t>
      </w:r>
    </w:p>
    <w:p w14:paraId="241DD5F5">
      <w:pPr>
        <w:tabs>
          <w:tab w:val="left" w:pos="1080"/>
        </w:tabs>
        <w:spacing w:line="360" w:lineRule="auto"/>
        <w:ind w:firstLine="422" w:firstLineChars="200"/>
        <w:rPr>
          <w:rFonts w:ascii="宋体" w:hAnsi="宋体"/>
          <w:color w:val="auto"/>
          <w:szCs w:val="21"/>
          <w:highlight w:val="none"/>
        </w:rPr>
      </w:pPr>
      <w:r>
        <w:rPr>
          <w:rFonts w:hint="eastAsia" w:ascii="楷体_GB2312" w:hAnsi="宋体" w:eastAsia="楷体_GB2312"/>
          <w:b/>
          <w:color w:val="auto"/>
          <w:szCs w:val="21"/>
          <w:highlight w:val="none"/>
        </w:rPr>
        <w:t>（六）投标文件的澄清、说明和补正。</w:t>
      </w:r>
      <w:r>
        <w:rPr>
          <w:rFonts w:ascii="宋体" w:hAnsi="宋体"/>
          <w:color w:val="auto"/>
          <w:szCs w:val="21"/>
          <w:highlight w:val="none"/>
        </w:rPr>
        <w:t>评标委员会对投标文件中不明确之处，可以书面形式要求</w:t>
      </w:r>
      <w:r>
        <w:rPr>
          <w:rFonts w:hint="eastAsia" w:ascii="宋体" w:hAnsi="宋体"/>
          <w:color w:val="auto"/>
          <w:szCs w:val="21"/>
          <w:highlight w:val="none"/>
        </w:rPr>
        <w:t>投标</w:t>
      </w:r>
      <w:r>
        <w:rPr>
          <w:rFonts w:ascii="宋体" w:hAnsi="宋体"/>
          <w:color w:val="auto"/>
          <w:szCs w:val="21"/>
          <w:highlight w:val="none"/>
        </w:rPr>
        <w:t>人进行澄清</w:t>
      </w:r>
      <w:r>
        <w:rPr>
          <w:rFonts w:hint="eastAsia" w:ascii="宋体" w:hAnsi="宋体"/>
          <w:color w:val="auto"/>
          <w:szCs w:val="21"/>
          <w:highlight w:val="none"/>
        </w:rPr>
        <w:t>、说明和补正</w:t>
      </w:r>
      <w:r>
        <w:rPr>
          <w:rFonts w:ascii="宋体" w:hAnsi="宋体"/>
          <w:color w:val="auto"/>
          <w:szCs w:val="21"/>
          <w:highlight w:val="none"/>
        </w:rPr>
        <w:t>，但不应</w:t>
      </w:r>
      <w:r>
        <w:rPr>
          <w:rFonts w:hint="eastAsia" w:ascii="宋体" w:hAnsi="宋体"/>
          <w:color w:val="auto"/>
          <w:szCs w:val="21"/>
          <w:highlight w:val="none"/>
        </w:rPr>
        <w:t>以投标文件存在不明确之处</w:t>
      </w:r>
      <w:r>
        <w:rPr>
          <w:rFonts w:ascii="宋体" w:hAnsi="宋体"/>
          <w:color w:val="auto"/>
          <w:szCs w:val="21"/>
          <w:highlight w:val="none"/>
        </w:rPr>
        <w:t>作为评审不通过的理由。如投标人不按照</w:t>
      </w:r>
      <w:r>
        <w:rPr>
          <w:rFonts w:hint="eastAsia" w:ascii="宋体" w:hAnsi="宋体"/>
          <w:color w:val="auto"/>
          <w:szCs w:val="21"/>
          <w:highlight w:val="none"/>
        </w:rPr>
        <w:t>评标委员会</w:t>
      </w:r>
      <w:r>
        <w:rPr>
          <w:rFonts w:ascii="宋体" w:hAnsi="宋体"/>
          <w:color w:val="auto"/>
          <w:szCs w:val="21"/>
          <w:highlight w:val="none"/>
        </w:rPr>
        <w:t>的要求进行澄清，其评审可不予通过。澄清、说明和补正必须由评标委员会书面提出、投标人书面答复，否则无效。对投标文件进行澄清、说明和补正时来往的书面材料传递，</w:t>
      </w:r>
      <w:r>
        <w:rPr>
          <w:rFonts w:hint="eastAsia" w:ascii="宋体" w:hAnsi="宋体"/>
          <w:color w:val="auto"/>
          <w:szCs w:val="21"/>
          <w:highlight w:val="none"/>
        </w:rPr>
        <w:t>应当</w:t>
      </w:r>
      <w:r>
        <w:rPr>
          <w:rFonts w:ascii="宋体" w:hAnsi="宋体"/>
          <w:color w:val="auto"/>
          <w:szCs w:val="21"/>
          <w:highlight w:val="none"/>
        </w:rPr>
        <w:t>在招投标监督管理部门的监督下，由招标代理机构的</w:t>
      </w:r>
      <w:r>
        <w:rPr>
          <w:rFonts w:hint="eastAsia" w:ascii="宋体" w:hAnsi="宋体"/>
          <w:color w:val="auto"/>
          <w:szCs w:val="21"/>
          <w:highlight w:val="none"/>
        </w:rPr>
        <w:t>招标</w:t>
      </w:r>
      <w:r>
        <w:rPr>
          <w:rFonts w:ascii="宋体" w:hAnsi="宋体"/>
          <w:color w:val="auto"/>
          <w:szCs w:val="21"/>
          <w:highlight w:val="none"/>
        </w:rPr>
        <w:t>代理员或者交易中心的工作人员进行。</w:t>
      </w:r>
    </w:p>
    <w:p w14:paraId="299459EB">
      <w:pPr>
        <w:tabs>
          <w:tab w:val="left" w:pos="1080"/>
        </w:tabs>
        <w:spacing w:line="360" w:lineRule="auto"/>
        <w:ind w:firstLine="422" w:firstLineChars="200"/>
        <w:rPr>
          <w:rFonts w:ascii="宋体" w:hAnsi="宋体" w:cs="宋体"/>
          <w:color w:val="auto"/>
          <w:highlight w:val="none"/>
        </w:rPr>
      </w:pPr>
      <w:r>
        <w:rPr>
          <w:rFonts w:hint="eastAsia" w:ascii="楷体_GB2312" w:hAnsi="宋体" w:eastAsia="楷体_GB2312" w:cs="楷体_GB2312"/>
          <w:b/>
          <w:bCs/>
          <w:color w:val="auto"/>
          <w:highlight w:val="none"/>
        </w:rPr>
        <w:t>（七）对投标文件真实性的查询。</w:t>
      </w:r>
      <w:r>
        <w:rPr>
          <w:rFonts w:hint="eastAsia" w:ascii="宋体" w:hAnsi="宋体" w:cs="宋体"/>
          <w:color w:val="auto"/>
          <w:highlight w:val="none"/>
        </w:rPr>
        <w:t>评标委员会须以录入“桂建云”系统的投标人的资质、营业执照、主要人员资格、信誉等材料为准。若投标人所提供信息与“桂建云”系统上的相关内容不符，不予通过评审。（说明：由投标人对其提供的“桂建云”系统信息真实性负责，一旦发现提供虚假信息将按相关规定进行处罚。）</w:t>
      </w:r>
    </w:p>
    <w:p w14:paraId="07229604">
      <w:pPr>
        <w:spacing w:line="360" w:lineRule="auto"/>
        <w:ind w:firstLine="422" w:firstLineChars="200"/>
        <w:rPr>
          <w:color w:val="auto"/>
          <w:kern w:val="0"/>
          <w:sz w:val="32"/>
          <w:szCs w:val="32"/>
          <w:highlight w:val="none"/>
        </w:rPr>
      </w:pPr>
      <w:r>
        <w:rPr>
          <w:rFonts w:ascii="楷体_GB2312" w:hAnsi="宋体" w:eastAsia="楷体_GB2312" w:cs="楷体_GB2312"/>
          <w:b/>
          <w:bCs/>
          <w:color w:val="auto"/>
          <w:highlight w:val="none"/>
        </w:rPr>
        <w:t>(</w:t>
      </w:r>
      <w:r>
        <w:rPr>
          <w:rFonts w:hint="eastAsia" w:ascii="楷体_GB2312" w:hAnsi="宋体" w:eastAsia="楷体_GB2312" w:cs="楷体_GB2312"/>
          <w:b/>
          <w:bCs/>
          <w:color w:val="auto"/>
          <w:highlight w:val="none"/>
        </w:rPr>
        <w:t>八) 考核期的</w:t>
      </w:r>
      <w:r>
        <w:rPr>
          <w:rFonts w:ascii="楷体_GB2312" w:hAnsi="宋体" w:eastAsia="楷体_GB2312" w:cs="楷体_GB2312"/>
          <w:b/>
          <w:bCs/>
          <w:color w:val="auto"/>
          <w:highlight w:val="none"/>
        </w:rPr>
        <w:t>确定。</w:t>
      </w:r>
      <w:r>
        <w:rPr>
          <w:rFonts w:hint="eastAsia" w:ascii="仿宋_GB2312" w:hAnsi="宋体" w:cs="宋体"/>
          <w:color w:val="auto"/>
          <w:sz w:val="18"/>
          <w:szCs w:val="18"/>
          <w:highlight w:val="none"/>
        </w:rPr>
        <w:t xml:space="preserve"> </w:t>
      </w:r>
      <w:r>
        <w:rPr>
          <w:rFonts w:hint="eastAsia" w:ascii="宋体" w:hAnsi="宋体" w:cs="宋体"/>
          <w:color w:val="auto"/>
          <w:highlight w:val="none"/>
        </w:rPr>
        <w:t>类似工程业绩、奖项的考核期均以方案或初步设计批复文件、施工图审查合格报告落款之日或颁奖文件发布落款之日起至投标截止之日止。</w:t>
      </w:r>
    </w:p>
    <w:p w14:paraId="13C41D8E">
      <w:pPr>
        <w:tabs>
          <w:tab w:val="left" w:pos="1080"/>
        </w:tabs>
        <w:spacing w:line="360" w:lineRule="auto"/>
        <w:ind w:firstLine="420" w:firstLineChars="200"/>
        <w:rPr>
          <w:rFonts w:ascii="黑体" w:hAnsi="宋体" w:eastAsia="黑体"/>
          <w:color w:val="auto"/>
          <w:szCs w:val="21"/>
          <w:highlight w:val="none"/>
        </w:rPr>
      </w:pPr>
      <w:r>
        <w:rPr>
          <w:rFonts w:hint="eastAsia" w:ascii="黑体" w:hAnsi="宋体" w:eastAsia="黑体"/>
          <w:color w:val="auto"/>
          <w:szCs w:val="21"/>
          <w:highlight w:val="none"/>
        </w:rPr>
        <w:t>七、发包人要求有关说明</w:t>
      </w:r>
    </w:p>
    <w:p w14:paraId="5E7D6DED">
      <w:pPr>
        <w:tabs>
          <w:tab w:val="left" w:pos="108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招标人应根据本范本文件、招标项目具体特点和实际需要编制，并与“投标人须知”、“通用合同条款”、“专用合同条款”相衔接。</w:t>
      </w:r>
    </w:p>
    <w:p w14:paraId="103819AB">
      <w:pPr>
        <w:spacing w:line="360" w:lineRule="auto"/>
        <w:ind w:firstLine="420" w:firstLineChars="200"/>
        <w:rPr>
          <w:rFonts w:ascii="黑体" w:hAnsi="宋体" w:eastAsia="黑体"/>
          <w:color w:val="auto"/>
          <w:szCs w:val="21"/>
          <w:highlight w:val="none"/>
        </w:rPr>
      </w:pPr>
      <w:r>
        <w:rPr>
          <w:rFonts w:hint="eastAsia" w:ascii="黑体" w:hAnsi="宋体" w:eastAsia="黑体"/>
          <w:color w:val="auto"/>
          <w:szCs w:val="21"/>
          <w:highlight w:val="none"/>
        </w:rPr>
        <w:t>八、合同条款及格式有关说明</w:t>
      </w:r>
    </w:p>
    <w:p w14:paraId="143E48A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合同通用条款中，房屋建筑工程采用《建设工程设计合同示范文本（房屋建筑工程）》（GF-2015-0209）；市政工程采用《建设工程设计合同示范文本（专业建设工程）》（GF-2015-0210）。</w:t>
      </w:r>
    </w:p>
    <w:p w14:paraId="3B3373F0">
      <w:pPr>
        <w:spacing w:line="360" w:lineRule="auto"/>
        <w:ind w:firstLine="420" w:firstLineChars="200"/>
        <w:rPr>
          <w:rFonts w:ascii="黑体" w:hAnsi="宋体" w:eastAsia="黑体" w:cs="黑体"/>
          <w:color w:val="auto"/>
          <w:highlight w:val="none"/>
        </w:rPr>
      </w:pPr>
      <w:r>
        <w:rPr>
          <w:rFonts w:hint="eastAsia" w:ascii="黑体" w:hAnsi="宋体" w:eastAsia="黑体" w:cs="黑体"/>
          <w:color w:val="auto"/>
          <w:highlight w:val="none"/>
        </w:rPr>
        <w:t>九</w:t>
      </w:r>
      <w:r>
        <w:rPr>
          <w:rFonts w:hint="eastAsia" w:ascii="黑体" w:hAnsi="宋体" w:eastAsia="黑体"/>
          <w:color w:val="auto"/>
          <w:szCs w:val="21"/>
          <w:highlight w:val="none"/>
        </w:rPr>
        <w:t>、扫描件有关说明</w:t>
      </w:r>
    </w:p>
    <w:p w14:paraId="5D0A8BA2">
      <w:pPr>
        <w:tabs>
          <w:tab w:val="left" w:pos="1080"/>
        </w:tabs>
        <w:spacing w:line="360" w:lineRule="auto"/>
        <w:ind w:firstLine="420" w:firstLineChars="200"/>
        <w:rPr>
          <w:rFonts w:ascii="宋体"/>
          <w:color w:val="auto"/>
          <w:highlight w:val="none"/>
        </w:rPr>
      </w:pPr>
      <w:r>
        <w:rPr>
          <w:rFonts w:hint="eastAsia" w:ascii="宋体" w:hAnsi="宋体" w:cs="宋体"/>
          <w:color w:val="auto"/>
          <w:highlight w:val="none"/>
        </w:rPr>
        <w:t>投标文件中所有证明材料的扫描件均取自“</w:t>
      </w:r>
      <w:r>
        <w:rPr>
          <w:rFonts w:ascii="宋体" w:hAnsi="宋体" w:cs="宋体"/>
          <w:color w:val="auto"/>
          <w:highlight w:val="none"/>
        </w:rPr>
        <w:t>桂建云</w:t>
      </w:r>
      <w:r>
        <w:rPr>
          <w:rFonts w:hint="eastAsia" w:ascii="宋体" w:hAnsi="宋体" w:cs="宋体"/>
          <w:color w:val="auto"/>
          <w:highlight w:val="none"/>
        </w:rPr>
        <w:t>”系统，并应为原件的扫描件。</w:t>
      </w:r>
    </w:p>
    <w:p w14:paraId="7A5390F2">
      <w:pPr>
        <w:tabs>
          <w:tab w:val="left" w:pos="1080"/>
        </w:tabs>
        <w:spacing w:line="360" w:lineRule="auto"/>
        <w:ind w:firstLine="420" w:firstLineChars="200"/>
        <w:rPr>
          <w:rFonts w:ascii="黑体" w:hAnsi="宋体" w:eastAsia="黑体"/>
          <w:color w:val="auto"/>
          <w:szCs w:val="21"/>
          <w:highlight w:val="none"/>
        </w:rPr>
      </w:pPr>
      <w:r>
        <w:rPr>
          <w:rFonts w:hint="eastAsia" w:ascii="黑体" w:hAnsi="宋体" w:eastAsia="黑体"/>
          <w:color w:val="auto"/>
          <w:szCs w:val="21"/>
          <w:highlight w:val="none"/>
        </w:rPr>
        <w:t>十、其它说明</w:t>
      </w:r>
    </w:p>
    <w:p w14:paraId="7B073743">
      <w:pPr>
        <w:tabs>
          <w:tab w:val="left" w:pos="1080"/>
        </w:tabs>
        <w:spacing w:line="360" w:lineRule="auto"/>
        <w:ind w:firstLine="420" w:firstLineChars="200"/>
        <w:rPr>
          <w:rFonts w:ascii="宋体" w:hAnsi="宋体"/>
          <w:color w:val="auto"/>
          <w:highlight w:val="none"/>
        </w:rPr>
      </w:pPr>
      <w:r>
        <w:rPr>
          <w:rFonts w:hint="eastAsia" w:ascii="宋体" w:hAnsi="宋体"/>
          <w:color w:val="auto"/>
          <w:highlight w:val="none"/>
        </w:rPr>
        <w:t>（一）根据最高人民法院等9部门《关于在招标投标活动中对失信被执行人实施联合惩戒的通知》（法〔2016〕285号）规定，招标人委托招标代理机构开展招标事宜的，应当通过“信用中国”网站（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47"/>
          <w:rFonts w:hint="eastAsia" w:ascii="宋体" w:hAnsi="宋体"/>
          <w:color w:val="auto"/>
          <w:highlight w:val="none"/>
        </w:rPr>
        <w:t>www.creditchina.gov.cn</w:t>
      </w:r>
      <w:r>
        <w:rPr>
          <w:rStyle w:val="47"/>
          <w:rFonts w:hint="eastAsia" w:ascii="宋体" w:hAnsi="宋体"/>
          <w:color w:val="auto"/>
          <w:highlight w:val="none"/>
        </w:rPr>
        <w:fldChar w:fldCharType="end"/>
      </w:r>
      <w:r>
        <w:rPr>
          <w:rFonts w:hint="eastAsia" w:ascii="宋体" w:hAnsi="宋体"/>
          <w:color w:val="auto"/>
          <w:highlight w:val="none"/>
        </w:rPr>
        <w:t>）查询其失信被执行人信息，鼓励优先选择无失信记录的招标代理机构；依法必须进行招标的工程建设项目，对在评标阶段通过“信用中国”网站（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47"/>
          <w:rFonts w:hint="eastAsia" w:ascii="宋体" w:hAnsi="宋体"/>
          <w:color w:val="auto"/>
          <w:highlight w:val="none"/>
        </w:rPr>
        <w:t>www.creditchina.gov.cn</w:t>
      </w:r>
      <w:r>
        <w:rPr>
          <w:rStyle w:val="47"/>
          <w:rFonts w:hint="eastAsia" w:ascii="宋体" w:hAnsi="宋体"/>
          <w:color w:val="auto"/>
          <w:highlight w:val="none"/>
        </w:rPr>
        <w:fldChar w:fldCharType="end"/>
      </w:r>
      <w:r>
        <w:rPr>
          <w:rFonts w:hint="eastAsia" w:ascii="宋体" w:hAnsi="宋体"/>
          <w:color w:val="auto"/>
          <w:highlight w:val="none"/>
        </w:rPr>
        <w:t>）查询其被列为失信被执行人的投标人（如为联合体时，联合体中有一个或一个以上成员属于失信被执行人的，联合体视为失信被执行人），依法对其投标活动予以限制；不得聘用</w:t>
      </w:r>
      <w:r>
        <w:rPr>
          <w:rFonts w:hint="eastAsia" w:ascii="宋体" w:hAnsi="宋体" w:cs="宋体"/>
          <w:color w:val="auto"/>
          <w:highlight w:val="none"/>
          <w:shd w:val="clear" w:color="auto" w:fill="FFFFFF"/>
        </w:rPr>
        <w:t>评标时期在“信用中国”网站（www.creditchina.gov.cn）中被列为失信被执行人的人员担任评标专家；</w:t>
      </w:r>
      <w:r>
        <w:rPr>
          <w:rFonts w:hint="eastAsia" w:ascii="宋体" w:hAnsi="宋体"/>
          <w:color w:val="auto"/>
          <w:highlight w:val="none"/>
        </w:rPr>
        <w:t>招标人、招标代理机构、有关单位应采取必要方式做好失信被执行人信息查询记录和证据留存。</w:t>
      </w:r>
    </w:p>
    <w:p w14:paraId="488AA4FC">
      <w:pPr>
        <w:tabs>
          <w:tab w:val="left" w:pos="1080"/>
        </w:tabs>
        <w:spacing w:line="360" w:lineRule="auto"/>
        <w:ind w:firstLine="420" w:firstLineChars="200"/>
        <w:rPr>
          <w:rFonts w:ascii="宋体"/>
          <w:color w:val="auto"/>
          <w:highlight w:val="none"/>
        </w:rPr>
      </w:pPr>
      <w:r>
        <w:rPr>
          <w:rFonts w:hint="eastAsia" w:ascii="宋体" w:hAnsi="宋体" w:cs="宋体"/>
          <w:color w:val="auto"/>
          <w:highlight w:val="none"/>
        </w:rPr>
        <w:t>（二）“桂建云”系统</w:t>
      </w:r>
      <w:r>
        <w:rPr>
          <w:rFonts w:hint="eastAsia"/>
          <w:color w:val="auto"/>
          <w:highlight w:val="none"/>
        </w:rPr>
        <w:t>仅包括与房建市政工程有关的施工、监理、检测、设计、招标代理、园林绿化等类型的企业、人员、项目及诚信信息。其他非房建市政类工程项目的招标人不得要求投标人信息以“桂建云”系统信息为准。以下所有“</w:t>
      </w:r>
      <w:r>
        <w:rPr>
          <w:color w:val="auto"/>
          <w:highlight w:val="none"/>
        </w:rPr>
        <w:t>投标人信息以</w:t>
      </w:r>
      <w:r>
        <w:rPr>
          <w:rFonts w:hint="eastAsia"/>
          <w:color w:val="auto"/>
          <w:highlight w:val="none"/>
        </w:rPr>
        <w:t>“桂建云”系统</w:t>
      </w:r>
      <w:r>
        <w:rPr>
          <w:color w:val="auto"/>
          <w:highlight w:val="none"/>
        </w:rPr>
        <w:t>为准</w:t>
      </w:r>
      <w:r>
        <w:rPr>
          <w:rFonts w:hint="eastAsia"/>
          <w:color w:val="auto"/>
          <w:highlight w:val="none"/>
        </w:rPr>
        <w:t>”的表述，均同此说明</w:t>
      </w:r>
      <w:r>
        <w:rPr>
          <w:color w:val="auto"/>
          <w:highlight w:val="none"/>
        </w:rPr>
        <w:t>。</w:t>
      </w:r>
    </w:p>
    <w:p w14:paraId="50240B7C">
      <w:pPr>
        <w:tabs>
          <w:tab w:val="left" w:pos="108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（三）《设计公开招标文件范本（2</w:t>
      </w:r>
      <w:r>
        <w:rPr>
          <w:rFonts w:ascii="宋体" w:hAnsi="宋体"/>
          <w:color w:val="auto"/>
          <w:szCs w:val="21"/>
          <w:highlight w:val="none"/>
        </w:rPr>
        <w:t>02</w:t>
      </w:r>
      <w:r>
        <w:rPr>
          <w:rFonts w:hint="eastAsia" w:ascii="宋体" w:hAnsi="宋体"/>
          <w:color w:val="auto"/>
          <w:szCs w:val="21"/>
          <w:highlight w:val="none"/>
        </w:rPr>
        <w:t>2年</w:t>
      </w:r>
      <w:r>
        <w:rPr>
          <w:rFonts w:ascii="宋体" w:hAnsi="宋体"/>
          <w:color w:val="auto"/>
          <w:szCs w:val="21"/>
          <w:highlight w:val="none"/>
        </w:rPr>
        <w:t>版</w:t>
      </w:r>
      <w:r>
        <w:rPr>
          <w:rFonts w:hint="eastAsia" w:ascii="宋体" w:hAnsi="宋体"/>
          <w:color w:val="auto"/>
          <w:szCs w:val="21"/>
          <w:highlight w:val="none"/>
        </w:rPr>
        <w:t>）》除应符合本“范本”的规定外，尚应符合相关法律法规、规章的规定。</w:t>
      </w:r>
      <w:r>
        <w:rPr>
          <w:rFonts w:ascii="宋体" w:hAnsi="宋体"/>
          <w:color w:val="auto"/>
          <w:szCs w:val="21"/>
          <w:highlight w:val="none"/>
        </w:rPr>
        <w:t>不明确之处由</w:t>
      </w:r>
      <w:r>
        <w:rPr>
          <w:rFonts w:hint="eastAsia" w:ascii="宋体" w:hAnsi="宋体"/>
          <w:color w:val="auto"/>
          <w:szCs w:val="21"/>
          <w:highlight w:val="none"/>
        </w:rPr>
        <w:t>广西壮族自治区住房和城乡建设厅</w:t>
      </w:r>
      <w:r>
        <w:rPr>
          <w:rFonts w:ascii="宋体" w:hAnsi="宋体"/>
          <w:color w:val="auto"/>
          <w:szCs w:val="21"/>
          <w:highlight w:val="none"/>
        </w:rPr>
        <w:t>负责解释</w:t>
      </w:r>
      <w:r>
        <w:rPr>
          <w:rFonts w:hint="eastAsia" w:ascii="宋体" w:hAnsi="宋体"/>
          <w:color w:val="auto"/>
          <w:szCs w:val="21"/>
          <w:highlight w:val="none"/>
        </w:rPr>
        <w:t>，具体工作由广西壮族自治区住房和城乡建设厅勘察设计管理处负责</w:t>
      </w:r>
      <w:r>
        <w:rPr>
          <w:rFonts w:ascii="宋体" w:hAnsi="宋体"/>
          <w:color w:val="auto"/>
          <w:szCs w:val="21"/>
          <w:highlight w:val="none"/>
        </w:rPr>
        <w:t>。</w:t>
      </w:r>
    </w:p>
    <w:p w14:paraId="1A979D2F">
      <w:pPr>
        <w:tabs>
          <w:tab w:val="left" w:pos="108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（四）《设计公开招标文件范本（2</w:t>
      </w:r>
      <w:r>
        <w:rPr>
          <w:rFonts w:ascii="宋体" w:hAnsi="宋体"/>
          <w:color w:val="auto"/>
          <w:szCs w:val="21"/>
          <w:highlight w:val="none"/>
        </w:rPr>
        <w:t>02</w:t>
      </w:r>
      <w:r>
        <w:rPr>
          <w:rFonts w:hint="eastAsia" w:ascii="宋体" w:hAnsi="宋体"/>
          <w:color w:val="auto"/>
          <w:szCs w:val="21"/>
          <w:highlight w:val="none"/>
        </w:rPr>
        <w:t>2年</w:t>
      </w:r>
      <w:r>
        <w:rPr>
          <w:rFonts w:ascii="宋体" w:hAnsi="宋体"/>
          <w:color w:val="auto"/>
          <w:szCs w:val="21"/>
          <w:highlight w:val="none"/>
        </w:rPr>
        <w:t>版</w:t>
      </w:r>
      <w:r>
        <w:rPr>
          <w:rFonts w:hint="eastAsia" w:ascii="宋体" w:hAnsi="宋体"/>
          <w:color w:val="auto"/>
          <w:szCs w:val="21"/>
          <w:highlight w:val="none"/>
        </w:rPr>
        <w:t>）》</w:t>
      </w:r>
      <w:r>
        <w:rPr>
          <w:rFonts w:ascii="宋体" w:hAnsi="宋体"/>
          <w:color w:val="auto"/>
          <w:szCs w:val="21"/>
          <w:highlight w:val="none"/>
        </w:rPr>
        <w:t>将根据实际执行过程中出现的问题及时进行修改。各使用单位或个人对本范本的修改意见和建议，可向</w:t>
      </w:r>
      <w:r>
        <w:rPr>
          <w:rFonts w:hint="eastAsia" w:ascii="宋体" w:hAnsi="宋体"/>
          <w:color w:val="auto"/>
          <w:szCs w:val="21"/>
          <w:highlight w:val="none"/>
        </w:rPr>
        <w:t>广西壮族自治区住房和城乡建设厅勘察设计管理处</w:t>
      </w:r>
      <w:r>
        <w:rPr>
          <w:rFonts w:ascii="宋体" w:hAnsi="宋体"/>
          <w:color w:val="auto"/>
          <w:szCs w:val="21"/>
          <w:highlight w:val="none"/>
        </w:rPr>
        <w:t>反映。</w:t>
      </w:r>
    </w:p>
    <w:p w14:paraId="20595DC6">
      <w:pPr>
        <w:tabs>
          <w:tab w:val="left" w:pos="1080"/>
        </w:tabs>
        <w:spacing w:line="360" w:lineRule="auto"/>
        <w:ind w:firstLine="420" w:firstLineChars="200"/>
        <w:rPr>
          <w:color w:val="auto"/>
          <w:szCs w:val="21"/>
          <w:highlight w:val="none"/>
        </w:rPr>
      </w:pPr>
      <w:r>
        <w:rPr>
          <w:color w:val="auto"/>
          <w:szCs w:val="21"/>
          <w:highlight w:val="none"/>
        </w:rPr>
        <w:t>联系电话：0771-2260062，电子邮箱：gxjst</w:t>
      </w:r>
      <w:r>
        <w:rPr>
          <w:rFonts w:hint="eastAsia"/>
          <w:color w:val="auto"/>
          <w:szCs w:val="21"/>
          <w:highlight w:val="none"/>
        </w:rPr>
        <w:t>sjc</w:t>
      </w:r>
      <w:r>
        <w:rPr>
          <w:color w:val="auto"/>
          <w:szCs w:val="21"/>
          <w:highlight w:val="none"/>
        </w:rPr>
        <w:t>@126.com。</w:t>
      </w:r>
    </w:p>
    <w:p w14:paraId="3FDA8E77">
      <w:pPr>
        <w:tabs>
          <w:tab w:val="left" w:pos="1080"/>
        </w:tabs>
        <w:spacing w:line="360" w:lineRule="auto"/>
        <w:ind w:firstLine="1044" w:firstLineChars="200"/>
        <w:rPr>
          <w:b/>
          <w:color w:val="auto"/>
          <w:sz w:val="52"/>
          <w:szCs w:val="52"/>
          <w:highlight w:val="none"/>
        </w:rPr>
        <w:sectPr>
          <w:headerReference r:id="rId3" w:type="default"/>
          <w:footerReference r:id="rId4" w:type="default"/>
          <w:pgSz w:w="11906" w:h="16838"/>
          <w:pgMar w:top="1440" w:right="1440" w:bottom="1440" w:left="1797" w:header="851" w:footer="851" w:gutter="0"/>
          <w:pgNumType w:fmt="upperRoman" w:start="1"/>
          <w:cols w:space="720" w:num="1"/>
          <w:docGrid w:linePitch="312" w:charSpace="0"/>
        </w:sectPr>
      </w:pPr>
    </w:p>
    <w:p w14:paraId="361F2B2E">
      <w:pPr>
        <w:spacing w:after="240" w:afterLines="100" w:line="540" w:lineRule="exact"/>
        <w:jc w:val="center"/>
        <w:rPr>
          <w:b/>
          <w:color w:val="auto"/>
          <w:sz w:val="44"/>
          <w:szCs w:val="44"/>
          <w:highlight w:val="none"/>
        </w:rPr>
      </w:pPr>
      <w:r>
        <w:rPr>
          <w:b/>
          <w:color w:val="auto"/>
          <w:sz w:val="44"/>
          <w:szCs w:val="44"/>
          <w:highlight w:val="none"/>
        </w:rPr>
        <w:t>目  录</w:t>
      </w:r>
    </w:p>
    <w:p w14:paraId="2AB102DD">
      <w:pPr>
        <w:pStyle w:val="28"/>
        <w:tabs>
          <w:tab w:val="right" w:leader="dot" w:pos="8669"/>
        </w:tabs>
        <w:rPr>
          <w:color w:val="auto"/>
          <w:highlight w:val="none"/>
        </w:rPr>
      </w:pPr>
      <w:r>
        <w:rPr>
          <w:rFonts w:ascii="宋体" w:hAnsi="宋体" w:eastAsia="宋体"/>
          <w:color w:val="auto"/>
          <w:highlight w:val="none"/>
        </w:rPr>
        <w:fldChar w:fldCharType="begin"/>
      </w:r>
      <w:r>
        <w:rPr>
          <w:rFonts w:ascii="宋体" w:hAnsi="宋体" w:eastAsia="宋体"/>
          <w:color w:val="auto"/>
          <w:highlight w:val="none"/>
        </w:rPr>
        <w:instrText xml:space="preserve"> TOC \o "1-1" \h \z \t "标题 2,2,标题 3,3" </w:instrText>
      </w:r>
      <w:r>
        <w:rPr>
          <w:rFonts w:ascii="宋体" w:hAnsi="宋体" w:eastAsia="宋体"/>
          <w:color w:val="auto"/>
          <w:highlight w:val="none"/>
        </w:rPr>
        <w:fldChar w:fldCharType="separate"/>
      </w:r>
      <w:r>
        <w:rPr>
          <w:rFonts w:ascii="宋体" w:hAnsi="宋体" w:eastAsia="宋体"/>
          <w:color w:val="auto"/>
          <w:highlight w:val="none"/>
        </w:rPr>
        <w:fldChar w:fldCharType="begin"/>
      </w:r>
      <w:r>
        <w:rPr>
          <w:rFonts w:ascii="宋体" w:hAnsi="宋体" w:eastAsia="宋体"/>
          <w:color w:val="auto"/>
          <w:highlight w:val="none"/>
        </w:rPr>
        <w:instrText xml:space="preserve"> HYPERLINK \l _Toc14777 </w:instrText>
      </w:r>
      <w:r>
        <w:rPr>
          <w:rFonts w:ascii="宋体" w:hAnsi="宋体" w:eastAsia="宋体"/>
          <w:color w:val="auto"/>
          <w:highlight w:val="none"/>
        </w:rPr>
        <w:fldChar w:fldCharType="separate"/>
      </w:r>
      <w:r>
        <w:rPr>
          <w:color w:val="auto"/>
          <w:highlight w:val="none"/>
        </w:rPr>
        <w:t xml:space="preserve">第一章 </w:t>
      </w:r>
      <w:r>
        <w:rPr>
          <w:rFonts w:hint="eastAsia"/>
          <w:color w:val="auto"/>
          <w:highlight w:val="none"/>
        </w:rPr>
        <w:t xml:space="preserve"> </w:t>
      </w:r>
      <w:r>
        <w:rPr>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_Toc14777 \h </w:instrText>
      </w:r>
      <w:r>
        <w:rPr>
          <w:color w:val="auto"/>
          <w:highlight w:val="none"/>
        </w:rPr>
        <w:fldChar w:fldCharType="separate"/>
      </w:r>
      <w:r>
        <w:rPr>
          <w:color w:val="auto"/>
          <w:highlight w:val="none"/>
        </w:rPr>
        <w:t>1</w:t>
      </w:r>
      <w:r>
        <w:rPr>
          <w:color w:val="auto"/>
          <w:highlight w:val="none"/>
        </w:rPr>
        <w:fldChar w:fldCharType="end"/>
      </w:r>
      <w:r>
        <w:rPr>
          <w:rFonts w:ascii="宋体" w:hAnsi="宋体" w:eastAsia="宋体"/>
          <w:color w:val="auto"/>
          <w:highlight w:val="none"/>
        </w:rPr>
        <w:fldChar w:fldCharType="end"/>
      </w:r>
    </w:p>
    <w:p w14:paraId="5A60BBE8">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_Toc23107 </w:instrText>
      </w:r>
      <w:r>
        <w:rPr>
          <w:rFonts w:ascii="宋体" w:hAnsi="宋体"/>
          <w:color w:val="auto"/>
          <w:highlight w:val="none"/>
        </w:rPr>
        <w:fldChar w:fldCharType="separate"/>
      </w:r>
      <w:r>
        <w:rPr>
          <w:color w:val="auto"/>
          <w:highlight w:val="none"/>
        </w:rPr>
        <w:t>1. 招标条件</w:t>
      </w:r>
      <w:r>
        <w:rPr>
          <w:color w:val="auto"/>
          <w:highlight w:val="none"/>
        </w:rPr>
        <w:tab/>
      </w:r>
      <w:r>
        <w:rPr>
          <w:color w:val="auto"/>
          <w:highlight w:val="none"/>
        </w:rPr>
        <w:fldChar w:fldCharType="begin"/>
      </w:r>
      <w:r>
        <w:rPr>
          <w:color w:val="auto"/>
          <w:highlight w:val="none"/>
        </w:rPr>
        <w:instrText xml:space="preserve"> PAGEREF _Toc23107 \h </w:instrText>
      </w:r>
      <w:r>
        <w:rPr>
          <w:color w:val="auto"/>
          <w:highlight w:val="none"/>
        </w:rPr>
        <w:fldChar w:fldCharType="separate"/>
      </w:r>
      <w:r>
        <w:rPr>
          <w:color w:val="auto"/>
          <w:highlight w:val="none"/>
        </w:rPr>
        <w:t>1</w:t>
      </w:r>
      <w:r>
        <w:rPr>
          <w:color w:val="auto"/>
          <w:highlight w:val="none"/>
        </w:rPr>
        <w:fldChar w:fldCharType="end"/>
      </w:r>
      <w:r>
        <w:rPr>
          <w:rFonts w:ascii="宋体" w:hAnsi="宋体"/>
          <w:color w:val="auto"/>
          <w:highlight w:val="none"/>
        </w:rPr>
        <w:fldChar w:fldCharType="end"/>
      </w:r>
    </w:p>
    <w:p w14:paraId="77440565">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_Toc18023 </w:instrText>
      </w:r>
      <w:r>
        <w:rPr>
          <w:rFonts w:ascii="宋体" w:hAnsi="宋体"/>
          <w:color w:val="auto"/>
          <w:highlight w:val="none"/>
        </w:rPr>
        <w:fldChar w:fldCharType="separate"/>
      </w:r>
      <w:r>
        <w:rPr>
          <w:color w:val="auto"/>
          <w:highlight w:val="none"/>
        </w:rPr>
        <w:t>2. 项目概况与招标范围</w:t>
      </w:r>
      <w:r>
        <w:rPr>
          <w:color w:val="auto"/>
          <w:highlight w:val="none"/>
        </w:rPr>
        <w:tab/>
      </w:r>
      <w:r>
        <w:rPr>
          <w:color w:val="auto"/>
          <w:highlight w:val="none"/>
        </w:rPr>
        <w:fldChar w:fldCharType="begin"/>
      </w:r>
      <w:r>
        <w:rPr>
          <w:color w:val="auto"/>
          <w:highlight w:val="none"/>
        </w:rPr>
        <w:instrText xml:space="preserve"> PAGEREF _Toc18023 \h </w:instrText>
      </w:r>
      <w:r>
        <w:rPr>
          <w:color w:val="auto"/>
          <w:highlight w:val="none"/>
        </w:rPr>
        <w:fldChar w:fldCharType="separate"/>
      </w:r>
      <w:r>
        <w:rPr>
          <w:color w:val="auto"/>
          <w:highlight w:val="none"/>
        </w:rPr>
        <w:t>1</w:t>
      </w:r>
      <w:r>
        <w:rPr>
          <w:color w:val="auto"/>
          <w:highlight w:val="none"/>
        </w:rPr>
        <w:fldChar w:fldCharType="end"/>
      </w:r>
      <w:r>
        <w:rPr>
          <w:rFonts w:ascii="宋体" w:hAnsi="宋体"/>
          <w:color w:val="auto"/>
          <w:highlight w:val="none"/>
        </w:rPr>
        <w:fldChar w:fldCharType="end"/>
      </w:r>
    </w:p>
    <w:p w14:paraId="00349B81">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_Toc4385 </w:instrText>
      </w:r>
      <w:r>
        <w:rPr>
          <w:rFonts w:ascii="宋体" w:hAnsi="宋体"/>
          <w:color w:val="auto"/>
          <w:highlight w:val="none"/>
        </w:rPr>
        <w:fldChar w:fldCharType="separate"/>
      </w:r>
      <w:r>
        <w:rPr>
          <w:color w:val="auto"/>
          <w:highlight w:val="none"/>
        </w:rPr>
        <w:t>3. 投标人资格要求</w:t>
      </w:r>
      <w:r>
        <w:rPr>
          <w:color w:val="auto"/>
          <w:highlight w:val="none"/>
        </w:rPr>
        <w:tab/>
      </w:r>
      <w:r>
        <w:rPr>
          <w:color w:val="auto"/>
          <w:highlight w:val="none"/>
        </w:rPr>
        <w:fldChar w:fldCharType="begin"/>
      </w:r>
      <w:r>
        <w:rPr>
          <w:color w:val="auto"/>
          <w:highlight w:val="none"/>
        </w:rPr>
        <w:instrText xml:space="preserve"> PAGEREF _Toc4385 \h </w:instrText>
      </w:r>
      <w:r>
        <w:rPr>
          <w:color w:val="auto"/>
          <w:highlight w:val="none"/>
        </w:rPr>
        <w:fldChar w:fldCharType="separate"/>
      </w:r>
      <w:r>
        <w:rPr>
          <w:color w:val="auto"/>
          <w:highlight w:val="none"/>
        </w:rPr>
        <w:t>2</w:t>
      </w:r>
      <w:r>
        <w:rPr>
          <w:color w:val="auto"/>
          <w:highlight w:val="none"/>
        </w:rPr>
        <w:fldChar w:fldCharType="end"/>
      </w:r>
      <w:r>
        <w:rPr>
          <w:rFonts w:ascii="宋体" w:hAnsi="宋体"/>
          <w:color w:val="auto"/>
          <w:highlight w:val="none"/>
        </w:rPr>
        <w:fldChar w:fldCharType="end"/>
      </w:r>
    </w:p>
    <w:p w14:paraId="2CD6A7B7">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_Toc23088 </w:instrText>
      </w:r>
      <w:r>
        <w:rPr>
          <w:rFonts w:ascii="宋体" w:hAnsi="宋体"/>
          <w:color w:val="auto"/>
          <w:highlight w:val="none"/>
        </w:rPr>
        <w:fldChar w:fldCharType="separate"/>
      </w:r>
      <w:r>
        <w:rPr>
          <w:color w:val="auto"/>
          <w:highlight w:val="none"/>
        </w:rPr>
        <w:t>4.技术成果经济补偿</w:t>
      </w:r>
      <w:r>
        <w:rPr>
          <w:color w:val="auto"/>
          <w:highlight w:val="none"/>
        </w:rPr>
        <w:tab/>
      </w:r>
      <w:r>
        <w:rPr>
          <w:color w:val="auto"/>
          <w:highlight w:val="none"/>
        </w:rPr>
        <w:fldChar w:fldCharType="begin"/>
      </w:r>
      <w:r>
        <w:rPr>
          <w:color w:val="auto"/>
          <w:highlight w:val="none"/>
        </w:rPr>
        <w:instrText xml:space="preserve"> PAGEREF _Toc23088 \h </w:instrText>
      </w:r>
      <w:r>
        <w:rPr>
          <w:color w:val="auto"/>
          <w:highlight w:val="none"/>
        </w:rPr>
        <w:fldChar w:fldCharType="separate"/>
      </w:r>
      <w:r>
        <w:rPr>
          <w:color w:val="auto"/>
          <w:highlight w:val="none"/>
        </w:rPr>
        <w:t>2</w:t>
      </w:r>
      <w:r>
        <w:rPr>
          <w:color w:val="auto"/>
          <w:highlight w:val="none"/>
        </w:rPr>
        <w:fldChar w:fldCharType="end"/>
      </w:r>
      <w:r>
        <w:rPr>
          <w:rFonts w:ascii="宋体" w:hAnsi="宋体"/>
          <w:color w:val="auto"/>
          <w:highlight w:val="none"/>
        </w:rPr>
        <w:fldChar w:fldCharType="end"/>
      </w:r>
    </w:p>
    <w:p w14:paraId="6A0C4730">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_Toc16184 </w:instrText>
      </w:r>
      <w:r>
        <w:rPr>
          <w:rFonts w:ascii="宋体" w:hAnsi="宋体"/>
          <w:color w:val="auto"/>
          <w:highlight w:val="none"/>
        </w:rPr>
        <w:fldChar w:fldCharType="separate"/>
      </w:r>
      <w:r>
        <w:rPr>
          <w:color w:val="auto"/>
          <w:highlight w:val="none"/>
        </w:rPr>
        <w:t>5. 招标文件的获取</w:t>
      </w:r>
      <w:r>
        <w:rPr>
          <w:color w:val="auto"/>
          <w:highlight w:val="none"/>
        </w:rPr>
        <w:tab/>
      </w:r>
      <w:r>
        <w:rPr>
          <w:color w:val="auto"/>
          <w:highlight w:val="none"/>
        </w:rPr>
        <w:fldChar w:fldCharType="begin"/>
      </w:r>
      <w:r>
        <w:rPr>
          <w:color w:val="auto"/>
          <w:highlight w:val="none"/>
        </w:rPr>
        <w:instrText xml:space="preserve"> PAGEREF _Toc16184 \h </w:instrText>
      </w:r>
      <w:r>
        <w:rPr>
          <w:color w:val="auto"/>
          <w:highlight w:val="none"/>
        </w:rPr>
        <w:fldChar w:fldCharType="separate"/>
      </w:r>
      <w:r>
        <w:rPr>
          <w:color w:val="auto"/>
          <w:highlight w:val="none"/>
        </w:rPr>
        <w:t>3</w:t>
      </w:r>
      <w:r>
        <w:rPr>
          <w:color w:val="auto"/>
          <w:highlight w:val="none"/>
        </w:rPr>
        <w:fldChar w:fldCharType="end"/>
      </w:r>
      <w:r>
        <w:rPr>
          <w:rFonts w:ascii="宋体" w:hAnsi="宋体"/>
          <w:color w:val="auto"/>
          <w:highlight w:val="none"/>
        </w:rPr>
        <w:fldChar w:fldCharType="end"/>
      </w:r>
    </w:p>
    <w:p w14:paraId="06FB787C">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_Toc23472 </w:instrText>
      </w:r>
      <w:r>
        <w:rPr>
          <w:rFonts w:ascii="宋体" w:hAnsi="宋体"/>
          <w:color w:val="auto"/>
          <w:highlight w:val="none"/>
        </w:rPr>
        <w:fldChar w:fldCharType="separate"/>
      </w:r>
      <w:r>
        <w:rPr>
          <w:rFonts w:hint="eastAsia"/>
          <w:color w:val="auto"/>
          <w:highlight w:val="none"/>
        </w:rPr>
        <w:t>6</w:t>
      </w:r>
      <w:r>
        <w:rPr>
          <w:color w:val="auto"/>
          <w:highlight w:val="none"/>
        </w:rPr>
        <w:t>. 投标文件的递交</w:t>
      </w:r>
      <w:r>
        <w:rPr>
          <w:color w:val="auto"/>
          <w:highlight w:val="none"/>
          <w:lang w:val="en"/>
        </w:rPr>
        <w:t>及不见面开标说明</w:t>
      </w:r>
      <w:r>
        <w:rPr>
          <w:color w:val="auto"/>
          <w:highlight w:val="none"/>
        </w:rPr>
        <w:tab/>
      </w:r>
      <w:r>
        <w:rPr>
          <w:color w:val="auto"/>
          <w:highlight w:val="none"/>
        </w:rPr>
        <w:fldChar w:fldCharType="begin"/>
      </w:r>
      <w:r>
        <w:rPr>
          <w:color w:val="auto"/>
          <w:highlight w:val="none"/>
        </w:rPr>
        <w:instrText xml:space="preserve"> PAGEREF _Toc23472 \h </w:instrText>
      </w:r>
      <w:r>
        <w:rPr>
          <w:color w:val="auto"/>
          <w:highlight w:val="none"/>
        </w:rPr>
        <w:fldChar w:fldCharType="separate"/>
      </w:r>
      <w:r>
        <w:rPr>
          <w:color w:val="auto"/>
          <w:highlight w:val="none"/>
        </w:rPr>
        <w:t>3</w:t>
      </w:r>
      <w:r>
        <w:rPr>
          <w:color w:val="auto"/>
          <w:highlight w:val="none"/>
        </w:rPr>
        <w:fldChar w:fldCharType="end"/>
      </w:r>
      <w:r>
        <w:rPr>
          <w:rFonts w:ascii="宋体" w:hAnsi="宋体"/>
          <w:color w:val="auto"/>
          <w:highlight w:val="none"/>
        </w:rPr>
        <w:fldChar w:fldCharType="end"/>
      </w:r>
    </w:p>
    <w:p w14:paraId="1122BDFD">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_Toc16136 </w:instrText>
      </w:r>
      <w:r>
        <w:rPr>
          <w:rFonts w:ascii="宋体" w:hAnsi="宋体"/>
          <w:color w:val="auto"/>
          <w:highlight w:val="none"/>
        </w:rPr>
        <w:fldChar w:fldCharType="separate"/>
      </w:r>
      <w:r>
        <w:rPr>
          <w:rFonts w:hint="eastAsia"/>
          <w:color w:val="auto"/>
          <w:highlight w:val="none"/>
        </w:rPr>
        <w:t>7. 评标方式</w:t>
      </w:r>
      <w:r>
        <w:rPr>
          <w:color w:val="auto"/>
          <w:highlight w:val="none"/>
        </w:rPr>
        <w:tab/>
      </w:r>
      <w:r>
        <w:rPr>
          <w:color w:val="auto"/>
          <w:highlight w:val="none"/>
        </w:rPr>
        <w:fldChar w:fldCharType="begin"/>
      </w:r>
      <w:r>
        <w:rPr>
          <w:color w:val="auto"/>
          <w:highlight w:val="none"/>
        </w:rPr>
        <w:instrText xml:space="preserve"> PAGEREF _Toc16136 \h </w:instrText>
      </w:r>
      <w:r>
        <w:rPr>
          <w:color w:val="auto"/>
          <w:highlight w:val="none"/>
        </w:rPr>
        <w:fldChar w:fldCharType="separate"/>
      </w:r>
      <w:r>
        <w:rPr>
          <w:color w:val="auto"/>
          <w:highlight w:val="none"/>
        </w:rPr>
        <w:t>3</w:t>
      </w:r>
      <w:r>
        <w:rPr>
          <w:color w:val="auto"/>
          <w:highlight w:val="none"/>
        </w:rPr>
        <w:fldChar w:fldCharType="end"/>
      </w:r>
      <w:r>
        <w:rPr>
          <w:rFonts w:ascii="宋体" w:hAnsi="宋体"/>
          <w:color w:val="auto"/>
          <w:highlight w:val="none"/>
        </w:rPr>
        <w:fldChar w:fldCharType="end"/>
      </w:r>
    </w:p>
    <w:p w14:paraId="0C0BB84D">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_Toc22642 </w:instrText>
      </w:r>
      <w:r>
        <w:rPr>
          <w:rFonts w:ascii="宋体" w:hAnsi="宋体"/>
          <w:color w:val="auto"/>
          <w:highlight w:val="none"/>
        </w:rPr>
        <w:fldChar w:fldCharType="separate"/>
      </w:r>
      <w:r>
        <w:rPr>
          <w:color w:val="auto"/>
          <w:highlight w:val="none"/>
        </w:rPr>
        <w:t>8.</w:t>
      </w:r>
      <w:r>
        <w:rPr>
          <w:rFonts w:hint="eastAsia"/>
          <w:color w:val="auto"/>
          <w:highlight w:val="none"/>
        </w:rPr>
        <w:t xml:space="preserve"> 设计费用</w:t>
      </w:r>
      <w:r>
        <w:rPr>
          <w:color w:val="auto"/>
          <w:highlight w:val="none"/>
        </w:rPr>
        <w:t>支付方式</w:t>
      </w:r>
      <w:r>
        <w:rPr>
          <w:color w:val="auto"/>
          <w:highlight w:val="none"/>
        </w:rPr>
        <w:tab/>
      </w:r>
      <w:r>
        <w:rPr>
          <w:color w:val="auto"/>
          <w:highlight w:val="none"/>
        </w:rPr>
        <w:fldChar w:fldCharType="begin"/>
      </w:r>
      <w:r>
        <w:rPr>
          <w:color w:val="auto"/>
          <w:highlight w:val="none"/>
        </w:rPr>
        <w:instrText xml:space="preserve"> PAGEREF _Toc22642 \h </w:instrText>
      </w:r>
      <w:r>
        <w:rPr>
          <w:color w:val="auto"/>
          <w:highlight w:val="none"/>
        </w:rPr>
        <w:fldChar w:fldCharType="separate"/>
      </w:r>
      <w:r>
        <w:rPr>
          <w:color w:val="auto"/>
          <w:highlight w:val="none"/>
        </w:rPr>
        <w:t>3</w:t>
      </w:r>
      <w:r>
        <w:rPr>
          <w:color w:val="auto"/>
          <w:highlight w:val="none"/>
        </w:rPr>
        <w:fldChar w:fldCharType="end"/>
      </w:r>
      <w:r>
        <w:rPr>
          <w:rFonts w:ascii="宋体" w:hAnsi="宋体"/>
          <w:color w:val="auto"/>
          <w:highlight w:val="none"/>
        </w:rPr>
        <w:fldChar w:fldCharType="end"/>
      </w:r>
    </w:p>
    <w:p w14:paraId="7C239B73">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_Toc14546 </w:instrText>
      </w:r>
      <w:r>
        <w:rPr>
          <w:rFonts w:ascii="宋体" w:hAnsi="宋体"/>
          <w:color w:val="auto"/>
          <w:highlight w:val="none"/>
        </w:rPr>
        <w:fldChar w:fldCharType="separate"/>
      </w:r>
      <w:r>
        <w:rPr>
          <w:color w:val="auto"/>
          <w:highlight w:val="none"/>
        </w:rPr>
        <w:t>9.</w:t>
      </w:r>
      <w:r>
        <w:rPr>
          <w:rFonts w:hint="eastAsia"/>
          <w:color w:val="auto"/>
          <w:highlight w:val="none"/>
        </w:rPr>
        <w:t xml:space="preserve"> 本项目要求采用新型技术（可选）</w:t>
      </w:r>
      <w:r>
        <w:rPr>
          <w:color w:val="auto"/>
          <w:highlight w:val="none"/>
        </w:rPr>
        <w:tab/>
      </w:r>
      <w:r>
        <w:rPr>
          <w:color w:val="auto"/>
          <w:highlight w:val="none"/>
        </w:rPr>
        <w:fldChar w:fldCharType="begin"/>
      </w:r>
      <w:r>
        <w:rPr>
          <w:color w:val="auto"/>
          <w:highlight w:val="none"/>
        </w:rPr>
        <w:instrText xml:space="preserve"> PAGEREF _Toc14546 \h </w:instrText>
      </w:r>
      <w:r>
        <w:rPr>
          <w:color w:val="auto"/>
          <w:highlight w:val="none"/>
        </w:rPr>
        <w:fldChar w:fldCharType="separate"/>
      </w:r>
      <w:r>
        <w:rPr>
          <w:color w:val="auto"/>
          <w:highlight w:val="none"/>
        </w:rPr>
        <w:t>4</w:t>
      </w:r>
      <w:r>
        <w:rPr>
          <w:color w:val="auto"/>
          <w:highlight w:val="none"/>
        </w:rPr>
        <w:fldChar w:fldCharType="end"/>
      </w:r>
      <w:r>
        <w:rPr>
          <w:rFonts w:ascii="宋体" w:hAnsi="宋体"/>
          <w:color w:val="auto"/>
          <w:highlight w:val="none"/>
        </w:rPr>
        <w:fldChar w:fldCharType="end"/>
      </w:r>
    </w:p>
    <w:p w14:paraId="0970DE4C">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_Toc27914 </w:instrText>
      </w:r>
      <w:r>
        <w:rPr>
          <w:rFonts w:ascii="宋体" w:hAnsi="宋体"/>
          <w:color w:val="auto"/>
          <w:highlight w:val="none"/>
        </w:rPr>
        <w:fldChar w:fldCharType="separate"/>
      </w:r>
      <w:r>
        <w:rPr>
          <w:color w:val="auto"/>
          <w:highlight w:val="none"/>
        </w:rPr>
        <w:t>10</w:t>
      </w:r>
      <w:r>
        <w:rPr>
          <w:rFonts w:hint="eastAsia"/>
          <w:color w:val="auto"/>
          <w:highlight w:val="none"/>
        </w:rPr>
        <w:t xml:space="preserve">. </w:t>
      </w:r>
      <w:r>
        <w:rPr>
          <w:color w:val="auto"/>
          <w:highlight w:val="none"/>
        </w:rPr>
        <w:t>发布公告的媒介</w:t>
      </w:r>
      <w:r>
        <w:rPr>
          <w:color w:val="auto"/>
          <w:highlight w:val="none"/>
        </w:rPr>
        <w:tab/>
      </w:r>
      <w:r>
        <w:rPr>
          <w:color w:val="auto"/>
          <w:highlight w:val="none"/>
        </w:rPr>
        <w:fldChar w:fldCharType="begin"/>
      </w:r>
      <w:r>
        <w:rPr>
          <w:color w:val="auto"/>
          <w:highlight w:val="none"/>
        </w:rPr>
        <w:instrText xml:space="preserve"> PAGEREF _Toc27914 \h </w:instrText>
      </w:r>
      <w:r>
        <w:rPr>
          <w:color w:val="auto"/>
          <w:highlight w:val="none"/>
        </w:rPr>
        <w:fldChar w:fldCharType="separate"/>
      </w:r>
      <w:r>
        <w:rPr>
          <w:color w:val="auto"/>
          <w:highlight w:val="none"/>
        </w:rPr>
        <w:t>4</w:t>
      </w:r>
      <w:r>
        <w:rPr>
          <w:color w:val="auto"/>
          <w:highlight w:val="none"/>
        </w:rPr>
        <w:fldChar w:fldCharType="end"/>
      </w:r>
      <w:r>
        <w:rPr>
          <w:rFonts w:ascii="宋体" w:hAnsi="宋体"/>
          <w:color w:val="auto"/>
          <w:highlight w:val="none"/>
        </w:rPr>
        <w:fldChar w:fldCharType="end"/>
      </w:r>
    </w:p>
    <w:p w14:paraId="4D6160A5">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_Toc32456 </w:instrText>
      </w:r>
      <w:r>
        <w:rPr>
          <w:rFonts w:ascii="宋体" w:hAnsi="宋体"/>
          <w:color w:val="auto"/>
          <w:highlight w:val="none"/>
        </w:rPr>
        <w:fldChar w:fldCharType="separate"/>
      </w:r>
      <w:r>
        <w:rPr>
          <w:rFonts w:hint="eastAsia"/>
          <w:color w:val="auto"/>
          <w:highlight w:val="none"/>
        </w:rPr>
        <w:t>1</w:t>
      </w:r>
      <w:r>
        <w:rPr>
          <w:color w:val="auto"/>
          <w:highlight w:val="none"/>
        </w:rPr>
        <w:t>1</w:t>
      </w:r>
      <w:r>
        <w:rPr>
          <w:rFonts w:hint="eastAsia"/>
          <w:color w:val="auto"/>
          <w:highlight w:val="none"/>
        </w:rPr>
        <w:t>. 交易服务单位</w:t>
      </w:r>
      <w:r>
        <w:rPr>
          <w:color w:val="auto"/>
          <w:highlight w:val="none"/>
        </w:rPr>
        <w:tab/>
      </w:r>
      <w:r>
        <w:rPr>
          <w:color w:val="auto"/>
          <w:highlight w:val="none"/>
        </w:rPr>
        <w:fldChar w:fldCharType="begin"/>
      </w:r>
      <w:r>
        <w:rPr>
          <w:color w:val="auto"/>
          <w:highlight w:val="none"/>
        </w:rPr>
        <w:instrText xml:space="preserve"> PAGEREF _Toc32456 \h </w:instrText>
      </w:r>
      <w:r>
        <w:rPr>
          <w:color w:val="auto"/>
          <w:highlight w:val="none"/>
        </w:rPr>
        <w:fldChar w:fldCharType="separate"/>
      </w:r>
      <w:r>
        <w:rPr>
          <w:color w:val="auto"/>
          <w:highlight w:val="none"/>
        </w:rPr>
        <w:t>4</w:t>
      </w:r>
      <w:r>
        <w:rPr>
          <w:color w:val="auto"/>
          <w:highlight w:val="none"/>
        </w:rPr>
        <w:fldChar w:fldCharType="end"/>
      </w:r>
      <w:r>
        <w:rPr>
          <w:rFonts w:ascii="宋体" w:hAnsi="宋体"/>
          <w:color w:val="auto"/>
          <w:highlight w:val="none"/>
        </w:rPr>
        <w:fldChar w:fldCharType="end"/>
      </w:r>
    </w:p>
    <w:p w14:paraId="2AE424ED">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_Toc29453 </w:instrText>
      </w:r>
      <w:r>
        <w:rPr>
          <w:rFonts w:ascii="宋体" w:hAnsi="宋体"/>
          <w:color w:val="auto"/>
          <w:highlight w:val="none"/>
        </w:rPr>
        <w:fldChar w:fldCharType="separate"/>
      </w:r>
      <w:r>
        <w:rPr>
          <w:rFonts w:hint="eastAsia"/>
          <w:color w:val="auto"/>
          <w:highlight w:val="none"/>
        </w:rPr>
        <w:t>1</w:t>
      </w:r>
      <w:r>
        <w:rPr>
          <w:color w:val="auto"/>
          <w:highlight w:val="none"/>
        </w:rPr>
        <w:t>2</w:t>
      </w:r>
      <w:r>
        <w:rPr>
          <w:rFonts w:hint="eastAsia"/>
          <w:color w:val="auto"/>
          <w:highlight w:val="none"/>
        </w:rPr>
        <w:t>. 监督部门及电话</w:t>
      </w:r>
      <w:r>
        <w:rPr>
          <w:color w:val="auto"/>
          <w:highlight w:val="none"/>
        </w:rPr>
        <w:tab/>
      </w:r>
      <w:r>
        <w:rPr>
          <w:color w:val="auto"/>
          <w:highlight w:val="none"/>
        </w:rPr>
        <w:fldChar w:fldCharType="begin"/>
      </w:r>
      <w:r>
        <w:rPr>
          <w:color w:val="auto"/>
          <w:highlight w:val="none"/>
        </w:rPr>
        <w:instrText xml:space="preserve"> PAGEREF _Toc29453 \h </w:instrText>
      </w:r>
      <w:r>
        <w:rPr>
          <w:color w:val="auto"/>
          <w:highlight w:val="none"/>
        </w:rPr>
        <w:fldChar w:fldCharType="separate"/>
      </w:r>
      <w:r>
        <w:rPr>
          <w:color w:val="auto"/>
          <w:highlight w:val="none"/>
        </w:rPr>
        <w:t>4</w:t>
      </w:r>
      <w:r>
        <w:rPr>
          <w:color w:val="auto"/>
          <w:highlight w:val="none"/>
        </w:rPr>
        <w:fldChar w:fldCharType="end"/>
      </w:r>
      <w:r>
        <w:rPr>
          <w:rFonts w:ascii="宋体" w:hAnsi="宋体"/>
          <w:color w:val="auto"/>
          <w:highlight w:val="none"/>
        </w:rPr>
        <w:fldChar w:fldCharType="end"/>
      </w:r>
    </w:p>
    <w:p w14:paraId="39F2777F">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_Toc15281 </w:instrText>
      </w:r>
      <w:r>
        <w:rPr>
          <w:rFonts w:ascii="宋体" w:hAnsi="宋体"/>
          <w:color w:val="auto"/>
          <w:highlight w:val="none"/>
        </w:rPr>
        <w:fldChar w:fldCharType="separate"/>
      </w:r>
      <w:r>
        <w:rPr>
          <w:color w:val="auto"/>
          <w:highlight w:val="none"/>
        </w:rPr>
        <w:t>13.注意事项</w:t>
      </w:r>
      <w:r>
        <w:rPr>
          <w:color w:val="auto"/>
          <w:highlight w:val="none"/>
        </w:rPr>
        <w:tab/>
      </w:r>
      <w:r>
        <w:rPr>
          <w:color w:val="auto"/>
          <w:highlight w:val="none"/>
        </w:rPr>
        <w:fldChar w:fldCharType="begin"/>
      </w:r>
      <w:r>
        <w:rPr>
          <w:color w:val="auto"/>
          <w:highlight w:val="none"/>
        </w:rPr>
        <w:instrText xml:space="preserve"> PAGEREF _Toc15281 \h </w:instrText>
      </w:r>
      <w:r>
        <w:rPr>
          <w:color w:val="auto"/>
          <w:highlight w:val="none"/>
        </w:rPr>
        <w:fldChar w:fldCharType="separate"/>
      </w:r>
      <w:r>
        <w:rPr>
          <w:color w:val="auto"/>
          <w:highlight w:val="none"/>
        </w:rPr>
        <w:t>4</w:t>
      </w:r>
      <w:r>
        <w:rPr>
          <w:color w:val="auto"/>
          <w:highlight w:val="none"/>
        </w:rPr>
        <w:fldChar w:fldCharType="end"/>
      </w:r>
      <w:r>
        <w:rPr>
          <w:rFonts w:ascii="宋体" w:hAnsi="宋体"/>
          <w:color w:val="auto"/>
          <w:highlight w:val="none"/>
        </w:rPr>
        <w:fldChar w:fldCharType="end"/>
      </w:r>
    </w:p>
    <w:p w14:paraId="772C468F">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_Toc19362 </w:instrText>
      </w:r>
      <w:r>
        <w:rPr>
          <w:rFonts w:ascii="宋体" w:hAnsi="宋体"/>
          <w:color w:val="auto"/>
          <w:highlight w:val="none"/>
        </w:rPr>
        <w:fldChar w:fldCharType="separate"/>
      </w:r>
      <w:r>
        <w:rPr>
          <w:color w:val="auto"/>
          <w:highlight w:val="none"/>
        </w:rPr>
        <w:t>14.</w:t>
      </w:r>
      <w:r>
        <w:rPr>
          <w:rFonts w:hint="eastAsia"/>
          <w:color w:val="auto"/>
          <w:highlight w:val="none"/>
        </w:rPr>
        <w:t xml:space="preserve"> </w:t>
      </w:r>
      <w:r>
        <w:rPr>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_Toc19362 \h </w:instrText>
      </w:r>
      <w:r>
        <w:rPr>
          <w:color w:val="auto"/>
          <w:highlight w:val="none"/>
        </w:rPr>
        <w:fldChar w:fldCharType="separate"/>
      </w:r>
      <w:r>
        <w:rPr>
          <w:color w:val="auto"/>
          <w:highlight w:val="none"/>
        </w:rPr>
        <w:t>4</w:t>
      </w:r>
      <w:r>
        <w:rPr>
          <w:color w:val="auto"/>
          <w:highlight w:val="none"/>
        </w:rPr>
        <w:fldChar w:fldCharType="end"/>
      </w:r>
      <w:r>
        <w:rPr>
          <w:rFonts w:ascii="宋体" w:hAnsi="宋体"/>
          <w:color w:val="auto"/>
          <w:highlight w:val="none"/>
        </w:rPr>
        <w:fldChar w:fldCharType="end"/>
      </w:r>
    </w:p>
    <w:p w14:paraId="28EB479C">
      <w:pPr>
        <w:pStyle w:val="28"/>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_Toc4006 </w:instrText>
      </w:r>
      <w:r>
        <w:rPr>
          <w:rFonts w:ascii="宋体" w:hAnsi="宋体"/>
          <w:color w:val="auto"/>
          <w:highlight w:val="none"/>
        </w:rPr>
        <w:fldChar w:fldCharType="separate"/>
      </w:r>
      <w:r>
        <w:rPr>
          <w:color w:val="auto"/>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_Toc4006 \h </w:instrText>
      </w:r>
      <w:r>
        <w:rPr>
          <w:color w:val="auto"/>
          <w:highlight w:val="none"/>
        </w:rPr>
        <w:fldChar w:fldCharType="separate"/>
      </w:r>
      <w:r>
        <w:rPr>
          <w:color w:val="auto"/>
          <w:highlight w:val="none"/>
        </w:rPr>
        <w:t>5</w:t>
      </w:r>
      <w:r>
        <w:rPr>
          <w:color w:val="auto"/>
          <w:highlight w:val="none"/>
        </w:rPr>
        <w:fldChar w:fldCharType="end"/>
      </w:r>
      <w:r>
        <w:rPr>
          <w:rFonts w:ascii="宋体" w:hAnsi="宋体"/>
          <w:color w:val="auto"/>
          <w:highlight w:val="none"/>
        </w:rPr>
        <w:fldChar w:fldCharType="end"/>
      </w:r>
    </w:p>
    <w:p w14:paraId="4A65E255">
      <w:pPr>
        <w:pStyle w:val="28"/>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_Toc5059 </w:instrText>
      </w:r>
      <w:r>
        <w:rPr>
          <w:rFonts w:ascii="宋体" w:hAnsi="宋体"/>
          <w:color w:val="auto"/>
          <w:highlight w:val="none"/>
        </w:rPr>
        <w:fldChar w:fldCharType="separate"/>
      </w:r>
      <w:r>
        <w:rPr>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_Toc5059 \h </w:instrText>
      </w:r>
      <w:r>
        <w:rPr>
          <w:color w:val="auto"/>
          <w:highlight w:val="none"/>
        </w:rPr>
        <w:fldChar w:fldCharType="separate"/>
      </w:r>
      <w:r>
        <w:rPr>
          <w:color w:val="auto"/>
          <w:highlight w:val="none"/>
        </w:rPr>
        <w:t>5</w:t>
      </w:r>
      <w:r>
        <w:rPr>
          <w:color w:val="auto"/>
          <w:highlight w:val="none"/>
        </w:rPr>
        <w:fldChar w:fldCharType="end"/>
      </w:r>
      <w:r>
        <w:rPr>
          <w:rFonts w:ascii="宋体" w:hAnsi="宋体"/>
          <w:color w:val="auto"/>
          <w:highlight w:val="none"/>
        </w:rPr>
        <w:fldChar w:fldCharType="end"/>
      </w:r>
    </w:p>
    <w:p w14:paraId="0C2174AE">
      <w:pPr>
        <w:pStyle w:val="28"/>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_Toc21470 </w:instrText>
      </w:r>
      <w:r>
        <w:rPr>
          <w:rFonts w:ascii="宋体" w:hAnsi="宋体"/>
          <w:color w:val="auto"/>
          <w:highlight w:val="none"/>
        </w:rPr>
        <w:fldChar w:fldCharType="separate"/>
      </w:r>
      <w:r>
        <w:rPr>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_Toc21470 \h </w:instrText>
      </w:r>
      <w:r>
        <w:rPr>
          <w:color w:val="auto"/>
          <w:highlight w:val="none"/>
        </w:rPr>
        <w:fldChar w:fldCharType="separate"/>
      </w:r>
      <w:r>
        <w:rPr>
          <w:color w:val="auto"/>
          <w:highlight w:val="none"/>
        </w:rPr>
        <w:t>26</w:t>
      </w:r>
      <w:r>
        <w:rPr>
          <w:color w:val="auto"/>
          <w:highlight w:val="none"/>
        </w:rPr>
        <w:fldChar w:fldCharType="end"/>
      </w:r>
      <w:r>
        <w:rPr>
          <w:rFonts w:ascii="宋体" w:hAnsi="宋体"/>
          <w:color w:val="auto"/>
          <w:highlight w:val="none"/>
        </w:rPr>
        <w:fldChar w:fldCharType="end"/>
      </w:r>
    </w:p>
    <w:p w14:paraId="1ED1E2F8">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_Toc14186 </w:instrText>
      </w:r>
      <w:r>
        <w:rPr>
          <w:rFonts w:ascii="宋体" w:hAnsi="宋体"/>
          <w:color w:val="auto"/>
          <w:highlight w:val="none"/>
        </w:rPr>
        <w:fldChar w:fldCharType="separate"/>
      </w:r>
      <w:r>
        <w:rPr>
          <w:color w:val="auto"/>
          <w:highlight w:val="none"/>
        </w:rPr>
        <w:t>1 总则</w:t>
      </w:r>
      <w:r>
        <w:rPr>
          <w:color w:val="auto"/>
          <w:highlight w:val="none"/>
        </w:rPr>
        <w:tab/>
      </w:r>
      <w:r>
        <w:rPr>
          <w:color w:val="auto"/>
          <w:highlight w:val="none"/>
        </w:rPr>
        <w:fldChar w:fldCharType="begin"/>
      </w:r>
      <w:r>
        <w:rPr>
          <w:color w:val="auto"/>
          <w:highlight w:val="none"/>
        </w:rPr>
        <w:instrText xml:space="preserve"> PAGEREF _Toc14186 \h </w:instrText>
      </w:r>
      <w:r>
        <w:rPr>
          <w:color w:val="auto"/>
          <w:highlight w:val="none"/>
        </w:rPr>
        <w:fldChar w:fldCharType="separate"/>
      </w:r>
      <w:r>
        <w:rPr>
          <w:color w:val="auto"/>
          <w:highlight w:val="none"/>
        </w:rPr>
        <w:t>26</w:t>
      </w:r>
      <w:r>
        <w:rPr>
          <w:color w:val="auto"/>
          <w:highlight w:val="none"/>
        </w:rPr>
        <w:fldChar w:fldCharType="end"/>
      </w:r>
      <w:r>
        <w:rPr>
          <w:rFonts w:ascii="宋体" w:hAnsi="宋体"/>
          <w:color w:val="auto"/>
          <w:highlight w:val="none"/>
        </w:rPr>
        <w:fldChar w:fldCharType="end"/>
      </w:r>
    </w:p>
    <w:p w14:paraId="00A79321">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_Toc17818 </w:instrText>
      </w:r>
      <w:r>
        <w:rPr>
          <w:rFonts w:ascii="宋体" w:hAnsi="宋体"/>
          <w:color w:val="auto"/>
          <w:highlight w:val="none"/>
        </w:rPr>
        <w:fldChar w:fldCharType="separate"/>
      </w:r>
      <w:r>
        <w:rPr>
          <w:color w:val="auto"/>
          <w:highlight w:val="none"/>
        </w:rPr>
        <w:t xml:space="preserve">1.1 </w:t>
      </w:r>
      <w:r>
        <w:rPr>
          <w:rFonts w:hint="eastAsia"/>
          <w:color w:val="auto"/>
          <w:highlight w:val="none"/>
        </w:rPr>
        <w:t>招标</w:t>
      </w:r>
      <w:r>
        <w:rPr>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_Toc17818 \h </w:instrText>
      </w:r>
      <w:r>
        <w:rPr>
          <w:color w:val="auto"/>
          <w:highlight w:val="none"/>
        </w:rPr>
        <w:fldChar w:fldCharType="separate"/>
      </w:r>
      <w:r>
        <w:rPr>
          <w:color w:val="auto"/>
          <w:highlight w:val="none"/>
        </w:rPr>
        <w:t>26</w:t>
      </w:r>
      <w:r>
        <w:rPr>
          <w:color w:val="auto"/>
          <w:highlight w:val="none"/>
        </w:rPr>
        <w:fldChar w:fldCharType="end"/>
      </w:r>
      <w:r>
        <w:rPr>
          <w:rFonts w:ascii="宋体" w:hAnsi="宋体"/>
          <w:color w:val="auto"/>
          <w:highlight w:val="none"/>
        </w:rPr>
        <w:fldChar w:fldCharType="end"/>
      </w:r>
    </w:p>
    <w:p w14:paraId="1327E040">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_Toc17213 </w:instrText>
      </w:r>
      <w:r>
        <w:rPr>
          <w:rFonts w:ascii="宋体" w:hAnsi="宋体"/>
          <w:color w:val="auto"/>
          <w:highlight w:val="none"/>
        </w:rPr>
        <w:fldChar w:fldCharType="separate"/>
      </w:r>
      <w:r>
        <w:rPr>
          <w:color w:val="auto"/>
          <w:highlight w:val="none"/>
        </w:rPr>
        <w:t>1.2</w:t>
      </w:r>
      <w:r>
        <w:rPr>
          <w:rFonts w:hint="eastAsia"/>
          <w:color w:val="auto"/>
          <w:highlight w:val="none"/>
        </w:rPr>
        <w:t>招标项目的资金来源和落实</w:t>
      </w:r>
      <w:r>
        <w:rPr>
          <w:rFonts w:hint="eastAsia" w:cs="黑体"/>
          <w:color w:val="auto"/>
          <w:highlight w:val="none"/>
        </w:rPr>
        <w:t>及增值税计税方法</w:t>
      </w:r>
      <w:r>
        <w:rPr>
          <w:rFonts w:hint="eastAsia"/>
          <w:color w:val="auto"/>
          <w:highlight w:val="none"/>
        </w:rPr>
        <w:t>情况</w:t>
      </w:r>
      <w:r>
        <w:rPr>
          <w:color w:val="auto"/>
          <w:highlight w:val="none"/>
        </w:rPr>
        <w:tab/>
      </w:r>
      <w:r>
        <w:rPr>
          <w:color w:val="auto"/>
          <w:highlight w:val="none"/>
        </w:rPr>
        <w:fldChar w:fldCharType="begin"/>
      </w:r>
      <w:r>
        <w:rPr>
          <w:color w:val="auto"/>
          <w:highlight w:val="none"/>
        </w:rPr>
        <w:instrText xml:space="preserve"> PAGEREF _Toc17213 \h </w:instrText>
      </w:r>
      <w:r>
        <w:rPr>
          <w:color w:val="auto"/>
          <w:highlight w:val="none"/>
        </w:rPr>
        <w:fldChar w:fldCharType="separate"/>
      </w:r>
      <w:r>
        <w:rPr>
          <w:color w:val="auto"/>
          <w:highlight w:val="none"/>
        </w:rPr>
        <w:t>26</w:t>
      </w:r>
      <w:r>
        <w:rPr>
          <w:color w:val="auto"/>
          <w:highlight w:val="none"/>
        </w:rPr>
        <w:fldChar w:fldCharType="end"/>
      </w:r>
      <w:r>
        <w:rPr>
          <w:rFonts w:ascii="宋体" w:hAnsi="宋体"/>
          <w:color w:val="auto"/>
          <w:highlight w:val="none"/>
        </w:rPr>
        <w:fldChar w:fldCharType="end"/>
      </w:r>
    </w:p>
    <w:p w14:paraId="51811923">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_Toc6577 </w:instrText>
      </w:r>
      <w:r>
        <w:rPr>
          <w:rFonts w:ascii="宋体" w:hAnsi="宋体"/>
          <w:color w:val="auto"/>
          <w:highlight w:val="none"/>
        </w:rPr>
        <w:fldChar w:fldCharType="separate"/>
      </w:r>
      <w:r>
        <w:rPr>
          <w:color w:val="auto"/>
          <w:highlight w:val="none"/>
        </w:rPr>
        <w:t>1.3 招标范围、</w:t>
      </w:r>
      <w:r>
        <w:rPr>
          <w:rFonts w:hint="eastAsia"/>
          <w:color w:val="auto"/>
          <w:highlight w:val="none"/>
        </w:rPr>
        <w:t>设计服务期限</w:t>
      </w:r>
      <w:r>
        <w:rPr>
          <w:color w:val="auto"/>
          <w:highlight w:val="none"/>
        </w:rPr>
        <w:t>和质量</w:t>
      </w:r>
      <w:r>
        <w:rPr>
          <w:rFonts w:hint="eastAsia"/>
          <w:color w:val="auto"/>
          <w:highlight w:val="none"/>
        </w:rPr>
        <w:t>等</w:t>
      </w:r>
      <w:r>
        <w:rPr>
          <w:color w:val="auto"/>
          <w:highlight w:val="none"/>
        </w:rPr>
        <w:t>要求</w:t>
      </w:r>
      <w:r>
        <w:rPr>
          <w:color w:val="auto"/>
          <w:highlight w:val="none"/>
        </w:rPr>
        <w:tab/>
      </w:r>
      <w:r>
        <w:rPr>
          <w:color w:val="auto"/>
          <w:highlight w:val="none"/>
        </w:rPr>
        <w:fldChar w:fldCharType="begin"/>
      </w:r>
      <w:r>
        <w:rPr>
          <w:color w:val="auto"/>
          <w:highlight w:val="none"/>
        </w:rPr>
        <w:instrText xml:space="preserve"> PAGEREF _Toc6577 \h </w:instrText>
      </w:r>
      <w:r>
        <w:rPr>
          <w:color w:val="auto"/>
          <w:highlight w:val="none"/>
        </w:rPr>
        <w:fldChar w:fldCharType="separate"/>
      </w:r>
      <w:r>
        <w:rPr>
          <w:color w:val="auto"/>
          <w:highlight w:val="none"/>
        </w:rPr>
        <w:t>26</w:t>
      </w:r>
      <w:r>
        <w:rPr>
          <w:color w:val="auto"/>
          <w:highlight w:val="none"/>
        </w:rPr>
        <w:fldChar w:fldCharType="end"/>
      </w:r>
      <w:r>
        <w:rPr>
          <w:rFonts w:ascii="宋体" w:hAnsi="宋体"/>
          <w:color w:val="auto"/>
          <w:highlight w:val="none"/>
        </w:rPr>
        <w:fldChar w:fldCharType="end"/>
      </w:r>
    </w:p>
    <w:p w14:paraId="6EF8BEE5">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_Toc4207 </w:instrText>
      </w:r>
      <w:r>
        <w:rPr>
          <w:rFonts w:ascii="宋体" w:hAnsi="宋体"/>
          <w:color w:val="auto"/>
          <w:highlight w:val="none"/>
        </w:rPr>
        <w:fldChar w:fldCharType="separate"/>
      </w:r>
      <w:r>
        <w:rPr>
          <w:color w:val="auto"/>
          <w:highlight w:val="none"/>
        </w:rPr>
        <w:t>1.4 投标人资格要求</w:t>
      </w:r>
      <w:r>
        <w:rPr>
          <w:color w:val="auto"/>
          <w:highlight w:val="none"/>
        </w:rPr>
        <w:tab/>
      </w:r>
      <w:r>
        <w:rPr>
          <w:color w:val="auto"/>
          <w:highlight w:val="none"/>
        </w:rPr>
        <w:fldChar w:fldCharType="begin"/>
      </w:r>
      <w:r>
        <w:rPr>
          <w:color w:val="auto"/>
          <w:highlight w:val="none"/>
        </w:rPr>
        <w:instrText xml:space="preserve"> PAGEREF _Toc4207 \h </w:instrText>
      </w:r>
      <w:r>
        <w:rPr>
          <w:color w:val="auto"/>
          <w:highlight w:val="none"/>
        </w:rPr>
        <w:fldChar w:fldCharType="separate"/>
      </w:r>
      <w:r>
        <w:rPr>
          <w:color w:val="auto"/>
          <w:highlight w:val="none"/>
        </w:rPr>
        <w:t>26</w:t>
      </w:r>
      <w:r>
        <w:rPr>
          <w:color w:val="auto"/>
          <w:highlight w:val="none"/>
        </w:rPr>
        <w:fldChar w:fldCharType="end"/>
      </w:r>
      <w:r>
        <w:rPr>
          <w:rFonts w:ascii="宋体" w:hAnsi="宋体"/>
          <w:color w:val="auto"/>
          <w:highlight w:val="none"/>
        </w:rPr>
        <w:fldChar w:fldCharType="end"/>
      </w:r>
    </w:p>
    <w:p w14:paraId="245D10ED">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_Toc17747 </w:instrText>
      </w:r>
      <w:r>
        <w:rPr>
          <w:rFonts w:ascii="宋体" w:hAnsi="宋体"/>
          <w:color w:val="auto"/>
          <w:highlight w:val="none"/>
        </w:rPr>
        <w:fldChar w:fldCharType="separate"/>
      </w:r>
      <w:r>
        <w:rPr>
          <w:color w:val="auto"/>
          <w:highlight w:val="none"/>
        </w:rPr>
        <w:t>1.5 费用承担</w:t>
      </w:r>
      <w:r>
        <w:rPr>
          <w:color w:val="auto"/>
          <w:highlight w:val="none"/>
        </w:rPr>
        <w:tab/>
      </w:r>
      <w:r>
        <w:rPr>
          <w:color w:val="auto"/>
          <w:highlight w:val="none"/>
        </w:rPr>
        <w:fldChar w:fldCharType="begin"/>
      </w:r>
      <w:r>
        <w:rPr>
          <w:color w:val="auto"/>
          <w:highlight w:val="none"/>
        </w:rPr>
        <w:instrText xml:space="preserve"> PAGEREF _Toc17747 \h </w:instrText>
      </w:r>
      <w:r>
        <w:rPr>
          <w:color w:val="auto"/>
          <w:highlight w:val="none"/>
        </w:rPr>
        <w:fldChar w:fldCharType="separate"/>
      </w:r>
      <w:r>
        <w:rPr>
          <w:color w:val="auto"/>
          <w:highlight w:val="none"/>
        </w:rPr>
        <w:t>27</w:t>
      </w:r>
      <w:r>
        <w:rPr>
          <w:color w:val="auto"/>
          <w:highlight w:val="none"/>
        </w:rPr>
        <w:fldChar w:fldCharType="end"/>
      </w:r>
      <w:r>
        <w:rPr>
          <w:rFonts w:ascii="宋体" w:hAnsi="宋体"/>
          <w:color w:val="auto"/>
          <w:highlight w:val="none"/>
        </w:rPr>
        <w:fldChar w:fldCharType="end"/>
      </w:r>
    </w:p>
    <w:p w14:paraId="09B800B9">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_Toc1277 </w:instrText>
      </w:r>
      <w:r>
        <w:rPr>
          <w:rFonts w:ascii="宋体" w:hAnsi="宋体"/>
          <w:color w:val="auto"/>
          <w:highlight w:val="none"/>
        </w:rPr>
        <w:fldChar w:fldCharType="separate"/>
      </w:r>
      <w:r>
        <w:rPr>
          <w:color w:val="auto"/>
          <w:highlight w:val="none"/>
        </w:rPr>
        <w:t>1.6 保密</w:t>
      </w:r>
      <w:r>
        <w:rPr>
          <w:color w:val="auto"/>
          <w:highlight w:val="none"/>
        </w:rPr>
        <w:tab/>
      </w:r>
      <w:r>
        <w:rPr>
          <w:color w:val="auto"/>
          <w:highlight w:val="none"/>
        </w:rPr>
        <w:fldChar w:fldCharType="begin"/>
      </w:r>
      <w:r>
        <w:rPr>
          <w:color w:val="auto"/>
          <w:highlight w:val="none"/>
        </w:rPr>
        <w:instrText xml:space="preserve"> PAGEREF _Toc1277 \h </w:instrText>
      </w:r>
      <w:r>
        <w:rPr>
          <w:color w:val="auto"/>
          <w:highlight w:val="none"/>
        </w:rPr>
        <w:fldChar w:fldCharType="separate"/>
      </w:r>
      <w:r>
        <w:rPr>
          <w:color w:val="auto"/>
          <w:highlight w:val="none"/>
        </w:rPr>
        <w:t>27</w:t>
      </w:r>
      <w:r>
        <w:rPr>
          <w:color w:val="auto"/>
          <w:highlight w:val="none"/>
        </w:rPr>
        <w:fldChar w:fldCharType="end"/>
      </w:r>
      <w:r>
        <w:rPr>
          <w:rFonts w:ascii="宋体" w:hAnsi="宋体"/>
          <w:color w:val="auto"/>
          <w:highlight w:val="none"/>
        </w:rPr>
        <w:fldChar w:fldCharType="end"/>
      </w:r>
    </w:p>
    <w:p w14:paraId="562FC456">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_Toc28146 </w:instrText>
      </w:r>
      <w:r>
        <w:rPr>
          <w:rFonts w:ascii="宋体" w:hAnsi="宋体"/>
          <w:color w:val="auto"/>
          <w:highlight w:val="none"/>
        </w:rPr>
        <w:fldChar w:fldCharType="separate"/>
      </w:r>
      <w:r>
        <w:rPr>
          <w:color w:val="auto"/>
          <w:highlight w:val="none"/>
        </w:rPr>
        <w:t>1.7 语言文字</w:t>
      </w:r>
      <w:r>
        <w:rPr>
          <w:color w:val="auto"/>
          <w:highlight w:val="none"/>
        </w:rPr>
        <w:tab/>
      </w:r>
      <w:r>
        <w:rPr>
          <w:color w:val="auto"/>
          <w:highlight w:val="none"/>
        </w:rPr>
        <w:fldChar w:fldCharType="begin"/>
      </w:r>
      <w:r>
        <w:rPr>
          <w:color w:val="auto"/>
          <w:highlight w:val="none"/>
        </w:rPr>
        <w:instrText xml:space="preserve"> PAGEREF _Toc28146 \h </w:instrText>
      </w:r>
      <w:r>
        <w:rPr>
          <w:color w:val="auto"/>
          <w:highlight w:val="none"/>
        </w:rPr>
        <w:fldChar w:fldCharType="separate"/>
      </w:r>
      <w:r>
        <w:rPr>
          <w:color w:val="auto"/>
          <w:highlight w:val="none"/>
        </w:rPr>
        <w:t>27</w:t>
      </w:r>
      <w:r>
        <w:rPr>
          <w:color w:val="auto"/>
          <w:highlight w:val="none"/>
        </w:rPr>
        <w:fldChar w:fldCharType="end"/>
      </w:r>
      <w:r>
        <w:rPr>
          <w:rFonts w:ascii="宋体" w:hAnsi="宋体"/>
          <w:color w:val="auto"/>
          <w:highlight w:val="none"/>
        </w:rPr>
        <w:fldChar w:fldCharType="end"/>
      </w:r>
    </w:p>
    <w:p w14:paraId="75ACEF4B">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_Toc12904 </w:instrText>
      </w:r>
      <w:r>
        <w:rPr>
          <w:rFonts w:ascii="宋体" w:hAnsi="宋体"/>
          <w:color w:val="auto"/>
          <w:highlight w:val="none"/>
        </w:rPr>
        <w:fldChar w:fldCharType="separate"/>
      </w:r>
      <w:r>
        <w:rPr>
          <w:color w:val="auto"/>
          <w:highlight w:val="none"/>
        </w:rPr>
        <w:t>1.8 计量单位</w:t>
      </w:r>
      <w:r>
        <w:rPr>
          <w:color w:val="auto"/>
          <w:highlight w:val="none"/>
        </w:rPr>
        <w:tab/>
      </w:r>
      <w:r>
        <w:rPr>
          <w:color w:val="auto"/>
          <w:highlight w:val="none"/>
        </w:rPr>
        <w:fldChar w:fldCharType="begin"/>
      </w:r>
      <w:r>
        <w:rPr>
          <w:color w:val="auto"/>
          <w:highlight w:val="none"/>
        </w:rPr>
        <w:instrText xml:space="preserve"> PAGEREF _Toc12904 \h </w:instrText>
      </w:r>
      <w:r>
        <w:rPr>
          <w:color w:val="auto"/>
          <w:highlight w:val="none"/>
        </w:rPr>
        <w:fldChar w:fldCharType="separate"/>
      </w:r>
      <w:r>
        <w:rPr>
          <w:color w:val="auto"/>
          <w:highlight w:val="none"/>
        </w:rPr>
        <w:t>27</w:t>
      </w:r>
      <w:r>
        <w:rPr>
          <w:color w:val="auto"/>
          <w:highlight w:val="none"/>
        </w:rPr>
        <w:fldChar w:fldCharType="end"/>
      </w:r>
      <w:r>
        <w:rPr>
          <w:rFonts w:ascii="宋体" w:hAnsi="宋体"/>
          <w:color w:val="auto"/>
          <w:highlight w:val="none"/>
        </w:rPr>
        <w:fldChar w:fldCharType="end"/>
      </w:r>
    </w:p>
    <w:p w14:paraId="577B9297">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_Toc16762 </w:instrText>
      </w:r>
      <w:r>
        <w:rPr>
          <w:rFonts w:ascii="宋体" w:hAnsi="宋体"/>
          <w:color w:val="auto"/>
          <w:highlight w:val="none"/>
        </w:rPr>
        <w:fldChar w:fldCharType="separate"/>
      </w:r>
      <w:r>
        <w:rPr>
          <w:color w:val="auto"/>
          <w:highlight w:val="none"/>
        </w:rPr>
        <w:t>1.9 踏勘现场</w:t>
      </w:r>
      <w:r>
        <w:rPr>
          <w:color w:val="auto"/>
          <w:highlight w:val="none"/>
        </w:rPr>
        <w:tab/>
      </w:r>
      <w:r>
        <w:rPr>
          <w:color w:val="auto"/>
          <w:highlight w:val="none"/>
        </w:rPr>
        <w:fldChar w:fldCharType="begin"/>
      </w:r>
      <w:r>
        <w:rPr>
          <w:color w:val="auto"/>
          <w:highlight w:val="none"/>
        </w:rPr>
        <w:instrText xml:space="preserve"> PAGEREF _Toc16762 \h </w:instrText>
      </w:r>
      <w:r>
        <w:rPr>
          <w:color w:val="auto"/>
          <w:highlight w:val="none"/>
        </w:rPr>
        <w:fldChar w:fldCharType="separate"/>
      </w:r>
      <w:r>
        <w:rPr>
          <w:color w:val="auto"/>
          <w:highlight w:val="none"/>
        </w:rPr>
        <w:t>28</w:t>
      </w:r>
      <w:r>
        <w:rPr>
          <w:color w:val="auto"/>
          <w:highlight w:val="none"/>
        </w:rPr>
        <w:fldChar w:fldCharType="end"/>
      </w:r>
      <w:r>
        <w:rPr>
          <w:rFonts w:ascii="宋体" w:hAnsi="宋体"/>
          <w:color w:val="auto"/>
          <w:highlight w:val="none"/>
        </w:rPr>
        <w:fldChar w:fldCharType="end"/>
      </w:r>
    </w:p>
    <w:p w14:paraId="76885722">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_Toc12181 </w:instrText>
      </w:r>
      <w:r>
        <w:rPr>
          <w:rFonts w:ascii="宋体" w:hAnsi="宋体"/>
          <w:color w:val="auto"/>
          <w:highlight w:val="none"/>
        </w:rPr>
        <w:fldChar w:fldCharType="separate"/>
      </w:r>
      <w:r>
        <w:rPr>
          <w:color w:val="auto"/>
          <w:highlight w:val="none"/>
        </w:rPr>
        <w:t>1.10 投标预备会</w:t>
      </w:r>
      <w:r>
        <w:rPr>
          <w:color w:val="auto"/>
          <w:highlight w:val="none"/>
        </w:rPr>
        <w:tab/>
      </w:r>
      <w:r>
        <w:rPr>
          <w:color w:val="auto"/>
          <w:highlight w:val="none"/>
        </w:rPr>
        <w:fldChar w:fldCharType="begin"/>
      </w:r>
      <w:r>
        <w:rPr>
          <w:color w:val="auto"/>
          <w:highlight w:val="none"/>
        </w:rPr>
        <w:instrText xml:space="preserve"> PAGEREF _Toc12181 \h </w:instrText>
      </w:r>
      <w:r>
        <w:rPr>
          <w:color w:val="auto"/>
          <w:highlight w:val="none"/>
        </w:rPr>
        <w:fldChar w:fldCharType="separate"/>
      </w:r>
      <w:r>
        <w:rPr>
          <w:color w:val="auto"/>
          <w:highlight w:val="none"/>
        </w:rPr>
        <w:t>28</w:t>
      </w:r>
      <w:r>
        <w:rPr>
          <w:color w:val="auto"/>
          <w:highlight w:val="none"/>
        </w:rPr>
        <w:fldChar w:fldCharType="end"/>
      </w:r>
      <w:r>
        <w:rPr>
          <w:rFonts w:ascii="宋体" w:hAnsi="宋体"/>
          <w:color w:val="auto"/>
          <w:highlight w:val="none"/>
        </w:rPr>
        <w:fldChar w:fldCharType="end"/>
      </w:r>
    </w:p>
    <w:p w14:paraId="73BE371C">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_Toc16702 </w:instrText>
      </w:r>
      <w:r>
        <w:rPr>
          <w:rFonts w:ascii="宋体" w:hAnsi="宋体"/>
          <w:color w:val="auto"/>
          <w:highlight w:val="none"/>
        </w:rPr>
        <w:fldChar w:fldCharType="separate"/>
      </w:r>
      <w:r>
        <w:rPr>
          <w:color w:val="auto"/>
          <w:highlight w:val="none"/>
        </w:rPr>
        <w:t>1.11 分包</w:t>
      </w:r>
      <w:r>
        <w:rPr>
          <w:color w:val="auto"/>
          <w:highlight w:val="none"/>
        </w:rPr>
        <w:tab/>
      </w:r>
      <w:r>
        <w:rPr>
          <w:color w:val="auto"/>
          <w:highlight w:val="none"/>
        </w:rPr>
        <w:fldChar w:fldCharType="begin"/>
      </w:r>
      <w:r>
        <w:rPr>
          <w:color w:val="auto"/>
          <w:highlight w:val="none"/>
        </w:rPr>
        <w:instrText xml:space="preserve"> PAGEREF _Toc16702 \h </w:instrText>
      </w:r>
      <w:r>
        <w:rPr>
          <w:color w:val="auto"/>
          <w:highlight w:val="none"/>
        </w:rPr>
        <w:fldChar w:fldCharType="separate"/>
      </w:r>
      <w:r>
        <w:rPr>
          <w:color w:val="auto"/>
          <w:highlight w:val="none"/>
        </w:rPr>
        <w:t>28</w:t>
      </w:r>
      <w:r>
        <w:rPr>
          <w:color w:val="auto"/>
          <w:highlight w:val="none"/>
        </w:rPr>
        <w:fldChar w:fldCharType="end"/>
      </w:r>
      <w:r>
        <w:rPr>
          <w:rFonts w:ascii="宋体" w:hAnsi="宋体"/>
          <w:color w:val="auto"/>
          <w:highlight w:val="none"/>
        </w:rPr>
        <w:fldChar w:fldCharType="end"/>
      </w:r>
    </w:p>
    <w:p w14:paraId="4AE32E84">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_Toc11914 </w:instrText>
      </w:r>
      <w:r>
        <w:rPr>
          <w:rFonts w:ascii="宋体" w:hAnsi="宋体"/>
          <w:color w:val="auto"/>
          <w:highlight w:val="none"/>
        </w:rPr>
        <w:fldChar w:fldCharType="separate"/>
      </w:r>
      <w:r>
        <w:rPr>
          <w:color w:val="auto"/>
          <w:highlight w:val="none"/>
        </w:rPr>
        <w:t xml:space="preserve">1.12 </w:t>
      </w:r>
      <w:r>
        <w:rPr>
          <w:rFonts w:hint="eastAsia"/>
          <w:color w:val="auto"/>
          <w:highlight w:val="none"/>
        </w:rPr>
        <w:t>响应和</w:t>
      </w:r>
      <w:r>
        <w:rPr>
          <w:color w:val="auto"/>
          <w:highlight w:val="none"/>
        </w:rPr>
        <w:t>偏离</w:t>
      </w:r>
      <w:r>
        <w:rPr>
          <w:color w:val="auto"/>
          <w:highlight w:val="none"/>
        </w:rPr>
        <w:tab/>
      </w:r>
      <w:r>
        <w:rPr>
          <w:color w:val="auto"/>
          <w:highlight w:val="none"/>
        </w:rPr>
        <w:fldChar w:fldCharType="begin"/>
      </w:r>
      <w:r>
        <w:rPr>
          <w:color w:val="auto"/>
          <w:highlight w:val="none"/>
        </w:rPr>
        <w:instrText xml:space="preserve"> PAGEREF _Toc11914 \h </w:instrText>
      </w:r>
      <w:r>
        <w:rPr>
          <w:color w:val="auto"/>
          <w:highlight w:val="none"/>
        </w:rPr>
        <w:fldChar w:fldCharType="separate"/>
      </w:r>
      <w:r>
        <w:rPr>
          <w:color w:val="auto"/>
          <w:highlight w:val="none"/>
        </w:rPr>
        <w:t>28</w:t>
      </w:r>
      <w:r>
        <w:rPr>
          <w:color w:val="auto"/>
          <w:highlight w:val="none"/>
        </w:rPr>
        <w:fldChar w:fldCharType="end"/>
      </w:r>
      <w:r>
        <w:rPr>
          <w:rFonts w:ascii="宋体" w:hAnsi="宋体"/>
          <w:color w:val="auto"/>
          <w:highlight w:val="none"/>
        </w:rPr>
        <w:fldChar w:fldCharType="end"/>
      </w:r>
    </w:p>
    <w:p w14:paraId="4BCD9336">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_Toc7483 </w:instrText>
      </w:r>
      <w:r>
        <w:rPr>
          <w:rFonts w:ascii="宋体" w:hAnsi="宋体"/>
          <w:color w:val="auto"/>
          <w:highlight w:val="none"/>
        </w:rPr>
        <w:fldChar w:fldCharType="separate"/>
      </w:r>
      <w:r>
        <w:rPr>
          <w:color w:val="auto"/>
          <w:highlight w:val="none"/>
        </w:rPr>
        <w:t>2 招标文件</w:t>
      </w:r>
      <w:r>
        <w:rPr>
          <w:color w:val="auto"/>
          <w:highlight w:val="none"/>
        </w:rPr>
        <w:tab/>
      </w:r>
      <w:r>
        <w:rPr>
          <w:color w:val="auto"/>
          <w:highlight w:val="none"/>
        </w:rPr>
        <w:fldChar w:fldCharType="begin"/>
      </w:r>
      <w:r>
        <w:rPr>
          <w:color w:val="auto"/>
          <w:highlight w:val="none"/>
        </w:rPr>
        <w:instrText xml:space="preserve"> PAGEREF _Toc7483 \h </w:instrText>
      </w:r>
      <w:r>
        <w:rPr>
          <w:color w:val="auto"/>
          <w:highlight w:val="none"/>
        </w:rPr>
        <w:fldChar w:fldCharType="separate"/>
      </w:r>
      <w:r>
        <w:rPr>
          <w:color w:val="auto"/>
          <w:highlight w:val="none"/>
        </w:rPr>
        <w:t>28</w:t>
      </w:r>
      <w:r>
        <w:rPr>
          <w:color w:val="auto"/>
          <w:highlight w:val="none"/>
        </w:rPr>
        <w:fldChar w:fldCharType="end"/>
      </w:r>
      <w:r>
        <w:rPr>
          <w:rFonts w:ascii="宋体" w:hAnsi="宋体"/>
          <w:color w:val="auto"/>
          <w:highlight w:val="none"/>
        </w:rPr>
        <w:fldChar w:fldCharType="end"/>
      </w:r>
    </w:p>
    <w:p w14:paraId="391E7627">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_Toc5398 </w:instrText>
      </w:r>
      <w:r>
        <w:rPr>
          <w:rFonts w:ascii="宋体" w:hAnsi="宋体"/>
          <w:color w:val="auto"/>
          <w:highlight w:val="none"/>
        </w:rPr>
        <w:fldChar w:fldCharType="separate"/>
      </w:r>
      <w:r>
        <w:rPr>
          <w:color w:val="auto"/>
          <w:highlight w:val="none"/>
        </w:rPr>
        <w:t>2.1 招标文件的组成</w:t>
      </w:r>
      <w:r>
        <w:rPr>
          <w:color w:val="auto"/>
          <w:highlight w:val="none"/>
        </w:rPr>
        <w:tab/>
      </w:r>
      <w:r>
        <w:rPr>
          <w:color w:val="auto"/>
          <w:highlight w:val="none"/>
        </w:rPr>
        <w:fldChar w:fldCharType="begin"/>
      </w:r>
      <w:r>
        <w:rPr>
          <w:color w:val="auto"/>
          <w:highlight w:val="none"/>
        </w:rPr>
        <w:instrText xml:space="preserve"> PAGEREF _Toc5398 \h </w:instrText>
      </w:r>
      <w:r>
        <w:rPr>
          <w:color w:val="auto"/>
          <w:highlight w:val="none"/>
        </w:rPr>
        <w:fldChar w:fldCharType="separate"/>
      </w:r>
      <w:r>
        <w:rPr>
          <w:color w:val="auto"/>
          <w:highlight w:val="none"/>
        </w:rPr>
        <w:t>28</w:t>
      </w:r>
      <w:r>
        <w:rPr>
          <w:color w:val="auto"/>
          <w:highlight w:val="none"/>
        </w:rPr>
        <w:fldChar w:fldCharType="end"/>
      </w:r>
      <w:r>
        <w:rPr>
          <w:rFonts w:ascii="宋体" w:hAnsi="宋体"/>
          <w:color w:val="auto"/>
          <w:highlight w:val="none"/>
        </w:rPr>
        <w:fldChar w:fldCharType="end"/>
      </w:r>
    </w:p>
    <w:p w14:paraId="3DE44991">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_Toc27308 </w:instrText>
      </w:r>
      <w:r>
        <w:rPr>
          <w:rFonts w:ascii="宋体" w:hAnsi="宋体"/>
          <w:color w:val="auto"/>
          <w:highlight w:val="none"/>
        </w:rPr>
        <w:fldChar w:fldCharType="separate"/>
      </w:r>
      <w:r>
        <w:rPr>
          <w:color w:val="auto"/>
          <w:highlight w:val="none"/>
        </w:rPr>
        <w:t>2.2 招标文件的澄清</w:t>
      </w:r>
      <w:r>
        <w:rPr>
          <w:color w:val="auto"/>
          <w:highlight w:val="none"/>
        </w:rPr>
        <w:tab/>
      </w:r>
      <w:r>
        <w:rPr>
          <w:color w:val="auto"/>
          <w:highlight w:val="none"/>
        </w:rPr>
        <w:fldChar w:fldCharType="begin"/>
      </w:r>
      <w:r>
        <w:rPr>
          <w:color w:val="auto"/>
          <w:highlight w:val="none"/>
        </w:rPr>
        <w:instrText xml:space="preserve"> PAGEREF _Toc27308 \h </w:instrText>
      </w:r>
      <w:r>
        <w:rPr>
          <w:color w:val="auto"/>
          <w:highlight w:val="none"/>
        </w:rPr>
        <w:fldChar w:fldCharType="separate"/>
      </w:r>
      <w:r>
        <w:rPr>
          <w:color w:val="auto"/>
          <w:highlight w:val="none"/>
        </w:rPr>
        <w:t>29</w:t>
      </w:r>
      <w:r>
        <w:rPr>
          <w:color w:val="auto"/>
          <w:highlight w:val="none"/>
        </w:rPr>
        <w:fldChar w:fldCharType="end"/>
      </w:r>
      <w:r>
        <w:rPr>
          <w:rFonts w:ascii="宋体" w:hAnsi="宋体"/>
          <w:color w:val="auto"/>
          <w:highlight w:val="none"/>
        </w:rPr>
        <w:fldChar w:fldCharType="end"/>
      </w:r>
    </w:p>
    <w:p w14:paraId="20CB4AFE">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_Toc22436 </w:instrText>
      </w:r>
      <w:r>
        <w:rPr>
          <w:rFonts w:ascii="宋体" w:hAnsi="宋体"/>
          <w:color w:val="auto"/>
          <w:highlight w:val="none"/>
        </w:rPr>
        <w:fldChar w:fldCharType="separate"/>
      </w:r>
      <w:r>
        <w:rPr>
          <w:color w:val="auto"/>
          <w:highlight w:val="none"/>
        </w:rPr>
        <w:t>2.3 招标文件的修改</w:t>
      </w:r>
      <w:r>
        <w:rPr>
          <w:color w:val="auto"/>
          <w:highlight w:val="none"/>
        </w:rPr>
        <w:tab/>
      </w:r>
      <w:r>
        <w:rPr>
          <w:color w:val="auto"/>
          <w:highlight w:val="none"/>
        </w:rPr>
        <w:fldChar w:fldCharType="begin"/>
      </w:r>
      <w:r>
        <w:rPr>
          <w:color w:val="auto"/>
          <w:highlight w:val="none"/>
        </w:rPr>
        <w:instrText xml:space="preserve"> PAGEREF _Toc22436 \h </w:instrText>
      </w:r>
      <w:r>
        <w:rPr>
          <w:color w:val="auto"/>
          <w:highlight w:val="none"/>
        </w:rPr>
        <w:fldChar w:fldCharType="separate"/>
      </w:r>
      <w:r>
        <w:rPr>
          <w:color w:val="auto"/>
          <w:highlight w:val="none"/>
        </w:rPr>
        <w:t>29</w:t>
      </w:r>
      <w:r>
        <w:rPr>
          <w:color w:val="auto"/>
          <w:highlight w:val="none"/>
        </w:rPr>
        <w:fldChar w:fldCharType="end"/>
      </w:r>
      <w:r>
        <w:rPr>
          <w:rFonts w:ascii="宋体" w:hAnsi="宋体"/>
          <w:color w:val="auto"/>
          <w:highlight w:val="none"/>
        </w:rPr>
        <w:fldChar w:fldCharType="end"/>
      </w:r>
    </w:p>
    <w:p w14:paraId="62180DAA">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_Toc6146 </w:instrText>
      </w:r>
      <w:r>
        <w:rPr>
          <w:rFonts w:ascii="宋体" w:hAnsi="宋体"/>
          <w:color w:val="auto"/>
          <w:highlight w:val="none"/>
        </w:rPr>
        <w:fldChar w:fldCharType="separate"/>
      </w:r>
      <w:r>
        <w:rPr>
          <w:color w:val="auto"/>
          <w:highlight w:val="none"/>
        </w:rPr>
        <w:t>3 投标文件</w:t>
      </w:r>
      <w:r>
        <w:rPr>
          <w:color w:val="auto"/>
          <w:highlight w:val="none"/>
        </w:rPr>
        <w:tab/>
      </w:r>
      <w:r>
        <w:rPr>
          <w:color w:val="auto"/>
          <w:highlight w:val="none"/>
        </w:rPr>
        <w:fldChar w:fldCharType="begin"/>
      </w:r>
      <w:r>
        <w:rPr>
          <w:color w:val="auto"/>
          <w:highlight w:val="none"/>
        </w:rPr>
        <w:instrText xml:space="preserve"> PAGEREF _Toc6146 \h </w:instrText>
      </w:r>
      <w:r>
        <w:rPr>
          <w:color w:val="auto"/>
          <w:highlight w:val="none"/>
        </w:rPr>
        <w:fldChar w:fldCharType="separate"/>
      </w:r>
      <w:r>
        <w:rPr>
          <w:color w:val="auto"/>
          <w:highlight w:val="none"/>
        </w:rPr>
        <w:t>29</w:t>
      </w:r>
      <w:r>
        <w:rPr>
          <w:color w:val="auto"/>
          <w:highlight w:val="none"/>
        </w:rPr>
        <w:fldChar w:fldCharType="end"/>
      </w:r>
      <w:r>
        <w:rPr>
          <w:rFonts w:ascii="宋体" w:hAnsi="宋体"/>
          <w:color w:val="auto"/>
          <w:highlight w:val="none"/>
        </w:rPr>
        <w:fldChar w:fldCharType="end"/>
      </w:r>
    </w:p>
    <w:p w14:paraId="1315F5B9">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_Toc4044 </w:instrText>
      </w:r>
      <w:r>
        <w:rPr>
          <w:rFonts w:ascii="宋体" w:hAnsi="宋体"/>
          <w:color w:val="auto"/>
          <w:highlight w:val="none"/>
        </w:rPr>
        <w:fldChar w:fldCharType="separate"/>
      </w:r>
      <w:r>
        <w:rPr>
          <w:color w:val="auto"/>
          <w:highlight w:val="none"/>
        </w:rPr>
        <w:t>3.1 投标文件的组成</w:t>
      </w:r>
      <w:r>
        <w:rPr>
          <w:color w:val="auto"/>
          <w:highlight w:val="none"/>
        </w:rPr>
        <w:tab/>
      </w:r>
      <w:r>
        <w:rPr>
          <w:color w:val="auto"/>
          <w:highlight w:val="none"/>
        </w:rPr>
        <w:fldChar w:fldCharType="begin"/>
      </w:r>
      <w:r>
        <w:rPr>
          <w:color w:val="auto"/>
          <w:highlight w:val="none"/>
        </w:rPr>
        <w:instrText xml:space="preserve"> PAGEREF _Toc4044 \h </w:instrText>
      </w:r>
      <w:r>
        <w:rPr>
          <w:color w:val="auto"/>
          <w:highlight w:val="none"/>
        </w:rPr>
        <w:fldChar w:fldCharType="separate"/>
      </w:r>
      <w:r>
        <w:rPr>
          <w:color w:val="auto"/>
          <w:highlight w:val="none"/>
        </w:rPr>
        <w:t>29</w:t>
      </w:r>
      <w:r>
        <w:rPr>
          <w:color w:val="auto"/>
          <w:highlight w:val="none"/>
        </w:rPr>
        <w:fldChar w:fldCharType="end"/>
      </w:r>
      <w:r>
        <w:rPr>
          <w:rFonts w:ascii="宋体" w:hAnsi="宋体"/>
          <w:color w:val="auto"/>
          <w:highlight w:val="none"/>
        </w:rPr>
        <w:fldChar w:fldCharType="end"/>
      </w:r>
    </w:p>
    <w:p w14:paraId="05C7F6C0">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_Toc20913 </w:instrText>
      </w:r>
      <w:r>
        <w:rPr>
          <w:rFonts w:ascii="宋体" w:hAnsi="宋体"/>
          <w:color w:val="auto"/>
          <w:highlight w:val="none"/>
        </w:rPr>
        <w:fldChar w:fldCharType="separate"/>
      </w:r>
      <w:r>
        <w:rPr>
          <w:color w:val="auto"/>
          <w:highlight w:val="none"/>
        </w:rPr>
        <w:t>3.2 投标报价</w:t>
      </w:r>
      <w:r>
        <w:rPr>
          <w:color w:val="auto"/>
          <w:highlight w:val="none"/>
        </w:rPr>
        <w:tab/>
      </w:r>
      <w:r>
        <w:rPr>
          <w:color w:val="auto"/>
          <w:highlight w:val="none"/>
        </w:rPr>
        <w:fldChar w:fldCharType="begin"/>
      </w:r>
      <w:r>
        <w:rPr>
          <w:color w:val="auto"/>
          <w:highlight w:val="none"/>
        </w:rPr>
        <w:instrText xml:space="preserve"> PAGEREF _Toc20913 \h </w:instrText>
      </w:r>
      <w:r>
        <w:rPr>
          <w:color w:val="auto"/>
          <w:highlight w:val="none"/>
        </w:rPr>
        <w:fldChar w:fldCharType="separate"/>
      </w:r>
      <w:r>
        <w:rPr>
          <w:color w:val="auto"/>
          <w:highlight w:val="none"/>
        </w:rPr>
        <w:t>30</w:t>
      </w:r>
      <w:r>
        <w:rPr>
          <w:color w:val="auto"/>
          <w:highlight w:val="none"/>
        </w:rPr>
        <w:fldChar w:fldCharType="end"/>
      </w:r>
      <w:r>
        <w:rPr>
          <w:rFonts w:ascii="宋体" w:hAnsi="宋体"/>
          <w:color w:val="auto"/>
          <w:highlight w:val="none"/>
        </w:rPr>
        <w:fldChar w:fldCharType="end"/>
      </w:r>
    </w:p>
    <w:p w14:paraId="02CF9423">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_Toc21607 </w:instrText>
      </w:r>
      <w:r>
        <w:rPr>
          <w:rFonts w:ascii="宋体" w:hAnsi="宋体"/>
          <w:color w:val="auto"/>
          <w:highlight w:val="none"/>
        </w:rPr>
        <w:fldChar w:fldCharType="separate"/>
      </w:r>
      <w:r>
        <w:rPr>
          <w:color w:val="auto"/>
          <w:highlight w:val="none"/>
        </w:rPr>
        <w:t>3.3 投标有效期</w:t>
      </w:r>
      <w:r>
        <w:rPr>
          <w:color w:val="auto"/>
          <w:highlight w:val="none"/>
        </w:rPr>
        <w:tab/>
      </w:r>
      <w:r>
        <w:rPr>
          <w:color w:val="auto"/>
          <w:highlight w:val="none"/>
        </w:rPr>
        <w:fldChar w:fldCharType="begin"/>
      </w:r>
      <w:r>
        <w:rPr>
          <w:color w:val="auto"/>
          <w:highlight w:val="none"/>
        </w:rPr>
        <w:instrText xml:space="preserve"> PAGEREF _Toc21607 \h </w:instrText>
      </w:r>
      <w:r>
        <w:rPr>
          <w:color w:val="auto"/>
          <w:highlight w:val="none"/>
        </w:rPr>
        <w:fldChar w:fldCharType="separate"/>
      </w:r>
      <w:r>
        <w:rPr>
          <w:color w:val="auto"/>
          <w:highlight w:val="none"/>
        </w:rPr>
        <w:t>30</w:t>
      </w:r>
      <w:r>
        <w:rPr>
          <w:color w:val="auto"/>
          <w:highlight w:val="none"/>
        </w:rPr>
        <w:fldChar w:fldCharType="end"/>
      </w:r>
      <w:r>
        <w:rPr>
          <w:rFonts w:ascii="宋体" w:hAnsi="宋体"/>
          <w:color w:val="auto"/>
          <w:highlight w:val="none"/>
        </w:rPr>
        <w:fldChar w:fldCharType="end"/>
      </w:r>
    </w:p>
    <w:p w14:paraId="2BBBDBE8">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_Toc26242 </w:instrText>
      </w:r>
      <w:r>
        <w:rPr>
          <w:rFonts w:ascii="宋体" w:hAnsi="宋体"/>
          <w:color w:val="auto"/>
          <w:highlight w:val="none"/>
        </w:rPr>
        <w:fldChar w:fldCharType="separate"/>
      </w:r>
      <w:r>
        <w:rPr>
          <w:color w:val="auto"/>
          <w:highlight w:val="none"/>
        </w:rPr>
        <w:t>3.4 投标保证金</w:t>
      </w:r>
      <w:r>
        <w:rPr>
          <w:color w:val="auto"/>
          <w:highlight w:val="none"/>
        </w:rPr>
        <w:tab/>
      </w:r>
      <w:r>
        <w:rPr>
          <w:color w:val="auto"/>
          <w:highlight w:val="none"/>
        </w:rPr>
        <w:fldChar w:fldCharType="begin"/>
      </w:r>
      <w:r>
        <w:rPr>
          <w:color w:val="auto"/>
          <w:highlight w:val="none"/>
        </w:rPr>
        <w:instrText xml:space="preserve"> PAGEREF _Toc26242 \h </w:instrText>
      </w:r>
      <w:r>
        <w:rPr>
          <w:color w:val="auto"/>
          <w:highlight w:val="none"/>
        </w:rPr>
        <w:fldChar w:fldCharType="separate"/>
      </w:r>
      <w:r>
        <w:rPr>
          <w:color w:val="auto"/>
          <w:highlight w:val="none"/>
        </w:rPr>
        <w:t>30</w:t>
      </w:r>
      <w:r>
        <w:rPr>
          <w:color w:val="auto"/>
          <w:highlight w:val="none"/>
        </w:rPr>
        <w:fldChar w:fldCharType="end"/>
      </w:r>
      <w:r>
        <w:rPr>
          <w:rFonts w:ascii="宋体" w:hAnsi="宋体"/>
          <w:color w:val="auto"/>
          <w:highlight w:val="none"/>
        </w:rPr>
        <w:fldChar w:fldCharType="end"/>
      </w:r>
    </w:p>
    <w:p w14:paraId="13F3E223">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_Toc18216 </w:instrText>
      </w:r>
      <w:r>
        <w:rPr>
          <w:rFonts w:ascii="宋体" w:hAnsi="宋体"/>
          <w:color w:val="auto"/>
          <w:highlight w:val="none"/>
        </w:rPr>
        <w:fldChar w:fldCharType="separate"/>
      </w:r>
      <w:r>
        <w:rPr>
          <w:rFonts w:hint="eastAsia"/>
          <w:color w:val="auto"/>
          <w:highlight w:val="none"/>
        </w:rPr>
        <w:t>3.</w:t>
      </w:r>
      <w:r>
        <w:rPr>
          <w:color w:val="auto"/>
          <w:highlight w:val="none"/>
        </w:rPr>
        <w:t>5</w:t>
      </w:r>
      <w:r>
        <w:rPr>
          <w:rFonts w:hint="eastAsia"/>
          <w:color w:val="auto"/>
          <w:highlight w:val="none"/>
        </w:rPr>
        <w:t xml:space="preserve"> 资格审查资料（适用于未进行资格预审的）</w:t>
      </w:r>
      <w:r>
        <w:rPr>
          <w:color w:val="auto"/>
          <w:highlight w:val="none"/>
        </w:rPr>
        <w:tab/>
      </w:r>
      <w:r>
        <w:rPr>
          <w:color w:val="auto"/>
          <w:highlight w:val="none"/>
        </w:rPr>
        <w:fldChar w:fldCharType="begin"/>
      </w:r>
      <w:r>
        <w:rPr>
          <w:color w:val="auto"/>
          <w:highlight w:val="none"/>
        </w:rPr>
        <w:instrText xml:space="preserve"> PAGEREF _Toc18216 \h </w:instrText>
      </w:r>
      <w:r>
        <w:rPr>
          <w:color w:val="auto"/>
          <w:highlight w:val="none"/>
        </w:rPr>
        <w:fldChar w:fldCharType="separate"/>
      </w:r>
      <w:r>
        <w:rPr>
          <w:color w:val="auto"/>
          <w:highlight w:val="none"/>
        </w:rPr>
        <w:t>31</w:t>
      </w:r>
      <w:r>
        <w:rPr>
          <w:color w:val="auto"/>
          <w:highlight w:val="none"/>
        </w:rPr>
        <w:fldChar w:fldCharType="end"/>
      </w:r>
      <w:r>
        <w:rPr>
          <w:rFonts w:ascii="宋体" w:hAnsi="宋体"/>
          <w:color w:val="auto"/>
          <w:highlight w:val="none"/>
        </w:rPr>
        <w:fldChar w:fldCharType="end"/>
      </w:r>
    </w:p>
    <w:p w14:paraId="01BFDDDF">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_Toc28481 </w:instrText>
      </w:r>
      <w:r>
        <w:rPr>
          <w:rFonts w:ascii="宋体" w:hAnsi="宋体"/>
          <w:color w:val="auto"/>
          <w:highlight w:val="none"/>
        </w:rPr>
        <w:fldChar w:fldCharType="separate"/>
      </w:r>
      <w:r>
        <w:rPr>
          <w:color w:val="auto"/>
          <w:highlight w:val="none"/>
        </w:rPr>
        <w:t>3.</w:t>
      </w:r>
      <w:r>
        <w:rPr>
          <w:rFonts w:hint="eastAsia"/>
          <w:color w:val="auto"/>
          <w:highlight w:val="none"/>
        </w:rPr>
        <w:t>6</w:t>
      </w:r>
      <w:r>
        <w:rPr>
          <w:color w:val="auto"/>
          <w:highlight w:val="none"/>
        </w:rPr>
        <w:t xml:space="preserve"> 备选投标方案</w:t>
      </w:r>
      <w:r>
        <w:rPr>
          <w:color w:val="auto"/>
          <w:highlight w:val="none"/>
        </w:rPr>
        <w:tab/>
      </w:r>
      <w:r>
        <w:rPr>
          <w:color w:val="auto"/>
          <w:highlight w:val="none"/>
        </w:rPr>
        <w:fldChar w:fldCharType="begin"/>
      </w:r>
      <w:r>
        <w:rPr>
          <w:color w:val="auto"/>
          <w:highlight w:val="none"/>
        </w:rPr>
        <w:instrText xml:space="preserve"> PAGEREF _Toc28481 \h </w:instrText>
      </w:r>
      <w:r>
        <w:rPr>
          <w:color w:val="auto"/>
          <w:highlight w:val="none"/>
        </w:rPr>
        <w:fldChar w:fldCharType="separate"/>
      </w:r>
      <w:r>
        <w:rPr>
          <w:color w:val="auto"/>
          <w:highlight w:val="none"/>
        </w:rPr>
        <w:t>31</w:t>
      </w:r>
      <w:r>
        <w:rPr>
          <w:color w:val="auto"/>
          <w:highlight w:val="none"/>
        </w:rPr>
        <w:fldChar w:fldCharType="end"/>
      </w:r>
      <w:r>
        <w:rPr>
          <w:rFonts w:ascii="宋体" w:hAnsi="宋体"/>
          <w:color w:val="auto"/>
          <w:highlight w:val="none"/>
        </w:rPr>
        <w:fldChar w:fldCharType="end"/>
      </w:r>
    </w:p>
    <w:p w14:paraId="1B523792">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_Toc11269 </w:instrText>
      </w:r>
      <w:r>
        <w:rPr>
          <w:rFonts w:ascii="宋体" w:hAnsi="宋体"/>
          <w:color w:val="auto"/>
          <w:highlight w:val="none"/>
        </w:rPr>
        <w:fldChar w:fldCharType="separate"/>
      </w:r>
      <w:r>
        <w:rPr>
          <w:color w:val="auto"/>
          <w:highlight w:val="none"/>
        </w:rPr>
        <w:t>3.</w:t>
      </w:r>
      <w:r>
        <w:rPr>
          <w:rFonts w:hint="eastAsia"/>
          <w:color w:val="auto"/>
          <w:highlight w:val="none"/>
        </w:rPr>
        <w:t>7</w:t>
      </w:r>
      <w:r>
        <w:rPr>
          <w:color w:val="auto"/>
          <w:highlight w:val="none"/>
        </w:rPr>
        <w:t xml:space="preserve"> 投标文件的编制</w:t>
      </w:r>
      <w:r>
        <w:rPr>
          <w:color w:val="auto"/>
          <w:highlight w:val="none"/>
        </w:rPr>
        <w:tab/>
      </w:r>
      <w:r>
        <w:rPr>
          <w:color w:val="auto"/>
          <w:highlight w:val="none"/>
        </w:rPr>
        <w:fldChar w:fldCharType="begin"/>
      </w:r>
      <w:r>
        <w:rPr>
          <w:color w:val="auto"/>
          <w:highlight w:val="none"/>
        </w:rPr>
        <w:instrText xml:space="preserve"> PAGEREF _Toc11269 \h </w:instrText>
      </w:r>
      <w:r>
        <w:rPr>
          <w:color w:val="auto"/>
          <w:highlight w:val="none"/>
        </w:rPr>
        <w:fldChar w:fldCharType="separate"/>
      </w:r>
      <w:r>
        <w:rPr>
          <w:color w:val="auto"/>
          <w:highlight w:val="none"/>
        </w:rPr>
        <w:t>31</w:t>
      </w:r>
      <w:r>
        <w:rPr>
          <w:color w:val="auto"/>
          <w:highlight w:val="none"/>
        </w:rPr>
        <w:fldChar w:fldCharType="end"/>
      </w:r>
      <w:r>
        <w:rPr>
          <w:rFonts w:ascii="宋体" w:hAnsi="宋体"/>
          <w:color w:val="auto"/>
          <w:highlight w:val="none"/>
        </w:rPr>
        <w:fldChar w:fldCharType="end"/>
      </w:r>
    </w:p>
    <w:p w14:paraId="33D776D8">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_Toc23804 </w:instrText>
      </w:r>
      <w:r>
        <w:rPr>
          <w:rFonts w:ascii="宋体" w:hAnsi="宋体"/>
          <w:color w:val="auto"/>
          <w:highlight w:val="none"/>
        </w:rPr>
        <w:fldChar w:fldCharType="separate"/>
      </w:r>
      <w:r>
        <w:rPr>
          <w:color w:val="auto"/>
          <w:highlight w:val="none"/>
        </w:rPr>
        <w:t>4 投标</w:t>
      </w:r>
      <w:r>
        <w:rPr>
          <w:color w:val="auto"/>
          <w:highlight w:val="none"/>
        </w:rPr>
        <w:tab/>
      </w:r>
      <w:r>
        <w:rPr>
          <w:color w:val="auto"/>
          <w:highlight w:val="none"/>
        </w:rPr>
        <w:fldChar w:fldCharType="begin"/>
      </w:r>
      <w:r>
        <w:rPr>
          <w:color w:val="auto"/>
          <w:highlight w:val="none"/>
        </w:rPr>
        <w:instrText xml:space="preserve"> PAGEREF _Toc23804 \h </w:instrText>
      </w:r>
      <w:r>
        <w:rPr>
          <w:color w:val="auto"/>
          <w:highlight w:val="none"/>
        </w:rPr>
        <w:fldChar w:fldCharType="separate"/>
      </w:r>
      <w:r>
        <w:rPr>
          <w:color w:val="auto"/>
          <w:highlight w:val="none"/>
        </w:rPr>
        <w:t>31</w:t>
      </w:r>
      <w:r>
        <w:rPr>
          <w:color w:val="auto"/>
          <w:highlight w:val="none"/>
        </w:rPr>
        <w:fldChar w:fldCharType="end"/>
      </w:r>
      <w:r>
        <w:rPr>
          <w:rFonts w:ascii="宋体" w:hAnsi="宋体"/>
          <w:color w:val="auto"/>
          <w:highlight w:val="none"/>
        </w:rPr>
        <w:fldChar w:fldCharType="end"/>
      </w:r>
    </w:p>
    <w:p w14:paraId="5B937B70">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_Toc16638 </w:instrText>
      </w:r>
      <w:r>
        <w:rPr>
          <w:rFonts w:ascii="宋体" w:hAnsi="宋体"/>
          <w:color w:val="auto"/>
          <w:highlight w:val="none"/>
        </w:rPr>
        <w:fldChar w:fldCharType="separate"/>
      </w:r>
      <w:r>
        <w:rPr>
          <w:color w:val="auto"/>
          <w:highlight w:val="none"/>
        </w:rPr>
        <w:t>4.1</w:t>
      </w:r>
      <w:r>
        <w:rPr>
          <w:rFonts w:hint="eastAsia"/>
          <w:color w:val="auto"/>
          <w:highlight w:val="none"/>
        </w:rPr>
        <w:t>投标文件的加密和数字证书认证</w:t>
      </w:r>
      <w:r>
        <w:rPr>
          <w:color w:val="auto"/>
          <w:highlight w:val="none"/>
        </w:rPr>
        <w:tab/>
      </w:r>
      <w:r>
        <w:rPr>
          <w:color w:val="auto"/>
          <w:highlight w:val="none"/>
        </w:rPr>
        <w:fldChar w:fldCharType="begin"/>
      </w:r>
      <w:r>
        <w:rPr>
          <w:color w:val="auto"/>
          <w:highlight w:val="none"/>
        </w:rPr>
        <w:instrText xml:space="preserve"> PAGEREF _Toc16638 \h </w:instrText>
      </w:r>
      <w:r>
        <w:rPr>
          <w:color w:val="auto"/>
          <w:highlight w:val="none"/>
        </w:rPr>
        <w:fldChar w:fldCharType="separate"/>
      </w:r>
      <w:r>
        <w:rPr>
          <w:color w:val="auto"/>
          <w:highlight w:val="none"/>
        </w:rPr>
        <w:t>31</w:t>
      </w:r>
      <w:r>
        <w:rPr>
          <w:color w:val="auto"/>
          <w:highlight w:val="none"/>
        </w:rPr>
        <w:fldChar w:fldCharType="end"/>
      </w:r>
      <w:r>
        <w:rPr>
          <w:rFonts w:ascii="宋体" w:hAnsi="宋体"/>
          <w:color w:val="auto"/>
          <w:highlight w:val="none"/>
        </w:rPr>
        <w:fldChar w:fldCharType="end"/>
      </w:r>
    </w:p>
    <w:p w14:paraId="07A8060E">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_Toc27191 </w:instrText>
      </w:r>
      <w:r>
        <w:rPr>
          <w:rFonts w:ascii="宋体" w:hAnsi="宋体"/>
          <w:color w:val="auto"/>
          <w:highlight w:val="none"/>
        </w:rPr>
        <w:fldChar w:fldCharType="separate"/>
      </w:r>
      <w:r>
        <w:rPr>
          <w:rFonts w:hint="eastAsia"/>
          <w:color w:val="auto"/>
          <w:highlight w:val="none"/>
        </w:rPr>
        <w:t>4.2 未加密的电子投标文件U盘的密封和标记</w:t>
      </w:r>
      <w:r>
        <w:rPr>
          <w:color w:val="auto"/>
          <w:highlight w:val="none"/>
        </w:rPr>
        <w:tab/>
      </w:r>
      <w:r>
        <w:rPr>
          <w:color w:val="auto"/>
          <w:highlight w:val="none"/>
        </w:rPr>
        <w:fldChar w:fldCharType="begin"/>
      </w:r>
      <w:r>
        <w:rPr>
          <w:color w:val="auto"/>
          <w:highlight w:val="none"/>
        </w:rPr>
        <w:instrText xml:space="preserve"> PAGEREF _Toc27191 \h </w:instrText>
      </w:r>
      <w:r>
        <w:rPr>
          <w:color w:val="auto"/>
          <w:highlight w:val="none"/>
        </w:rPr>
        <w:fldChar w:fldCharType="separate"/>
      </w:r>
      <w:r>
        <w:rPr>
          <w:color w:val="auto"/>
          <w:highlight w:val="none"/>
        </w:rPr>
        <w:t>31</w:t>
      </w:r>
      <w:r>
        <w:rPr>
          <w:color w:val="auto"/>
          <w:highlight w:val="none"/>
        </w:rPr>
        <w:fldChar w:fldCharType="end"/>
      </w:r>
      <w:r>
        <w:rPr>
          <w:rFonts w:ascii="宋体" w:hAnsi="宋体"/>
          <w:color w:val="auto"/>
          <w:highlight w:val="none"/>
        </w:rPr>
        <w:fldChar w:fldCharType="end"/>
      </w:r>
    </w:p>
    <w:p w14:paraId="76846CDF">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_Toc255 </w:instrText>
      </w:r>
      <w:r>
        <w:rPr>
          <w:rFonts w:ascii="宋体" w:hAnsi="宋体"/>
          <w:color w:val="auto"/>
          <w:highlight w:val="none"/>
        </w:rPr>
        <w:fldChar w:fldCharType="separate"/>
      </w:r>
      <w:r>
        <w:rPr>
          <w:rFonts w:hint="eastAsia"/>
          <w:color w:val="auto"/>
          <w:highlight w:val="none"/>
        </w:rPr>
        <w:t>4.3投标文件的递交</w:t>
      </w:r>
      <w:r>
        <w:rPr>
          <w:color w:val="auto"/>
          <w:highlight w:val="none"/>
        </w:rPr>
        <w:tab/>
      </w:r>
      <w:r>
        <w:rPr>
          <w:color w:val="auto"/>
          <w:highlight w:val="none"/>
        </w:rPr>
        <w:fldChar w:fldCharType="begin"/>
      </w:r>
      <w:r>
        <w:rPr>
          <w:color w:val="auto"/>
          <w:highlight w:val="none"/>
        </w:rPr>
        <w:instrText xml:space="preserve"> PAGEREF _Toc255 \h </w:instrText>
      </w:r>
      <w:r>
        <w:rPr>
          <w:color w:val="auto"/>
          <w:highlight w:val="none"/>
        </w:rPr>
        <w:fldChar w:fldCharType="separate"/>
      </w:r>
      <w:r>
        <w:rPr>
          <w:color w:val="auto"/>
          <w:highlight w:val="none"/>
        </w:rPr>
        <w:t>31</w:t>
      </w:r>
      <w:r>
        <w:rPr>
          <w:color w:val="auto"/>
          <w:highlight w:val="none"/>
        </w:rPr>
        <w:fldChar w:fldCharType="end"/>
      </w:r>
      <w:r>
        <w:rPr>
          <w:rFonts w:ascii="宋体" w:hAnsi="宋体"/>
          <w:color w:val="auto"/>
          <w:highlight w:val="none"/>
        </w:rPr>
        <w:fldChar w:fldCharType="end"/>
      </w:r>
    </w:p>
    <w:p w14:paraId="6B14818D">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_Toc3774 </w:instrText>
      </w:r>
      <w:r>
        <w:rPr>
          <w:rFonts w:ascii="宋体" w:hAnsi="宋体"/>
          <w:color w:val="auto"/>
          <w:highlight w:val="none"/>
        </w:rPr>
        <w:fldChar w:fldCharType="separate"/>
      </w:r>
      <w:r>
        <w:rPr>
          <w:color w:val="auto"/>
          <w:highlight w:val="none"/>
        </w:rPr>
        <w:t>4.</w:t>
      </w:r>
      <w:r>
        <w:rPr>
          <w:rFonts w:hint="eastAsia"/>
          <w:color w:val="auto"/>
          <w:highlight w:val="none"/>
        </w:rPr>
        <w:t>4投标文件的修改与撤回</w:t>
      </w:r>
      <w:r>
        <w:rPr>
          <w:color w:val="auto"/>
          <w:highlight w:val="none"/>
        </w:rPr>
        <w:tab/>
      </w:r>
      <w:r>
        <w:rPr>
          <w:color w:val="auto"/>
          <w:highlight w:val="none"/>
        </w:rPr>
        <w:fldChar w:fldCharType="begin"/>
      </w:r>
      <w:r>
        <w:rPr>
          <w:color w:val="auto"/>
          <w:highlight w:val="none"/>
        </w:rPr>
        <w:instrText xml:space="preserve"> PAGEREF _Toc3774 \h </w:instrText>
      </w:r>
      <w:r>
        <w:rPr>
          <w:color w:val="auto"/>
          <w:highlight w:val="none"/>
        </w:rPr>
        <w:fldChar w:fldCharType="separate"/>
      </w:r>
      <w:r>
        <w:rPr>
          <w:color w:val="auto"/>
          <w:highlight w:val="none"/>
        </w:rPr>
        <w:t>32</w:t>
      </w:r>
      <w:r>
        <w:rPr>
          <w:color w:val="auto"/>
          <w:highlight w:val="none"/>
        </w:rPr>
        <w:fldChar w:fldCharType="end"/>
      </w:r>
      <w:r>
        <w:rPr>
          <w:rFonts w:ascii="宋体" w:hAnsi="宋体"/>
          <w:color w:val="auto"/>
          <w:highlight w:val="none"/>
        </w:rPr>
        <w:fldChar w:fldCharType="end"/>
      </w:r>
    </w:p>
    <w:p w14:paraId="75E9B14A">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_Toc4849 </w:instrText>
      </w:r>
      <w:r>
        <w:rPr>
          <w:rFonts w:ascii="宋体" w:hAnsi="宋体"/>
          <w:color w:val="auto"/>
          <w:highlight w:val="none"/>
        </w:rPr>
        <w:fldChar w:fldCharType="separate"/>
      </w:r>
      <w:r>
        <w:rPr>
          <w:color w:val="auto"/>
          <w:highlight w:val="none"/>
        </w:rPr>
        <w:t>5 开标</w:t>
      </w:r>
      <w:r>
        <w:rPr>
          <w:color w:val="auto"/>
          <w:highlight w:val="none"/>
        </w:rPr>
        <w:tab/>
      </w:r>
      <w:r>
        <w:rPr>
          <w:color w:val="auto"/>
          <w:highlight w:val="none"/>
        </w:rPr>
        <w:fldChar w:fldCharType="begin"/>
      </w:r>
      <w:r>
        <w:rPr>
          <w:color w:val="auto"/>
          <w:highlight w:val="none"/>
        </w:rPr>
        <w:instrText xml:space="preserve"> PAGEREF _Toc4849 \h </w:instrText>
      </w:r>
      <w:r>
        <w:rPr>
          <w:color w:val="auto"/>
          <w:highlight w:val="none"/>
        </w:rPr>
        <w:fldChar w:fldCharType="separate"/>
      </w:r>
      <w:r>
        <w:rPr>
          <w:color w:val="auto"/>
          <w:highlight w:val="none"/>
        </w:rPr>
        <w:t>32</w:t>
      </w:r>
      <w:r>
        <w:rPr>
          <w:color w:val="auto"/>
          <w:highlight w:val="none"/>
        </w:rPr>
        <w:fldChar w:fldCharType="end"/>
      </w:r>
      <w:r>
        <w:rPr>
          <w:rFonts w:ascii="宋体" w:hAnsi="宋体"/>
          <w:color w:val="auto"/>
          <w:highlight w:val="none"/>
        </w:rPr>
        <w:fldChar w:fldCharType="end"/>
      </w:r>
    </w:p>
    <w:p w14:paraId="13C41F47">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_Toc21239 </w:instrText>
      </w:r>
      <w:r>
        <w:rPr>
          <w:rFonts w:ascii="宋体" w:hAnsi="宋体"/>
          <w:color w:val="auto"/>
          <w:highlight w:val="none"/>
        </w:rPr>
        <w:fldChar w:fldCharType="separate"/>
      </w:r>
      <w:r>
        <w:rPr>
          <w:color w:val="auto"/>
          <w:highlight w:val="none"/>
        </w:rPr>
        <w:t>5.1 开标时间和地点</w:t>
      </w:r>
      <w:r>
        <w:rPr>
          <w:color w:val="auto"/>
          <w:highlight w:val="none"/>
        </w:rPr>
        <w:tab/>
      </w:r>
      <w:r>
        <w:rPr>
          <w:color w:val="auto"/>
          <w:highlight w:val="none"/>
        </w:rPr>
        <w:fldChar w:fldCharType="begin"/>
      </w:r>
      <w:r>
        <w:rPr>
          <w:color w:val="auto"/>
          <w:highlight w:val="none"/>
        </w:rPr>
        <w:instrText xml:space="preserve"> PAGEREF _Toc21239 \h </w:instrText>
      </w:r>
      <w:r>
        <w:rPr>
          <w:color w:val="auto"/>
          <w:highlight w:val="none"/>
        </w:rPr>
        <w:fldChar w:fldCharType="separate"/>
      </w:r>
      <w:r>
        <w:rPr>
          <w:color w:val="auto"/>
          <w:highlight w:val="none"/>
        </w:rPr>
        <w:t>32</w:t>
      </w:r>
      <w:r>
        <w:rPr>
          <w:color w:val="auto"/>
          <w:highlight w:val="none"/>
        </w:rPr>
        <w:fldChar w:fldCharType="end"/>
      </w:r>
      <w:r>
        <w:rPr>
          <w:rFonts w:ascii="宋体" w:hAnsi="宋体"/>
          <w:color w:val="auto"/>
          <w:highlight w:val="none"/>
        </w:rPr>
        <w:fldChar w:fldCharType="end"/>
      </w:r>
    </w:p>
    <w:p w14:paraId="335C1156">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_Toc28215 </w:instrText>
      </w:r>
      <w:r>
        <w:rPr>
          <w:rFonts w:ascii="宋体" w:hAnsi="宋体"/>
          <w:color w:val="auto"/>
          <w:highlight w:val="none"/>
        </w:rPr>
        <w:fldChar w:fldCharType="separate"/>
      </w:r>
      <w:r>
        <w:rPr>
          <w:color w:val="auto"/>
          <w:highlight w:val="none"/>
        </w:rPr>
        <w:t>5.2 开标程序</w:t>
      </w:r>
      <w:r>
        <w:rPr>
          <w:color w:val="auto"/>
          <w:highlight w:val="none"/>
        </w:rPr>
        <w:tab/>
      </w:r>
      <w:r>
        <w:rPr>
          <w:color w:val="auto"/>
          <w:highlight w:val="none"/>
        </w:rPr>
        <w:fldChar w:fldCharType="begin"/>
      </w:r>
      <w:r>
        <w:rPr>
          <w:color w:val="auto"/>
          <w:highlight w:val="none"/>
        </w:rPr>
        <w:instrText xml:space="preserve"> PAGEREF _Toc28215 \h </w:instrText>
      </w:r>
      <w:r>
        <w:rPr>
          <w:color w:val="auto"/>
          <w:highlight w:val="none"/>
        </w:rPr>
        <w:fldChar w:fldCharType="separate"/>
      </w:r>
      <w:r>
        <w:rPr>
          <w:color w:val="auto"/>
          <w:highlight w:val="none"/>
        </w:rPr>
        <w:t>32</w:t>
      </w:r>
      <w:r>
        <w:rPr>
          <w:color w:val="auto"/>
          <w:highlight w:val="none"/>
        </w:rPr>
        <w:fldChar w:fldCharType="end"/>
      </w:r>
      <w:r>
        <w:rPr>
          <w:rFonts w:ascii="宋体" w:hAnsi="宋体"/>
          <w:color w:val="auto"/>
          <w:highlight w:val="none"/>
        </w:rPr>
        <w:fldChar w:fldCharType="end"/>
      </w:r>
    </w:p>
    <w:p w14:paraId="3EF88170">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_Toc1770 </w:instrText>
      </w:r>
      <w:r>
        <w:rPr>
          <w:rFonts w:ascii="宋体" w:hAnsi="宋体"/>
          <w:color w:val="auto"/>
          <w:highlight w:val="none"/>
        </w:rPr>
        <w:fldChar w:fldCharType="separate"/>
      </w:r>
      <w:r>
        <w:rPr>
          <w:color w:val="auto"/>
          <w:highlight w:val="none"/>
        </w:rPr>
        <w:t>5.</w:t>
      </w:r>
      <w:r>
        <w:rPr>
          <w:rFonts w:hint="eastAsia"/>
          <w:color w:val="auto"/>
          <w:highlight w:val="none"/>
        </w:rPr>
        <w:t>3电子开标的应急措施</w:t>
      </w:r>
      <w:r>
        <w:rPr>
          <w:color w:val="auto"/>
          <w:highlight w:val="none"/>
        </w:rPr>
        <w:tab/>
      </w:r>
      <w:r>
        <w:rPr>
          <w:color w:val="auto"/>
          <w:highlight w:val="none"/>
        </w:rPr>
        <w:fldChar w:fldCharType="begin"/>
      </w:r>
      <w:r>
        <w:rPr>
          <w:color w:val="auto"/>
          <w:highlight w:val="none"/>
        </w:rPr>
        <w:instrText xml:space="preserve"> PAGEREF _Toc1770 \h </w:instrText>
      </w:r>
      <w:r>
        <w:rPr>
          <w:color w:val="auto"/>
          <w:highlight w:val="none"/>
        </w:rPr>
        <w:fldChar w:fldCharType="separate"/>
      </w:r>
      <w:r>
        <w:rPr>
          <w:color w:val="auto"/>
          <w:highlight w:val="none"/>
        </w:rPr>
        <w:t>33</w:t>
      </w:r>
      <w:r>
        <w:rPr>
          <w:color w:val="auto"/>
          <w:highlight w:val="none"/>
        </w:rPr>
        <w:fldChar w:fldCharType="end"/>
      </w:r>
      <w:r>
        <w:rPr>
          <w:rFonts w:ascii="宋体" w:hAnsi="宋体"/>
          <w:color w:val="auto"/>
          <w:highlight w:val="none"/>
        </w:rPr>
        <w:fldChar w:fldCharType="end"/>
      </w:r>
    </w:p>
    <w:p w14:paraId="6AB7C11C">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_Toc18475 </w:instrText>
      </w:r>
      <w:r>
        <w:rPr>
          <w:rFonts w:ascii="宋体" w:hAnsi="宋体"/>
          <w:color w:val="auto"/>
          <w:highlight w:val="none"/>
        </w:rPr>
        <w:fldChar w:fldCharType="separate"/>
      </w:r>
      <w:r>
        <w:rPr>
          <w:color w:val="auto"/>
          <w:highlight w:val="none"/>
        </w:rPr>
        <w:t xml:space="preserve">5.4 </w:t>
      </w:r>
      <w:r>
        <w:rPr>
          <w:rFonts w:hint="eastAsia" w:cs="黑体"/>
          <w:color w:val="auto"/>
          <w:highlight w:val="none"/>
        </w:rPr>
        <w:t>不予开标</w:t>
      </w:r>
      <w:r>
        <w:rPr>
          <w:color w:val="auto"/>
          <w:highlight w:val="none"/>
        </w:rPr>
        <w:tab/>
      </w:r>
      <w:r>
        <w:rPr>
          <w:color w:val="auto"/>
          <w:highlight w:val="none"/>
        </w:rPr>
        <w:fldChar w:fldCharType="begin"/>
      </w:r>
      <w:r>
        <w:rPr>
          <w:color w:val="auto"/>
          <w:highlight w:val="none"/>
        </w:rPr>
        <w:instrText xml:space="preserve"> PAGEREF _Toc18475 \h </w:instrText>
      </w:r>
      <w:r>
        <w:rPr>
          <w:color w:val="auto"/>
          <w:highlight w:val="none"/>
        </w:rPr>
        <w:fldChar w:fldCharType="separate"/>
      </w:r>
      <w:r>
        <w:rPr>
          <w:color w:val="auto"/>
          <w:highlight w:val="none"/>
        </w:rPr>
        <w:t>34</w:t>
      </w:r>
      <w:r>
        <w:rPr>
          <w:color w:val="auto"/>
          <w:highlight w:val="none"/>
        </w:rPr>
        <w:fldChar w:fldCharType="end"/>
      </w:r>
      <w:r>
        <w:rPr>
          <w:rFonts w:ascii="宋体" w:hAnsi="宋体"/>
          <w:color w:val="auto"/>
          <w:highlight w:val="none"/>
        </w:rPr>
        <w:fldChar w:fldCharType="end"/>
      </w:r>
    </w:p>
    <w:p w14:paraId="198F45CF">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_Toc16978 </w:instrText>
      </w:r>
      <w:r>
        <w:rPr>
          <w:rFonts w:ascii="宋体" w:hAnsi="宋体"/>
          <w:color w:val="auto"/>
          <w:highlight w:val="none"/>
        </w:rPr>
        <w:fldChar w:fldCharType="separate"/>
      </w:r>
      <w:r>
        <w:rPr>
          <w:color w:val="auto"/>
          <w:highlight w:val="none"/>
        </w:rPr>
        <w:t xml:space="preserve">5.5 </w:t>
      </w:r>
      <w:r>
        <w:rPr>
          <w:rFonts w:hint="eastAsia" w:cs="黑体"/>
          <w:color w:val="auto"/>
          <w:highlight w:val="none"/>
        </w:rPr>
        <w:t>开标异议</w:t>
      </w:r>
      <w:r>
        <w:rPr>
          <w:color w:val="auto"/>
          <w:highlight w:val="none"/>
        </w:rPr>
        <w:tab/>
      </w:r>
      <w:r>
        <w:rPr>
          <w:color w:val="auto"/>
          <w:highlight w:val="none"/>
        </w:rPr>
        <w:fldChar w:fldCharType="begin"/>
      </w:r>
      <w:r>
        <w:rPr>
          <w:color w:val="auto"/>
          <w:highlight w:val="none"/>
        </w:rPr>
        <w:instrText xml:space="preserve"> PAGEREF _Toc16978 \h </w:instrText>
      </w:r>
      <w:r>
        <w:rPr>
          <w:color w:val="auto"/>
          <w:highlight w:val="none"/>
        </w:rPr>
        <w:fldChar w:fldCharType="separate"/>
      </w:r>
      <w:r>
        <w:rPr>
          <w:color w:val="auto"/>
          <w:highlight w:val="none"/>
        </w:rPr>
        <w:t>34</w:t>
      </w:r>
      <w:r>
        <w:rPr>
          <w:color w:val="auto"/>
          <w:highlight w:val="none"/>
        </w:rPr>
        <w:fldChar w:fldCharType="end"/>
      </w:r>
      <w:r>
        <w:rPr>
          <w:rFonts w:ascii="宋体" w:hAnsi="宋体"/>
          <w:color w:val="auto"/>
          <w:highlight w:val="none"/>
        </w:rPr>
        <w:fldChar w:fldCharType="end"/>
      </w:r>
    </w:p>
    <w:p w14:paraId="5EC158E6">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_Toc14925 </w:instrText>
      </w:r>
      <w:r>
        <w:rPr>
          <w:rFonts w:ascii="宋体" w:hAnsi="宋体"/>
          <w:color w:val="auto"/>
          <w:highlight w:val="none"/>
        </w:rPr>
        <w:fldChar w:fldCharType="separate"/>
      </w:r>
      <w:r>
        <w:rPr>
          <w:color w:val="auto"/>
          <w:highlight w:val="none"/>
        </w:rPr>
        <w:t>6 评标</w:t>
      </w:r>
      <w:r>
        <w:rPr>
          <w:color w:val="auto"/>
          <w:highlight w:val="none"/>
        </w:rPr>
        <w:tab/>
      </w:r>
      <w:r>
        <w:rPr>
          <w:color w:val="auto"/>
          <w:highlight w:val="none"/>
        </w:rPr>
        <w:fldChar w:fldCharType="begin"/>
      </w:r>
      <w:r>
        <w:rPr>
          <w:color w:val="auto"/>
          <w:highlight w:val="none"/>
        </w:rPr>
        <w:instrText xml:space="preserve"> PAGEREF _Toc14925 \h </w:instrText>
      </w:r>
      <w:r>
        <w:rPr>
          <w:color w:val="auto"/>
          <w:highlight w:val="none"/>
        </w:rPr>
        <w:fldChar w:fldCharType="separate"/>
      </w:r>
      <w:r>
        <w:rPr>
          <w:color w:val="auto"/>
          <w:highlight w:val="none"/>
        </w:rPr>
        <w:t>34</w:t>
      </w:r>
      <w:r>
        <w:rPr>
          <w:color w:val="auto"/>
          <w:highlight w:val="none"/>
        </w:rPr>
        <w:fldChar w:fldCharType="end"/>
      </w:r>
      <w:r>
        <w:rPr>
          <w:rFonts w:ascii="宋体" w:hAnsi="宋体"/>
          <w:color w:val="auto"/>
          <w:highlight w:val="none"/>
        </w:rPr>
        <w:fldChar w:fldCharType="end"/>
      </w:r>
    </w:p>
    <w:p w14:paraId="64D6D150">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_Toc32376 </w:instrText>
      </w:r>
      <w:r>
        <w:rPr>
          <w:rFonts w:ascii="宋体" w:hAnsi="宋体"/>
          <w:color w:val="auto"/>
          <w:highlight w:val="none"/>
        </w:rPr>
        <w:fldChar w:fldCharType="separate"/>
      </w:r>
      <w:r>
        <w:rPr>
          <w:color w:val="auto"/>
          <w:highlight w:val="none"/>
        </w:rPr>
        <w:t>6.1 评标委员会</w:t>
      </w:r>
      <w:r>
        <w:rPr>
          <w:color w:val="auto"/>
          <w:highlight w:val="none"/>
        </w:rPr>
        <w:tab/>
      </w:r>
      <w:r>
        <w:rPr>
          <w:color w:val="auto"/>
          <w:highlight w:val="none"/>
        </w:rPr>
        <w:fldChar w:fldCharType="begin"/>
      </w:r>
      <w:r>
        <w:rPr>
          <w:color w:val="auto"/>
          <w:highlight w:val="none"/>
        </w:rPr>
        <w:instrText xml:space="preserve"> PAGEREF _Toc32376 \h </w:instrText>
      </w:r>
      <w:r>
        <w:rPr>
          <w:color w:val="auto"/>
          <w:highlight w:val="none"/>
        </w:rPr>
        <w:fldChar w:fldCharType="separate"/>
      </w:r>
      <w:r>
        <w:rPr>
          <w:color w:val="auto"/>
          <w:highlight w:val="none"/>
        </w:rPr>
        <w:t>34</w:t>
      </w:r>
      <w:r>
        <w:rPr>
          <w:color w:val="auto"/>
          <w:highlight w:val="none"/>
        </w:rPr>
        <w:fldChar w:fldCharType="end"/>
      </w:r>
      <w:r>
        <w:rPr>
          <w:rFonts w:ascii="宋体" w:hAnsi="宋体"/>
          <w:color w:val="auto"/>
          <w:highlight w:val="none"/>
        </w:rPr>
        <w:fldChar w:fldCharType="end"/>
      </w:r>
    </w:p>
    <w:p w14:paraId="5D53307A">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_Toc20305 </w:instrText>
      </w:r>
      <w:r>
        <w:rPr>
          <w:rFonts w:ascii="宋体" w:hAnsi="宋体"/>
          <w:color w:val="auto"/>
          <w:highlight w:val="none"/>
        </w:rPr>
        <w:fldChar w:fldCharType="separate"/>
      </w:r>
      <w:r>
        <w:rPr>
          <w:color w:val="auto"/>
          <w:highlight w:val="none"/>
        </w:rPr>
        <w:t>6.2 评标原则</w:t>
      </w:r>
      <w:r>
        <w:rPr>
          <w:color w:val="auto"/>
          <w:highlight w:val="none"/>
        </w:rPr>
        <w:tab/>
      </w:r>
      <w:r>
        <w:rPr>
          <w:color w:val="auto"/>
          <w:highlight w:val="none"/>
        </w:rPr>
        <w:fldChar w:fldCharType="begin"/>
      </w:r>
      <w:r>
        <w:rPr>
          <w:color w:val="auto"/>
          <w:highlight w:val="none"/>
        </w:rPr>
        <w:instrText xml:space="preserve"> PAGEREF _Toc20305 \h </w:instrText>
      </w:r>
      <w:r>
        <w:rPr>
          <w:color w:val="auto"/>
          <w:highlight w:val="none"/>
        </w:rPr>
        <w:fldChar w:fldCharType="separate"/>
      </w:r>
      <w:r>
        <w:rPr>
          <w:color w:val="auto"/>
          <w:highlight w:val="none"/>
        </w:rPr>
        <w:t>35</w:t>
      </w:r>
      <w:r>
        <w:rPr>
          <w:color w:val="auto"/>
          <w:highlight w:val="none"/>
        </w:rPr>
        <w:fldChar w:fldCharType="end"/>
      </w:r>
      <w:r>
        <w:rPr>
          <w:rFonts w:ascii="宋体" w:hAnsi="宋体"/>
          <w:color w:val="auto"/>
          <w:highlight w:val="none"/>
        </w:rPr>
        <w:fldChar w:fldCharType="end"/>
      </w:r>
    </w:p>
    <w:p w14:paraId="3AF15FDD">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_Toc24490 </w:instrText>
      </w:r>
      <w:r>
        <w:rPr>
          <w:rFonts w:ascii="宋体" w:hAnsi="宋体"/>
          <w:color w:val="auto"/>
          <w:highlight w:val="none"/>
        </w:rPr>
        <w:fldChar w:fldCharType="separate"/>
      </w:r>
      <w:r>
        <w:rPr>
          <w:color w:val="auto"/>
          <w:highlight w:val="none"/>
        </w:rPr>
        <w:t>6.3 评标方式</w:t>
      </w:r>
      <w:r>
        <w:rPr>
          <w:color w:val="auto"/>
          <w:highlight w:val="none"/>
        </w:rPr>
        <w:tab/>
      </w:r>
      <w:r>
        <w:rPr>
          <w:color w:val="auto"/>
          <w:highlight w:val="none"/>
        </w:rPr>
        <w:fldChar w:fldCharType="begin"/>
      </w:r>
      <w:r>
        <w:rPr>
          <w:color w:val="auto"/>
          <w:highlight w:val="none"/>
        </w:rPr>
        <w:instrText xml:space="preserve"> PAGEREF _Toc24490 \h </w:instrText>
      </w:r>
      <w:r>
        <w:rPr>
          <w:color w:val="auto"/>
          <w:highlight w:val="none"/>
        </w:rPr>
        <w:fldChar w:fldCharType="separate"/>
      </w:r>
      <w:r>
        <w:rPr>
          <w:color w:val="auto"/>
          <w:highlight w:val="none"/>
        </w:rPr>
        <w:t>35</w:t>
      </w:r>
      <w:r>
        <w:rPr>
          <w:color w:val="auto"/>
          <w:highlight w:val="none"/>
        </w:rPr>
        <w:fldChar w:fldCharType="end"/>
      </w:r>
      <w:r>
        <w:rPr>
          <w:rFonts w:ascii="宋体" w:hAnsi="宋体"/>
          <w:color w:val="auto"/>
          <w:highlight w:val="none"/>
        </w:rPr>
        <w:fldChar w:fldCharType="end"/>
      </w:r>
    </w:p>
    <w:p w14:paraId="4909E307">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_Toc21800 </w:instrText>
      </w:r>
      <w:r>
        <w:rPr>
          <w:rFonts w:ascii="宋体" w:hAnsi="宋体"/>
          <w:color w:val="auto"/>
          <w:highlight w:val="none"/>
        </w:rPr>
        <w:fldChar w:fldCharType="separate"/>
      </w:r>
      <w:r>
        <w:rPr>
          <w:color w:val="auto"/>
          <w:highlight w:val="none"/>
        </w:rPr>
        <w:t>6.4 移交评标资料</w:t>
      </w:r>
      <w:r>
        <w:rPr>
          <w:color w:val="auto"/>
          <w:highlight w:val="none"/>
        </w:rPr>
        <w:tab/>
      </w:r>
      <w:r>
        <w:rPr>
          <w:color w:val="auto"/>
          <w:highlight w:val="none"/>
        </w:rPr>
        <w:fldChar w:fldCharType="begin"/>
      </w:r>
      <w:r>
        <w:rPr>
          <w:color w:val="auto"/>
          <w:highlight w:val="none"/>
        </w:rPr>
        <w:instrText xml:space="preserve"> PAGEREF _Toc21800 \h </w:instrText>
      </w:r>
      <w:r>
        <w:rPr>
          <w:color w:val="auto"/>
          <w:highlight w:val="none"/>
        </w:rPr>
        <w:fldChar w:fldCharType="separate"/>
      </w:r>
      <w:r>
        <w:rPr>
          <w:color w:val="auto"/>
          <w:highlight w:val="none"/>
        </w:rPr>
        <w:t>35</w:t>
      </w:r>
      <w:r>
        <w:rPr>
          <w:color w:val="auto"/>
          <w:highlight w:val="none"/>
        </w:rPr>
        <w:fldChar w:fldCharType="end"/>
      </w:r>
      <w:r>
        <w:rPr>
          <w:rFonts w:ascii="宋体" w:hAnsi="宋体"/>
          <w:color w:val="auto"/>
          <w:highlight w:val="none"/>
        </w:rPr>
        <w:fldChar w:fldCharType="end"/>
      </w:r>
    </w:p>
    <w:p w14:paraId="155A4612">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_Toc13182 </w:instrText>
      </w:r>
      <w:r>
        <w:rPr>
          <w:rFonts w:ascii="宋体" w:hAnsi="宋体"/>
          <w:color w:val="auto"/>
          <w:highlight w:val="none"/>
        </w:rPr>
        <w:fldChar w:fldCharType="separate"/>
      </w:r>
      <w:r>
        <w:rPr>
          <w:color w:val="auto"/>
          <w:highlight w:val="none"/>
        </w:rPr>
        <w:t>6.5 评标资料封存和启封</w:t>
      </w:r>
      <w:r>
        <w:rPr>
          <w:color w:val="auto"/>
          <w:highlight w:val="none"/>
        </w:rPr>
        <w:tab/>
      </w:r>
      <w:r>
        <w:rPr>
          <w:color w:val="auto"/>
          <w:highlight w:val="none"/>
        </w:rPr>
        <w:fldChar w:fldCharType="begin"/>
      </w:r>
      <w:r>
        <w:rPr>
          <w:color w:val="auto"/>
          <w:highlight w:val="none"/>
        </w:rPr>
        <w:instrText xml:space="preserve"> PAGEREF _Toc13182 \h </w:instrText>
      </w:r>
      <w:r>
        <w:rPr>
          <w:color w:val="auto"/>
          <w:highlight w:val="none"/>
        </w:rPr>
        <w:fldChar w:fldCharType="separate"/>
      </w:r>
      <w:r>
        <w:rPr>
          <w:color w:val="auto"/>
          <w:highlight w:val="none"/>
        </w:rPr>
        <w:t>35</w:t>
      </w:r>
      <w:r>
        <w:rPr>
          <w:color w:val="auto"/>
          <w:highlight w:val="none"/>
        </w:rPr>
        <w:fldChar w:fldCharType="end"/>
      </w:r>
      <w:r>
        <w:rPr>
          <w:rFonts w:ascii="宋体" w:hAnsi="宋体"/>
          <w:color w:val="auto"/>
          <w:highlight w:val="none"/>
        </w:rPr>
        <w:fldChar w:fldCharType="end"/>
      </w:r>
    </w:p>
    <w:p w14:paraId="5936C96A">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_Toc1205 </w:instrText>
      </w:r>
      <w:r>
        <w:rPr>
          <w:rFonts w:ascii="宋体" w:hAnsi="宋体"/>
          <w:color w:val="auto"/>
          <w:highlight w:val="none"/>
        </w:rPr>
        <w:fldChar w:fldCharType="separate"/>
      </w:r>
      <w:r>
        <w:rPr>
          <w:color w:val="auto"/>
          <w:highlight w:val="none"/>
        </w:rPr>
        <w:t xml:space="preserve">6.6 </w:t>
      </w:r>
      <w:r>
        <w:rPr>
          <w:rFonts w:hint="eastAsia"/>
          <w:color w:val="auto"/>
          <w:highlight w:val="none"/>
        </w:rPr>
        <w:t>中标候选人公示</w:t>
      </w:r>
      <w:r>
        <w:rPr>
          <w:color w:val="auto"/>
          <w:highlight w:val="none"/>
        </w:rPr>
        <w:tab/>
      </w:r>
      <w:r>
        <w:rPr>
          <w:color w:val="auto"/>
          <w:highlight w:val="none"/>
        </w:rPr>
        <w:fldChar w:fldCharType="begin"/>
      </w:r>
      <w:r>
        <w:rPr>
          <w:color w:val="auto"/>
          <w:highlight w:val="none"/>
        </w:rPr>
        <w:instrText xml:space="preserve"> PAGEREF _Toc1205 \h </w:instrText>
      </w:r>
      <w:r>
        <w:rPr>
          <w:color w:val="auto"/>
          <w:highlight w:val="none"/>
        </w:rPr>
        <w:fldChar w:fldCharType="separate"/>
      </w:r>
      <w:r>
        <w:rPr>
          <w:color w:val="auto"/>
          <w:highlight w:val="none"/>
        </w:rPr>
        <w:t>35</w:t>
      </w:r>
      <w:r>
        <w:rPr>
          <w:color w:val="auto"/>
          <w:highlight w:val="none"/>
        </w:rPr>
        <w:fldChar w:fldCharType="end"/>
      </w:r>
      <w:r>
        <w:rPr>
          <w:rFonts w:ascii="宋体" w:hAnsi="宋体"/>
          <w:color w:val="auto"/>
          <w:highlight w:val="none"/>
        </w:rPr>
        <w:fldChar w:fldCharType="end"/>
      </w:r>
    </w:p>
    <w:p w14:paraId="41EC3F65">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_Toc4694 </w:instrText>
      </w:r>
      <w:r>
        <w:rPr>
          <w:rFonts w:ascii="宋体" w:hAnsi="宋体"/>
          <w:color w:val="auto"/>
          <w:highlight w:val="none"/>
        </w:rPr>
        <w:fldChar w:fldCharType="separate"/>
      </w:r>
      <w:r>
        <w:rPr>
          <w:color w:val="auto"/>
          <w:highlight w:val="none"/>
        </w:rPr>
        <w:t>7 合同授予</w:t>
      </w:r>
      <w:r>
        <w:rPr>
          <w:color w:val="auto"/>
          <w:highlight w:val="none"/>
        </w:rPr>
        <w:tab/>
      </w:r>
      <w:r>
        <w:rPr>
          <w:color w:val="auto"/>
          <w:highlight w:val="none"/>
        </w:rPr>
        <w:fldChar w:fldCharType="begin"/>
      </w:r>
      <w:r>
        <w:rPr>
          <w:color w:val="auto"/>
          <w:highlight w:val="none"/>
        </w:rPr>
        <w:instrText xml:space="preserve"> PAGEREF _Toc4694 \h </w:instrText>
      </w:r>
      <w:r>
        <w:rPr>
          <w:color w:val="auto"/>
          <w:highlight w:val="none"/>
        </w:rPr>
        <w:fldChar w:fldCharType="separate"/>
      </w:r>
      <w:r>
        <w:rPr>
          <w:color w:val="auto"/>
          <w:highlight w:val="none"/>
        </w:rPr>
        <w:t>36</w:t>
      </w:r>
      <w:r>
        <w:rPr>
          <w:color w:val="auto"/>
          <w:highlight w:val="none"/>
        </w:rPr>
        <w:fldChar w:fldCharType="end"/>
      </w:r>
      <w:r>
        <w:rPr>
          <w:rFonts w:ascii="宋体" w:hAnsi="宋体"/>
          <w:color w:val="auto"/>
          <w:highlight w:val="none"/>
        </w:rPr>
        <w:fldChar w:fldCharType="end"/>
      </w:r>
    </w:p>
    <w:p w14:paraId="26A07C92">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_Toc21459 </w:instrText>
      </w:r>
      <w:r>
        <w:rPr>
          <w:rFonts w:ascii="宋体" w:hAnsi="宋体"/>
          <w:color w:val="auto"/>
          <w:highlight w:val="none"/>
        </w:rPr>
        <w:fldChar w:fldCharType="separate"/>
      </w:r>
      <w:r>
        <w:rPr>
          <w:color w:val="auto"/>
          <w:highlight w:val="none"/>
        </w:rPr>
        <w:t>7.1</w:t>
      </w:r>
      <w:r>
        <w:rPr>
          <w:rFonts w:hint="eastAsia"/>
          <w:color w:val="auto"/>
          <w:highlight w:val="none"/>
        </w:rPr>
        <w:t>中标候选人公示</w:t>
      </w:r>
      <w:r>
        <w:rPr>
          <w:color w:val="auto"/>
          <w:highlight w:val="none"/>
        </w:rPr>
        <w:tab/>
      </w:r>
      <w:r>
        <w:rPr>
          <w:color w:val="auto"/>
          <w:highlight w:val="none"/>
        </w:rPr>
        <w:fldChar w:fldCharType="begin"/>
      </w:r>
      <w:r>
        <w:rPr>
          <w:color w:val="auto"/>
          <w:highlight w:val="none"/>
        </w:rPr>
        <w:instrText xml:space="preserve"> PAGEREF _Toc21459 \h </w:instrText>
      </w:r>
      <w:r>
        <w:rPr>
          <w:color w:val="auto"/>
          <w:highlight w:val="none"/>
        </w:rPr>
        <w:fldChar w:fldCharType="separate"/>
      </w:r>
      <w:r>
        <w:rPr>
          <w:color w:val="auto"/>
          <w:highlight w:val="none"/>
        </w:rPr>
        <w:t>36</w:t>
      </w:r>
      <w:r>
        <w:rPr>
          <w:color w:val="auto"/>
          <w:highlight w:val="none"/>
        </w:rPr>
        <w:fldChar w:fldCharType="end"/>
      </w:r>
      <w:r>
        <w:rPr>
          <w:rFonts w:ascii="宋体" w:hAnsi="宋体"/>
          <w:color w:val="auto"/>
          <w:highlight w:val="none"/>
        </w:rPr>
        <w:fldChar w:fldCharType="end"/>
      </w:r>
    </w:p>
    <w:p w14:paraId="0FC05365">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_Toc17839 </w:instrText>
      </w:r>
      <w:r>
        <w:rPr>
          <w:rFonts w:ascii="宋体" w:hAnsi="宋体"/>
          <w:color w:val="auto"/>
          <w:highlight w:val="none"/>
        </w:rPr>
        <w:fldChar w:fldCharType="separate"/>
      </w:r>
      <w:r>
        <w:rPr>
          <w:rFonts w:hint="eastAsia"/>
          <w:color w:val="auto"/>
          <w:highlight w:val="none"/>
        </w:rPr>
        <w:t>7.2 评标结果异议</w:t>
      </w:r>
      <w:r>
        <w:rPr>
          <w:color w:val="auto"/>
          <w:highlight w:val="none"/>
        </w:rPr>
        <w:tab/>
      </w:r>
      <w:r>
        <w:rPr>
          <w:color w:val="auto"/>
          <w:highlight w:val="none"/>
        </w:rPr>
        <w:fldChar w:fldCharType="begin"/>
      </w:r>
      <w:r>
        <w:rPr>
          <w:color w:val="auto"/>
          <w:highlight w:val="none"/>
        </w:rPr>
        <w:instrText xml:space="preserve"> PAGEREF _Toc17839 \h </w:instrText>
      </w:r>
      <w:r>
        <w:rPr>
          <w:color w:val="auto"/>
          <w:highlight w:val="none"/>
        </w:rPr>
        <w:fldChar w:fldCharType="separate"/>
      </w:r>
      <w:r>
        <w:rPr>
          <w:color w:val="auto"/>
          <w:highlight w:val="none"/>
        </w:rPr>
        <w:t>36</w:t>
      </w:r>
      <w:r>
        <w:rPr>
          <w:color w:val="auto"/>
          <w:highlight w:val="none"/>
        </w:rPr>
        <w:fldChar w:fldCharType="end"/>
      </w:r>
      <w:r>
        <w:rPr>
          <w:rFonts w:ascii="宋体" w:hAnsi="宋体"/>
          <w:color w:val="auto"/>
          <w:highlight w:val="none"/>
        </w:rPr>
        <w:fldChar w:fldCharType="end"/>
      </w:r>
    </w:p>
    <w:p w14:paraId="3B65E21E">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_Toc11470 </w:instrText>
      </w:r>
      <w:r>
        <w:rPr>
          <w:rFonts w:ascii="宋体" w:hAnsi="宋体"/>
          <w:color w:val="auto"/>
          <w:highlight w:val="none"/>
        </w:rPr>
        <w:fldChar w:fldCharType="separate"/>
      </w:r>
      <w:r>
        <w:rPr>
          <w:rFonts w:hint="eastAsia"/>
          <w:color w:val="auto"/>
          <w:highlight w:val="none"/>
        </w:rPr>
        <w:t>7.3 中标候选人履约能力审查</w:t>
      </w:r>
      <w:r>
        <w:rPr>
          <w:color w:val="auto"/>
          <w:highlight w:val="none"/>
        </w:rPr>
        <w:tab/>
      </w:r>
      <w:r>
        <w:rPr>
          <w:color w:val="auto"/>
          <w:highlight w:val="none"/>
        </w:rPr>
        <w:fldChar w:fldCharType="begin"/>
      </w:r>
      <w:r>
        <w:rPr>
          <w:color w:val="auto"/>
          <w:highlight w:val="none"/>
        </w:rPr>
        <w:instrText xml:space="preserve"> PAGEREF _Toc11470 \h </w:instrText>
      </w:r>
      <w:r>
        <w:rPr>
          <w:color w:val="auto"/>
          <w:highlight w:val="none"/>
        </w:rPr>
        <w:fldChar w:fldCharType="separate"/>
      </w:r>
      <w:r>
        <w:rPr>
          <w:color w:val="auto"/>
          <w:highlight w:val="none"/>
        </w:rPr>
        <w:t>36</w:t>
      </w:r>
      <w:r>
        <w:rPr>
          <w:color w:val="auto"/>
          <w:highlight w:val="none"/>
        </w:rPr>
        <w:fldChar w:fldCharType="end"/>
      </w:r>
      <w:r>
        <w:rPr>
          <w:rFonts w:ascii="宋体" w:hAnsi="宋体"/>
          <w:color w:val="auto"/>
          <w:highlight w:val="none"/>
        </w:rPr>
        <w:fldChar w:fldCharType="end"/>
      </w:r>
    </w:p>
    <w:p w14:paraId="4A659462">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_Toc25159 </w:instrText>
      </w:r>
      <w:r>
        <w:rPr>
          <w:rFonts w:ascii="宋体" w:hAnsi="宋体"/>
          <w:color w:val="auto"/>
          <w:highlight w:val="none"/>
        </w:rPr>
        <w:fldChar w:fldCharType="separate"/>
      </w:r>
      <w:r>
        <w:rPr>
          <w:rFonts w:hint="eastAsia"/>
          <w:color w:val="auto"/>
          <w:highlight w:val="none"/>
        </w:rPr>
        <w:t>7.4 定标方式</w:t>
      </w:r>
      <w:r>
        <w:rPr>
          <w:color w:val="auto"/>
          <w:highlight w:val="none"/>
        </w:rPr>
        <w:tab/>
      </w:r>
      <w:r>
        <w:rPr>
          <w:color w:val="auto"/>
          <w:highlight w:val="none"/>
        </w:rPr>
        <w:fldChar w:fldCharType="begin"/>
      </w:r>
      <w:r>
        <w:rPr>
          <w:color w:val="auto"/>
          <w:highlight w:val="none"/>
        </w:rPr>
        <w:instrText xml:space="preserve"> PAGEREF _Toc25159 \h </w:instrText>
      </w:r>
      <w:r>
        <w:rPr>
          <w:color w:val="auto"/>
          <w:highlight w:val="none"/>
        </w:rPr>
        <w:fldChar w:fldCharType="separate"/>
      </w:r>
      <w:r>
        <w:rPr>
          <w:color w:val="auto"/>
          <w:highlight w:val="none"/>
        </w:rPr>
        <w:t>36</w:t>
      </w:r>
      <w:r>
        <w:rPr>
          <w:color w:val="auto"/>
          <w:highlight w:val="none"/>
        </w:rPr>
        <w:fldChar w:fldCharType="end"/>
      </w:r>
      <w:r>
        <w:rPr>
          <w:rFonts w:ascii="宋体" w:hAnsi="宋体"/>
          <w:color w:val="auto"/>
          <w:highlight w:val="none"/>
        </w:rPr>
        <w:fldChar w:fldCharType="end"/>
      </w:r>
    </w:p>
    <w:p w14:paraId="7479ACC8">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_Toc24203 </w:instrText>
      </w:r>
      <w:r>
        <w:rPr>
          <w:rFonts w:ascii="宋体" w:hAnsi="宋体"/>
          <w:color w:val="auto"/>
          <w:highlight w:val="none"/>
        </w:rPr>
        <w:fldChar w:fldCharType="separate"/>
      </w:r>
      <w:r>
        <w:rPr>
          <w:color w:val="auto"/>
          <w:highlight w:val="none"/>
        </w:rPr>
        <w:t>7.</w:t>
      </w:r>
      <w:r>
        <w:rPr>
          <w:rFonts w:hint="eastAsia"/>
          <w:color w:val="auto"/>
          <w:highlight w:val="none"/>
        </w:rPr>
        <w:t>5</w:t>
      </w:r>
      <w:r>
        <w:rPr>
          <w:color w:val="auto"/>
          <w:highlight w:val="none"/>
        </w:rPr>
        <w:t xml:space="preserve"> 中标通知</w:t>
      </w:r>
      <w:r>
        <w:rPr>
          <w:rFonts w:hint="eastAsia"/>
          <w:color w:val="auto"/>
          <w:highlight w:val="none"/>
        </w:rPr>
        <w:t>及中标公告</w:t>
      </w:r>
      <w:r>
        <w:rPr>
          <w:color w:val="auto"/>
          <w:highlight w:val="none"/>
        </w:rPr>
        <w:tab/>
      </w:r>
      <w:r>
        <w:rPr>
          <w:color w:val="auto"/>
          <w:highlight w:val="none"/>
        </w:rPr>
        <w:fldChar w:fldCharType="begin"/>
      </w:r>
      <w:r>
        <w:rPr>
          <w:color w:val="auto"/>
          <w:highlight w:val="none"/>
        </w:rPr>
        <w:instrText xml:space="preserve"> PAGEREF _Toc24203 \h </w:instrText>
      </w:r>
      <w:r>
        <w:rPr>
          <w:color w:val="auto"/>
          <w:highlight w:val="none"/>
        </w:rPr>
        <w:fldChar w:fldCharType="separate"/>
      </w:r>
      <w:r>
        <w:rPr>
          <w:color w:val="auto"/>
          <w:highlight w:val="none"/>
        </w:rPr>
        <w:t>36</w:t>
      </w:r>
      <w:r>
        <w:rPr>
          <w:color w:val="auto"/>
          <w:highlight w:val="none"/>
        </w:rPr>
        <w:fldChar w:fldCharType="end"/>
      </w:r>
      <w:r>
        <w:rPr>
          <w:rFonts w:ascii="宋体" w:hAnsi="宋体"/>
          <w:color w:val="auto"/>
          <w:highlight w:val="none"/>
        </w:rPr>
        <w:fldChar w:fldCharType="end"/>
      </w:r>
    </w:p>
    <w:p w14:paraId="0A28CCEC">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_Toc15394 </w:instrText>
      </w:r>
      <w:r>
        <w:rPr>
          <w:rFonts w:ascii="宋体" w:hAnsi="宋体"/>
          <w:color w:val="auto"/>
          <w:highlight w:val="none"/>
        </w:rPr>
        <w:fldChar w:fldCharType="separate"/>
      </w:r>
      <w:r>
        <w:rPr>
          <w:rFonts w:hint="eastAsia"/>
          <w:color w:val="auto"/>
          <w:highlight w:val="none"/>
        </w:rPr>
        <w:t>7.6 技术成果经济补偿</w:t>
      </w:r>
      <w:r>
        <w:rPr>
          <w:color w:val="auto"/>
          <w:highlight w:val="none"/>
        </w:rPr>
        <w:tab/>
      </w:r>
      <w:r>
        <w:rPr>
          <w:color w:val="auto"/>
          <w:highlight w:val="none"/>
        </w:rPr>
        <w:fldChar w:fldCharType="begin"/>
      </w:r>
      <w:r>
        <w:rPr>
          <w:color w:val="auto"/>
          <w:highlight w:val="none"/>
        </w:rPr>
        <w:instrText xml:space="preserve"> PAGEREF _Toc15394 \h </w:instrText>
      </w:r>
      <w:r>
        <w:rPr>
          <w:color w:val="auto"/>
          <w:highlight w:val="none"/>
        </w:rPr>
        <w:fldChar w:fldCharType="separate"/>
      </w:r>
      <w:r>
        <w:rPr>
          <w:color w:val="auto"/>
          <w:highlight w:val="none"/>
        </w:rPr>
        <w:t>36</w:t>
      </w:r>
      <w:r>
        <w:rPr>
          <w:color w:val="auto"/>
          <w:highlight w:val="none"/>
        </w:rPr>
        <w:fldChar w:fldCharType="end"/>
      </w:r>
      <w:r>
        <w:rPr>
          <w:rFonts w:ascii="宋体" w:hAnsi="宋体"/>
          <w:color w:val="auto"/>
          <w:highlight w:val="none"/>
        </w:rPr>
        <w:fldChar w:fldCharType="end"/>
      </w:r>
    </w:p>
    <w:p w14:paraId="1FA09C0F">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_Toc29414 </w:instrText>
      </w:r>
      <w:r>
        <w:rPr>
          <w:rFonts w:ascii="宋体" w:hAnsi="宋体"/>
          <w:color w:val="auto"/>
          <w:highlight w:val="none"/>
        </w:rPr>
        <w:fldChar w:fldCharType="separate"/>
      </w:r>
      <w:r>
        <w:rPr>
          <w:color w:val="auto"/>
          <w:highlight w:val="none"/>
        </w:rPr>
        <w:t>7.</w:t>
      </w:r>
      <w:r>
        <w:rPr>
          <w:rFonts w:hint="eastAsia"/>
          <w:color w:val="auto"/>
          <w:highlight w:val="none"/>
        </w:rPr>
        <w:t>7</w:t>
      </w:r>
      <w:r>
        <w:rPr>
          <w:color w:val="auto"/>
          <w:highlight w:val="none"/>
        </w:rPr>
        <w:t xml:space="preserve"> 履约</w:t>
      </w:r>
      <w:r>
        <w:rPr>
          <w:rFonts w:hint="eastAsia"/>
          <w:color w:val="auto"/>
          <w:highlight w:val="none"/>
        </w:rPr>
        <w:t>保证金</w:t>
      </w:r>
      <w:r>
        <w:rPr>
          <w:color w:val="auto"/>
          <w:highlight w:val="none"/>
        </w:rPr>
        <w:tab/>
      </w:r>
      <w:r>
        <w:rPr>
          <w:color w:val="auto"/>
          <w:highlight w:val="none"/>
        </w:rPr>
        <w:fldChar w:fldCharType="begin"/>
      </w:r>
      <w:r>
        <w:rPr>
          <w:color w:val="auto"/>
          <w:highlight w:val="none"/>
        </w:rPr>
        <w:instrText xml:space="preserve"> PAGEREF _Toc29414 \h </w:instrText>
      </w:r>
      <w:r>
        <w:rPr>
          <w:color w:val="auto"/>
          <w:highlight w:val="none"/>
        </w:rPr>
        <w:fldChar w:fldCharType="separate"/>
      </w:r>
      <w:r>
        <w:rPr>
          <w:color w:val="auto"/>
          <w:highlight w:val="none"/>
        </w:rPr>
        <w:t>36</w:t>
      </w:r>
      <w:r>
        <w:rPr>
          <w:color w:val="auto"/>
          <w:highlight w:val="none"/>
        </w:rPr>
        <w:fldChar w:fldCharType="end"/>
      </w:r>
      <w:r>
        <w:rPr>
          <w:rFonts w:ascii="宋体" w:hAnsi="宋体"/>
          <w:color w:val="auto"/>
          <w:highlight w:val="none"/>
        </w:rPr>
        <w:fldChar w:fldCharType="end"/>
      </w:r>
    </w:p>
    <w:p w14:paraId="1D7348A6">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_Toc19436 </w:instrText>
      </w:r>
      <w:r>
        <w:rPr>
          <w:rFonts w:ascii="宋体" w:hAnsi="宋体"/>
          <w:color w:val="auto"/>
          <w:highlight w:val="none"/>
        </w:rPr>
        <w:fldChar w:fldCharType="separate"/>
      </w:r>
      <w:r>
        <w:rPr>
          <w:color w:val="auto"/>
          <w:highlight w:val="none"/>
        </w:rPr>
        <w:t>7.</w:t>
      </w:r>
      <w:r>
        <w:rPr>
          <w:rFonts w:hint="eastAsia"/>
          <w:color w:val="auto"/>
          <w:highlight w:val="none"/>
        </w:rPr>
        <w:t>8</w:t>
      </w:r>
      <w:r>
        <w:rPr>
          <w:color w:val="auto"/>
          <w:highlight w:val="none"/>
        </w:rPr>
        <w:t xml:space="preserve"> 签订合同</w:t>
      </w:r>
      <w:r>
        <w:rPr>
          <w:color w:val="auto"/>
          <w:highlight w:val="none"/>
        </w:rPr>
        <w:tab/>
      </w:r>
      <w:r>
        <w:rPr>
          <w:color w:val="auto"/>
          <w:highlight w:val="none"/>
        </w:rPr>
        <w:fldChar w:fldCharType="begin"/>
      </w:r>
      <w:r>
        <w:rPr>
          <w:color w:val="auto"/>
          <w:highlight w:val="none"/>
        </w:rPr>
        <w:instrText xml:space="preserve"> PAGEREF _Toc19436 \h </w:instrText>
      </w:r>
      <w:r>
        <w:rPr>
          <w:color w:val="auto"/>
          <w:highlight w:val="none"/>
        </w:rPr>
        <w:fldChar w:fldCharType="separate"/>
      </w:r>
      <w:r>
        <w:rPr>
          <w:color w:val="auto"/>
          <w:highlight w:val="none"/>
        </w:rPr>
        <w:t>37</w:t>
      </w:r>
      <w:r>
        <w:rPr>
          <w:color w:val="auto"/>
          <w:highlight w:val="none"/>
        </w:rPr>
        <w:fldChar w:fldCharType="end"/>
      </w:r>
      <w:r>
        <w:rPr>
          <w:rFonts w:ascii="宋体" w:hAnsi="宋体"/>
          <w:color w:val="auto"/>
          <w:highlight w:val="none"/>
        </w:rPr>
        <w:fldChar w:fldCharType="end"/>
      </w:r>
    </w:p>
    <w:p w14:paraId="467DBBFD">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_Toc17686 </w:instrText>
      </w:r>
      <w:r>
        <w:rPr>
          <w:rFonts w:ascii="宋体" w:hAnsi="宋体"/>
          <w:color w:val="auto"/>
          <w:highlight w:val="none"/>
        </w:rPr>
        <w:fldChar w:fldCharType="separate"/>
      </w:r>
      <w:r>
        <w:rPr>
          <w:color w:val="auto"/>
          <w:highlight w:val="none"/>
        </w:rPr>
        <w:t>8 重新招标和不再招标</w:t>
      </w:r>
      <w:r>
        <w:rPr>
          <w:color w:val="auto"/>
          <w:highlight w:val="none"/>
        </w:rPr>
        <w:tab/>
      </w:r>
      <w:r>
        <w:rPr>
          <w:color w:val="auto"/>
          <w:highlight w:val="none"/>
        </w:rPr>
        <w:fldChar w:fldCharType="begin"/>
      </w:r>
      <w:r>
        <w:rPr>
          <w:color w:val="auto"/>
          <w:highlight w:val="none"/>
        </w:rPr>
        <w:instrText xml:space="preserve"> PAGEREF _Toc17686 \h </w:instrText>
      </w:r>
      <w:r>
        <w:rPr>
          <w:color w:val="auto"/>
          <w:highlight w:val="none"/>
        </w:rPr>
        <w:fldChar w:fldCharType="separate"/>
      </w:r>
      <w:r>
        <w:rPr>
          <w:color w:val="auto"/>
          <w:highlight w:val="none"/>
        </w:rPr>
        <w:t>37</w:t>
      </w:r>
      <w:r>
        <w:rPr>
          <w:color w:val="auto"/>
          <w:highlight w:val="none"/>
        </w:rPr>
        <w:fldChar w:fldCharType="end"/>
      </w:r>
      <w:r>
        <w:rPr>
          <w:rFonts w:ascii="宋体" w:hAnsi="宋体"/>
          <w:color w:val="auto"/>
          <w:highlight w:val="none"/>
        </w:rPr>
        <w:fldChar w:fldCharType="end"/>
      </w:r>
    </w:p>
    <w:p w14:paraId="3129250A">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_Toc6230 </w:instrText>
      </w:r>
      <w:r>
        <w:rPr>
          <w:rFonts w:ascii="宋体" w:hAnsi="宋体"/>
          <w:color w:val="auto"/>
          <w:highlight w:val="none"/>
        </w:rPr>
        <w:fldChar w:fldCharType="separate"/>
      </w:r>
      <w:r>
        <w:rPr>
          <w:color w:val="auto"/>
          <w:highlight w:val="none"/>
        </w:rPr>
        <w:t>8.1 重新招标</w:t>
      </w:r>
      <w:r>
        <w:rPr>
          <w:color w:val="auto"/>
          <w:highlight w:val="none"/>
        </w:rPr>
        <w:tab/>
      </w:r>
      <w:r>
        <w:rPr>
          <w:color w:val="auto"/>
          <w:highlight w:val="none"/>
        </w:rPr>
        <w:fldChar w:fldCharType="begin"/>
      </w:r>
      <w:r>
        <w:rPr>
          <w:color w:val="auto"/>
          <w:highlight w:val="none"/>
        </w:rPr>
        <w:instrText xml:space="preserve"> PAGEREF _Toc6230 \h </w:instrText>
      </w:r>
      <w:r>
        <w:rPr>
          <w:color w:val="auto"/>
          <w:highlight w:val="none"/>
        </w:rPr>
        <w:fldChar w:fldCharType="separate"/>
      </w:r>
      <w:r>
        <w:rPr>
          <w:color w:val="auto"/>
          <w:highlight w:val="none"/>
        </w:rPr>
        <w:t>37</w:t>
      </w:r>
      <w:r>
        <w:rPr>
          <w:color w:val="auto"/>
          <w:highlight w:val="none"/>
        </w:rPr>
        <w:fldChar w:fldCharType="end"/>
      </w:r>
      <w:r>
        <w:rPr>
          <w:rFonts w:ascii="宋体" w:hAnsi="宋体"/>
          <w:color w:val="auto"/>
          <w:highlight w:val="none"/>
        </w:rPr>
        <w:fldChar w:fldCharType="end"/>
      </w:r>
    </w:p>
    <w:p w14:paraId="7C0D5380">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_Toc16403 </w:instrText>
      </w:r>
      <w:r>
        <w:rPr>
          <w:rFonts w:ascii="宋体" w:hAnsi="宋体"/>
          <w:color w:val="auto"/>
          <w:highlight w:val="none"/>
        </w:rPr>
        <w:fldChar w:fldCharType="separate"/>
      </w:r>
      <w:r>
        <w:rPr>
          <w:color w:val="auto"/>
          <w:highlight w:val="none"/>
        </w:rPr>
        <w:t>8.2 不再招标</w:t>
      </w:r>
      <w:r>
        <w:rPr>
          <w:color w:val="auto"/>
          <w:highlight w:val="none"/>
        </w:rPr>
        <w:tab/>
      </w:r>
      <w:r>
        <w:rPr>
          <w:color w:val="auto"/>
          <w:highlight w:val="none"/>
        </w:rPr>
        <w:fldChar w:fldCharType="begin"/>
      </w:r>
      <w:r>
        <w:rPr>
          <w:color w:val="auto"/>
          <w:highlight w:val="none"/>
        </w:rPr>
        <w:instrText xml:space="preserve"> PAGEREF _Toc16403 \h </w:instrText>
      </w:r>
      <w:r>
        <w:rPr>
          <w:color w:val="auto"/>
          <w:highlight w:val="none"/>
        </w:rPr>
        <w:fldChar w:fldCharType="separate"/>
      </w:r>
      <w:r>
        <w:rPr>
          <w:color w:val="auto"/>
          <w:highlight w:val="none"/>
        </w:rPr>
        <w:t>37</w:t>
      </w:r>
      <w:r>
        <w:rPr>
          <w:color w:val="auto"/>
          <w:highlight w:val="none"/>
        </w:rPr>
        <w:fldChar w:fldCharType="end"/>
      </w:r>
      <w:r>
        <w:rPr>
          <w:rFonts w:ascii="宋体" w:hAnsi="宋体"/>
          <w:color w:val="auto"/>
          <w:highlight w:val="none"/>
        </w:rPr>
        <w:fldChar w:fldCharType="end"/>
      </w:r>
    </w:p>
    <w:p w14:paraId="60CF4FAD">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_Toc2900 </w:instrText>
      </w:r>
      <w:r>
        <w:rPr>
          <w:rFonts w:ascii="宋体" w:hAnsi="宋体"/>
          <w:color w:val="auto"/>
          <w:highlight w:val="none"/>
        </w:rPr>
        <w:fldChar w:fldCharType="separate"/>
      </w:r>
      <w:r>
        <w:rPr>
          <w:color w:val="auto"/>
          <w:highlight w:val="none"/>
        </w:rPr>
        <w:t>9 纪律和监督</w:t>
      </w:r>
      <w:r>
        <w:rPr>
          <w:color w:val="auto"/>
          <w:highlight w:val="none"/>
        </w:rPr>
        <w:tab/>
      </w:r>
      <w:r>
        <w:rPr>
          <w:color w:val="auto"/>
          <w:highlight w:val="none"/>
        </w:rPr>
        <w:fldChar w:fldCharType="begin"/>
      </w:r>
      <w:r>
        <w:rPr>
          <w:color w:val="auto"/>
          <w:highlight w:val="none"/>
        </w:rPr>
        <w:instrText xml:space="preserve"> PAGEREF _Toc2900 \h </w:instrText>
      </w:r>
      <w:r>
        <w:rPr>
          <w:color w:val="auto"/>
          <w:highlight w:val="none"/>
        </w:rPr>
        <w:fldChar w:fldCharType="separate"/>
      </w:r>
      <w:r>
        <w:rPr>
          <w:color w:val="auto"/>
          <w:highlight w:val="none"/>
        </w:rPr>
        <w:t>37</w:t>
      </w:r>
      <w:r>
        <w:rPr>
          <w:color w:val="auto"/>
          <w:highlight w:val="none"/>
        </w:rPr>
        <w:fldChar w:fldCharType="end"/>
      </w:r>
      <w:r>
        <w:rPr>
          <w:rFonts w:ascii="宋体" w:hAnsi="宋体"/>
          <w:color w:val="auto"/>
          <w:highlight w:val="none"/>
        </w:rPr>
        <w:fldChar w:fldCharType="end"/>
      </w:r>
    </w:p>
    <w:p w14:paraId="469C5884">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_Toc11606 </w:instrText>
      </w:r>
      <w:r>
        <w:rPr>
          <w:rFonts w:ascii="宋体" w:hAnsi="宋体"/>
          <w:color w:val="auto"/>
          <w:highlight w:val="none"/>
        </w:rPr>
        <w:fldChar w:fldCharType="separate"/>
      </w:r>
      <w:r>
        <w:rPr>
          <w:color w:val="auto"/>
          <w:highlight w:val="none"/>
        </w:rPr>
        <w:t>9.1 对招标人或招标代理机构的纪律要求</w:t>
      </w:r>
      <w:r>
        <w:rPr>
          <w:color w:val="auto"/>
          <w:highlight w:val="none"/>
        </w:rPr>
        <w:tab/>
      </w:r>
      <w:r>
        <w:rPr>
          <w:color w:val="auto"/>
          <w:highlight w:val="none"/>
        </w:rPr>
        <w:fldChar w:fldCharType="begin"/>
      </w:r>
      <w:r>
        <w:rPr>
          <w:color w:val="auto"/>
          <w:highlight w:val="none"/>
        </w:rPr>
        <w:instrText xml:space="preserve"> PAGEREF _Toc11606 \h </w:instrText>
      </w:r>
      <w:r>
        <w:rPr>
          <w:color w:val="auto"/>
          <w:highlight w:val="none"/>
        </w:rPr>
        <w:fldChar w:fldCharType="separate"/>
      </w:r>
      <w:r>
        <w:rPr>
          <w:color w:val="auto"/>
          <w:highlight w:val="none"/>
        </w:rPr>
        <w:t>37</w:t>
      </w:r>
      <w:r>
        <w:rPr>
          <w:color w:val="auto"/>
          <w:highlight w:val="none"/>
        </w:rPr>
        <w:fldChar w:fldCharType="end"/>
      </w:r>
      <w:r>
        <w:rPr>
          <w:rFonts w:ascii="宋体" w:hAnsi="宋体"/>
          <w:color w:val="auto"/>
          <w:highlight w:val="none"/>
        </w:rPr>
        <w:fldChar w:fldCharType="end"/>
      </w:r>
    </w:p>
    <w:p w14:paraId="7A509026">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_Toc6770 </w:instrText>
      </w:r>
      <w:r>
        <w:rPr>
          <w:rFonts w:ascii="宋体" w:hAnsi="宋体"/>
          <w:color w:val="auto"/>
          <w:highlight w:val="none"/>
        </w:rPr>
        <w:fldChar w:fldCharType="separate"/>
      </w:r>
      <w:r>
        <w:rPr>
          <w:color w:val="auto"/>
          <w:highlight w:val="none"/>
        </w:rPr>
        <w:t>9.2 对投标人的纪律要求</w:t>
      </w:r>
      <w:r>
        <w:rPr>
          <w:color w:val="auto"/>
          <w:highlight w:val="none"/>
        </w:rPr>
        <w:tab/>
      </w:r>
      <w:r>
        <w:rPr>
          <w:color w:val="auto"/>
          <w:highlight w:val="none"/>
        </w:rPr>
        <w:fldChar w:fldCharType="begin"/>
      </w:r>
      <w:r>
        <w:rPr>
          <w:color w:val="auto"/>
          <w:highlight w:val="none"/>
        </w:rPr>
        <w:instrText xml:space="preserve"> PAGEREF _Toc6770 \h </w:instrText>
      </w:r>
      <w:r>
        <w:rPr>
          <w:color w:val="auto"/>
          <w:highlight w:val="none"/>
        </w:rPr>
        <w:fldChar w:fldCharType="separate"/>
      </w:r>
      <w:r>
        <w:rPr>
          <w:color w:val="auto"/>
          <w:highlight w:val="none"/>
        </w:rPr>
        <w:t>38</w:t>
      </w:r>
      <w:r>
        <w:rPr>
          <w:color w:val="auto"/>
          <w:highlight w:val="none"/>
        </w:rPr>
        <w:fldChar w:fldCharType="end"/>
      </w:r>
      <w:r>
        <w:rPr>
          <w:rFonts w:ascii="宋体" w:hAnsi="宋体"/>
          <w:color w:val="auto"/>
          <w:highlight w:val="none"/>
        </w:rPr>
        <w:fldChar w:fldCharType="end"/>
      </w:r>
    </w:p>
    <w:p w14:paraId="1E9D9517">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_Toc32360 </w:instrText>
      </w:r>
      <w:r>
        <w:rPr>
          <w:rFonts w:ascii="宋体" w:hAnsi="宋体"/>
          <w:color w:val="auto"/>
          <w:highlight w:val="none"/>
        </w:rPr>
        <w:fldChar w:fldCharType="separate"/>
      </w:r>
      <w:r>
        <w:rPr>
          <w:color w:val="auto"/>
          <w:highlight w:val="none"/>
        </w:rPr>
        <w:t>9.3 对评标委员会成员的纪律要求</w:t>
      </w:r>
      <w:r>
        <w:rPr>
          <w:color w:val="auto"/>
          <w:highlight w:val="none"/>
        </w:rPr>
        <w:tab/>
      </w:r>
      <w:r>
        <w:rPr>
          <w:color w:val="auto"/>
          <w:highlight w:val="none"/>
        </w:rPr>
        <w:fldChar w:fldCharType="begin"/>
      </w:r>
      <w:r>
        <w:rPr>
          <w:color w:val="auto"/>
          <w:highlight w:val="none"/>
        </w:rPr>
        <w:instrText xml:space="preserve"> PAGEREF _Toc32360 \h </w:instrText>
      </w:r>
      <w:r>
        <w:rPr>
          <w:color w:val="auto"/>
          <w:highlight w:val="none"/>
        </w:rPr>
        <w:fldChar w:fldCharType="separate"/>
      </w:r>
      <w:r>
        <w:rPr>
          <w:color w:val="auto"/>
          <w:highlight w:val="none"/>
        </w:rPr>
        <w:t>39</w:t>
      </w:r>
      <w:r>
        <w:rPr>
          <w:color w:val="auto"/>
          <w:highlight w:val="none"/>
        </w:rPr>
        <w:fldChar w:fldCharType="end"/>
      </w:r>
      <w:r>
        <w:rPr>
          <w:rFonts w:ascii="宋体" w:hAnsi="宋体"/>
          <w:color w:val="auto"/>
          <w:highlight w:val="none"/>
        </w:rPr>
        <w:fldChar w:fldCharType="end"/>
      </w:r>
    </w:p>
    <w:p w14:paraId="42FD1164">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_Toc8851 </w:instrText>
      </w:r>
      <w:r>
        <w:rPr>
          <w:rFonts w:ascii="宋体" w:hAnsi="宋体"/>
          <w:color w:val="auto"/>
          <w:highlight w:val="none"/>
        </w:rPr>
        <w:fldChar w:fldCharType="separate"/>
      </w:r>
      <w:r>
        <w:rPr>
          <w:color w:val="auto"/>
          <w:highlight w:val="none"/>
        </w:rPr>
        <w:t>9.4 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_Toc8851 \h </w:instrText>
      </w:r>
      <w:r>
        <w:rPr>
          <w:color w:val="auto"/>
          <w:highlight w:val="none"/>
        </w:rPr>
        <w:fldChar w:fldCharType="separate"/>
      </w:r>
      <w:r>
        <w:rPr>
          <w:color w:val="auto"/>
          <w:highlight w:val="none"/>
        </w:rPr>
        <w:t>40</w:t>
      </w:r>
      <w:r>
        <w:rPr>
          <w:color w:val="auto"/>
          <w:highlight w:val="none"/>
        </w:rPr>
        <w:fldChar w:fldCharType="end"/>
      </w:r>
      <w:r>
        <w:rPr>
          <w:rFonts w:ascii="宋体" w:hAnsi="宋体"/>
          <w:color w:val="auto"/>
          <w:highlight w:val="none"/>
        </w:rPr>
        <w:fldChar w:fldCharType="end"/>
      </w:r>
    </w:p>
    <w:p w14:paraId="5A88D37A">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_Toc4125 </w:instrText>
      </w:r>
      <w:r>
        <w:rPr>
          <w:rFonts w:ascii="宋体" w:hAnsi="宋体"/>
          <w:color w:val="auto"/>
          <w:highlight w:val="none"/>
        </w:rPr>
        <w:fldChar w:fldCharType="separate"/>
      </w:r>
      <w:r>
        <w:rPr>
          <w:color w:val="auto"/>
          <w:highlight w:val="none"/>
        </w:rPr>
        <w:t>9.5 投诉</w:t>
      </w:r>
      <w:r>
        <w:rPr>
          <w:color w:val="auto"/>
          <w:highlight w:val="none"/>
        </w:rPr>
        <w:tab/>
      </w:r>
      <w:r>
        <w:rPr>
          <w:color w:val="auto"/>
          <w:highlight w:val="none"/>
        </w:rPr>
        <w:fldChar w:fldCharType="begin"/>
      </w:r>
      <w:r>
        <w:rPr>
          <w:color w:val="auto"/>
          <w:highlight w:val="none"/>
        </w:rPr>
        <w:instrText xml:space="preserve"> PAGEREF _Toc4125 \h </w:instrText>
      </w:r>
      <w:r>
        <w:rPr>
          <w:color w:val="auto"/>
          <w:highlight w:val="none"/>
        </w:rPr>
        <w:fldChar w:fldCharType="separate"/>
      </w:r>
      <w:r>
        <w:rPr>
          <w:color w:val="auto"/>
          <w:highlight w:val="none"/>
        </w:rPr>
        <w:t>40</w:t>
      </w:r>
      <w:r>
        <w:rPr>
          <w:color w:val="auto"/>
          <w:highlight w:val="none"/>
        </w:rPr>
        <w:fldChar w:fldCharType="end"/>
      </w:r>
      <w:r>
        <w:rPr>
          <w:rFonts w:ascii="宋体" w:hAnsi="宋体"/>
          <w:color w:val="auto"/>
          <w:highlight w:val="none"/>
        </w:rPr>
        <w:fldChar w:fldCharType="end"/>
      </w:r>
    </w:p>
    <w:p w14:paraId="47B9DFDB">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_Toc6865 </w:instrText>
      </w:r>
      <w:r>
        <w:rPr>
          <w:rFonts w:ascii="宋体" w:hAnsi="宋体"/>
          <w:color w:val="auto"/>
          <w:highlight w:val="none"/>
        </w:rPr>
        <w:fldChar w:fldCharType="separate"/>
      </w:r>
      <w:r>
        <w:rPr>
          <w:color w:val="auto"/>
          <w:highlight w:val="none"/>
        </w:rPr>
        <w:t>1</w:t>
      </w:r>
      <w:r>
        <w:rPr>
          <w:rFonts w:hint="eastAsia"/>
          <w:color w:val="auto"/>
          <w:highlight w:val="none"/>
        </w:rPr>
        <w:t>0</w:t>
      </w:r>
      <w:r>
        <w:rPr>
          <w:color w:val="auto"/>
          <w:highlight w:val="none"/>
        </w:rPr>
        <w:t xml:space="preserve"> 需要补充的其他内容</w:t>
      </w:r>
      <w:r>
        <w:rPr>
          <w:color w:val="auto"/>
          <w:highlight w:val="none"/>
        </w:rPr>
        <w:tab/>
      </w:r>
      <w:r>
        <w:rPr>
          <w:color w:val="auto"/>
          <w:highlight w:val="none"/>
        </w:rPr>
        <w:fldChar w:fldCharType="begin"/>
      </w:r>
      <w:r>
        <w:rPr>
          <w:color w:val="auto"/>
          <w:highlight w:val="none"/>
        </w:rPr>
        <w:instrText xml:space="preserve"> PAGEREF _Toc6865 \h </w:instrText>
      </w:r>
      <w:r>
        <w:rPr>
          <w:color w:val="auto"/>
          <w:highlight w:val="none"/>
        </w:rPr>
        <w:fldChar w:fldCharType="separate"/>
      </w:r>
      <w:r>
        <w:rPr>
          <w:color w:val="auto"/>
          <w:highlight w:val="none"/>
        </w:rPr>
        <w:t>40</w:t>
      </w:r>
      <w:r>
        <w:rPr>
          <w:color w:val="auto"/>
          <w:highlight w:val="none"/>
        </w:rPr>
        <w:fldChar w:fldCharType="end"/>
      </w:r>
      <w:r>
        <w:rPr>
          <w:rFonts w:ascii="宋体" w:hAnsi="宋体"/>
          <w:color w:val="auto"/>
          <w:highlight w:val="none"/>
        </w:rPr>
        <w:fldChar w:fldCharType="end"/>
      </w:r>
    </w:p>
    <w:p w14:paraId="5DDA17B2">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_Toc7276 </w:instrText>
      </w:r>
      <w:r>
        <w:rPr>
          <w:rFonts w:ascii="宋体" w:hAnsi="宋体"/>
          <w:color w:val="auto"/>
          <w:highlight w:val="none"/>
        </w:rPr>
        <w:fldChar w:fldCharType="separate"/>
      </w:r>
      <w:r>
        <w:rPr>
          <w:color w:val="auto"/>
          <w:highlight w:val="none"/>
        </w:rPr>
        <w:t>1</w:t>
      </w:r>
      <w:r>
        <w:rPr>
          <w:rFonts w:hint="eastAsia"/>
          <w:color w:val="auto"/>
          <w:highlight w:val="none"/>
        </w:rPr>
        <w:t>0</w:t>
      </w:r>
      <w:r>
        <w:rPr>
          <w:color w:val="auto"/>
          <w:highlight w:val="none"/>
        </w:rPr>
        <w:t>.1</w:t>
      </w:r>
      <w:r>
        <w:rPr>
          <w:rFonts w:hint="eastAsia"/>
          <w:color w:val="auto"/>
          <w:highlight w:val="none"/>
        </w:rPr>
        <w:t xml:space="preserve"> </w:t>
      </w:r>
      <w:r>
        <w:rPr>
          <w:color w:val="auto"/>
          <w:highlight w:val="none"/>
        </w:rPr>
        <w:t>词语定义</w:t>
      </w:r>
      <w:r>
        <w:rPr>
          <w:color w:val="auto"/>
          <w:highlight w:val="none"/>
        </w:rPr>
        <w:tab/>
      </w:r>
      <w:r>
        <w:rPr>
          <w:color w:val="auto"/>
          <w:highlight w:val="none"/>
        </w:rPr>
        <w:fldChar w:fldCharType="begin"/>
      </w:r>
      <w:r>
        <w:rPr>
          <w:color w:val="auto"/>
          <w:highlight w:val="none"/>
        </w:rPr>
        <w:instrText xml:space="preserve"> PAGEREF _Toc7276 \h </w:instrText>
      </w:r>
      <w:r>
        <w:rPr>
          <w:color w:val="auto"/>
          <w:highlight w:val="none"/>
        </w:rPr>
        <w:fldChar w:fldCharType="separate"/>
      </w:r>
      <w:r>
        <w:rPr>
          <w:color w:val="auto"/>
          <w:highlight w:val="none"/>
        </w:rPr>
        <w:t>40</w:t>
      </w:r>
      <w:r>
        <w:rPr>
          <w:color w:val="auto"/>
          <w:highlight w:val="none"/>
        </w:rPr>
        <w:fldChar w:fldCharType="end"/>
      </w:r>
      <w:r>
        <w:rPr>
          <w:rFonts w:ascii="宋体" w:hAnsi="宋体"/>
          <w:color w:val="auto"/>
          <w:highlight w:val="none"/>
        </w:rPr>
        <w:fldChar w:fldCharType="end"/>
      </w:r>
    </w:p>
    <w:p w14:paraId="7A7DFAA3">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_Toc8038 </w:instrText>
      </w:r>
      <w:r>
        <w:rPr>
          <w:rFonts w:ascii="宋体" w:hAnsi="宋体"/>
          <w:color w:val="auto"/>
          <w:highlight w:val="none"/>
        </w:rPr>
        <w:fldChar w:fldCharType="separate"/>
      </w:r>
      <w:r>
        <w:rPr>
          <w:rFonts w:hint="eastAsia"/>
          <w:color w:val="auto"/>
          <w:highlight w:val="none"/>
        </w:rPr>
        <w:t>1</w:t>
      </w:r>
      <w:r>
        <w:rPr>
          <w:color w:val="auto"/>
          <w:highlight w:val="none"/>
        </w:rPr>
        <w:t>0.2</w:t>
      </w:r>
      <w:r>
        <w:rPr>
          <w:rFonts w:hint="eastAsia" w:cs="黑体"/>
          <w:color w:val="auto"/>
          <w:highlight w:val="none"/>
        </w:rPr>
        <w:t>招标控制价</w:t>
      </w:r>
      <w:r>
        <w:rPr>
          <w:color w:val="auto"/>
          <w:highlight w:val="none"/>
        </w:rPr>
        <w:tab/>
      </w:r>
      <w:r>
        <w:rPr>
          <w:color w:val="auto"/>
          <w:highlight w:val="none"/>
        </w:rPr>
        <w:fldChar w:fldCharType="begin"/>
      </w:r>
      <w:r>
        <w:rPr>
          <w:color w:val="auto"/>
          <w:highlight w:val="none"/>
        </w:rPr>
        <w:instrText xml:space="preserve"> PAGEREF _Toc8038 \h </w:instrText>
      </w:r>
      <w:r>
        <w:rPr>
          <w:color w:val="auto"/>
          <w:highlight w:val="none"/>
        </w:rPr>
        <w:fldChar w:fldCharType="separate"/>
      </w:r>
      <w:r>
        <w:rPr>
          <w:color w:val="auto"/>
          <w:highlight w:val="none"/>
        </w:rPr>
        <w:t>40</w:t>
      </w:r>
      <w:r>
        <w:rPr>
          <w:color w:val="auto"/>
          <w:highlight w:val="none"/>
        </w:rPr>
        <w:fldChar w:fldCharType="end"/>
      </w:r>
      <w:r>
        <w:rPr>
          <w:rFonts w:ascii="宋体" w:hAnsi="宋体"/>
          <w:color w:val="auto"/>
          <w:highlight w:val="none"/>
        </w:rPr>
        <w:fldChar w:fldCharType="end"/>
      </w:r>
    </w:p>
    <w:p w14:paraId="4F619731">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_Toc30787 </w:instrText>
      </w:r>
      <w:r>
        <w:rPr>
          <w:rFonts w:ascii="宋体" w:hAnsi="宋体"/>
          <w:color w:val="auto"/>
          <w:highlight w:val="none"/>
        </w:rPr>
        <w:fldChar w:fldCharType="separate"/>
      </w:r>
      <w:r>
        <w:rPr>
          <w:color w:val="auto"/>
          <w:highlight w:val="none"/>
        </w:rPr>
        <w:t>10.3 技术评审方式</w:t>
      </w:r>
      <w:r>
        <w:rPr>
          <w:color w:val="auto"/>
          <w:highlight w:val="none"/>
        </w:rPr>
        <w:tab/>
      </w:r>
      <w:r>
        <w:rPr>
          <w:color w:val="auto"/>
          <w:highlight w:val="none"/>
        </w:rPr>
        <w:fldChar w:fldCharType="begin"/>
      </w:r>
      <w:r>
        <w:rPr>
          <w:color w:val="auto"/>
          <w:highlight w:val="none"/>
        </w:rPr>
        <w:instrText xml:space="preserve"> PAGEREF _Toc30787 \h </w:instrText>
      </w:r>
      <w:r>
        <w:rPr>
          <w:color w:val="auto"/>
          <w:highlight w:val="none"/>
        </w:rPr>
        <w:fldChar w:fldCharType="separate"/>
      </w:r>
      <w:r>
        <w:rPr>
          <w:color w:val="auto"/>
          <w:highlight w:val="none"/>
        </w:rPr>
        <w:t>40</w:t>
      </w:r>
      <w:r>
        <w:rPr>
          <w:color w:val="auto"/>
          <w:highlight w:val="none"/>
        </w:rPr>
        <w:fldChar w:fldCharType="end"/>
      </w:r>
      <w:r>
        <w:rPr>
          <w:rFonts w:ascii="宋体" w:hAnsi="宋体"/>
          <w:color w:val="auto"/>
          <w:highlight w:val="none"/>
        </w:rPr>
        <w:fldChar w:fldCharType="end"/>
      </w:r>
    </w:p>
    <w:p w14:paraId="7733CF47">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_Toc7357 </w:instrText>
      </w:r>
      <w:r>
        <w:rPr>
          <w:rFonts w:ascii="宋体" w:hAnsi="宋体"/>
          <w:color w:val="auto"/>
          <w:highlight w:val="none"/>
        </w:rPr>
        <w:fldChar w:fldCharType="separate"/>
      </w:r>
      <w:r>
        <w:rPr>
          <w:color w:val="auto"/>
          <w:highlight w:val="none"/>
        </w:rPr>
        <w:t>1</w:t>
      </w:r>
      <w:r>
        <w:rPr>
          <w:rFonts w:hint="eastAsia"/>
          <w:color w:val="auto"/>
          <w:highlight w:val="none"/>
        </w:rPr>
        <w:t>0</w:t>
      </w:r>
      <w:r>
        <w:rPr>
          <w:color w:val="auto"/>
          <w:highlight w:val="none"/>
        </w:rPr>
        <w:t>.</w:t>
      </w:r>
      <w:r>
        <w:rPr>
          <w:rFonts w:hint="eastAsia"/>
          <w:color w:val="auto"/>
          <w:highlight w:val="none"/>
        </w:rPr>
        <w:t>4</w:t>
      </w:r>
      <w:r>
        <w:rPr>
          <w:color w:val="auto"/>
          <w:highlight w:val="none"/>
        </w:rPr>
        <w:t>投标文件电子版</w:t>
      </w:r>
      <w:r>
        <w:rPr>
          <w:color w:val="auto"/>
          <w:highlight w:val="none"/>
        </w:rPr>
        <w:tab/>
      </w:r>
      <w:r>
        <w:rPr>
          <w:color w:val="auto"/>
          <w:highlight w:val="none"/>
        </w:rPr>
        <w:fldChar w:fldCharType="begin"/>
      </w:r>
      <w:r>
        <w:rPr>
          <w:color w:val="auto"/>
          <w:highlight w:val="none"/>
        </w:rPr>
        <w:instrText xml:space="preserve"> PAGEREF _Toc7357 \h </w:instrText>
      </w:r>
      <w:r>
        <w:rPr>
          <w:color w:val="auto"/>
          <w:highlight w:val="none"/>
        </w:rPr>
        <w:fldChar w:fldCharType="separate"/>
      </w:r>
      <w:r>
        <w:rPr>
          <w:color w:val="auto"/>
          <w:highlight w:val="none"/>
        </w:rPr>
        <w:t>40</w:t>
      </w:r>
      <w:r>
        <w:rPr>
          <w:color w:val="auto"/>
          <w:highlight w:val="none"/>
        </w:rPr>
        <w:fldChar w:fldCharType="end"/>
      </w:r>
      <w:r>
        <w:rPr>
          <w:rFonts w:ascii="宋体" w:hAnsi="宋体"/>
          <w:color w:val="auto"/>
          <w:highlight w:val="none"/>
        </w:rPr>
        <w:fldChar w:fldCharType="end"/>
      </w:r>
    </w:p>
    <w:p w14:paraId="6F8579C3">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_Toc25803 </w:instrText>
      </w:r>
      <w:r>
        <w:rPr>
          <w:rFonts w:ascii="宋体" w:hAnsi="宋体"/>
          <w:color w:val="auto"/>
          <w:highlight w:val="none"/>
        </w:rPr>
        <w:fldChar w:fldCharType="separate"/>
      </w:r>
      <w:r>
        <w:rPr>
          <w:color w:val="auto"/>
          <w:highlight w:val="none"/>
        </w:rPr>
        <w:t>1</w:t>
      </w:r>
      <w:r>
        <w:rPr>
          <w:rFonts w:hint="eastAsia"/>
          <w:color w:val="auto"/>
          <w:highlight w:val="none"/>
        </w:rPr>
        <w:t>0</w:t>
      </w:r>
      <w:r>
        <w:rPr>
          <w:color w:val="auto"/>
          <w:highlight w:val="none"/>
        </w:rPr>
        <w:t>.</w:t>
      </w:r>
      <w:r>
        <w:rPr>
          <w:rFonts w:hint="eastAsia"/>
          <w:color w:val="auto"/>
          <w:highlight w:val="none"/>
        </w:rPr>
        <w:t>5</w:t>
      </w:r>
      <w:r>
        <w:rPr>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_Toc25803 \h </w:instrText>
      </w:r>
      <w:r>
        <w:rPr>
          <w:color w:val="auto"/>
          <w:highlight w:val="none"/>
        </w:rPr>
        <w:fldChar w:fldCharType="separate"/>
      </w:r>
      <w:r>
        <w:rPr>
          <w:color w:val="auto"/>
          <w:highlight w:val="none"/>
        </w:rPr>
        <w:t>41</w:t>
      </w:r>
      <w:r>
        <w:rPr>
          <w:color w:val="auto"/>
          <w:highlight w:val="none"/>
        </w:rPr>
        <w:fldChar w:fldCharType="end"/>
      </w:r>
      <w:r>
        <w:rPr>
          <w:rFonts w:ascii="宋体" w:hAnsi="宋体"/>
          <w:color w:val="auto"/>
          <w:highlight w:val="none"/>
        </w:rPr>
        <w:fldChar w:fldCharType="end"/>
      </w:r>
    </w:p>
    <w:p w14:paraId="3651B5CB">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_Toc25626 </w:instrText>
      </w:r>
      <w:r>
        <w:rPr>
          <w:rFonts w:ascii="宋体" w:hAnsi="宋体"/>
          <w:color w:val="auto"/>
          <w:highlight w:val="none"/>
        </w:rPr>
        <w:fldChar w:fldCharType="separate"/>
      </w:r>
      <w:r>
        <w:rPr>
          <w:color w:val="auto"/>
          <w:highlight w:val="none"/>
        </w:rPr>
        <w:t>1</w:t>
      </w:r>
      <w:r>
        <w:rPr>
          <w:rFonts w:hint="eastAsia"/>
          <w:color w:val="auto"/>
          <w:highlight w:val="none"/>
        </w:rPr>
        <w:t>0</w:t>
      </w:r>
      <w:r>
        <w:rPr>
          <w:color w:val="auto"/>
          <w:highlight w:val="none"/>
        </w:rPr>
        <w:t>.</w:t>
      </w:r>
      <w:r>
        <w:rPr>
          <w:rFonts w:hint="eastAsia"/>
          <w:color w:val="auto"/>
          <w:highlight w:val="none"/>
        </w:rPr>
        <w:t>6</w:t>
      </w:r>
      <w:r>
        <w:rPr>
          <w:color w:val="auto"/>
          <w:highlight w:val="none"/>
        </w:rPr>
        <w:t xml:space="preserve"> 重新招标的其他情形</w:t>
      </w:r>
      <w:r>
        <w:rPr>
          <w:color w:val="auto"/>
          <w:highlight w:val="none"/>
        </w:rPr>
        <w:tab/>
      </w:r>
      <w:r>
        <w:rPr>
          <w:color w:val="auto"/>
          <w:highlight w:val="none"/>
        </w:rPr>
        <w:fldChar w:fldCharType="begin"/>
      </w:r>
      <w:r>
        <w:rPr>
          <w:color w:val="auto"/>
          <w:highlight w:val="none"/>
        </w:rPr>
        <w:instrText xml:space="preserve"> PAGEREF _Toc25626 \h </w:instrText>
      </w:r>
      <w:r>
        <w:rPr>
          <w:color w:val="auto"/>
          <w:highlight w:val="none"/>
        </w:rPr>
        <w:fldChar w:fldCharType="separate"/>
      </w:r>
      <w:r>
        <w:rPr>
          <w:color w:val="auto"/>
          <w:highlight w:val="none"/>
        </w:rPr>
        <w:t>41</w:t>
      </w:r>
      <w:r>
        <w:rPr>
          <w:color w:val="auto"/>
          <w:highlight w:val="none"/>
        </w:rPr>
        <w:fldChar w:fldCharType="end"/>
      </w:r>
      <w:r>
        <w:rPr>
          <w:rFonts w:ascii="宋体" w:hAnsi="宋体"/>
          <w:color w:val="auto"/>
          <w:highlight w:val="none"/>
        </w:rPr>
        <w:fldChar w:fldCharType="end"/>
      </w:r>
    </w:p>
    <w:p w14:paraId="697F6766">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_Toc14326 </w:instrText>
      </w:r>
      <w:r>
        <w:rPr>
          <w:rFonts w:ascii="宋体" w:hAnsi="宋体"/>
          <w:color w:val="auto"/>
          <w:highlight w:val="none"/>
        </w:rPr>
        <w:fldChar w:fldCharType="separate"/>
      </w:r>
      <w:r>
        <w:rPr>
          <w:color w:val="auto"/>
          <w:highlight w:val="none"/>
        </w:rPr>
        <w:t>1</w:t>
      </w:r>
      <w:r>
        <w:rPr>
          <w:rFonts w:hint="eastAsia"/>
          <w:color w:val="auto"/>
          <w:highlight w:val="none"/>
        </w:rPr>
        <w:t>0</w:t>
      </w:r>
      <w:r>
        <w:rPr>
          <w:color w:val="auto"/>
          <w:highlight w:val="none"/>
        </w:rPr>
        <w:t>.</w:t>
      </w:r>
      <w:r>
        <w:rPr>
          <w:rFonts w:hint="eastAsia"/>
          <w:color w:val="auto"/>
          <w:highlight w:val="none"/>
        </w:rPr>
        <w:t>7</w:t>
      </w:r>
      <w:r>
        <w:rPr>
          <w:color w:val="auto"/>
          <w:highlight w:val="none"/>
        </w:rPr>
        <w:t>同义词语</w:t>
      </w:r>
      <w:r>
        <w:rPr>
          <w:color w:val="auto"/>
          <w:highlight w:val="none"/>
        </w:rPr>
        <w:tab/>
      </w:r>
      <w:r>
        <w:rPr>
          <w:color w:val="auto"/>
          <w:highlight w:val="none"/>
        </w:rPr>
        <w:fldChar w:fldCharType="begin"/>
      </w:r>
      <w:r>
        <w:rPr>
          <w:color w:val="auto"/>
          <w:highlight w:val="none"/>
        </w:rPr>
        <w:instrText xml:space="preserve"> PAGEREF _Toc14326 \h </w:instrText>
      </w:r>
      <w:r>
        <w:rPr>
          <w:color w:val="auto"/>
          <w:highlight w:val="none"/>
        </w:rPr>
        <w:fldChar w:fldCharType="separate"/>
      </w:r>
      <w:r>
        <w:rPr>
          <w:color w:val="auto"/>
          <w:highlight w:val="none"/>
        </w:rPr>
        <w:t>41</w:t>
      </w:r>
      <w:r>
        <w:rPr>
          <w:color w:val="auto"/>
          <w:highlight w:val="none"/>
        </w:rPr>
        <w:fldChar w:fldCharType="end"/>
      </w:r>
      <w:r>
        <w:rPr>
          <w:rFonts w:ascii="宋体" w:hAnsi="宋体"/>
          <w:color w:val="auto"/>
          <w:highlight w:val="none"/>
        </w:rPr>
        <w:fldChar w:fldCharType="end"/>
      </w:r>
    </w:p>
    <w:p w14:paraId="6B4DEFAF">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_Toc32379 </w:instrText>
      </w:r>
      <w:r>
        <w:rPr>
          <w:rFonts w:ascii="宋体" w:hAnsi="宋体"/>
          <w:color w:val="auto"/>
          <w:highlight w:val="none"/>
        </w:rPr>
        <w:fldChar w:fldCharType="separate"/>
      </w:r>
      <w:r>
        <w:rPr>
          <w:color w:val="auto"/>
          <w:highlight w:val="none"/>
        </w:rPr>
        <w:t>1</w:t>
      </w:r>
      <w:r>
        <w:rPr>
          <w:rFonts w:hint="eastAsia"/>
          <w:color w:val="auto"/>
          <w:highlight w:val="none"/>
        </w:rPr>
        <w:t>0</w:t>
      </w:r>
      <w:r>
        <w:rPr>
          <w:color w:val="auto"/>
          <w:highlight w:val="none"/>
        </w:rPr>
        <w:t>.</w:t>
      </w:r>
      <w:r>
        <w:rPr>
          <w:rFonts w:hint="eastAsia"/>
          <w:color w:val="auto"/>
          <w:highlight w:val="none"/>
        </w:rPr>
        <w:t>8</w:t>
      </w:r>
      <w:r>
        <w:rPr>
          <w:color w:val="auto"/>
          <w:highlight w:val="none"/>
        </w:rPr>
        <w:t xml:space="preserve"> 监督</w:t>
      </w:r>
      <w:r>
        <w:rPr>
          <w:rFonts w:hint="eastAsia"/>
          <w:color w:val="auto"/>
          <w:highlight w:val="none"/>
        </w:rPr>
        <w:t>部门</w:t>
      </w:r>
      <w:r>
        <w:rPr>
          <w:color w:val="auto"/>
          <w:highlight w:val="none"/>
        </w:rPr>
        <w:tab/>
      </w:r>
      <w:r>
        <w:rPr>
          <w:color w:val="auto"/>
          <w:highlight w:val="none"/>
        </w:rPr>
        <w:fldChar w:fldCharType="begin"/>
      </w:r>
      <w:r>
        <w:rPr>
          <w:color w:val="auto"/>
          <w:highlight w:val="none"/>
        </w:rPr>
        <w:instrText xml:space="preserve"> PAGEREF _Toc32379 \h </w:instrText>
      </w:r>
      <w:r>
        <w:rPr>
          <w:color w:val="auto"/>
          <w:highlight w:val="none"/>
        </w:rPr>
        <w:fldChar w:fldCharType="separate"/>
      </w:r>
      <w:r>
        <w:rPr>
          <w:color w:val="auto"/>
          <w:highlight w:val="none"/>
        </w:rPr>
        <w:t>41</w:t>
      </w:r>
      <w:r>
        <w:rPr>
          <w:color w:val="auto"/>
          <w:highlight w:val="none"/>
        </w:rPr>
        <w:fldChar w:fldCharType="end"/>
      </w:r>
      <w:r>
        <w:rPr>
          <w:rFonts w:ascii="宋体" w:hAnsi="宋体"/>
          <w:color w:val="auto"/>
          <w:highlight w:val="none"/>
        </w:rPr>
        <w:fldChar w:fldCharType="end"/>
      </w:r>
    </w:p>
    <w:p w14:paraId="699E2A15">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_Toc32332 </w:instrText>
      </w:r>
      <w:r>
        <w:rPr>
          <w:rFonts w:ascii="宋体" w:hAnsi="宋体"/>
          <w:color w:val="auto"/>
          <w:highlight w:val="none"/>
        </w:rPr>
        <w:fldChar w:fldCharType="separate"/>
      </w:r>
      <w:r>
        <w:rPr>
          <w:color w:val="auto"/>
          <w:highlight w:val="none"/>
        </w:rPr>
        <w:t>1</w:t>
      </w:r>
      <w:r>
        <w:rPr>
          <w:rFonts w:hint="eastAsia"/>
          <w:color w:val="auto"/>
          <w:highlight w:val="none"/>
        </w:rPr>
        <w:t>0.9</w:t>
      </w:r>
      <w:r>
        <w:rPr>
          <w:color w:val="auto"/>
          <w:highlight w:val="none"/>
        </w:rPr>
        <w:t xml:space="preserve"> 解释权</w:t>
      </w:r>
      <w:r>
        <w:rPr>
          <w:color w:val="auto"/>
          <w:highlight w:val="none"/>
        </w:rPr>
        <w:tab/>
      </w:r>
      <w:r>
        <w:rPr>
          <w:color w:val="auto"/>
          <w:highlight w:val="none"/>
        </w:rPr>
        <w:fldChar w:fldCharType="begin"/>
      </w:r>
      <w:r>
        <w:rPr>
          <w:color w:val="auto"/>
          <w:highlight w:val="none"/>
        </w:rPr>
        <w:instrText xml:space="preserve"> PAGEREF _Toc32332 \h </w:instrText>
      </w:r>
      <w:r>
        <w:rPr>
          <w:color w:val="auto"/>
          <w:highlight w:val="none"/>
        </w:rPr>
        <w:fldChar w:fldCharType="separate"/>
      </w:r>
      <w:r>
        <w:rPr>
          <w:color w:val="auto"/>
          <w:highlight w:val="none"/>
        </w:rPr>
        <w:t>41</w:t>
      </w:r>
      <w:r>
        <w:rPr>
          <w:color w:val="auto"/>
          <w:highlight w:val="none"/>
        </w:rPr>
        <w:fldChar w:fldCharType="end"/>
      </w:r>
      <w:r>
        <w:rPr>
          <w:rFonts w:ascii="宋体" w:hAnsi="宋体"/>
          <w:color w:val="auto"/>
          <w:highlight w:val="none"/>
        </w:rPr>
        <w:fldChar w:fldCharType="end"/>
      </w:r>
    </w:p>
    <w:p w14:paraId="01C9D128">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_Toc30633 </w:instrText>
      </w:r>
      <w:r>
        <w:rPr>
          <w:rFonts w:ascii="宋体" w:hAnsi="宋体"/>
          <w:color w:val="auto"/>
          <w:highlight w:val="none"/>
        </w:rPr>
        <w:fldChar w:fldCharType="separate"/>
      </w:r>
      <w:r>
        <w:rPr>
          <w:color w:val="auto"/>
          <w:highlight w:val="none"/>
        </w:rPr>
        <w:t>1</w:t>
      </w:r>
      <w:r>
        <w:rPr>
          <w:rFonts w:hint="eastAsia"/>
          <w:color w:val="auto"/>
          <w:highlight w:val="none"/>
        </w:rPr>
        <w:t>0</w:t>
      </w:r>
      <w:r>
        <w:rPr>
          <w:color w:val="auto"/>
          <w:highlight w:val="none"/>
        </w:rPr>
        <w:t>.</w:t>
      </w:r>
      <w:r>
        <w:rPr>
          <w:rFonts w:hint="eastAsia"/>
          <w:color w:val="auto"/>
          <w:highlight w:val="none"/>
        </w:rPr>
        <w:t>10</w:t>
      </w:r>
      <w:r>
        <w:rPr>
          <w:color w:val="auto"/>
          <w:highlight w:val="none"/>
        </w:rPr>
        <w:t>招标人补充的其他内容</w:t>
      </w:r>
      <w:r>
        <w:rPr>
          <w:color w:val="auto"/>
          <w:highlight w:val="none"/>
        </w:rPr>
        <w:tab/>
      </w:r>
      <w:r>
        <w:rPr>
          <w:color w:val="auto"/>
          <w:highlight w:val="none"/>
        </w:rPr>
        <w:fldChar w:fldCharType="begin"/>
      </w:r>
      <w:r>
        <w:rPr>
          <w:color w:val="auto"/>
          <w:highlight w:val="none"/>
        </w:rPr>
        <w:instrText xml:space="preserve"> PAGEREF _Toc30633 \h </w:instrText>
      </w:r>
      <w:r>
        <w:rPr>
          <w:color w:val="auto"/>
          <w:highlight w:val="none"/>
        </w:rPr>
        <w:fldChar w:fldCharType="separate"/>
      </w:r>
      <w:r>
        <w:rPr>
          <w:color w:val="auto"/>
          <w:highlight w:val="none"/>
        </w:rPr>
        <w:t>41</w:t>
      </w:r>
      <w:r>
        <w:rPr>
          <w:color w:val="auto"/>
          <w:highlight w:val="none"/>
        </w:rPr>
        <w:fldChar w:fldCharType="end"/>
      </w:r>
      <w:r>
        <w:rPr>
          <w:rFonts w:ascii="宋体" w:hAnsi="宋体"/>
          <w:color w:val="auto"/>
          <w:highlight w:val="none"/>
        </w:rPr>
        <w:fldChar w:fldCharType="end"/>
      </w:r>
    </w:p>
    <w:p w14:paraId="3F30A8EA">
      <w:pPr>
        <w:pStyle w:val="28"/>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_Toc2130 </w:instrText>
      </w:r>
      <w:r>
        <w:rPr>
          <w:rFonts w:ascii="宋体" w:hAnsi="宋体"/>
          <w:color w:val="auto"/>
          <w:highlight w:val="none"/>
        </w:rPr>
        <w:fldChar w:fldCharType="separate"/>
      </w:r>
      <w:r>
        <w:rPr>
          <w:color w:val="auto"/>
          <w:highlight w:val="none"/>
        </w:rPr>
        <w:t>第三章  评标办法综合评估法（</w:t>
      </w:r>
      <w:r>
        <w:rPr>
          <w:rFonts w:hint="eastAsia"/>
          <w:color w:val="auto"/>
          <w:highlight w:val="none"/>
        </w:rPr>
        <w:t>设计团队招标</w:t>
      </w:r>
      <w:r>
        <w:rPr>
          <w:color w:val="auto"/>
          <w:highlight w:val="none"/>
        </w:rPr>
        <w:t>）</w:t>
      </w:r>
      <w:r>
        <w:rPr>
          <w:color w:val="auto"/>
          <w:highlight w:val="none"/>
        </w:rPr>
        <w:tab/>
      </w:r>
      <w:r>
        <w:rPr>
          <w:color w:val="auto"/>
          <w:highlight w:val="none"/>
        </w:rPr>
        <w:fldChar w:fldCharType="begin"/>
      </w:r>
      <w:r>
        <w:rPr>
          <w:color w:val="auto"/>
          <w:highlight w:val="none"/>
        </w:rPr>
        <w:instrText xml:space="preserve"> PAGEREF _Toc2130 \h </w:instrText>
      </w:r>
      <w:r>
        <w:rPr>
          <w:color w:val="auto"/>
          <w:highlight w:val="none"/>
        </w:rPr>
        <w:fldChar w:fldCharType="separate"/>
      </w:r>
      <w:r>
        <w:rPr>
          <w:color w:val="auto"/>
          <w:highlight w:val="none"/>
        </w:rPr>
        <w:t>42</w:t>
      </w:r>
      <w:r>
        <w:rPr>
          <w:color w:val="auto"/>
          <w:highlight w:val="none"/>
        </w:rPr>
        <w:fldChar w:fldCharType="end"/>
      </w:r>
      <w:r>
        <w:rPr>
          <w:rFonts w:ascii="宋体" w:hAnsi="宋体"/>
          <w:color w:val="auto"/>
          <w:highlight w:val="none"/>
        </w:rPr>
        <w:fldChar w:fldCharType="end"/>
      </w:r>
    </w:p>
    <w:p w14:paraId="0F6DD731">
      <w:pPr>
        <w:pStyle w:val="28"/>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_Toc27273 </w:instrText>
      </w:r>
      <w:r>
        <w:rPr>
          <w:rFonts w:ascii="宋体" w:hAnsi="宋体"/>
          <w:color w:val="auto"/>
          <w:highlight w:val="none"/>
        </w:rPr>
        <w:fldChar w:fldCharType="separate"/>
      </w:r>
      <w:r>
        <w:rPr>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_Toc27273 \h </w:instrText>
      </w:r>
      <w:r>
        <w:rPr>
          <w:color w:val="auto"/>
          <w:highlight w:val="none"/>
        </w:rPr>
        <w:fldChar w:fldCharType="separate"/>
      </w:r>
      <w:r>
        <w:rPr>
          <w:color w:val="auto"/>
          <w:highlight w:val="none"/>
        </w:rPr>
        <w:t>42</w:t>
      </w:r>
      <w:r>
        <w:rPr>
          <w:color w:val="auto"/>
          <w:highlight w:val="none"/>
        </w:rPr>
        <w:fldChar w:fldCharType="end"/>
      </w:r>
      <w:r>
        <w:rPr>
          <w:rFonts w:ascii="宋体" w:hAnsi="宋体"/>
          <w:color w:val="auto"/>
          <w:highlight w:val="none"/>
        </w:rPr>
        <w:fldChar w:fldCharType="end"/>
      </w:r>
    </w:p>
    <w:p w14:paraId="07A3526F">
      <w:pPr>
        <w:pStyle w:val="28"/>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_Toc10243 </w:instrText>
      </w:r>
      <w:r>
        <w:rPr>
          <w:rFonts w:ascii="宋体" w:hAnsi="宋体"/>
          <w:color w:val="auto"/>
          <w:highlight w:val="none"/>
        </w:rPr>
        <w:fldChar w:fldCharType="separate"/>
      </w:r>
      <w:r>
        <w:rPr>
          <w:color w:val="auto"/>
          <w:highlight w:val="none"/>
        </w:rPr>
        <w:t>评标办法综合评估法（</w:t>
      </w:r>
      <w:r>
        <w:rPr>
          <w:rFonts w:hint="eastAsia"/>
          <w:color w:val="auto"/>
          <w:highlight w:val="none"/>
        </w:rPr>
        <w:t>设计团队招标</w:t>
      </w:r>
      <w:r>
        <w:rPr>
          <w:color w:val="auto"/>
          <w:highlight w:val="none"/>
        </w:rPr>
        <w:t>）正文部分</w:t>
      </w:r>
      <w:r>
        <w:rPr>
          <w:color w:val="auto"/>
          <w:highlight w:val="none"/>
        </w:rPr>
        <w:tab/>
      </w:r>
      <w:r>
        <w:rPr>
          <w:color w:val="auto"/>
          <w:highlight w:val="none"/>
        </w:rPr>
        <w:fldChar w:fldCharType="begin"/>
      </w:r>
      <w:r>
        <w:rPr>
          <w:color w:val="auto"/>
          <w:highlight w:val="none"/>
        </w:rPr>
        <w:instrText xml:space="preserve"> PAGEREF _Toc10243 \h </w:instrText>
      </w:r>
      <w:r>
        <w:rPr>
          <w:color w:val="auto"/>
          <w:highlight w:val="none"/>
        </w:rPr>
        <w:fldChar w:fldCharType="separate"/>
      </w:r>
      <w:r>
        <w:rPr>
          <w:color w:val="auto"/>
          <w:highlight w:val="none"/>
        </w:rPr>
        <w:t>55</w:t>
      </w:r>
      <w:r>
        <w:rPr>
          <w:color w:val="auto"/>
          <w:highlight w:val="none"/>
        </w:rPr>
        <w:fldChar w:fldCharType="end"/>
      </w:r>
      <w:r>
        <w:rPr>
          <w:rFonts w:ascii="宋体" w:hAnsi="宋体"/>
          <w:color w:val="auto"/>
          <w:highlight w:val="none"/>
        </w:rPr>
        <w:fldChar w:fldCharType="end"/>
      </w:r>
    </w:p>
    <w:p w14:paraId="0432D1E0">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_Toc8487 </w:instrText>
      </w:r>
      <w:r>
        <w:rPr>
          <w:rFonts w:ascii="宋体" w:hAnsi="宋体"/>
          <w:color w:val="auto"/>
          <w:highlight w:val="none"/>
        </w:rPr>
        <w:fldChar w:fldCharType="separate"/>
      </w:r>
      <w:r>
        <w:rPr>
          <w:color w:val="auto"/>
          <w:highlight w:val="none"/>
        </w:rPr>
        <w:t>1 评标方法</w:t>
      </w:r>
      <w:r>
        <w:rPr>
          <w:color w:val="auto"/>
          <w:highlight w:val="none"/>
        </w:rPr>
        <w:tab/>
      </w:r>
      <w:r>
        <w:rPr>
          <w:color w:val="auto"/>
          <w:highlight w:val="none"/>
        </w:rPr>
        <w:fldChar w:fldCharType="begin"/>
      </w:r>
      <w:r>
        <w:rPr>
          <w:color w:val="auto"/>
          <w:highlight w:val="none"/>
        </w:rPr>
        <w:instrText xml:space="preserve"> PAGEREF _Toc8487 \h </w:instrText>
      </w:r>
      <w:r>
        <w:rPr>
          <w:color w:val="auto"/>
          <w:highlight w:val="none"/>
        </w:rPr>
        <w:fldChar w:fldCharType="separate"/>
      </w:r>
      <w:r>
        <w:rPr>
          <w:color w:val="auto"/>
          <w:highlight w:val="none"/>
        </w:rPr>
        <w:t>55</w:t>
      </w:r>
      <w:r>
        <w:rPr>
          <w:color w:val="auto"/>
          <w:highlight w:val="none"/>
        </w:rPr>
        <w:fldChar w:fldCharType="end"/>
      </w:r>
      <w:r>
        <w:rPr>
          <w:rFonts w:ascii="宋体" w:hAnsi="宋体"/>
          <w:color w:val="auto"/>
          <w:highlight w:val="none"/>
        </w:rPr>
        <w:fldChar w:fldCharType="end"/>
      </w:r>
    </w:p>
    <w:p w14:paraId="024BCCC3">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_Toc18225 </w:instrText>
      </w:r>
      <w:r>
        <w:rPr>
          <w:rFonts w:ascii="宋体" w:hAnsi="宋体"/>
          <w:color w:val="auto"/>
          <w:highlight w:val="none"/>
        </w:rPr>
        <w:fldChar w:fldCharType="separate"/>
      </w:r>
      <w:r>
        <w:rPr>
          <w:color w:val="auto"/>
          <w:highlight w:val="none"/>
        </w:rPr>
        <w:t>2 评审标准</w:t>
      </w:r>
      <w:r>
        <w:rPr>
          <w:color w:val="auto"/>
          <w:highlight w:val="none"/>
        </w:rPr>
        <w:tab/>
      </w:r>
      <w:r>
        <w:rPr>
          <w:color w:val="auto"/>
          <w:highlight w:val="none"/>
        </w:rPr>
        <w:fldChar w:fldCharType="begin"/>
      </w:r>
      <w:r>
        <w:rPr>
          <w:color w:val="auto"/>
          <w:highlight w:val="none"/>
        </w:rPr>
        <w:instrText xml:space="preserve"> PAGEREF _Toc18225 \h </w:instrText>
      </w:r>
      <w:r>
        <w:rPr>
          <w:color w:val="auto"/>
          <w:highlight w:val="none"/>
        </w:rPr>
        <w:fldChar w:fldCharType="separate"/>
      </w:r>
      <w:r>
        <w:rPr>
          <w:color w:val="auto"/>
          <w:highlight w:val="none"/>
        </w:rPr>
        <w:t>55</w:t>
      </w:r>
      <w:r>
        <w:rPr>
          <w:color w:val="auto"/>
          <w:highlight w:val="none"/>
        </w:rPr>
        <w:fldChar w:fldCharType="end"/>
      </w:r>
      <w:r>
        <w:rPr>
          <w:rFonts w:ascii="宋体" w:hAnsi="宋体"/>
          <w:color w:val="auto"/>
          <w:highlight w:val="none"/>
        </w:rPr>
        <w:fldChar w:fldCharType="end"/>
      </w:r>
    </w:p>
    <w:p w14:paraId="5098F4A4">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_Toc28195 </w:instrText>
      </w:r>
      <w:r>
        <w:rPr>
          <w:rFonts w:ascii="宋体" w:hAnsi="宋体"/>
          <w:color w:val="auto"/>
          <w:highlight w:val="none"/>
        </w:rPr>
        <w:fldChar w:fldCharType="separate"/>
      </w:r>
      <w:r>
        <w:rPr>
          <w:color w:val="auto"/>
          <w:highlight w:val="none"/>
        </w:rPr>
        <w:t>2.1 初步评审标准</w:t>
      </w:r>
      <w:r>
        <w:rPr>
          <w:color w:val="auto"/>
          <w:highlight w:val="none"/>
        </w:rPr>
        <w:tab/>
      </w:r>
      <w:r>
        <w:rPr>
          <w:color w:val="auto"/>
          <w:highlight w:val="none"/>
        </w:rPr>
        <w:fldChar w:fldCharType="begin"/>
      </w:r>
      <w:r>
        <w:rPr>
          <w:color w:val="auto"/>
          <w:highlight w:val="none"/>
        </w:rPr>
        <w:instrText xml:space="preserve"> PAGEREF _Toc28195 \h </w:instrText>
      </w:r>
      <w:r>
        <w:rPr>
          <w:color w:val="auto"/>
          <w:highlight w:val="none"/>
        </w:rPr>
        <w:fldChar w:fldCharType="separate"/>
      </w:r>
      <w:r>
        <w:rPr>
          <w:color w:val="auto"/>
          <w:highlight w:val="none"/>
        </w:rPr>
        <w:t>55</w:t>
      </w:r>
      <w:r>
        <w:rPr>
          <w:color w:val="auto"/>
          <w:highlight w:val="none"/>
        </w:rPr>
        <w:fldChar w:fldCharType="end"/>
      </w:r>
      <w:r>
        <w:rPr>
          <w:rFonts w:ascii="宋体" w:hAnsi="宋体"/>
          <w:color w:val="auto"/>
          <w:highlight w:val="none"/>
        </w:rPr>
        <w:fldChar w:fldCharType="end"/>
      </w:r>
    </w:p>
    <w:p w14:paraId="79437147">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_Toc1480 </w:instrText>
      </w:r>
      <w:r>
        <w:rPr>
          <w:rFonts w:ascii="宋体" w:hAnsi="宋体"/>
          <w:color w:val="auto"/>
          <w:highlight w:val="none"/>
        </w:rPr>
        <w:fldChar w:fldCharType="separate"/>
      </w:r>
      <w:r>
        <w:rPr>
          <w:color w:val="auto"/>
          <w:highlight w:val="none"/>
        </w:rPr>
        <w:t>2.2</w:t>
      </w:r>
      <w:r>
        <w:rPr>
          <w:rFonts w:hint="eastAsia"/>
          <w:color w:val="auto"/>
          <w:highlight w:val="none"/>
        </w:rPr>
        <w:t>详细评审标准</w:t>
      </w:r>
      <w:r>
        <w:rPr>
          <w:color w:val="auto"/>
          <w:highlight w:val="none"/>
        </w:rPr>
        <w:tab/>
      </w:r>
      <w:r>
        <w:rPr>
          <w:color w:val="auto"/>
          <w:highlight w:val="none"/>
        </w:rPr>
        <w:fldChar w:fldCharType="begin"/>
      </w:r>
      <w:r>
        <w:rPr>
          <w:color w:val="auto"/>
          <w:highlight w:val="none"/>
        </w:rPr>
        <w:instrText xml:space="preserve"> PAGEREF _Toc1480 \h </w:instrText>
      </w:r>
      <w:r>
        <w:rPr>
          <w:color w:val="auto"/>
          <w:highlight w:val="none"/>
        </w:rPr>
        <w:fldChar w:fldCharType="separate"/>
      </w:r>
      <w:r>
        <w:rPr>
          <w:color w:val="auto"/>
          <w:highlight w:val="none"/>
        </w:rPr>
        <w:t>55</w:t>
      </w:r>
      <w:r>
        <w:rPr>
          <w:color w:val="auto"/>
          <w:highlight w:val="none"/>
        </w:rPr>
        <w:fldChar w:fldCharType="end"/>
      </w:r>
      <w:r>
        <w:rPr>
          <w:rFonts w:ascii="宋体" w:hAnsi="宋体"/>
          <w:color w:val="auto"/>
          <w:highlight w:val="none"/>
        </w:rPr>
        <w:fldChar w:fldCharType="end"/>
      </w:r>
    </w:p>
    <w:p w14:paraId="39B3510A">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_Toc21084 </w:instrText>
      </w:r>
      <w:r>
        <w:rPr>
          <w:rFonts w:ascii="宋体" w:hAnsi="宋体"/>
          <w:color w:val="auto"/>
          <w:highlight w:val="none"/>
        </w:rPr>
        <w:fldChar w:fldCharType="separate"/>
      </w:r>
      <w:r>
        <w:rPr>
          <w:color w:val="auto"/>
          <w:highlight w:val="none"/>
        </w:rPr>
        <w:t>3 评标程序</w:t>
      </w:r>
      <w:r>
        <w:rPr>
          <w:color w:val="auto"/>
          <w:highlight w:val="none"/>
        </w:rPr>
        <w:tab/>
      </w:r>
      <w:r>
        <w:rPr>
          <w:color w:val="auto"/>
          <w:highlight w:val="none"/>
        </w:rPr>
        <w:fldChar w:fldCharType="begin"/>
      </w:r>
      <w:r>
        <w:rPr>
          <w:color w:val="auto"/>
          <w:highlight w:val="none"/>
        </w:rPr>
        <w:instrText xml:space="preserve"> PAGEREF _Toc21084 \h </w:instrText>
      </w:r>
      <w:r>
        <w:rPr>
          <w:color w:val="auto"/>
          <w:highlight w:val="none"/>
        </w:rPr>
        <w:fldChar w:fldCharType="separate"/>
      </w:r>
      <w:r>
        <w:rPr>
          <w:color w:val="auto"/>
          <w:highlight w:val="none"/>
        </w:rPr>
        <w:t>55</w:t>
      </w:r>
      <w:r>
        <w:rPr>
          <w:color w:val="auto"/>
          <w:highlight w:val="none"/>
        </w:rPr>
        <w:fldChar w:fldCharType="end"/>
      </w:r>
      <w:r>
        <w:rPr>
          <w:rFonts w:ascii="宋体" w:hAnsi="宋体"/>
          <w:color w:val="auto"/>
          <w:highlight w:val="none"/>
        </w:rPr>
        <w:fldChar w:fldCharType="end"/>
      </w:r>
    </w:p>
    <w:p w14:paraId="0C1CF552">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_Toc18245 </w:instrText>
      </w:r>
      <w:r>
        <w:rPr>
          <w:rFonts w:ascii="宋体" w:hAnsi="宋体"/>
          <w:color w:val="auto"/>
          <w:highlight w:val="none"/>
        </w:rPr>
        <w:fldChar w:fldCharType="separate"/>
      </w:r>
      <w:r>
        <w:rPr>
          <w:color w:val="auto"/>
          <w:highlight w:val="none"/>
        </w:rPr>
        <w:t>3.1 初步评审</w:t>
      </w:r>
      <w:r>
        <w:rPr>
          <w:color w:val="auto"/>
          <w:highlight w:val="none"/>
        </w:rPr>
        <w:tab/>
      </w:r>
      <w:r>
        <w:rPr>
          <w:color w:val="auto"/>
          <w:highlight w:val="none"/>
        </w:rPr>
        <w:fldChar w:fldCharType="begin"/>
      </w:r>
      <w:r>
        <w:rPr>
          <w:color w:val="auto"/>
          <w:highlight w:val="none"/>
        </w:rPr>
        <w:instrText xml:space="preserve"> PAGEREF _Toc18245 \h </w:instrText>
      </w:r>
      <w:r>
        <w:rPr>
          <w:color w:val="auto"/>
          <w:highlight w:val="none"/>
        </w:rPr>
        <w:fldChar w:fldCharType="separate"/>
      </w:r>
      <w:r>
        <w:rPr>
          <w:color w:val="auto"/>
          <w:highlight w:val="none"/>
        </w:rPr>
        <w:t>55</w:t>
      </w:r>
      <w:r>
        <w:rPr>
          <w:color w:val="auto"/>
          <w:highlight w:val="none"/>
        </w:rPr>
        <w:fldChar w:fldCharType="end"/>
      </w:r>
      <w:r>
        <w:rPr>
          <w:rFonts w:ascii="宋体" w:hAnsi="宋体"/>
          <w:color w:val="auto"/>
          <w:highlight w:val="none"/>
        </w:rPr>
        <w:fldChar w:fldCharType="end"/>
      </w:r>
    </w:p>
    <w:p w14:paraId="00B1A81A">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_Toc22795 </w:instrText>
      </w:r>
      <w:r>
        <w:rPr>
          <w:rFonts w:ascii="宋体" w:hAnsi="宋体"/>
          <w:color w:val="auto"/>
          <w:highlight w:val="none"/>
        </w:rPr>
        <w:fldChar w:fldCharType="separate"/>
      </w:r>
      <w:r>
        <w:rPr>
          <w:color w:val="auto"/>
          <w:highlight w:val="none"/>
        </w:rPr>
        <w:t>3.2 详细评审</w:t>
      </w:r>
      <w:r>
        <w:rPr>
          <w:color w:val="auto"/>
          <w:highlight w:val="none"/>
        </w:rPr>
        <w:tab/>
      </w:r>
      <w:r>
        <w:rPr>
          <w:color w:val="auto"/>
          <w:highlight w:val="none"/>
        </w:rPr>
        <w:fldChar w:fldCharType="begin"/>
      </w:r>
      <w:r>
        <w:rPr>
          <w:color w:val="auto"/>
          <w:highlight w:val="none"/>
        </w:rPr>
        <w:instrText xml:space="preserve"> PAGEREF _Toc22795 \h </w:instrText>
      </w:r>
      <w:r>
        <w:rPr>
          <w:color w:val="auto"/>
          <w:highlight w:val="none"/>
        </w:rPr>
        <w:fldChar w:fldCharType="separate"/>
      </w:r>
      <w:r>
        <w:rPr>
          <w:color w:val="auto"/>
          <w:highlight w:val="none"/>
        </w:rPr>
        <w:t>56</w:t>
      </w:r>
      <w:r>
        <w:rPr>
          <w:color w:val="auto"/>
          <w:highlight w:val="none"/>
        </w:rPr>
        <w:fldChar w:fldCharType="end"/>
      </w:r>
      <w:r>
        <w:rPr>
          <w:rFonts w:ascii="宋体" w:hAnsi="宋体"/>
          <w:color w:val="auto"/>
          <w:highlight w:val="none"/>
        </w:rPr>
        <w:fldChar w:fldCharType="end"/>
      </w:r>
    </w:p>
    <w:p w14:paraId="32AD63C6">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_Toc4328 </w:instrText>
      </w:r>
      <w:r>
        <w:rPr>
          <w:rFonts w:ascii="宋体" w:hAnsi="宋体"/>
          <w:color w:val="auto"/>
          <w:highlight w:val="none"/>
        </w:rPr>
        <w:fldChar w:fldCharType="separate"/>
      </w:r>
      <w:r>
        <w:rPr>
          <w:color w:val="auto"/>
          <w:highlight w:val="none"/>
        </w:rPr>
        <w:t>3.3 投标文件的澄清、说明和补正</w:t>
      </w:r>
      <w:r>
        <w:rPr>
          <w:color w:val="auto"/>
          <w:highlight w:val="none"/>
        </w:rPr>
        <w:tab/>
      </w:r>
      <w:r>
        <w:rPr>
          <w:color w:val="auto"/>
          <w:highlight w:val="none"/>
        </w:rPr>
        <w:fldChar w:fldCharType="begin"/>
      </w:r>
      <w:r>
        <w:rPr>
          <w:color w:val="auto"/>
          <w:highlight w:val="none"/>
        </w:rPr>
        <w:instrText xml:space="preserve"> PAGEREF _Toc4328 \h </w:instrText>
      </w:r>
      <w:r>
        <w:rPr>
          <w:color w:val="auto"/>
          <w:highlight w:val="none"/>
        </w:rPr>
        <w:fldChar w:fldCharType="separate"/>
      </w:r>
      <w:r>
        <w:rPr>
          <w:color w:val="auto"/>
          <w:highlight w:val="none"/>
        </w:rPr>
        <w:t>56</w:t>
      </w:r>
      <w:r>
        <w:rPr>
          <w:color w:val="auto"/>
          <w:highlight w:val="none"/>
        </w:rPr>
        <w:fldChar w:fldCharType="end"/>
      </w:r>
      <w:r>
        <w:rPr>
          <w:rFonts w:ascii="宋体" w:hAnsi="宋体"/>
          <w:color w:val="auto"/>
          <w:highlight w:val="none"/>
        </w:rPr>
        <w:fldChar w:fldCharType="end"/>
      </w:r>
    </w:p>
    <w:p w14:paraId="166F690F">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_Toc9651 </w:instrText>
      </w:r>
      <w:r>
        <w:rPr>
          <w:rFonts w:ascii="宋体" w:hAnsi="宋体"/>
          <w:color w:val="auto"/>
          <w:highlight w:val="none"/>
        </w:rPr>
        <w:fldChar w:fldCharType="separate"/>
      </w:r>
      <w:r>
        <w:rPr>
          <w:color w:val="auto"/>
          <w:highlight w:val="none"/>
        </w:rPr>
        <w:t>3.4 评标结果</w:t>
      </w:r>
      <w:r>
        <w:rPr>
          <w:color w:val="auto"/>
          <w:highlight w:val="none"/>
        </w:rPr>
        <w:tab/>
      </w:r>
      <w:r>
        <w:rPr>
          <w:color w:val="auto"/>
          <w:highlight w:val="none"/>
        </w:rPr>
        <w:fldChar w:fldCharType="begin"/>
      </w:r>
      <w:r>
        <w:rPr>
          <w:color w:val="auto"/>
          <w:highlight w:val="none"/>
        </w:rPr>
        <w:instrText xml:space="preserve"> PAGEREF _Toc9651 \h </w:instrText>
      </w:r>
      <w:r>
        <w:rPr>
          <w:color w:val="auto"/>
          <w:highlight w:val="none"/>
        </w:rPr>
        <w:fldChar w:fldCharType="separate"/>
      </w:r>
      <w:r>
        <w:rPr>
          <w:color w:val="auto"/>
          <w:highlight w:val="none"/>
        </w:rPr>
        <w:t>56</w:t>
      </w:r>
      <w:r>
        <w:rPr>
          <w:color w:val="auto"/>
          <w:highlight w:val="none"/>
        </w:rPr>
        <w:fldChar w:fldCharType="end"/>
      </w:r>
      <w:r>
        <w:rPr>
          <w:rFonts w:ascii="宋体" w:hAnsi="宋体"/>
          <w:color w:val="auto"/>
          <w:highlight w:val="none"/>
        </w:rPr>
        <w:fldChar w:fldCharType="end"/>
      </w:r>
    </w:p>
    <w:p w14:paraId="5884EF08">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_Toc26212 </w:instrText>
      </w:r>
      <w:r>
        <w:rPr>
          <w:rFonts w:ascii="宋体" w:hAnsi="宋体"/>
          <w:color w:val="auto"/>
          <w:highlight w:val="none"/>
        </w:rPr>
        <w:fldChar w:fldCharType="separate"/>
      </w:r>
      <w:r>
        <w:rPr>
          <w:color w:val="auto"/>
          <w:highlight w:val="none"/>
        </w:rPr>
        <w:t>3.5其他评审要求</w:t>
      </w:r>
      <w:r>
        <w:rPr>
          <w:color w:val="auto"/>
          <w:highlight w:val="none"/>
        </w:rPr>
        <w:tab/>
      </w:r>
      <w:r>
        <w:rPr>
          <w:color w:val="auto"/>
          <w:highlight w:val="none"/>
        </w:rPr>
        <w:fldChar w:fldCharType="begin"/>
      </w:r>
      <w:r>
        <w:rPr>
          <w:color w:val="auto"/>
          <w:highlight w:val="none"/>
        </w:rPr>
        <w:instrText xml:space="preserve"> PAGEREF _Toc26212 \h </w:instrText>
      </w:r>
      <w:r>
        <w:rPr>
          <w:color w:val="auto"/>
          <w:highlight w:val="none"/>
        </w:rPr>
        <w:fldChar w:fldCharType="separate"/>
      </w:r>
      <w:r>
        <w:rPr>
          <w:color w:val="auto"/>
          <w:highlight w:val="none"/>
        </w:rPr>
        <w:t>56</w:t>
      </w:r>
      <w:r>
        <w:rPr>
          <w:color w:val="auto"/>
          <w:highlight w:val="none"/>
        </w:rPr>
        <w:fldChar w:fldCharType="end"/>
      </w:r>
      <w:r>
        <w:rPr>
          <w:rFonts w:ascii="宋体" w:hAnsi="宋体"/>
          <w:color w:val="auto"/>
          <w:highlight w:val="none"/>
        </w:rPr>
        <w:fldChar w:fldCharType="end"/>
      </w:r>
    </w:p>
    <w:p w14:paraId="5D468325">
      <w:pPr>
        <w:pStyle w:val="28"/>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_Toc19082 </w:instrText>
      </w:r>
      <w:r>
        <w:rPr>
          <w:rFonts w:ascii="宋体" w:hAnsi="宋体"/>
          <w:color w:val="auto"/>
          <w:highlight w:val="none"/>
        </w:rPr>
        <w:fldChar w:fldCharType="separate"/>
      </w:r>
      <w:r>
        <w:rPr>
          <w:color w:val="auto"/>
          <w:highlight w:val="none"/>
        </w:rPr>
        <w:t>附件A</w:t>
      </w:r>
      <w:r>
        <w:rPr>
          <w:rFonts w:hint="eastAsia"/>
          <w:color w:val="auto"/>
          <w:highlight w:val="none"/>
        </w:rPr>
        <w:t xml:space="preserve">  评标详细程序</w:t>
      </w:r>
      <w:r>
        <w:rPr>
          <w:color w:val="auto"/>
          <w:highlight w:val="none"/>
        </w:rPr>
        <w:tab/>
      </w:r>
      <w:r>
        <w:rPr>
          <w:color w:val="auto"/>
          <w:highlight w:val="none"/>
        </w:rPr>
        <w:fldChar w:fldCharType="begin"/>
      </w:r>
      <w:r>
        <w:rPr>
          <w:color w:val="auto"/>
          <w:highlight w:val="none"/>
        </w:rPr>
        <w:instrText xml:space="preserve"> PAGEREF _Toc19082 \h </w:instrText>
      </w:r>
      <w:r>
        <w:rPr>
          <w:color w:val="auto"/>
          <w:highlight w:val="none"/>
        </w:rPr>
        <w:fldChar w:fldCharType="separate"/>
      </w:r>
      <w:r>
        <w:rPr>
          <w:color w:val="auto"/>
          <w:highlight w:val="none"/>
        </w:rPr>
        <w:t>57</w:t>
      </w:r>
      <w:r>
        <w:rPr>
          <w:color w:val="auto"/>
          <w:highlight w:val="none"/>
        </w:rPr>
        <w:fldChar w:fldCharType="end"/>
      </w:r>
      <w:r>
        <w:rPr>
          <w:rFonts w:ascii="宋体" w:hAnsi="宋体"/>
          <w:color w:val="auto"/>
          <w:highlight w:val="none"/>
        </w:rPr>
        <w:fldChar w:fldCharType="end"/>
      </w:r>
    </w:p>
    <w:p w14:paraId="09F8A083">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_Toc282 </w:instrText>
      </w:r>
      <w:r>
        <w:rPr>
          <w:rFonts w:ascii="宋体" w:hAnsi="宋体"/>
          <w:color w:val="auto"/>
          <w:highlight w:val="none"/>
        </w:rPr>
        <w:fldChar w:fldCharType="separate"/>
      </w:r>
      <w:r>
        <w:rPr>
          <w:color w:val="auto"/>
          <w:highlight w:val="none"/>
        </w:rPr>
        <w:t>A0 总  则</w:t>
      </w:r>
      <w:r>
        <w:rPr>
          <w:color w:val="auto"/>
          <w:highlight w:val="none"/>
        </w:rPr>
        <w:tab/>
      </w:r>
      <w:r>
        <w:rPr>
          <w:color w:val="auto"/>
          <w:highlight w:val="none"/>
        </w:rPr>
        <w:fldChar w:fldCharType="begin"/>
      </w:r>
      <w:r>
        <w:rPr>
          <w:color w:val="auto"/>
          <w:highlight w:val="none"/>
        </w:rPr>
        <w:instrText xml:space="preserve"> PAGEREF _Toc282 \h </w:instrText>
      </w:r>
      <w:r>
        <w:rPr>
          <w:color w:val="auto"/>
          <w:highlight w:val="none"/>
        </w:rPr>
        <w:fldChar w:fldCharType="separate"/>
      </w:r>
      <w:r>
        <w:rPr>
          <w:color w:val="auto"/>
          <w:highlight w:val="none"/>
        </w:rPr>
        <w:t>57</w:t>
      </w:r>
      <w:r>
        <w:rPr>
          <w:color w:val="auto"/>
          <w:highlight w:val="none"/>
        </w:rPr>
        <w:fldChar w:fldCharType="end"/>
      </w:r>
      <w:r>
        <w:rPr>
          <w:rFonts w:ascii="宋体" w:hAnsi="宋体"/>
          <w:color w:val="auto"/>
          <w:highlight w:val="none"/>
        </w:rPr>
        <w:fldChar w:fldCharType="end"/>
      </w:r>
    </w:p>
    <w:p w14:paraId="53A6EF22">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_Toc29523 </w:instrText>
      </w:r>
      <w:r>
        <w:rPr>
          <w:rFonts w:ascii="宋体" w:hAnsi="宋体"/>
          <w:color w:val="auto"/>
          <w:highlight w:val="none"/>
        </w:rPr>
        <w:fldChar w:fldCharType="separate"/>
      </w:r>
      <w:r>
        <w:rPr>
          <w:color w:val="auto"/>
          <w:highlight w:val="none"/>
        </w:rPr>
        <w:t>A1 基本程序</w:t>
      </w:r>
      <w:r>
        <w:rPr>
          <w:color w:val="auto"/>
          <w:highlight w:val="none"/>
        </w:rPr>
        <w:tab/>
      </w:r>
      <w:r>
        <w:rPr>
          <w:color w:val="auto"/>
          <w:highlight w:val="none"/>
        </w:rPr>
        <w:fldChar w:fldCharType="begin"/>
      </w:r>
      <w:r>
        <w:rPr>
          <w:color w:val="auto"/>
          <w:highlight w:val="none"/>
        </w:rPr>
        <w:instrText xml:space="preserve"> PAGEREF _Toc29523 \h </w:instrText>
      </w:r>
      <w:r>
        <w:rPr>
          <w:color w:val="auto"/>
          <w:highlight w:val="none"/>
        </w:rPr>
        <w:fldChar w:fldCharType="separate"/>
      </w:r>
      <w:r>
        <w:rPr>
          <w:color w:val="auto"/>
          <w:highlight w:val="none"/>
        </w:rPr>
        <w:t>57</w:t>
      </w:r>
      <w:r>
        <w:rPr>
          <w:color w:val="auto"/>
          <w:highlight w:val="none"/>
        </w:rPr>
        <w:fldChar w:fldCharType="end"/>
      </w:r>
      <w:r>
        <w:rPr>
          <w:rFonts w:ascii="宋体" w:hAnsi="宋体"/>
          <w:color w:val="auto"/>
          <w:highlight w:val="none"/>
        </w:rPr>
        <w:fldChar w:fldCharType="end"/>
      </w:r>
    </w:p>
    <w:p w14:paraId="065374EF">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_Toc24098 </w:instrText>
      </w:r>
      <w:r>
        <w:rPr>
          <w:rFonts w:ascii="宋体" w:hAnsi="宋体"/>
          <w:color w:val="auto"/>
          <w:highlight w:val="none"/>
        </w:rPr>
        <w:fldChar w:fldCharType="separate"/>
      </w:r>
      <w:r>
        <w:rPr>
          <w:color w:val="auto"/>
          <w:highlight w:val="none"/>
        </w:rPr>
        <w:t>A2 评标准备</w:t>
      </w:r>
      <w:r>
        <w:rPr>
          <w:color w:val="auto"/>
          <w:highlight w:val="none"/>
        </w:rPr>
        <w:tab/>
      </w:r>
      <w:r>
        <w:rPr>
          <w:color w:val="auto"/>
          <w:highlight w:val="none"/>
        </w:rPr>
        <w:fldChar w:fldCharType="begin"/>
      </w:r>
      <w:r>
        <w:rPr>
          <w:color w:val="auto"/>
          <w:highlight w:val="none"/>
        </w:rPr>
        <w:instrText xml:space="preserve"> PAGEREF _Toc24098 \h </w:instrText>
      </w:r>
      <w:r>
        <w:rPr>
          <w:color w:val="auto"/>
          <w:highlight w:val="none"/>
        </w:rPr>
        <w:fldChar w:fldCharType="separate"/>
      </w:r>
      <w:r>
        <w:rPr>
          <w:color w:val="auto"/>
          <w:highlight w:val="none"/>
        </w:rPr>
        <w:t>57</w:t>
      </w:r>
      <w:r>
        <w:rPr>
          <w:color w:val="auto"/>
          <w:highlight w:val="none"/>
        </w:rPr>
        <w:fldChar w:fldCharType="end"/>
      </w:r>
      <w:r>
        <w:rPr>
          <w:rFonts w:ascii="宋体" w:hAnsi="宋体"/>
          <w:color w:val="auto"/>
          <w:highlight w:val="none"/>
        </w:rPr>
        <w:fldChar w:fldCharType="end"/>
      </w:r>
    </w:p>
    <w:p w14:paraId="0A3FC7AE">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_Toc4018 </w:instrText>
      </w:r>
      <w:r>
        <w:rPr>
          <w:rFonts w:ascii="宋体" w:hAnsi="宋体"/>
          <w:color w:val="auto"/>
          <w:highlight w:val="none"/>
        </w:rPr>
        <w:fldChar w:fldCharType="separate"/>
      </w:r>
      <w:r>
        <w:rPr>
          <w:color w:val="auto"/>
          <w:highlight w:val="none"/>
        </w:rPr>
        <w:t>A3 初步评审</w:t>
      </w:r>
      <w:r>
        <w:rPr>
          <w:color w:val="auto"/>
          <w:highlight w:val="none"/>
        </w:rPr>
        <w:tab/>
      </w:r>
      <w:r>
        <w:rPr>
          <w:color w:val="auto"/>
          <w:highlight w:val="none"/>
        </w:rPr>
        <w:fldChar w:fldCharType="begin"/>
      </w:r>
      <w:r>
        <w:rPr>
          <w:color w:val="auto"/>
          <w:highlight w:val="none"/>
        </w:rPr>
        <w:instrText xml:space="preserve"> PAGEREF _Toc4018 \h </w:instrText>
      </w:r>
      <w:r>
        <w:rPr>
          <w:color w:val="auto"/>
          <w:highlight w:val="none"/>
        </w:rPr>
        <w:fldChar w:fldCharType="separate"/>
      </w:r>
      <w:r>
        <w:rPr>
          <w:color w:val="auto"/>
          <w:highlight w:val="none"/>
        </w:rPr>
        <w:t>57</w:t>
      </w:r>
      <w:r>
        <w:rPr>
          <w:color w:val="auto"/>
          <w:highlight w:val="none"/>
        </w:rPr>
        <w:fldChar w:fldCharType="end"/>
      </w:r>
      <w:r>
        <w:rPr>
          <w:rFonts w:ascii="宋体" w:hAnsi="宋体"/>
          <w:color w:val="auto"/>
          <w:highlight w:val="none"/>
        </w:rPr>
        <w:fldChar w:fldCharType="end"/>
      </w:r>
    </w:p>
    <w:p w14:paraId="600D5D71">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_Toc16820 </w:instrText>
      </w:r>
      <w:r>
        <w:rPr>
          <w:rFonts w:ascii="宋体" w:hAnsi="宋体"/>
          <w:color w:val="auto"/>
          <w:highlight w:val="none"/>
        </w:rPr>
        <w:fldChar w:fldCharType="separate"/>
      </w:r>
      <w:r>
        <w:rPr>
          <w:color w:val="auto"/>
          <w:highlight w:val="none"/>
        </w:rPr>
        <w:t>A4 详细评审</w:t>
      </w:r>
      <w:r>
        <w:rPr>
          <w:color w:val="auto"/>
          <w:highlight w:val="none"/>
        </w:rPr>
        <w:tab/>
      </w:r>
      <w:r>
        <w:rPr>
          <w:color w:val="auto"/>
          <w:highlight w:val="none"/>
        </w:rPr>
        <w:fldChar w:fldCharType="begin"/>
      </w:r>
      <w:r>
        <w:rPr>
          <w:color w:val="auto"/>
          <w:highlight w:val="none"/>
        </w:rPr>
        <w:instrText xml:space="preserve"> PAGEREF _Toc16820 \h </w:instrText>
      </w:r>
      <w:r>
        <w:rPr>
          <w:color w:val="auto"/>
          <w:highlight w:val="none"/>
        </w:rPr>
        <w:fldChar w:fldCharType="separate"/>
      </w:r>
      <w:r>
        <w:rPr>
          <w:color w:val="auto"/>
          <w:highlight w:val="none"/>
        </w:rPr>
        <w:t>58</w:t>
      </w:r>
      <w:r>
        <w:rPr>
          <w:color w:val="auto"/>
          <w:highlight w:val="none"/>
        </w:rPr>
        <w:fldChar w:fldCharType="end"/>
      </w:r>
      <w:r>
        <w:rPr>
          <w:rFonts w:ascii="宋体" w:hAnsi="宋体"/>
          <w:color w:val="auto"/>
          <w:highlight w:val="none"/>
        </w:rPr>
        <w:fldChar w:fldCharType="end"/>
      </w:r>
    </w:p>
    <w:p w14:paraId="362745C8">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_Toc16779 </w:instrText>
      </w:r>
      <w:r>
        <w:rPr>
          <w:rFonts w:ascii="宋体" w:hAnsi="宋体"/>
          <w:color w:val="auto"/>
          <w:highlight w:val="none"/>
        </w:rPr>
        <w:fldChar w:fldCharType="separate"/>
      </w:r>
      <w:r>
        <w:rPr>
          <w:color w:val="auto"/>
          <w:highlight w:val="none"/>
        </w:rPr>
        <w:t>A5 推荐中标候选人或者直接确定中标人</w:t>
      </w:r>
      <w:r>
        <w:rPr>
          <w:color w:val="auto"/>
          <w:highlight w:val="none"/>
        </w:rPr>
        <w:tab/>
      </w:r>
      <w:r>
        <w:rPr>
          <w:color w:val="auto"/>
          <w:highlight w:val="none"/>
        </w:rPr>
        <w:fldChar w:fldCharType="begin"/>
      </w:r>
      <w:r>
        <w:rPr>
          <w:color w:val="auto"/>
          <w:highlight w:val="none"/>
        </w:rPr>
        <w:instrText xml:space="preserve"> PAGEREF _Toc16779 \h </w:instrText>
      </w:r>
      <w:r>
        <w:rPr>
          <w:color w:val="auto"/>
          <w:highlight w:val="none"/>
        </w:rPr>
        <w:fldChar w:fldCharType="separate"/>
      </w:r>
      <w:r>
        <w:rPr>
          <w:color w:val="auto"/>
          <w:highlight w:val="none"/>
        </w:rPr>
        <w:t>59</w:t>
      </w:r>
      <w:r>
        <w:rPr>
          <w:color w:val="auto"/>
          <w:highlight w:val="none"/>
        </w:rPr>
        <w:fldChar w:fldCharType="end"/>
      </w:r>
      <w:r>
        <w:rPr>
          <w:rFonts w:ascii="宋体" w:hAnsi="宋体"/>
          <w:color w:val="auto"/>
          <w:highlight w:val="none"/>
        </w:rPr>
        <w:fldChar w:fldCharType="end"/>
      </w:r>
    </w:p>
    <w:p w14:paraId="0BAB0EA8">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_Toc677 </w:instrText>
      </w:r>
      <w:r>
        <w:rPr>
          <w:rFonts w:ascii="宋体" w:hAnsi="宋体"/>
          <w:color w:val="auto"/>
          <w:highlight w:val="none"/>
        </w:rPr>
        <w:fldChar w:fldCharType="separate"/>
      </w:r>
      <w:r>
        <w:rPr>
          <w:color w:val="auto"/>
          <w:highlight w:val="none"/>
        </w:rPr>
        <w:t>A6 特殊情况的处置程序</w:t>
      </w:r>
      <w:r>
        <w:rPr>
          <w:color w:val="auto"/>
          <w:highlight w:val="none"/>
        </w:rPr>
        <w:tab/>
      </w:r>
      <w:r>
        <w:rPr>
          <w:color w:val="auto"/>
          <w:highlight w:val="none"/>
        </w:rPr>
        <w:fldChar w:fldCharType="begin"/>
      </w:r>
      <w:r>
        <w:rPr>
          <w:color w:val="auto"/>
          <w:highlight w:val="none"/>
        </w:rPr>
        <w:instrText xml:space="preserve"> PAGEREF _Toc677 \h </w:instrText>
      </w:r>
      <w:r>
        <w:rPr>
          <w:color w:val="auto"/>
          <w:highlight w:val="none"/>
        </w:rPr>
        <w:fldChar w:fldCharType="separate"/>
      </w:r>
      <w:r>
        <w:rPr>
          <w:color w:val="auto"/>
          <w:highlight w:val="none"/>
        </w:rPr>
        <w:t>60</w:t>
      </w:r>
      <w:r>
        <w:rPr>
          <w:color w:val="auto"/>
          <w:highlight w:val="none"/>
        </w:rPr>
        <w:fldChar w:fldCharType="end"/>
      </w:r>
      <w:r>
        <w:rPr>
          <w:rFonts w:ascii="宋体" w:hAnsi="宋体"/>
          <w:color w:val="auto"/>
          <w:highlight w:val="none"/>
        </w:rPr>
        <w:fldChar w:fldCharType="end"/>
      </w:r>
    </w:p>
    <w:p w14:paraId="0F7049C9">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_Toc14055 </w:instrText>
      </w:r>
      <w:r>
        <w:rPr>
          <w:rFonts w:ascii="宋体" w:hAnsi="宋体"/>
          <w:color w:val="auto"/>
          <w:highlight w:val="none"/>
        </w:rPr>
        <w:fldChar w:fldCharType="separate"/>
      </w:r>
      <w:r>
        <w:rPr>
          <w:color w:val="auto"/>
          <w:highlight w:val="none"/>
        </w:rPr>
        <w:t>A7 补充条款</w:t>
      </w:r>
      <w:r>
        <w:rPr>
          <w:color w:val="auto"/>
          <w:highlight w:val="none"/>
        </w:rPr>
        <w:tab/>
      </w:r>
      <w:r>
        <w:rPr>
          <w:color w:val="auto"/>
          <w:highlight w:val="none"/>
        </w:rPr>
        <w:fldChar w:fldCharType="begin"/>
      </w:r>
      <w:r>
        <w:rPr>
          <w:color w:val="auto"/>
          <w:highlight w:val="none"/>
        </w:rPr>
        <w:instrText xml:space="preserve"> PAGEREF _Toc14055 \h </w:instrText>
      </w:r>
      <w:r>
        <w:rPr>
          <w:color w:val="auto"/>
          <w:highlight w:val="none"/>
        </w:rPr>
        <w:fldChar w:fldCharType="separate"/>
      </w:r>
      <w:r>
        <w:rPr>
          <w:color w:val="auto"/>
          <w:highlight w:val="none"/>
        </w:rPr>
        <w:t>60</w:t>
      </w:r>
      <w:r>
        <w:rPr>
          <w:color w:val="auto"/>
          <w:highlight w:val="none"/>
        </w:rPr>
        <w:fldChar w:fldCharType="end"/>
      </w:r>
      <w:r>
        <w:rPr>
          <w:rFonts w:ascii="宋体" w:hAnsi="宋体"/>
          <w:color w:val="auto"/>
          <w:highlight w:val="none"/>
        </w:rPr>
        <w:fldChar w:fldCharType="end"/>
      </w:r>
    </w:p>
    <w:p w14:paraId="15A754E5">
      <w:pPr>
        <w:pStyle w:val="28"/>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_Toc18206 </w:instrText>
      </w:r>
      <w:r>
        <w:rPr>
          <w:rFonts w:ascii="宋体" w:hAnsi="宋体"/>
          <w:color w:val="auto"/>
          <w:highlight w:val="none"/>
        </w:rPr>
        <w:fldChar w:fldCharType="separate"/>
      </w:r>
      <w:r>
        <w:rPr>
          <w:color w:val="auto"/>
          <w:highlight w:val="none"/>
        </w:rPr>
        <w:t>附件B</w:t>
      </w:r>
      <w:r>
        <w:rPr>
          <w:rFonts w:hint="eastAsia"/>
          <w:color w:val="auto"/>
          <w:highlight w:val="none"/>
        </w:rPr>
        <w:t xml:space="preserve">  </w:t>
      </w:r>
      <w:r>
        <w:rPr>
          <w:color w:val="auto"/>
          <w:highlight w:val="none"/>
        </w:rPr>
        <w:t>否决投标条件</w:t>
      </w:r>
      <w:r>
        <w:rPr>
          <w:color w:val="auto"/>
          <w:highlight w:val="none"/>
        </w:rPr>
        <w:tab/>
      </w:r>
      <w:r>
        <w:rPr>
          <w:color w:val="auto"/>
          <w:highlight w:val="none"/>
        </w:rPr>
        <w:fldChar w:fldCharType="begin"/>
      </w:r>
      <w:r>
        <w:rPr>
          <w:color w:val="auto"/>
          <w:highlight w:val="none"/>
        </w:rPr>
        <w:instrText xml:space="preserve"> PAGEREF _Toc18206 \h </w:instrText>
      </w:r>
      <w:r>
        <w:rPr>
          <w:color w:val="auto"/>
          <w:highlight w:val="none"/>
        </w:rPr>
        <w:fldChar w:fldCharType="separate"/>
      </w:r>
      <w:r>
        <w:rPr>
          <w:color w:val="auto"/>
          <w:highlight w:val="none"/>
        </w:rPr>
        <w:t>61</w:t>
      </w:r>
      <w:r>
        <w:rPr>
          <w:color w:val="auto"/>
          <w:highlight w:val="none"/>
        </w:rPr>
        <w:fldChar w:fldCharType="end"/>
      </w:r>
      <w:r>
        <w:rPr>
          <w:rFonts w:ascii="宋体" w:hAnsi="宋体"/>
          <w:color w:val="auto"/>
          <w:highlight w:val="none"/>
        </w:rPr>
        <w:fldChar w:fldCharType="end"/>
      </w:r>
    </w:p>
    <w:p w14:paraId="099376A5">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_Toc5235 </w:instrText>
      </w:r>
      <w:r>
        <w:rPr>
          <w:rFonts w:ascii="宋体" w:hAnsi="宋体"/>
          <w:color w:val="auto"/>
          <w:highlight w:val="none"/>
        </w:rPr>
        <w:fldChar w:fldCharType="separate"/>
      </w:r>
      <w:r>
        <w:rPr>
          <w:color w:val="auto"/>
          <w:highlight w:val="none"/>
        </w:rPr>
        <w:t xml:space="preserve">B0 </w:t>
      </w:r>
      <w:r>
        <w:rPr>
          <w:rFonts w:hint="eastAsia"/>
          <w:color w:val="auto"/>
          <w:highlight w:val="none"/>
        </w:rPr>
        <w:t>总</w:t>
      </w:r>
      <w:r>
        <w:rPr>
          <w:color w:val="auto"/>
          <w:highlight w:val="none"/>
        </w:rPr>
        <w:t xml:space="preserve">  </w:t>
      </w:r>
      <w:r>
        <w:rPr>
          <w:rFonts w:hint="eastAsia"/>
          <w:color w:val="auto"/>
          <w:highlight w:val="none"/>
        </w:rPr>
        <w:t>则</w:t>
      </w:r>
      <w:r>
        <w:rPr>
          <w:color w:val="auto"/>
          <w:highlight w:val="none"/>
        </w:rPr>
        <w:tab/>
      </w:r>
      <w:r>
        <w:rPr>
          <w:color w:val="auto"/>
          <w:highlight w:val="none"/>
        </w:rPr>
        <w:fldChar w:fldCharType="begin"/>
      </w:r>
      <w:r>
        <w:rPr>
          <w:color w:val="auto"/>
          <w:highlight w:val="none"/>
        </w:rPr>
        <w:instrText xml:space="preserve"> PAGEREF _Toc5235 \h </w:instrText>
      </w:r>
      <w:r>
        <w:rPr>
          <w:color w:val="auto"/>
          <w:highlight w:val="none"/>
        </w:rPr>
        <w:fldChar w:fldCharType="separate"/>
      </w:r>
      <w:r>
        <w:rPr>
          <w:color w:val="auto"/>
          <w:highlight w:val="none"/>
        </w:rPr>
        <w:t>61</w:t>
      </w:r>
      <w:r>
        <w:rPr>
          <w:color w:val="auto"/>
          <w:highlight w:val="none"/>
        </w:rPr>
        <w:fldChar w:fldCharType="end"/>
      </w:r>
      <w:r>
        <w:rPr>
          <w:rFonts w:ascii="宋体" w:hAnsi="宋体"/>
          <w:color w:val="auto"/>
          <w:highlight w:val="none"/>
        </w:rPr>
        <w:fldChar w:fldCharType="end"/>
      </w:r>
    </w:p>
    <w:p w14:paraId="3718ECFE">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_Toc25525 </w:instrText>
      </w:r>
      <w:r>
        <w:rPr>
          <w:rFonts w:ascii="宋体" w:hAnsi="宋体"/>
          <w:color w:val="auto"/>
          <w:highlight w:val="none"/>
        </w:rPr>
        <w:fldChar w:fldCharType="separate"/>
      </w:r>
      <w:r>
        <w:rPr>
          <w:color w:val="auto"/>
          <w:highlight w:val="none"/>
        </w:rPr>
        <w:t xml:space="preserve">B1 </w:t>
      </w:r>
      <w:r>
        <w:rPr>
          <w:rFonts w:hint="eastAsia"/>
          <w:color w:val="auto"/>
          <w:highlight w:val="none"/>
        </w:rPr>
        <w:t>否决投标条件</w:t>
      </w:r>
      <w:r>
        <w:rPr>
          <w:color w:val="auto"/>
          <w:highlight w:val="none"/>
        </w:rPr>
        <w:tab/>
      </w:r>
      <w:r>
        <w:rPr>
          <w:color w:val="auto"/>
          <w:highlight w:val="none"/>
        </w:rPr>
        <w:fldChar w:fldCharType="begin"/>
      </w:r>
      <w:r>
        <w:rPr>
          <w:color w:val="auto"/>
          <w:highlight w:val="none"/>
        </w:rPr>
        <w:instrText xml:space="preserve"> PAGEREF _Toc25525 \h </w:instrText>
      </w:r>
      <w:r>
        <w:rPr>
          <w:color w:val="auto"/>
          <w:highlight w:val="none"/>
        </w:rPr>
        <w:fldChar w:fldCharType="separate"/>
      </w:r>
      <w:r>
        <w:rPr>
          <w:color w:val="auto"/>
          <w:highlight w:val="none"/>
        </w:rPr>
        <w:t>61</w:t>
      </w:r>
      <w:r>
        <w:rPr>
          <w:color w:val="auto"/>
          <w:highlight w:val="none"/>
        </w:rPr>
        <w:fldChar w:fldCharType="end"/>
      </w:r>
      <w:r>
        <w:rPr>
          <w:rFonts w:ascii="宋体" w:hAnsi="宋体"/>
          <w:color w:val="auto"/>
          <w:highlight w:val="none"/>
        </w:rPr>
        <w:fldChar w:fldCharType="end"/>
      </w:r>
    </w:p>
    <w:p w14:paraId="3A9492B4">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_Toc31902 </w:instrText>
      </w:r>
      <w:r>
        <w:rPr>
          <w:rFonts w:ascii="宋体" w:hAnsi="宋体"/>
          <w:color w:val="auto"/>
          <w:highlight w:val="none"/>
        </w:rPr>
        <w:fldChar w:fldCharType="separate"/>
      </w:r>
      <w:r>
        <w:rPr>
          <w:color w:val="auto"/>
          <w:highlight w:val="none"/>
        </w:rPr>
        <w:t>评标附录表格</w:t>
      </w:r>
      <w:r>
        <w:rPr>
          <w:color w:val="auto"/>
          <w:highlight w:val="none"/>
        </w:rPr>
        <w:tab/>
      </w:r>
      <w:r>
        <w:rPr>
          <w:color w:val="auto"/>
          <w:highlight w:val="none"/>
        </w:rPr>
        <w:fldChar w:fldCharType="begin"/>
      </w:r>
      <w:r>
        <w:rPr>
          <w:color w:val="auto"/>
          <w:highlight w:val="none"/>
        </w:rPr>
        <w:instrText xml:space="preserve"> PAGEREF _Toc31902 \h </w:instrText>
      </w:r>
      <w:r>
        <w:rPr>
          <w:color w:val="auto"/>
          <w:highlight w:val="none"/>
        </w:rPr>
        <w:fldChar w:fldCharType="separate"/>
      </w:r>
      <w:r>
        <w:rPr>
          <w:color w:val="auto"/>
          <w:highlight w:val="none"/>
        </w:rPr>
        <w:t>63</w:t>
      </w:r>
      <w:r>
        <w:rPr>
          <w:color w:val="auto"/>
          <w:highlight w:val="none"/>
        </w:rPr>
        <w:fldChar w:fldCharType="end"/>
      </w:r>
      <w:r>
        <w:rPr>
          <w:rFonts w:ascii="宋体" w:hAnsi="宋体"/>
          <w:color w:val="auto"/>
          <w:highlight w:val="none"/>
        </w:rPr>
        <w:fldChar w:fldCharType="end"/>
      </w:r>
    </w:p>
    <w:p w14:paraId="5FF274EB">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_Toc22663 </w:instrText>
      </w:r>
      <w:r>
        <w:rPr>
          <w:rFonts w:ascii="宋体" w:hAnsi="宋体"/>
          <w:color w:val="auto"/>
          <w:highlight w:val="none"/>
        </w:rPr>
        <w:fldChar w:fldCharType="separate"/>
      </w:r>
      <w:r>
        <w:rPr>
          <w:rFonts w:hint="eastAsia" w:eastAsia="宋体"/>
          <w:bCs w:val="0"/>
          <w:color w:val="auto"/>
          <w:szCs w:val="21"/>
          <w:highlight w:val="none"/>
        </w:rPr>
        <w:t>附表</w:t>
      </w:r>
      <w:r>
        <w:rPr>
          <w:rFonts w:eastAsia="宋体"/>
          <w:bCs w:val="0"/>
          <w:color w:val="auto"/>
          <w:szCs w:val="21"/>
          <w:highlight w:val="none"/>
        </w:rPr>
        <w:t>A-</w:t>
      </w:r>
      <w:r>
        <w:rPr>
          <w:rFonts w:hint="eastAsia" w:eastAsia="宋体"/>
          <w:bCs w:val="0"/>
          <w:color w:val="auto"/>
          <w:szCs w:val="21"/>
          <w:highlight w:val="none"/>
        </w:rPr>
        <w:t>12：企业信誉实力评分记录表</w:t>
      </w:r>
      <w:r>
        <w:rPr>
          <w:color w:val="auto"/>
          <w:highlight w:val="none"/>
        </w:rPr>
        <w:tab/>
      </w:r>
      <w:r>
        <w:rPr>
          <w:color w:val="auto"/>
          <w:highlight w:val="none"/>
        </w:rPr>
        <w:fldChar w:fldCharType="begin"/>
      </w:r>
      <w:r>
        <w:rPr>
          <w:color w:val="auto"/>
          <w:highlight w:val="none"/>
        </w:rPr>
        <w:instrText xml:space="preserve"> PAGEREF _Toc22663 \h </w:instrText>
      </w:r>
      <w:r>
        <w:rPr>
          <w:color w:val="auto"/>
          <w:highlight w:val="none"/>
        </w:rPr>
        <w:fldChar w:fldCharType="separate"/>
      </w:r>
      <w:r>
        <w:rPr>
          <w:color w:val="auto"/>
          <w:highlight w:val="none"/>
        </w:rPr>
        <w:t>77</w:t>
      </w:r>
      <w:r>
        <w:rPr>
          <w:color w:val="auto"/>
          <w:highlight w:val="none"/>
        </w:rPr>
        <w:fldChar w:fldCharType="end"/>
      </w:r>
      <w:r>
        <w:rPr>
          <w:rFonts w:ascii="宋体" w:hAnsi="宋体"/>
          <w:color w:val="auto"/>
          <w:highlight w:val="none"/>
        </w:rPr>
        <w:fldChar w:fldCharType="end"/>
      </w:r>
    </w:p>
    <w:p w14:paraId="683D9023">
      <w:pPr>
        <w:pStyle w:val="20"/>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_Toc24784 </w:instrText>
      </w:r>
      <w:r>
        <w:rPr>
          <w:rFonts w:ascii="宋体" w:hAnsi="宋体"/>
          <w:color w:val="auto"/>
          <w:highlight w:val="none"/>
        </w:rPr>
        <w:fldChar w:fldCharType="separate"/>
      </w:r>
      <w:r>
        <w:rPr>
          <w:rFonts w:hint="eastAsia" w:eastAsia="宋体"/>
          <w:bCs w:val="0"/>
          <w:color w:val="auto"/>
          <w:szCs w:val="21"/>
          <w:highlight w:val="none"/>
        </w:rPr>
        <w:t>附表</w:t>
      </w:r>
      <w:r>
        <w:rPr>
          <w:rFonts w:eastAsia="宋体"/>
          <w:bCs w:val="0"/>
          <w:color w:val="auto"/>
          <w:szCs w:val="21"/>
          <w:highlight w:val="none"/>
        </w:rPr>
        <w:t>A-</w:t>
      </w:r>
      <w:r>
        <w:rPr>
          <w:rFonts w:hint="eastAsia" w:eastAsia="宋体"/>
          <w:bCs w:val="0"/>
          <w:color w:val="auto"/>
          <w:szCs w:val="21"/>
          <w:highlight w:val="none"/>
        </w:rPr>
        <w:t>13：企业信誉实力评分记录表</w:t>
      </w:r>
      <w:r>
        <w:rPr>
          <w:color w:val="auto"/>
          <w:highlight w:val="none"/>
        </w:rPr>
        <w:tab/>
      </w:r>
      <w:r>
        <w:rPr>
          <w:color w:val="auto"/>
          <w:highlight w:val="none"/>
        </w:rPr>
        <w:fldChar w:fldCharType="begin"/>
      </w:r>
      <w:r>
        <w:rPr>
          <w:color w:val="auto"/>
          <w:highlight w:val="none"/>
        </w:rPr>
        <w:instrText xml:space="preserve"> PAGEREF _Toc24784 \h </w:instrText>
      </w:r>
      <w:r>
        <w:rPr>
          <w:color w:val="auto"/>
          <w:highlight w:val="none"/>
        </w:rPr>
        <w:fldChar w:fldCharType="separate"/>
      </w:r>
      <w:r>
        <w:rPr>
          <w:color w:val="auto"/>
          <w:highlight w:val="none"/>
        </w:rPr>
        <w:t>78</w:t>
      </w:r>
      <w:r>
        <w:rPr>
          <w:color w:val="auto"/>
          <w:highlight w:val="none"/>
        </w:rPr>
        <w:fldChar w:fldCharType="end"/>
      </w:r>
      <w:r>
        <w:rPr>
          <w:rFonts w:ascii="宋体" w:hAnsi="宋体"/>
          <w:color w:val="auto"/>
          <w:highlight w:val="none"/>
        </w:rPr>
        <w:fldChar w:fldCharType="end"/>
      </w:r>
    </w:p>
    <w:p w14:paraId="52A71B7D">
      <w:pPr>
        <w:pStyle w:val="28"/>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_Toc1043 </w:instrText>
      </w:r>
      <w:r>
        <w:rPr>
          <w:rFonts w:ascii="宋体" w:hAnsi="宋体"/>
          <w:color w:val="auto"/>
          <w:highlight w:val="none"/>
        </w:rPr>
        <w:fldChar w:fldCharType="separate"/>
      </w:r>
      <w:r>
        <w:rPr>
          <w:color w:val="auto"/>
          <w:highlight w:val="none"/>
        </w:rPr>
        <w:t>第四章  合同条款及格式</w:t>
      </w:r>
      <w:r>
        <w:rPr>
          <w:color w:val="auto"/>
          <w:highlight w:val="none"/>
        </w:rPr>
        <w:tab/>
      </w:r>
      <w:r>
        <w:rPr>
          <w:color w:val="auto"/>
          <w:highlight w:val="none"/>
        </w:rPr>
        <w:fldChar w:fldCharType="begin"/>
      </w:r>
      <w:r>
        <w:rPr>
          <w:color w:val="auto"/>
          <w:highlight w:val="none"/>
        </w:rPr>
        <w:instrText xml:space="preserve"> PAGEREF _Toc1043 \h </w:instrText>
      </w:r>
      <w:r>
        <w:rPr>
          <w:color w:val="auto"/>
          <w:highlight w:val="none"/>
        </w:rPr>
        <w:fldChar w:fldCharType="separate"/>
      </w:r>
      <w:r>
        <w:rPr>
          <w:color w:val="auto"/>
          <w:highlight w:val="none"/>
        </w:rPr>
        <w:t>86</w:t>
      </w:r>
      <w:r>
        <w:rPr>
          <w:color w:val="auto"/>
          <w:highlight w:val="none"/>
        </w:rPr>
        <w:fldChar w:fldCharType="end"/>
      </w:r>
      <w:r>
        <w:rPr>
          <w:rFonts w:ascii="宋体" w:hAnsi="宋体"/>
          <w:color w:val="auto"/>
          <w:highlight w:val="none"/>
        </w:rPr>
        <w:fldChar w:fldCharType="end"/>
      </w:r>
    </w:p>
    <w:p w14:paraId="736C31AD">
      <w:pPr>
        <w:pStyle w:val="28"/>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_Toc30051 </w:instrText>
      </w:r>
      <w:r>
        <w:rPr>
          <w:rFonts w:ascii="宋体" w:hAnsi="宋体"/>
          <w:color w:val="auto"/>
          <w:highlight w:val="none"/>
        </w:rPr>
        <w:fldChar w:fldCharType="separate"/>
      </w:r>
      <w:r>
        <w:rPr>
          <w:color w:val="auto"/>
          <w:highlight w:val="none"/>
        </w:rPr>
        <w:t>第五章</w:t>
      </w:r>
      <w:r>
        <w:rPr>
          <w:rFonts w:hint="eastAsia"/>
          <w:color w:val="auto"/>
          <w:highlight w:val="none"/>
        </w:rPr>
        <w:t xml:space="preserve"> 发包人要求</w:t>
      </w:r>
      <w:r>
        <w:rPr>
          <w:color w:val="auto"/>
          <w:highlight w:val="none"/>
        </w:rPr>
        <w:tab/>
      </w:r>
      <w:r>
        <w:rPr>
          <w:color w:val="auto"/>
          <w:highlight w:val="none"/>
        </w:rPr>
        <w:fldChar w:fldCharType="begin"/>
      </w:r>
      <w:r>
        <w:rPr>
          <w:color w:val="auto"/>
          <w:highlight w:val="none"/>
        </w:rPr>
        <w:instrText xml:space="preserve"> PAGEREF _Toc30051 \h </w:instrText>
      </w:r>
      <w:r>
        <w:rPr>
          <w:color w:val="auto"/>
          <w:highlight w:val="none"/>
        </w:rPr>
        <w:fldChar w:fldCharType="separate"/>
      </w:r>
      <w:r>
        <w:rPr>
          <w:color w:val="auto"/>
          <w:highlight w:val="none"/>
        </w:rPr>
        <w:t>111</w:t>
      </w:r>
      <w:r>
        <w:rPr>
          <w:color w:val="auto"/>
          <w:highlight w:val="none"/>
        </w:rPr>
        <w:fldChar w:fldCharType="end"/>
      </w:r>
      <w:r>
        <w:rPr>
          <w:rFonts w:ascii="宋体" w:hAnsi="宋体"/>
          <w:color w:val="auto"/>
          <w:highlight w:val="none"/>
        </w:rPr>
        <w:fldChar w:fldCharType="end"/>
      </w:r>
    </w:p>
    <w:p w14:paraId="21FA5493">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_Toc8664 </w:instrText>
      </w:r>
      <w:r>
        <w:rPr>
          <w:rFonts w:ascii="宋体" w:hAnsi="宋体"/>
          <w:color w:val="auto"/>
          <w:highlight w:val="none"/>
        </w:rPr>
        <w:fldChar w:fldCharType="separate"/>
      </w:r>
      <w:r>
        <w:rPr>
          <w:rFonts w:hint="eastAsia" w:ascii="宋体" w:hAnsi="宋体" w:eastAsia="宋体" w:cs="宋体"/>
          <w:color w:val="auto"/>
          <w:highlight w:val="none"/>
        </w:rPr>
        <w:t>一、设计要求</w:t>
      </w:r>
      <w:r>
        <w:rPr>
          <w:color w:val="auto"/>
          <w:highlight w:val="none"/>
        </w:rPr>
        <w:tab/>
      </w:r>
      <w:r>
        <w:rPr>
          <w:color w:val="auto"/>
          <w:highlight w:val="none"/>
        </w:rPr>
        <w:fldChar w:fldCharType="begin"/>
      </w:r>
      <w:r>
        <w:rPr>
          <w:color w:val="auto"/>
          <w:highlight w:val="none"/>
        </w:rPr>
        <w:instrText xml:space="preserve"> PAGEREF _Toc8664 \h </w:instrText>
      </w:r>
      <w:r>
        <w:rPr>
          <w:color w:val="auto"/>
          <w:highlight w:val="none"/>
        </w:rPr>
        <w:fldChar w:fldCharType="separate"/>
      </w:r>
      <w:r>
        <w:rPr>
          <w:color w:val="auto"/>
          <w:highlight w:val="none"/>
        </w:rPr>
        <w:t>111</w:t>
      </w:r>
      <w:r>
        <w:rPr>
          <w:color w:val="auto"/>
          <w:highlight w:val="none"/>
        </w:rPr>
        <w:fldChar w:fldCharType="end"/>
      </w:r>
      <w:r>
        <w:rPr>
          <w:rFonts w:ascii="宋体" w:hAnsi="宋体"/>
          <w:color w:val="auto"/>
          <w:highlight w:val="none"/>
        </w:rPr>
        <w:fldChar w:fldCharType="end"/>
      </w:r>
    </w:p>
    <w:p w14:paraId="09EB9DF2">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_Toc9785 </w:instrText>
      </w:r>
      <w:r>
        <w:rPr>
          <w:rFonts w:ascii="宋体" w:hAnsi="宋体"/>
          <w:color w:val="auto"/>
          <w:highlight w:val="none"/>
        </w:rPr>
        <w:fldChar w:fldCharType="separate"/>
      </w:r>
      <w:r>
        <w:rPr>
          <w:rFonts w:hint="eastAsia"/>
          <w:color w:val="auto"/>
          <w:highlight w:val="none"/>
        </w:rPr>
        <w:t>二、适用规范标准</w:t>
      </w:r>
      <w:r>
        <w:rPr>
          <w:color w:val="auto"/>
          <w:highlight w:val="none"/>
        </w:rPr>
        <w:tab/>
      </w:r>
      <w:r>
        <w:rPr>
          <w:color w:val="auto"/>
          <w:highlight w:val="none"/>
        </w:rPr>
        <w:fldChar w:fldCharType="begin"/>
      </w:r>
      <w:r>
        <w:rPr>
          <w:color w:val="auto"/>
          <w:highlight w:val="none"/>
        </w:rPr>
        <w:instrText xml:space="preserve"> PAGEREF _Toc9785 \h </w:instrText>
      </w:r>
      <w:r>
        <w:rPr>
          <w:color w:val="auto"/>
          <w:highlight w:val="none"/>
        </w:rPr>
        <w:fldChar w:fldCharType="separate"/>
      </w:r>
      <w:r>
        <w:rPr>
          <w:color w:val="auto"/>
          <w:highlight w:val="none"/>
        </w:rPr>
        <w:t>111</w:t>
      </w:r>
      <w:r>
        <w:rPr>
          <w:color w:val="auto"/>
          <w:highlight w:val="none"/>
        </w:rPr>
        <w:fldChar w:fldCharType="end"/>
      </w:r>
      <w:r>
        <w:rPr>
          <w:rFonts w:ascii="宋体" w:hAnsi="宋体"/>
          <w:color w:val="auto"/>
          <w:highlight w:val="none"/>
        </w:rPr>
        <w:fldChar w:fldCharType="end"/>
      </w:r>
    </w:p>
    <w:p w14:paraId="6E4848EC">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_Toc6924 </w:instrText>
      </w:r>
      <w:r>
        <w:rPr>
          <w:rFonts w:ascii="宋体" w:hAnsi="宋体"/>
          <w:color w:val="auto"/>
          <w:highlight w:val="none"/>
        </w:rPr>
        <w:fldChar w:fldCharType="separate"/>
      </w:r>
      <w:r>
        <w:rPr>
          <w:rFonts w:hint="eastAsia"/>
          <w:color w:val="auto"/>
          <w:highlight w:val="none"/>
        </w:rPr>
        <w:t>三、成果文件要求</w:t>
      </w:r>
      <w:r>
        <w:rPr>
          <w:color w:val="auto"/>
          <w:highlight w:val="none"/>
        </w:rPr>
        <w:tab/>
      </w:r>
      <w:r>
        <w:rPr>
          <w:color w:val="auto"/>
          <w:highlight w:val="none"/>
        </w:rPr>
        <w:fldChar w:fldCharType="begin"/>
      </w:r>
      <w:r>
        <w:rPr>
          <w:color w:val="auto"/>
          <w:highlight w:val="none"/>
        </w:rPr>
        <w:instrText xml:space="preserve"> PAGEREF _Toc6924 \h </w:instrText>
      </w:r>
      <w:r>
        <w:rPr>
          <w:color w:val="auto"/>
          <w:highlight w:val="none"/>
        </w:rPr>
        <w:fldChar w:fldCharType="separate"/>
      </w:r>
      <w:r>
        <w:rPr>
          <w:color w:val="auto"/>
          <w:highlight w:val="none"/>
        </w:rPr>
        <w:t>112</w:t>
      </w:r>
      <w:r>
        <w:rPr>
          <w:color w:val="auto"/>
          <w:highlight w:val="none"/>
        </w:rPr>
        <w:fldChar w:fldCharType="end"/>
      </w:r>
      <w:r>
        <w:rPr>
          <w:rFonts w:ascii="宋体" w:hAnsi="宋体"/>
          <w:color w:val="auto"/>
          <w:highlight w:val="none"/>
        </w:rPr>
        <w:fldChar w:fldCharType="end"/>
      </w:r>
    </w:p>
    <w:p w14:paraId="5CCFA2BB">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_Toc6433 </w:instrText>
      </w:r>
      <w:r>
        <w:rPr>
          <w:rFonts w:ascii="宋体" w:hAnsi="宋体"/>
          <w:color w:val="auto"/>
          <w:highlight w:val="none"/>
        </w:rPr>
        <w:fldChar w:fldCharType="separate"/>
      </w:r>
      <w:r>
        <w:rPr>
          <w:rFonts w:hint="eastAsia"/>
          <w:color w:val="auto"/>
          <w:highlight w:val="none"/>
        </w:rPr>
        <w:t>四、发包人财产清单</w:t>
      </w:r>
      <w:r>
        <w:rPr>
          <w:color w:val="auto"/>
          <w:highlight w:val="none"/>
        </w:rPr>
        <w:tab/>
      </w:r>
      <w:r>
        <w:rPr>
          <w:color w:val="auto"/>
          <w:highlight w:val="none"/>
        </w:rPr>
        <w:fldChar w:fldCharType="begin"/>
      </w:r>
      <w:r>
        <w:rPr>
          <w:color w:val="auto"/>
          <w:highlight w:val="none"/>
        </w:rPr>
        <w:instrText xml:space="preserve"> PAGEREF _Toc6433 \h </w:instrText>
      </w:r>
      <w:r>
        <w:rPr>
          <w:color w:val="auto"/>
          <w:highlight w:val="none"/>
        </w:rPr>
        <w:fldChar w:fldCharType="separate"/>
      </w:r>
      <w:r>
        <w:rPr>
          <w:color w:val="auto"/>
          <w:highlight w:val="none"/>
        </w:rPr>
        <w:t>112</w:t>
      </w:r>
      <w:r>
        <w:rPr>
          <w:color w:val="auto"/>
          <w:highlight w:val="none"/>
        </w:rPr>
        <w:fldChar w:fldCharType="end"/>
      </w:r>
      <w:r>
        <w:rPr>
          <w:rFonts w:ascii="宋体" w:hAnsi="宋体"/>
          <w:color w:val="auto"/>
          <w:highlight w:val="none"/>
        </w:rPr>
        <w:fldChar w:fldCharType="end"/>
      </w:r>
    </w:p>
    <w:p w14:paraId="69664FB9">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_Toc8678 </w:instrText>
      </w:r>
      <w:r>
        <w:rPr>
          <w:rFonts w:ascii="宋体" w:hAnsi="宋体"/>
          <w:color w:val="auto"/>
          <w:highlight w:val="none"/>
        </w:rPr>
        <w:fldChar w:fldCharType="separate"/>
      </w:r>
      <w:r>
        <w:rPr>
          <w:rFonts w:hint="eastAsia"/>
          <w:color w:val="auto"/>
          <w:highlight w:val="none"/>
        </w:rPr>
        <w:t>五、发包人提供的便利条件</w:t>
      </w:r>
      <w:r>
        <w:rPr>
          <w:color w:val="auto"/>
          <w:highlight w:val="none"/>
        </w:rPr>
        <w:tab/>
      </w:r>
      <w:r>
        <w:rPr>
          <w:color w:val="auto"/>
          <w:highlight w:val="none"/>
        </w:rPr>
        <w:fldChar w:fldCharType="begin"/>
      </w:r>
      <w:r>
        <w:rPr>
          <w:color w:val="auto"/>
          <w:highlight w:val="none"/>
        </w:rPr>
        <w:instrText xml:space="preserve"> PAGEREF _Toc8678 \h </w:instrText>
      </w:r>
      <w:r>
        <w:rPr>
          <w:color w:val="auto"/>
          <w:highlight w:val="none"/>
        </w:rPr>
        <w:fldChar w:fldCharType="separate"/>
      </w:r>
      <w:r>
        <w:rPr>
          <w:color w:val="auto"/>
          <w:highlight w:val="none"/>
        </w:rPr>
        <w:t>113</w:t>
      </w:r>
      <w:r>
        <w:rPr>
          <w:color w:val="auto"/>
          <w:highlight w:val="none"/>
        </w:rPr>
        <w:fldChar w:fldCharType="end"/>
      </w:r>
      <w:r>
        <w:rPr>
          <w:rFonts w:ascii="宋体" w:hAnsi="宋体"/>
          <w:color w:val="auto"/>
          <w:highlight w:val="none"/>
        </w:rPr>
        <w:fldChar w:fldCharType="end"/>
      </w:r>
    </w:p>
    <w:p w14:paraId="0EF25ED4">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_Toc29816 </w:instrText>
      </w:r>
      <w:r>
        <w:rPr>
          <w:rFonts w:ascii="宋体" w:hAnsi="宋体"/>
          <w:color w:val="auto"/>
          <w:highlight w:val="none"/>
        </w:rPr>
        <w:fldChar w:fldCharType="separate"/>
      </w:r>
      <w:r>
        <w:rPr>
          <w:rFonts w:hint="eastAsia"/>
          <w:color w:val="auto"/>
          <w:highlight w:val="none"/>
        </w:rPr>
        <w:t>六、设计人需要自备的工作条件</w:t>
      </w:r>
      <w:r>
        <w:rPr>
          <w:color w:val="auto"/>
          <w:highlight w:val="none"/>
        </w:rPr>
        <w:tab/>
      </w:r>
      <w:r>
        <w:rPr>
          <w:color w:val="auto"/>
          <w:highlight w:val="none"/>
        </w:rPr>
        <w:fldChar w:fldCharType="begin"/>
      </w:r>
      <w:r>
        <w:rPr>
          <w:color w:val="auto"/>
          <w:highlight w:val="none"/>
        </w:rPr>
        <w:instrText xml:space="preserve"> PAGEREF _Toc29816 \h </w:instrText>
      </w:r>
      <w:r>
        <w:rPr>
          <w:color w:val="auto"/>
          <w:highlight w:val="none"/>
        </w:rPr>
        <w:fldChar w:fldCharType="separate"/>
      </w:r>
      <w:r>
        <w:rPr>
          <w:color w:val="auto"/>
          <w:highlight w:val="none"/>
        </w:rPr>
        <w:t>113</w:t>
      </w:r>
      <w:r>
        <w:rPr>
          <w:color w:val="auto"/>
          <w:highlight w:val="none"/>
        </w:rPr>
        <w:fldChar w:fldCharType="end"/>
      </w:r>
      <w:r>
        <w:rPr>
          <w:rFonts w:ascii="宋体" w:hAnsi="宋体"/>
          <w:color w:val="auto"/>
          <w:highlight w:val="none"/>
        </w:rPr>
        <w:fldChar w:fldCharType="end"/>
      </w:r>
    </w:p>
    <w:p w14:paraId="24F2996A">
      <w:pPr>
        <w:pStyle w:val="33"/>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_Toc5197 </w:instrText>
      </w:r>
      <w:r>
        <w:rPr>
          <w:rFonts w:ascii="宋体" w:hAnsi="宋体"/>
          <w:color w:val="auto"/>
          <w:highlight w:val="none"/>
        </w:rPr>
        <w:fldChar w:fldCharType="separate"/>
      </w:r>
      <w:r>
        <w:rPr>
          <w:rFonts w:hint="eastAsia"/>
          <w:color w:val="auto"/>
          <w:highlight w:val="none"/>
        </w:rPr>
        <w:t>七、发包人的其他要求：按合同条款执行。</w:t>
      </w:r>
      <w:r>
        <w:rPr>
          <w:color w:val="auto"/>
          <w:highlight w:val="none"/>
        </w:rPr>
        <w:tab/>
      </w:r>
      <w:r>
        <w:rPr>
          <w:color w:val="auto"/>
          <w:highlight w:val="none"/>
        </w:rPr>
        <w:fldChar w:fldCharType="begin"/>
      </w:r>
      <w:r>
        <w:rPr>
          <w:color w:val="auto"/>
          <w:highlight w:val="none"/>
        </w:rPr>
        <w:instrText xml:space="preserve"> PAGEREF _Toc5197 \h </w:instrText>
      </w:r>
      <w:r>
        <w:rPr>
          <w:color w:val="auto"/>
          <w:highlight w:val="none"/>
        </w:rPr>
        <w:fldChar w:fldCharType="separate"/>
      </w:r>
      <w:r>
        <w:rPr>
          <w:color w:val="auto"/>
          <w:highlight w:val="none"/>
        </w:rPr>
        <w:t>113</w:t>
      </w:r>
      <w:r>
        <w:rPr>
          <w:color w:val="auto"/>
          <w:highlight w:val="none"/>
        </w:rPr>
        <w:fldChar w:fldCharType="end"/>
      </w:r>
      <w:r>
        <w:rPr>
          <w:rFonts w:ascii="宋体" w:hAnsi="宋体"/>
          <w:color w:val="auto"/>
          <w:highlight w:val="none"/>
        </w:rPr>
        <w:fldChar w:fldCharType="end"/>
      </w:r>
    </w:p>
    <w:p w14:paraId="1EB0A527">
      <w:pPr>
        <w:pStyle w:val="28"/>
        <w:tabs>
          <w:tab w:val="right" w:leader="dot" w:pos="8669"/>
        </w:tabs>
        <w:rPr>
          <w:color w:val="auto"/>
          <w:highlight w:val="none"/>
        </w:rPr>
      </w:pPr>
      <w:r>
        <w:rPr>
          <w:rFonts w:ascii="宋体" w:hAnsi="宋体"/>
          <w:color w:val="auto"/>
          <w:highlight w:val="none"/>
        </w:rPr>
        <w:fldChar w:fldCharType="begin"/>
      </w:r>
      <w:r>
        <w:rPr>
          <w:rFonts w:ascii="宋体" w:hAnsi="宋体"/>
          <w:color w:val="auto"/>
          <w:highlight w:val="none"/>
        </w:rPr>
        <w:instrText xml:space="preserve"> HYPERLINK \l _Toc5022 </w:instrText>
      </w:r>
      <w:r>
        <w:rPr>
          <w:rFonts w:ascii="宋体" w:hAnsi="宋体"/>
          <w:color w:val="auto"/>
          <w:highlight w:val="none"/>
        </w:rPr>
        <w:fldChar w:fldCharType="separate"/>
      </w:r>
      <w:r>
        <w:rPr>
          <w:color w:val="auto"/>
          <w:highlight w:val="none"/>
        </w:rPr>
        <w:t>第</w:t>
      </w:r>
      <w:r>
        <w:rPr>
          <w:rFonts w:hint="eastAsia"/>
          <w:color w:val="auto"/>
          <w:highlight w:val="none"/>
        </w:rPr>
        <w:t>六</w:t>
      </w:r>
      <w:r>
        <w:rPr>
          <w:color w:val="auto"/>
          <w:highlight w:val="none"/>
        </w:rPr>
        <w:t>章</w:t>
      </w:r>
      <w:r>
        <w:rPr>
          <w:rFonts w:hint="eastAsia"/>
          <w:color w:val="auto"/>
          <w:highlight w:val="none"/>
        </w:rPr>
        <w:t xml:space="preserve"> 投标文件格式</w:t>
      </w:r>
      <w:r>
        <w:rPr>
          <w:color w:val="auto"/>
          <w:highlight w:val="none"/>
        </w:rPr>
        <w:tab/>
      </w:r>
      <w:r>
        <w:rPr>
          <w:color w:val="auto"/>
          <w:highlight w:val="none"/>
        </w:rPr>
        <w:fldChar w:fldCharType="begin"/>
      </w:r>
      <w:r>
        <w:rPr>
          <w:color w:val="auto"/>
          <w:highlight w:val="none"/>
        </w:rPr>
        <w:instrText xml:space="preserve"> PAGEREF _Toc5022 \h </w:instrText>
      </w:r>
      <w:r>
        <w:rPr>
          <w:color w:val="auto"/>
          <w:highlight w:val="none"/>
        </w:rPr>
        <w:fldChar w:fldCharType="separate"/>
      </w:r>
      <w:r>
        <w:rPr>
          <w:color w:val="auto"/>
          <w:highlight w:val="none"/>
        </w:rPr>
        <w:t>114</w:t>
      </w:r>
      <w:r>
        <w:rPr>
          <w:color w:val="auto"/>
          <w:highlight w:val="none"/>
        </w:rPr>
        <w:fldChar w:fldCharType="end"/>
      </w:r>
      <w:r>
        <w:rPr>
          <w:rFonts w:ascii="宋体" w:hAnsi="宋体"/>
          <w:color w:val="auto"/>
          <w:highlight w:val="none"/>
        </w:rPr>
        <w:fldChar w:fldCharType="end"/>
      </w:r>
    </w:p>
    <w:p w14:paraId="1C7CED89">
      <w:pPr>
        <w:rPr>
          <w:color w:val="auto"/>
          <w:sz w:val="28"/>
          <w:szCs w:val="28"/>
          <w:highlight w:val="none"/>
        </w:rPr>
      </w:pPr>
      <w:r>
        <w:rPr>
          <w:rFonts w:ascii="宋体" w:hAnsi="宋体"/>
          <w:color w:val="auto"/>
          <w:highlight w:val="none"/>
        </w:rPr>
        <w:fldChar w:fldCharType="end"/>
      </w:r>
      <w:r>
        <w:rPr>
          <w:rFonts w:eastAsia="黑体"/>
          <w:color w:val="auto"/>
          <w:highlight w:val="none"/>
        </w:rPr>
        <w:t xml:space="preserve"> </w:t>
      </w:r>
    </w:p>
    <w:p w14:paraId="3E7CB9C6">
      <w:pPr>
        <w:rPr>
          <w:color w:val="auto"/>
          <w:highlight w:val="none"/>
        </w:rPr>
      </w:pPr>
    </w:p>
    <w:p w14:paraId="3CCA4A67">
      <w:pPr>
        <w:rPr>
          <w:color w:val="auto"/>
          <w:highlight w:val="none"/>
        </w:rPr>
        <w:sectPr>
          <w:headerReference r:id="rId5" w:type="default"/>
          <w:footerReference r:id="rId6" w:type="default"/>
          <w:pgSz w:w="11906" w:h="16838"/>
          <w:pgMar w:top="1440" w:right="1440" w:bottom="1440" w:left="1797" w:header="851" w:footer="851" w:gutter="0"/>
          <w:pgNumType w:fmt="upperRoman"/>
          <w:cols w:space="720" w:num="1"/>
          <w:docGrid w:linePitch="312" w:charSpace="0"/>
        </w:sectPr>
      </w:pPr>
      <w:r>
        <w:rPr>
          <w:rFonts w:hint="eastAsia"/>
          <w:color w:val="auto"/>
          <w:highlight w:val="none"/>
        </w:rPr>
        <w:t xml:space="preserve">  </w:t>
      </w:r>
    </w:p>
    <w:p w14:paraId="51646ED5">
      <w:pPr>
        <w:pStyle w:val="2"/>
        <w:rPr>
          <w:color w:val="auto"/>
          <w:highlight w:val="none"/>
        </w:rPr>
      </w:pPr>
      <w:bookmarkStart w:id="0" w:name="_Toc14777"/>
      <w:r>
        <w:rPr>
          <w:color w:val="auto"/>
          <w:highlight w:val="none"/>
        </w:rPr>
        <w:t xml:space="preserve">第一章 </w:t>
      </w:r>
      <w:r>
        <w:rPr>
          <w:rFonts w:hint="eastAsia"/>
          <w:color w:val="auto"/>
          <w:highlight w:val="none"/>
        </w:rPr>
        <w:t xml:space="preserve"> </w:t>
      </w:r>
      <w:r>
        <w:rPr>
          <w:color w:val="auto"/>
          <w:highlight w:val="none"/>
        </w:rPr>
        <w:t>招标公告</w:t>
      </w:r>
      <w:bookmarkEnd w:id="0"/>
    </w:p>
    <w:p w14:paraId="2B43531A">
      <w:pPr>
        <w:ind w:firstLine="435"/>
        <w:rPr>
          <w:color w:val="auto"/>
          <w:highlight w:val="none"/>
        </w:rPr>
      </w:pPr>
    </w:p>
    <w:p w14:paraId="1E2CB974">
      <w:pPr>
        <w:ind w:firstLine="437"/>
        <w:jc w:val="center"/>
        <w:rPr>
          <w:b/>
          <w:color w:val="auto"/>
          <w:sz w:val="24"/>
          <w:highlight w:val="none"/>
        </w:rPr>
      </w:pPr>
      <w:r>
        <w:rPr>
          <w:rFonts w:hint="eastAsia"/>
          <w:b/>
          <w:color w:val="auto"/>
          <w:sz w:val="24"/>
          <w:highlight w:val="none"/>
        </w:rPr>
        <w:t>桂林理工大学自然资源科研楼工程设计服务招标公告</w:t>
      </w:r>
    </w:p>
    <w:p w14:paraId="02ADCA4A">
      <w:pPr>
        <w:spacing w:line="360" w:lineRule="auto"/>
        <w:rPr>
          <w:color w:val="auto"/>
          <w:highlight w:val="none"/>
        </w:rPr>
      </w:pPr>
    </w:p>
    <w:p w14:paraId="3C65E376">
      <w:pPr>
        <w:pStyle w:val="3"/>
        <w:bidi w:val="0"/>
        <w:rPr>
          <w:color w:val="auto"/>
          <w:highlight w:val="none"/>
        </w:rPr>
      </w:pPr>
      <w:bookmarkStart w:id="1" w:name="_Toc23107"/>
      <w:r>
        <w:rPr>
          <w:color w:val="auto"/>
          <w:highlight w:val="none"/>
        </w:rPr>
        <w:t>1. 招标条件</w:t>
      </w:r>
      <w:bookmarkEnd w:id="1"/>
    </w:p>
    <w:p w14:paraId="719D667F">
      <w:pPr>
        <w:wordWrap w:val="0"/>
        <w:spacing w:line="360" w:lineRule="auto"/>
        <w:ind w:firstLine="420" w:firstLineChars="200"/>
        <w:rPr>
          <w:rFonts w:ascii="宋体" w:hAnsi="宋体"/>
          <w:color w:val="auto"/>
          <w:highlight w:val="none"/>
        </w:rPr>
      </w:pPr>
      <w:r>
        <w:rPr>
          <w:rFonts w:hint="eastAsia" w:ascii="宋体" w:hAnsi="宋体" w:cs="宋体"/>
          <w:color w:val="auto"/>
          <w:highlight w:val="none"/>
        </w:rPr>
        <w:t>本招标项目</w:t>
      </w:r>
      <w:r>
        <w:rPr>
          <w:rFonts w:hint="eastAsia" w:ascii="宋体" w:hAnsi="宋体"/>
          <w:color w:val="auto"/>
          <w:szCs w:val="24"/>
          <w:highlight w:val="none"/>
          <w:u w:val="single"/>
        </w:rPr>
        <w:t>桂林理工大学自然资源科研楼工程设计服务</w:t>
      </w:r>
      <w:r>
        <w:rPr>
          <w:rFonts w:hint="eastAsia" w:ascii="宋体" w:hAnsi="宋体" w:cs="宋体"/>
          <w:color w:val="auto"/>
          <w:highlight w:val="none"/>
        </w:rPr>
        <w:t>（项目名称）已由</w:t>
      </w:r>
      <w:r>
        <w:rPr>
          <w:rFonts w:hint="eastAsia" w:ascii="宋体" w:hAnsi="宋体" w:cs="宋体"/>
          <w:color w:val="auto"/>
          <w:highlight w:val="none"/>
          <w:u w:val="single"/>
          <w:lang w:eastAsia="zh-CN"/>
        </w:rPr>
        <w:t>广西壮族自治区发展和改革委员会</w:t>
      </w:r>
      <w:r>
        <w:rPr>
          <w:rFonts w:hint="eastAsia" w:ascii="宋体" w:hAnsi="宋体" w:cs="宋体"/>
          <w:color w:val="auto"/>
          <w:highlight w:val="none"/>
        </w:rPr>
        <w:t>（项目审批、核准或备案机关名称）以</w:t>
      </w:r>
      <w:r>
        <w:rPr>
          <w:rFonts w:hint="eastAsia" w:ascii="宋体" w:hAnsi="宋体" w:cs="宋体"/>
          <w:color w:val="auto"/>
          <w:highlight w:val="none"/>
          <w:lang w:eastAsia="zh-CN"/>
        </w:rPr>
        <w:t>《</w:t>
      </w:r>
      <w:r>
        <w:rPr>
          <w:rFonts w:hint="eastAsia" w:ascii="宋体" w:hAnsi="宋体" w:cs="宋体"/>
          <w:color w:val="auto"/>
          <w:highlight w:val="none"/>
          <w:u w:val="single"/>
          <w:lang w:eastAsia="zh-CN"/>
        </w:rPr>
        <w:t>广西壮族自治区发展和改革委员会关于桂林理工大学自然资源科研楼项目建议书的批复》</w:t>
      </w:r>
      <w:r>
        <w:rPr>
          <w:rFonts w:hint="eastAsia" w:ascii="宋体" w:hAnsi="宋体" w:cs="宋体"/>
          <w:color w:val="auto"/>
          <w:highlight w:val="none"/>
          <w:u w:val="single"/>
          <w:lang w:eastAsia="zh-CN"/>
        </w:rPr>
        <w:t>（桂发改社会[2025〕898号）</w:t>
      </w:r>
      <w:r>
        <w:rPr>
          <w:rFonts w:hint="eastAsia" w:ascii="宋体" w:hAnsi="宋体" w:cs="宋体"/>
          <w:color w:val="auto"/>
          <w:highlight w:val="none"/>
          <w:u w:val="single"/>
          <w:lang w:eastAsia="zh-CN"/>
        </w:rPr>
        <w:t>及</w:t>
      </w:r>
      <w:r>
        <w:rPr>
          <w:rFonts w:hint="eastAsia" w:ascii="宋体" w:hAnsi="宋体" w:cs="宋体"/>
          <w:color w:val="auto"/>
          <w:highlight w:val="none"/>
          <w:u w:val="single"/>
          <w:lang w:eastAsia="zh-CN"/>
        </w:rPr>
        <w:t>《广西壮族自治区发展和改革委员会关于桂林理工大学自然资源科研楼项目可行性研究报告的批复》（桂发改社会〔2026〕312 号）</w:t>
      </w:r>
      <w:r>
        <w:rPr>
          <w:rFonts w:hint="eastAsia" w:ascii="宋体" w:hAnsi="宋体" w:cs="宋体"/>
          <w:color w:val="auto"/>
          <w:highlight w:val="none"/>
          <w:u w:val="single"/>
        </w:rPr>
        <w:t>（</w:t>
      </w:r>
      <w:r>
        <w:rPr>
          <w:rFonts w:hint="eastAsia" w:ascii="宋体" w:hAnsi="宋体" w:cs="宋体"/>
          <w:color w:val="auto"/>
          <w:highlight w:val="none"/>
        </w:rPr>
        <w:t>项目代码：</w:t>
      </w:r>
      <w:r>
        <w:rPr>
          <w:rFonts w:hint="eastAsia" w:ascii="宋体" w:hAnsi="宋体" w:cs="宋体"/>
          <w:color w:val="auto"/>
          <w:highlight w:val="none"/>
          <w:u w:val="single"/>
        </w:rPr>
        <w:t>2406-450000-04-01-567406）</w:t>
      </w:r>
      <w:r>
        <w:rPr>
          <w:rFonts w:hint="eastAsia" w:ascii="宋体" w:hAnsi="宋体" w:cs="宋体"/>
          <w:color w:val="auto"/>
          <w:highlight w:val="none"/>
        </w:rPr>
        <w:t>（批文名称、文号、项目代码）批准建设，招标人（项目业主）为</w:t>
      </w:r>
      <w:r>
        <w:rPr>
          <w:rFonts w:hint="eastAsia" w:ascii="宋体" w:hAnsi="宋体" w:cs="宋体"/>
          <w:color w:val="auto"/>
          <w:highlight w:val="none"/>
          <w:u w:val="single"/>
        </w:rPr>
        <w:t>桂林理工大学</w:t>
      </w:r>
      <w:r>
        <w:rPr>
          <w:rFonts w:hint="eastAsia" w:ascii="宋体" w:hAnsi="宋体" w:cs="宋体"/>
          <w:color w:val="auto"/>
          <w:highlight w:val="none"/>
        </w:rPr>
        <w:t>，建设资金来自</w:t>
      </w:r>
      <w:r>
        <w:rPr>
          <w:rFonts w:hint="eastAsia" w:ascii="宋体" w:hAnsi="宋体" w:cs="宋体"/>
          <w:color w:val="auto"/>
          <w:highlight w:val="none"/>
          <w:u w:val="single"/>
          <w:lang w:eastAsia="zh-CN"/>
        </w:rPr>
        <w:t>财政资金</w:t>
      </w:r>
      <w:r>
        <w:rPr>
          <w:rFonts w:hint="eastAsia" w:ascii="宋体" w:hAnsi="宋体" w:cs="宋体"/>
          <w:color w:val="auto"/>
          <w:highlight w:val="none"/>
        </w:rPr>
        <w:t>（资金来源），</w:t>
      </w:r>
      <w:r>
        <w:rPr>
          <w:rFonts w:ascii="宋体" w:hAnsi="宋体"/>
          <w:color w:val="auto"/>
          <w:highlight w:val="none"/>
        </w:rPr>
        <w:t>项目出资比例为</w:t>
      </w:r>
      <w:r>
        <w:rPr>
          <w:rFonts w:hint="eastAsia" w:ascii="宋体" w:hAnsi="宋体"/>
          <w:color w:val="auto"/>
          <w:highlight w:val="none"/>
        </w:rPr>
        <w:t>：</w:t>
      </w:r>
    </w:p>
    <w:tbl>
      <w:tblPr>
        <w:tblStyle w:val="40"/>
        <w:tblW w:w="8276"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1413"/>
        <w:gridCol w:w="1413"/>
        <w:gridCol w:w="1415"/>
        <w:gridCol w:w="1022"/>
        <w:gridCol w:w="1124"/>
      </w:tblGrid>
      <w:tr w14:paraId="6B8C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89" w:type="dxa"/>
            <w:vAlign w:val="center"/>
          </w:tcPr>
          <w:p w14:paraId="17E89E33">
            <w:pPr>
              <w:wordWrap w:val="0"/>
              <w:spacing w:line="360" w:lineRule="auto"/>
              <w:jc w:val="center"/>
              <w:rPr>
                <w:rFonts w:ascii="宋体" w:hAnsi="宋体"/>
                <w:color w:val="auto"/>
                <w:sz w:val="15"/>
                <w:szCs w:val="15"/>
                <w:highlight w:val="none"/>
              </w:rPr>
            </w:pPr>
            <w:r>
              <w:rPr>
                <w:rFonts w:hint="eastAsia" w:ascii="宋体" w:hAnsi="宋体"/>
                <w:b/>
                <w:bCs/>
                <w:color w:val="auto"/>
                <w:sz w:val="15"/>
                <w:szCs w:val="15"/>
                <w:highlight w:val="none"/>
              </w:rPr>
              <w:t>国有资金</w:t>
            </w:r>
          </w:p>
        </w:tc>
        <w:tc>
          <w:tcPr>
            <w:tcW w:w="1413" w:type="dxa"/>
            <w:vAlign w:val="center"/>
          </w:tcPr>
          <w:p w14:paraId="3F3F5AC0">
            <w:pPr>
              <w:wordWrap w:val="0"/>
              <w:spacing w:line="360" w:lineRule="auto"/>
              <w:jc w:val="center"/>
              <w:rPr>
                <w:rFonts w:ascii="宋体" w:hAnsi="宋体"/>
                <w:color w:val="auto"/>
                <w:sz w:val="15"/>
                <w:szCs w:val="15"/>
                <w:highlight w:val="none"/>
              </w:rPr>
            </w:pPr>
            <w:r>
              <w:rPr>
                <w:rFonts w:hint="eastAsia" w:ascii="宋体" w:hAnsi="宋体"/>
                <w:b/>
                <w:bCs/>
                <w:color w:val="auto"/>
                <w:sz w:val="15"/>
                <w:szCs w:val="15"/>
                <w:highlight w:val="none"/>
              </w:rPr>
              <w:t xml:space="preserve"> </w:t>
            </w:r>
            <w:r>
              <w:rPr>
                <w:rFonts w:hint="eastAsia" w:ascii="宋体" w:hAnsi="宋体"/>
                <w:b/>
                <w:bCs/>
                <w:color w:val="auto"/>
                <w:sz w:val="15"/>
                <w:szCs w:val="15"/>
                <w:highlight w:val="none"/>
                <w:lang w:val="en-US" w:eastAsia="zh-CN"/>
              </w:rPr>
              <w:t>0</w:t>
            </w:r>
            <w:r>
              <w:rPr>
                <w:rFonts w:hint="eastAsia" w:ascii="宋体" w:hAnsi="宋体"/>
                <w:b/>
                <w:bCs/>
                <w:color w:val="auto"/>
                <w:sz w:val="15"/>
                <w:szCs w:val="15"/>
                <w:highlight w:val="none"/>
              </w:rPr>
              <w:t>万元</w:t>
            </w:r>
          </w:p>
        </w:tc>
        <w:tc>
          <w:tcPr>
            <w:tcW w:w="1413" w:type="dxa"/>
            <w:vAlign w:val="center"/>
          </w:tcPr>
          <w:p w14:paraId="1204B49F">
            <w:pPr>
              <w:wordWrap w:val="0"/>
              <w:spacing w:line="360" w:lineRule="auto"/>
              <w:jc w:val="center"/>
              <w:rPr>
                <w:rFonts w:ascii="宋体" w:hAnsi="宋体"/>
                <w:color w:val="auto"/>
                <w:sz w:val="15"/>
                <w:szCs w:val="15"/>
                <w:highlight w:val="none"/>
              </w:rPr>
            </w:pPr>
            <w:r>
              <w:rPr>
                <w:rFonts w:hint="eastAsia" w:ascii="宋体" w:hAnsi="宋体"/>
                <w:b/>
                <w:bCs/>
                <w:color w:val="auto"/>
                <w:sz w:val="15"/>
                <w:szCs w:val="15"/>
                <w:highlight w:val="none"/>
              </w:rPr>
              <w:t xml:space="preserve"> </w:t>
            </w:r>
            <w:r>
              <w:rPr>
                <w:rFonts w:hint="eastAsia" w:ascii="宋体" w:hAnsi="宋体"/>
                <w:b/>
                <w:bCs/>
                <w:color w:val="auto"/>
                <w:sz w:val="15"/>
                <w:szCs w:val="15"/>
                <w:highlight w:val="none"/>
                <w:lang w:val="en-US" w:eastAsia="zh-CN"/>
              </w:rPr>
              <w:t>0</w:t>
            </w:r>
            <w:r>
              <w:rPr>
                <w:rFonts w:ascii="宋体" w:hAnsi="宋体"/>
                <w:b/>
                <w:bCs/>
                <w:color w:val="auto"/>
                <w:sz w:val="15"/>
                <w:szCs w:val="15"/>
                <w:highlight w:val="none"/>
              </w:rPr>
              <w:t>%</w:t>
            </w:r>
          </w:p>
        </w:tc>
        <w:tc>
          <w:tcPr>
            <w:tcW w:w="1415" w:type="dxa"/>
            <w:vAlign w:val="center"/>
          </w:tcPr>
          <w:p w14:paraId="522DFDC5">
            <w:pPr>
              <w:wordWrap w:val="0"/>
              <w:spacing w:line="360" w:lineRule="auto"/>
              <w:jc w:val="center"/>
              <w:rPr>
                <w:rFonts w:ascii="宋体" w:hAnsi="宋体"/>
                <w:color w:val="auto"/>
                <w:sz w:val="15"/>
                <w:szCs w:val="15"/>
                <w:highlight w:val="none"/>
              </w:rPr>
            </w:pPr>
            <w:r>
              <w:rPr>
                <w:rFonts w:hint="eastAsia" w:ascii="宋体" w:hAnsi="宋体"/>
                <w:b/>
                <w:bCs/>
                <w:color w:val="auto"/>
                <w:sz w:val="15"/>
                <w:szCs w:val="15"/>
                <w:highlight w:val="none"/>
              </w:rPr>
              <w:t>私有资金</w:t>
            </w:r>
          </w:p>
        </w:tc>
        <w:tc>
          <w:tcPr>
            <w:tcW w:w="1022" w:type="dxa"/>
            <w:vAlign w:val="center"/>
          </w:tcPr>
          <w:p w14:paraId="009FC0BE">
            <w:pPr>
              <w:wordWrap w:val="0"/>
              <w:spacing w:line="360" w:lineRule="auto"/>
              <w:jc w:val="center"/>
              <w:rPr>
                <w:rFonts w:ascii="宋体" w:hAnsi="宋体"/>
                <w:color w:val="auto"/>
                <w:sz w:val="15"/>
                <w:szCs w:val="15"/>
                <w:highlight w:val="none"/>
              </w:rPr>
            </w:pPr>
            <w:r>
              <w:rPr>
                <w:rFonts w:hint="eastAsia" w:ascii="宋体" w:hAnsi="宋体"/>
                <w:b/>
                <w:bCs/>
                <w:color w:val="auto"/>
                <w:sz w:val="15"/>
                <w:szCs w:val="15"/>
                <w:highlight w:val="none"/>
                <w:lang w:val="en-US" w:eastAsia="zh-CN"/>
              </w:rPr>
              <w:t>0</w:t>
            </w:r>
            <w:r>
              <w:rPr>
                <w:rFonts w:hint="eastAsia" w:ascii="宋体" w:hAnsi="宋体"/>
                <w:b/>
                <w:bCs/>
                <w:color w:val="auto"/>
                <w:sz w:val="15"/>
                <w:szCs w:val="15"/>
                <w:highlight w:val="none"/>
              </w:rPr>
              <w:t xml:space="preserve"> 万元</w:t>
            </w:r>
          </w:p>
        </w:tc>
        <w:tc>
          <w:tcPr>
            <w:tcW w:w="1124" w:type="dxa"/>
            <w:vAlign w:val="center"/>
          </w:tcPr>
          <w:p w14:paraId="70944CF3">
            <w:pPr>
              <w:wordWrap w:val="0"/>
              <w:spacing w:line="360" w:lineRule="auto"/>
              <w:jc w:val="center"/>
              <w:rPr>
                <w:rFonts w:ascii="宋体" w:hAnsi="宋体"/>
                <w:color w:val="auto"/>
                <w:sz w:val="15"/>
                <w:szCs w:val="15"/>
                <w:highlight w:val="none"/>
              </w:rPr>
            </w:pPr>
            <w:r>
              <w:rPr>
                <w:rFonts w:hint="eastAsia" w:ascii="宋体" w:hAnsi="宋体"/>
                <w:b/>
                <w:bCs/>
                <w:color w:val="auto"/>
                <w:sz w:val="15"/>
                <w:szCs w:val="15"/>
                <w:highlight w:val="none"/>
                <w:lang w:val="en-US" w:eastAsia="zh-CN"/>
              </w:rPr>
              <w:t>0</w:t>
            </w:r>
            <w:r>
              <w:rPr>
                <w:rFonts w:hint="eastAsia" w:ascii="宋体" w:hAnsi="宋体"/>
                <w:b/>
                <w:bCs/>
                <w:color w:val="auto"/>
                <w:sz w:val="15"/>
                <w:szCs w:val="15"/>
                <w:highlight w:val="none"/>
              </w:rPr>
              <w:t xml:space="preserve"> %</w:t>
            </w:r>
          </w:p>
        </w:tc>
      </w:tr>
      <w:tr w14:paraId="73AA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889" w:type="dxa"/>
            <w:vAlign w:val="center"/>
          </w:tcPr>
          <w:p w14:paraId="6CC740D3">
            <w:pPr>
              <w:wordWrap w:val="0"/>
              <w:spacing w:line="360" w:lineRule="auto"/>
              <w:jc w:val="center"/>
              <w:rPr>
                <w:rFonts w:ascii="宋体" w:hAnsi="宋体"/>
                <w:color w:val="auto"/>
                <w:sz w:val="15"/>
                <w:szCs w:val="15"/>
                <w:highlight w:val="none"/>
              </w:rPr>
            </w:pPr>
            <w:r>
              <w:rPr>
                <w:rFonts w:hint="eastAsia" w:ascii="宋体" w:hAnsi="宋体"/>
                <w:b/>
                <w:bCs/>
                <w:color w:val="auto"/>
                <w:sz w:val="15"/>
                <w:szCs w:val="15"/>
                <w:highlight w:val="none"/>
              </w:rPr>
              <w:t>外国政府及组织投资</w:t>
            </w:r>
          </w:p>
        </w:tc>
        <w:tc>
          <w:tcPr>
            <w:tcW w:w="1413" w:type="dxa"/>
            <w:vAlign w:val="center"/>
          </w:tcPr>
          <w:p w14:paraId="37775A7E">
            <w:pPr>
              <w:wordWrap w:val="0"/>
              <w:spacing w:line="360" w:lineRule="auto"/>
              <w:jc w:val="center"/>
              <w:rPr>
                <w:rFonts w:ascii="宋体" w:hAnsi="宋体"/>
                <w:color w:val="auto"/>
                <w:sz w:val="15"/>
                <w:szCs w:val="15"/>
                <w:highlight w:val="none"/>
              </w:rPr>
            </w:pPr>
            <w:r>
              <w:rPr>
                <w:rFonts w:hint="eastAsia" w:ascii="宋体" w:hAnsi="宋体"/>
                <w:b/>
                <w:bCs/>
                <w:color w:val="auto"/>
                <w:sz w:val="15"/>
                <w:szCs w:val="15"/>
                <w:highlight w:val="none"/>
                <w:lang w:val="en-US" w:eastAsia="zh-CN"/>
              </w:rPr>
              <w:t>0</w:t>
            </w:r>
            <w:r>
              <w:rPr>
                <w:rFonts w:hint="eastAsia" w:ascii="宋体" w:hAnsi="宋体"/>
                <w:b/>
                <w:bCs/>
                <w:color w:val="auto"/>
                <w:sz w:val="15"/>
                <w:szCs w:val="15"/>
                <w:highlight w:val="none"/>
              </w:rPr>
              <w:t>万元</w:t>
            </w:r>
          </w:p>
        </w:tc>
        <w:tc>
          <w:tcPr>
            <w:tcW w:w="1413" w:type="dxa"/>
            <w:vAlign w:val="center"/>
          </w:tcPr>
          <w:p w14:paraId="0401D618">
            <w:pPr>
              <w:wordWrap w:val="0"/>
              <w:spacing w:line="360" w:lineRule="auto"/>
              <w:jc w:val="center"/>
              <w:rPr>
                <w:rFonts w:ascii="宋体" w:hAnsi="宋体"/>
                <w:color w:val="auto"/>
                <w:sz w:val="15"/>
                <w:szCs w:val="15"/>
                <w:highlight w:val="none"/>
              </w:rPr>
            </w:pPr>
            <w:r>
              <w:rPr>
                <w:rFonts w:hint="eastAsia" w:ascii="宋体" w:hAnsi="宋体"/>
                <w:b/>
                <w:bCs/>
                <w:color w:val="auto"/>
                <w:sz w:val="15"/>
                <w:szCs w:val="15"/>
                <w:highlight w:val="none"/>
              </w:rPr>
              <w:t xml:space="preserve"> </w:t>
            </w:r>
            <w:r>
              <w:rPr>
                <w:rFonts w:hint="eastAsia" w:ascii="宋体" w:hAnsi="宋体"/>
                <w:b/>
                <w:bCs/>
                <w:color w:val="auto"/>
                <w:sz w:val="15"/>
                <w:szCs w:val="15"/>
                <w:highlight w:val="none"/>
                <w:lang w:val="en-US" w:eastAsia="zh-CN"/>
              </w:rPr>
              <w:t>0</w:t>
            </w:r>
            <w:r>
              <w:rPr>
                <w:rFonts w:hint="eastAsia" w:ascii="宋体" w:hAnsi="宋体"/>
                <w:b/>
                <w:bCs/>
                <w:color w:val="auto"/>
                <w:sz w:val="15"/>
                <w:szCs w:val="15"/>
                <w:highlight w:val="none"/>
              </w:rPr>
              <w:t>%</w:t>
            </w:r>
          </w:p>
        </w:tc>
        <w:tc>
          <w:tcPr>
            <w:tcW w:w="1415" w:type="dxa"/>
            <w:vAlign w:val="center"/>
          </w:tcPr>
          <w:p w14:paraId="6094CA75">
            <w:pPr>
              <w:wordWrap w:val="0"/>
              <w:spacing w:line="360" w:lineRule="auto"/>
              <w:jc w:val="center"/>
              <w:rPr>
                <w:rFonts w:ascii="宋体" w:hAnsi="宋体"/>
                <w:color w:val="auto"/>
                <w:sz w:val="15"/>
                <w:szCs w:val="15"/>
                <w:highlight w:val="none"/>
              </w:rPr>
            </w:pPr>
            <w:r>
              <w:rPr>
                <w:rFonts w:hint="eastAsia" w:ascii="宋体" w:hAnsi="宋体"/>
                <w:b/>
                <w:bCs/>
                <w:color w:val="auto"/>
                <w:sz w:val="15"/>
                <w:szCs w:val="15"/>
                <w:highlight w:val="none"/>
              </w:rPr>
              <w:t>境外私人投资</w:t>
            </w:r>
          </w:p>
        </w:tc>
        <w:tc>
          <w:tcPr>
            <w:tcW w:w="1022" w:type="dxa"/>
            <w:vAlign w:val="center"/>
          </w:tcPr>
          <w:p w14:paraId="7EE65F43">
            <w:pPr>
              <w:wordWrap w:val="0"/>
              <w:spacing w:line="360" w:lineRule="auto"/>
              <w:jc w:val="center"/>
              <w:rPr>
                <w:rFonts w:ascii="宋体" w:hAnsi="宋体"/>
                <w:color w:val="auto"/>
                <w:sz w:val="15"/>
                <w:szCs w:val="15"/>
                <w:highlight w:val="none"/>
              </w:rPr>
            </w:pPr>
            <w:r>
              <w:rPr>
                <w:rFonts w:hint="eastAsia" w:ascii="宋体" w:hAnsi="宋体"/>
                <w:b/>
                <w:bCs/>
                <w:color w:val="auto"/>
                <w:sz w:val="15"/>
                <w:szCs w:val="15"/>
                <w:highlight w:val="none"/>
                <w:lang w:val="en-US" w:eastAsia="zh-CN"/>
              </w:rPr>
              <w:t>0</w:t>
            </w:r>
            <w:r>
              <w:rPr>
                <w:rFonts w:hint="eastAsia" w:ascii="宋体" w:hAnsi="宋体"/>
                <w:b/>
                <w:bCs/>
                <w:color w:val="auto"/>
                <w:sz w:val="15"/>
                <w:szCs w:val="15"/>
                <w:highlight w:val="none"/>
              </w:rPr>
              <w:t xml:space="preserve"> 万元</w:t>
            </w:r>
          </w:p>
        </w:tc>
        <w:tc>
          <w:tcPr>
            <w:tcW w:w="1124" w:type="dxa"/>
            <w:vAlign w:val="center"/>
          </w:tcPr>
          <w:p w14:paraId="06D3FDB7">
            <w:pPr>
              <w:wordWrap w:val="0"/>
              <w:spacing w:line="360" w:lineRule="auto"/>
              <w:jc w:val="center"/>
              <w:rPr>
                <w:rFonts w:ascii="宋体" w:hAnsi="宋体"/>
                <w:color w:val="auto"/>
                <w:sz w:val="15"/>
                <w:szCs w:val="15"/>
                <w:highlight w:val="none"/>
              </w:rPr>
            </w:pPr>
            <w:r>
              <w:rPr>
                <w:rFonts w:hint="eastAsia" w:ascii="宋体" w:hAnsi="宋体"/>
                <w:b/>
                <w:bCs/>
                <w:color w:val="auto"/>
                <w:sz w:val="15"/>
                <w:szCs w:val="15"/>
                <w:highlight w:val="none"/>
                <w:lang w:val="en-US" w:eastAsia="zh-CN"/>
              </w:rPr>
              <w:t>0</w:t>
            </w:r>
            <w:r>
              <w:rPr>
                <w:rFonts w:hint="eastAsia" w:ascii="宋体" w:hAnsi="宋体"/>
                <w:b/>
                <w:bCs/>
                <w:color w:val="auto"/>
                <w:sz w:val="15"/>
                <w:szCs w:val="15"/>
                <w:highlight w:val="none"/>
              </w:rPr>
              <w:t xml:space="preserve"> %</w:t>
            </w:r>
          </w:p>
        </w:tc>
      </w:tr>
      <w:tr w14:paraId="4DB5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89" w:type="dxa"/>
            <w:vAlign w:val="center"/>
          </w:tcPr>
          <w:p w14:paraId="4242425F">
            <w:pPr>
              <w:wordWrap w:val="0"/>
              <w:spacing w:line="360" w:lineRule="auto"/>
              <w:jc w:val="center"/>
              <w:rPr>
                <w:rFonts w:ascii="宋体" w:hAnsi="宋体"/>
                <w:color w:val="auto"/>
                <w:sz w:val="15"/>
                <w:szCs w:val="15"/>
                <w:highlight w:val="none"/>
              </w:rPr>
            </w:pPr>
            <w:r>
              <w:rPr>
                <w:rFonts w:hint="eastAsia" w:ascii="宋体" w:hAnsi="宋体"/>
                <w:b/>
                <w:bCs/>
                <w:color w:val="auto"/>
                <w:sz w:val="15"/>
                <w:szCs w:val="15"/>
                <w:highlight w:val="none"/>
              </w:rPr>
              <w:t>财政资金</w:t>
            </w:r>
          </w:p>
        </w:tc>
        <w:tc>
          <w:tcPr>
            <w:tcW w:w="1413" w:type="dxa"/>
            <w:vAlign w:val="center"/>
          </w:tcPr>
          <w:p w14:paraId="17D1CA07">
            <w:pPr>
              <w:wordWrap w:val="0"/>
              <w:spacing w:line="360" w:lineRule="auto"/>
              <w:jc w:val="center"/>
              <w:rPr>
                <w:rFonts w:ascii="宋体" w:hAnsi="宋体"/>
                <w:color w:val="auto"/>
                <w:sz w:val="15"/>
                <w:szCs w:val="15"/>
                <w:highlight w:val="none"/>
              </w:rPr>
            </w:pPr>
            <w:r>
              <w:rPr>
                <w:rFonts w:hint="eastAsia" w:ascii="宋体" w:hAnsi="宋体"/>
                <w:b/>
                <w:bCs/>
                <w:color w:val="auto"/>
                <w:sz w:val="15"/>
                <w:szCs w:val="15"/>
                <w:highlight w:val="none"/>
              </w:rPr>
              <w:t>9500.3万元</w:t>
            </w:r>
          </w:p>
        </w:tc>
        <w:tc>
          <w:tcPr>
            <w:tcW w:w="1413" w:type="dxa"/>
            <w:vAlign w:val="center"/>
          </w:tcPr>
          <w:p w14:paraId="71B060CD">
            <w:pPr>
              <w:wordWrap w:val="0"/>
              <w:spacing w:line="360" w:lineRule="auto"/>
              <w:jc w:val="center"/>
              <w:rPr>
                <w:rFonts w:ascii="宋体" w:hAnsi="宋体"/>
                <w:color w:val="auto"/>
                <w:sz w:val="15"/>
                <w:szCs w:val="15"/>
                <w:highlight w:val="none"/>
              </w:rPr>
            </w:pPr>
            <w:r>
              <w:rPr>
                <w:rFonts w:hint="eastAsia" w:ascii="宋体" w:hAnsi="宋体"/>
                <w:b/>
                <w:bCs/>
                <w:color w:val="auto"/>
                <w:sz w:val="15"/>
                <w:szCs w:val="15"/>
                <w:highlight w:val="none"/>
              </w:rPr>
              <w:t xml:space="preserve"> </w:t>
            </w:r>
            <w:r>
              <w:rPr>
                <w:rFonts w:hint="eastAsia" w:ascii="宋体" w:hAnsi="宋体"/>
                <w:b/>
                <w:bCs/>
                <w:color w:val="auto"/>
                <w:sz w:val="15"/>
                <w:szCs w:val="15"/>
                <w:highlight w:val="none"/>
                <w:lang w:val="en-US" w:eastAsia="zh-CN"/>
              </w:rPr>
              <w:t>100</w:t>
            </w:r>
            <w:r>
              <w:rPr>
                <w:rFonts w:ascii="宋体" w:hAnsi="宋体"/>
                <w:b/>
                <w:bCs/>
                <w:color w:val="auto"/>
                <w:sz w:val="15"/>
                <w:szCs w:val="15"/>
                <w:highlight w:val="none"/>
              </w:rPr>
              <w:t>%</w:t>
            </w:r>
          </w:p>
        </w:tc>
        <w:tc>
          <w:tcPr>
            <w:tcW w:w="1415" w:type="dxa"/>
            <w:vAlign w:val="center"/>
          </w:tcPr>
          <w:p w14:paraId="68F5AA23">
            <w:pPr>
              <w:wordWrap w:val="0"/>
              <w:spacing w:line="360" w:lineRule="auto"/>
              <w:jc w:val="center"/>
              <w:rPr>
                <w:rFonts w:ascii="宋体" w:hAnsi="宋体"/>
                <w:b/>
                <w:bCs/>
                <w:color w:val="auto"/>
                <w:sz w:val="15"/>
                <w:szCs w:val="15"/>
                <w:highlight w:val="none"/>
              </w:rPr>
            </w:pPr>
            <w:r>
              <w:rPr>
                <w:rFonts w:hint="eastAsia" w:ascii="宋体" w:hAnsi="宋体"/>
                <w:b/>
                <w:bCs/>
                <w:color w:val="auto"/>
                <w:sz w:val="15"/>
                <w:szCs w:val="15"/>
                <w:highlight w:val="none"/>
              </w:rPr>
              <w:t>其他</w:t>
            </w:r>
          </w:p>
        </w:tc>
        <w:tc>
          <w:tcPr>
            <w:tcW w:w="1022" w:type="dxa"/>
            <w:vAlign w:val="center"/>
          </w:tcPr>
          <w:p w14:paraId="5E295815">
            <w:pPr>
              <w:wordWrap w:val="0"/>
              <w:spacing w:line="360" w:lineRule="auto"/>
              <w:jc w:val="center"/>
              <w:rPr>
                <w:rFonts w:ascii="宋体" w:hAnsi="宋体"/>
                <w:b/>
                <w:bCs/>
                <w:color w:val="auto"/>
                <w:sz w:val="15"/>
                <w:szCs w:val="15"/>
                <w:highlight w:val="none"/>
              </w:rPr>
            </w:pPr>
            <w:r>
              <w:rPr>
                <w:rFonts w:hint="eastAsia" w:ascii="宋体" w:hAnsi="宋体"/>
                <w:b/>
                <w:bCs/>
                <w:color w:val="auto"/>
                <w:sz w:val="15"/>
                <w:szCs w:val="15"/>
                <w:highlight w:val="none"/>
              </w:rPr>
              <w:t xml:space="preserve"> </w:t>
            </w:r>
            <w:r>
              <w:rPr>
                <w:rFonts w:hint="eastAsia" w:ascii="宋体" w:hAnsi="宋体"/>
                <w:b/>
                <w:bCs/>
                <w:color w:val="auto"/>
                <w:sz w:val="15"/>
                <w:szCs w:val="15"/>
                <w:highlight w:val="none"/>
                <w:lang w:val="en-US" w:eastAsia="zh-CN"/>
              </w:rPr>
              <w:t>0</w:t>
            </w:r>
            <w:r>
              <w:rPr>
                <w:rFonts w:hint="eastAsia" w:ascii="宋体" w:hAnsi="宋体"/>
                <w:b/>
                <w:bCs/>
                <w:color w:val="auto"/>
                <w:sz w:val="15"/>
                <w:szCs w:val="15"/>
                <w:highlight w:val="none"/>
              </w:rPr>
              <w:t>万元</w:t>
            </w:r>
          </w:p>
        </w:tc>
        <w:tc>
          <w:tcPr>
            <w:tcW w:w="1124" w:type="dxa"/>
            <w:vAlign w:val="center"/>
          </w:tcPr>
          <w:p w14:paraId="3AE3B48A">
            <w:pPr>
              <w:wordWrap w:val="0"/>
              <w:spacing w:line="360" w:lineRule="auto"/>
              <w:jc w:val="center"/>
              <w:rPr>
                <w:rFonts w:ascii="宋体" w:hAnsi="宋体"/>
                <w:b/>
                <w:bCs/>
                <w:color w:val="auto"/>
                <w:sz w:val="15"/>
                <w:szCs w:val="15"/>
                <w:highlight w:val="none"/>
              </w:rPr>
            </w:pPr>
            <w:r>
              <w:rPr>
                <w:rFonts w:hint="eastAsia" w:ascii="宋体" w:hAnsi="宋体"/>
                <w:b/>
                <w:bCs/>
                <w:color w:val="auto"/>
                <w:sz w:val="15"/>
                <w:szCs w:val="15"/>
                <w:highlight w:val="none"/>
                <w:lang w:val="en-US" w:eastAsia="zh-CN"/>
              </w:rPr>
              <w:t>0</w:t>
            </w:r>
            <w:r>
              <w:rPr>
                <w:rFonts w:hint="eastAsia" w:ascii="宋体" w:hAnsi="宋体"/>
                <w:b/>
                <w:bCs/>
                <w:color w:val="auto"/>
                <w:sz w:val="15"/>
                <w:szCs w:val="15"/>
                <w:highlight w:val="none"/>
              </w:rPr>
              <w:t xml:space="preserve"> %</w:t>
            </w:r>
          </w:p>
        </w:tc>
      </w:tr>
    </w:tbl>
    <w:p w14:paraId="36E41E21">
      <w:pPr>
        <w:spacing w:line="360" w:lineRule="auto"/>
        <w:rPr>
          <w:rFonts w:ascii="宋体" w:hAnsi="宋体"/>
          <w:color w:val="auto"/>
          <w:highlight w:val="none"/>
        </w:rPr>
      </w:pPr>
      <w:r>
        <w:rPr>
          <w:rFonts w:ascii="宋体" w:hAnsi="宋体"/>
          <w:color w:val="auto"/>
          <w:highlight w:val="none"/>
        </w:rPr>
        <w:t>项目已具备招标条件，现对该项目的</w:t>
      </w:r>
      <w:r>
        <w:rPr>
          <w:rFonts w:hint="eastAsia" w:ascii="宋体" w:hAnsi="宋体"/>
          <w:color w:val="auto"/>
          <w:highlight w:val="none"/>
        </w:rPr>
        <w:t>设计</w:t>
      </w:r>
      <w:r>
        <w:rPr>
          <w:rFonts w:ascii="宋体" w:hAnsi="宋体"/>
          <w:color w:val="auto"/>
          <w:highlight w:val="none"/>
        </w:rPr>
        <w:t>进行公开招标。</w:t>
      </w:r>
    </w:p>
    <w:p w14:paraId="638002AC">
      <w:pPr>
        <w:pStyle w:val="3"/>
        <w:rPr>
          <w:color w:val="auto"/>
          <w:highlight w:val="none"/>
        </w:rPr>
      </w:pPr>
      <w:bookmarkStart w:id="2" w:name="_Toc18023"/>
      <w:r>
        <w:rPr>
          <w:color w:val="auto"/>
          <w:highlight w:val="none"/>
        </w:rPr>
        <w:t>2. 项目概况与招标范围</w:t>
      </w:r>
      <w:bookmarkEnd w:id="2"/>
      <w:bookmarkStart w:id="182" w:name="_GoBack"/>
      <w:bookmarkEnd w:id="182"/>
    </w:p>
    <w:p w14:paraId="2B073128">
      <w:pPr>
        <w:spacing w:line="360" w:lineRule="auto"/>
        <w:ind w:firstLine="420" w:firstLineChars="200"/>
        <w:rPr>
          <w:color w:val="auto"/>
          <w:highlight w:val="none"/>
        </w:rPr>
      </w:pPr>
      <w:r>
        <w:rPr>
          <w:rFonts w:hint="eastAsia"/>
          <w:color w:val="auto"/>
          <w:highlight w:val="none"/>
        </w:rPr>
        <w:t>项目招标编号：</w:t>
      </w:r>
      <w:r>
        <w:rPr>
          <w:rFonts w:hint="eastAsia"/>
          <w:color w:val="auto"/>
          <w:highlight w:val="none"/>
          <w:u w:val="single"/>
          <w:lang w:val="en-US" w:eastAsia="zh-CN"/>
        </w:rPr>
        <w:t xml:space="preserve">                             </w:t>
      </w:r>
      <w:r>
        <w:rPr>
          <w:rFonts w:hint="eastAsia"/>
          <w:color w:val="auto"/>
          <w:highlight w:val="none"/>
        </w:rPr>
        <w:t xml:space="preserve">  </w:t>
      </w:r>
    </w:p>
    <w:p w14:paraId="7C9FBEF4">
      <w:pPr>
        <w:spacing w:line="360" w:lineRule="auto"/>
        <w:ind w:firstLine="420" w:firstLineChars="200"/>
        <w:rPr>
          <w:color w:val="auto"/>
          <w:highlight w:val="none"/>
          <w:u w:val="single"/>
        </w:rPr>
      </w:pPr>
      <w:r>
        <w:rPr>
          <w:rFonts w:hint="eastAsia"/>
          <w:color w:val="auto"/>
          <w:highlight w:val="none"/>
        </w:rPr>
        <w:t>报建号（如有）：</w:t>
      </w:r>
      <w:r>
        <w:rPr>
          <w:rFonts w:hint="eastAsia"/>
          <w:color w:val="auto"/>
          <w:highlight w:val="none"/>
          <w:u w:val="single"/>
        </w:rPr>
        <w:t xml:space="preserve">            /               </w:t>
      </w:r>
    </w:p>
    <w:p w14:paraId="5B9E4423">
      <w:pPr>
        <w:spacing w:line="360" w:lineRule="auto"/>
        <w:ind w:firstLine="420" w:firstLineChars="200"/>
        <w:rPr>
          <w:color w:val="auto"/>
          <w:highlight w:val="none"/>
          <w:u w:val="single"/>
        </w:rPr>
      </w:pPr>
      <w:r>
        <w:rPr>
          <w:color w:val="auto"/>
          <w:highlight w:val="none"/>
        </w:rPr>
        <w:t>建设地点：</w:t>
      </w:r>
      <w:r>
        <w:rPr>
          <w:rFonts w:hint="eastAsia" w:ascii="宋体" w:hAnsi="宋体"/>
          <w:color w:val="auto"/>
          <w:szCs w:val="24"/>
          <w:highlight w:val="none"/>
          <w:u w:val="single"/>
        </w:rPr>
        <w:t>桂林理工大学屏风校区内</w:t>
      </w:r>
      <w:r>
        <w:rPr>
          <w:rFonts w:hint="eastAsia" w:ascii="宋体" w:hAnsi="宋体"/>
          <w:color w:val="auto"/>
          <w:szCs w:val="24"/>
          <w:highlight w:val="none"/>
          <w:u w:val="single"/>
          <w:lang w:eastAsia="zh-CN"/>
        </w:rPr>
        <w:t>（</w:t>
      </w:r>
      <w:r>
        <w:rPr>
          <w:rFonts w:hint="eastAsia" w:ascii="宋体" w:hAnsi="宋体"/>
          <w:color w:val="auto"/>
          <w:szCs w:val="24"/>
          <w:highlight w:val="none"/>
          <w:u w:val="single"/>
        </w:rPr>
        <w:t>桂林市七星区建干路12号</w:t>
      </w:r>
      <w:r>
        <w:rPr>
          <w:rFonts w:hint="eastAsia" w:ascii="宋体" w:hAnsi="宋体"/>
          <w:color w:val="auto"/>
          <w:szCs w:val="24"/>
          <w:highlight w:val="none"/>
          <w:u w:val="single"/>
          <w:lang w:eastAsia="zh-CN"/>
        </w:rPr>
        <w:t>）</w:t>
      </w:r>
      <w:r>
        <w:rPr>
          <w:color w:val="auto"/>
          <w:highlight w:val="none"/>
          <w:u w:val="single"/>
        </w:rPr>
        <w:t xml:space="preserve"> </w:t>
      </w:r>
    </w:p>
    <w:p w14:paraId="7524C858">
      <w:pPr>
        <w:spacing w:line="360" w:lineRule="auto"/>
        <w:ind w:firstLine="420" w:firstLineChars="200"/>
        <w:rPr>
          <w:rFonts w:hint="eastAsia" w:asciiTheme="majorEastAsia" w:hAnsiTheme="majorEastAsia" w:eastAsiaTheme="majorEastAsia" w:cstheme="majorEastAsia"/>
          <w:color w:val="auto"/>
          <w:highlight w:val="none"/>
          <w:u w:val="single"/>
        </w:rPr>
      </w:pPr>
      <w:r>
        <w:rPr>
          <w:color w:val="auto"/>
          <w:highlight w:val="none"/>
        </w:rPr>
        <w:t>建设规模：</w:t>
      </w:r>
      <w:r>
        <w:rPr>
          <w:rFonts w:hint="eastAsia"/>
          <w:color w:val="auto"/>
          <w:highlight w:val="none"/>
        </w:rPr>
        <w:t>项目拆除校内 1 栋教学楼，拆除面积 4956.10 平方米。拆除后新建 1 栋科研楼，总建筑面积 19695.35 平方米，其中地上建筑面积 16212.93 平方米，地下建筑面积 3482.42 平方米。</w:t>
      </w:r>
    </w:p>
    <w:p w14:paraId="62A9078D">
      <w:pPr>
        <w:spacing w:line="360" w:lineRule="auto"/>
        <w:ind w:firstLine="420" w:firstLineChars="200"/>
        <w:rPr>
          <w:rFonts w:hint="eastAsia" w:ascii="宋体" w:hAnsi="宋体" w:cs="宋体"/>
          <w:bCs/>
          <w:color w:val="auto"/>
          <w:kern w:val="0"/>
          <w:szCs w:val="21"/>
          <w:highlight w:val="none"/>
          <w:u w:val="none"/>
        </w:rPr>
      </w:pPr>
      <w:r>
        <w:rPr>
          <w:color w:val="auto"/>
          <w:highlight w:val="none"/>
        </w:rPr>
        <w:t>合同估算价：</w:t>
      </w:r>
      <w:r>
        <w:rPr>
          <w:rFonts w:hint="eastAsia" w:ascii="宋体" w:hAnsi="宋体" w:cs="宋体"/>
          <w:bCs/>
          <w:color w:val="auto"/>
          <w:kern w:val="0"/>
          <w:szCs w:val="21"/>
          <w:highlight w:val="none"/>
          <w:u w:val="single"/>
          <w:lang w:val="en-US" w:eastAsia="zh-CN"/>
        </w:rPr>
        <w:t>183.02</w:t>
      </w:r>
      <w:r>
        <w:rPr>
          <w:rFonts w:hint="eastAsia" w:ascii="宋体" w:hAnsi="宋体" w:cs="宋体"/>
          <w:bCs/>
          <w:color w:val="auto"/>
          <w:kern w:val="0"/>
          <w:szCs w:val="21"/>
          <w:highlight w:val="none"/>
          <w:u w:val="single"/>
        </w:rPr>
        <w:t>万元</w:t>
      </w:r>
      <w:r>
        <w:rPr>
          <w:rFonts w:hint="eastAsia" w:ascii="宋体" w:hAnsi="宋体" w:cs="宋体"/>
          <w:bCs/>
          <w:color w:val="auto"/>
          <w:kern w:val="0"/>
          <w:szCs w:val="21"/>
          <w:highlight w:val="none"/>
          <w:u w:val="none"/>
        </w:rPr>
        <w:t xml:space="preserve">  </w:t>
      </w:r>
    </w:p>
    <w:p w14:paraId="4F7C65D4">
      <w:pPr>
        <w:spacing w:line="360" w:lineRule="auto"/>
        <w:ind w:firstLine="420" w:firstLineChars="200"/>
        <w:rPr>
          <w:rFonts w:ascii="宋体" w:hAnsi="宋体"/>
          <w:color w:val="auto"/>
          <w:highlight w:val="none"/>
          <w:u w:val="single"/>
        </w:rPr>
      </w:pPr>
      <w:r>
        <w:rPr>
          <w:rFonts w:hint="eastAsia" w:ascii="宋体" w:hAnsi="宋体"/>
          <w:color w:val="auto"/>
          <w:highlight w:val="none"/>
        </w:rPr>
        <w:t>质量要求：</w:t>
      </w:r>
      <w:r>
        <w:rPr>
          <w:rFonts w:hint="eastAsia" w:ascii="宋体" w:hAnsi="宋体"/>
          <w:color w:val="auto"/>
          <w:highlight w:val="none"/>
          <w:u w:val="single"/>
        </w:rPr>
        <w:t xml:space="preserve"> </w:t>
      </w:r>
      <w:r>
        <w:rPr>
          <w:rFonts w:hint="eastAsia" w:ascii="宋体" w:hAnsi="宋体" w:cs="宋体"/>
          <w:bCs/>
          <w:color w:val="auto"/>
          <w:kern w:val="0"/>
          <w:szCs w:val="21"/>
          <w:highlight w:val="none"/>
          <w:u w:val="single"/>
        </w:rPr>
        <w:t>符合国家规定的工程设计质量标准、深度要求和现行技术规范、规程要求，并通过国家相关部门组织的审查</w:t>
      </w:r>
      <w:r>
        <w:rPr>
          <w:rFonts w:hint="eastAsia" w:ascii="宋体" w:hAnsi="宋体"/>
          <w:color w:val="auto"/>
          <w:highlight w:val="none"/>
          <w:u w:val="single"/>
        </w:rPr>
        <w:t>。</w:t>
      </w:r>
    </w:p>
    <w:p w14:paraId="6A242EAC">
      <w:pPr>
        <w:spacing w:line="360" w:lineRule="auto"/>
        <w:ind w:firstLine="420" w:firstLineChars="200"/>
        <w:rPr>
          <w:rFonts w:ascii="宋体" w:hAnsi="宋体"/>
          <w:color w:val="auto"/>
          <w:highlight w:val="none"/>
        </w:rPr>
      </w:pPr>
      <w:r>
        <w:rPr>
          <w:rFonts w:hint="eastAsia" w:ascii="宋体" w:hAnsi="宋体"/>
          <w:color w:val="auto"/>
          <w:highlight w:val="none"/>
        </w:rPr>
        <w:t>标段划分：（如有）</w:t>
      </w:r>
      <w:r>
        <w:rPr>
          <w:rFonts w:hint="eastAsia" w:ascii="宋体" w:hAnsi="宋体"/>
          <w:color w:val="auto"/>
          <w:highlight w:val="none"/>
          <w:u w:val="single"/>
        </w:rPr>
        <w:t xml:space="preserve">           /                </w:t>
      </w:r>
      <w:r>
        <w:rPr>
          <w:rFonts w:hint="eastAsia" w:ascii="宋体" w:hAnsi="宋体"/>
          <w:color w:val="auto"/>
          <w:highlight w:val="none"/>
        </w:rPr>
        <w:t xml:space="preserve">      </w:t>
      </w:r>
    </w:p>
    <w:p w14:paraId="4A47639D">
      <w:pPr>
        <w:spacing w:line="360" w:lineRule="auto"/>
        <w:ind w:firstLine="422" w:firstLineChars="200"/>
        <w:rPr>
          <w:b/>
          <w:color w:val="auto"/>
          <w:highlight w:val="none"/>
        </w:rPr>
      </w:pPr>
      <w:r>
        <w:rPr>
          <w:rFonts w:hint="eastAsia"/>
          <w:b/>
          <w:color w:val="auto"/>
          <w:highlight w:val="none"/>
        </w:rPr>
        <w:t>☑</w:t>
      </w:r>
      <w:r>
        <w:rPr>
          <w:rFonts w:hint="eastAsia"/>
          <w:color w:val="auto"/>
          <w:highlight w:val="none"/>
        </w:rPr>
        <w:t>设计服务期限</w:t>
      </w:r>
      <w:r>
        <w:rPr>
          <w:color w:val="auto"/>
          <w:highlight w:val="none"/>
        </w:rPr>
        <w:t>：</w:t>
      </w:r>
      <w:r>
        <w:rPr>
          <w:rFonts w:hint="eastAsia"/>
          <w:color w:val="auto"/>
          <w:highlight w:val="none"/>
          <w:u w:val="single"/>
        </w:rPr>
        <w:t xml:space="preserve"> 60 </w:t>
      </w:r>
      <w:r>
        <w:rPr>
          <w:color w:val="auto"/>
          <w:highlight w:val="none"/>
        </w:rPr>
        <w:t>天，</w:t>
      </w:r>
      <w:r>
        <w:rPr>
          <w:rFonts w:hint="eastAsia"/>
          <w:b/>
          <w:color w:val="auto"/>
          <w:highlight w:val="none"/>
        </w:rPr>
        <w:t>☑</w:t>
      </w:r>
      <w:r>
        <w:rPr>
          <w:color w:val="auto"/>
          <w:highlight w:val="none"/>
        </w:rPr>
        <w:t>定额</w:t>
      </w:r>
      <w:r>
        <w:rPr>
          <w:rFonts w:hint="eastAsia"/>
          <w:color w:val="auto"/>
          <w:highlight w:val="none"/>
        </w:rPr>
        <w:t>期限</w:t>
      </w:r>
      <w:r>
        <w:rPr>
          <w:rFonts w:hint="eastAsia"/>
          <w:color w:val="auto"/>
          <w:highlight w:val="none"/>
          <w:u w:val="single"/>
        </w:rPr>
        <w:t xml:space="preserve">  60 </w:t>
      </w:r>
      <w:r>
        <w:rPr>
          <w:color w:val="auto"/>
          <w:highlight w:val="none"/>
        </w:rPr>
        <w:t>日历天</w:t>
      </w:r>
      <w:r>
        <w:rPr>
          <w:rFonts w:eastAsia="楷体_GB2312"/>
          <w:b/>
          <w:color w:val="auto"/>
          <w:szCs w:val="21"/>
          <w:highlight w:val="none"/>
        </w:rPr>
        <w:t>【备</w:t>
      </w:r>
      <w:r>
        <w:rPr>
          <w:rFonts w:eastAsia="楷体_GB2312"/>
          <w:b/>
          <w:color w:val="auto"/>
          <w:highlight w:val="none"/>
        </w:rPr>
        <w:t>注：</w:t>
      </w:r>
      <w:r>
        <w:rPr>
          <w:rFonts w:hint="eastAsia" w:eastAsia="楷体_GB2312"/>
          <w:b/>
          <w:color w:val="auto"/>
          <w:highlight w:val="none"/>
        </w:rPr>
        <w:t>建筑工程设计定额服务期限应按《全国建筑设计周期定额（2016年版）》确定，不得任意压缩设计周期，确需压缩时，宜组织专家论证，并增加压缩周期费用，在招标文件中明确；市政工程项目根据具体情况确定。</w:t>
      </w:r>
      <w:r>
        <w:rPr>
          <w:rFonts w:eastAsia="楷体_GB2312"/>
          <w:b/>
          <w:color w:val="auto"/>
          <w:szCs w:val="21"/>
          <w:highlight w:val="none"/>
        </w:rPr>
        <w:t>】</w:t>
      </w:r>
    </w:p>
    <w:p w14:paraId="3C820EC9">
      <w:pPr>
        <w:spacing w:line="360" w:lineRule="auto"/>
        <w:ind w:firstLine="420" w:firstLineChars="200"/>
        <w:rPr>
          <w:color w:val="auto"/>
          <w:highlight w:val="none"/>
          <w:u w:val="single"/>
        </w:rPr>
      </w:pPr>
      <w:r>
        <w:rPr>
          <w:color w:val="auto"/>
          <w:highlight w:val="none"/>
        </w:rPr>
        <w:t xml:space="preserve">招标范围： </w:t>
      </w:r>
      <w:r>
        <w:rPr>
          <w:rFonts w:hint="eastAsia"/>
          <w:color w:val="auto"/>
          <w:highlight w:val="none"/>
          <w:lang w:eastAsia="zh-CN"/>
        </w:rPr>
        <w:t>□</w:t>
      </w:r>
      <w:r>
        <w:rPr>
          <w:rFonts w:hint="eastAsia"/>
          <w:color w:val="auto"/>
          <w:highlight w:val="none"/>
        </w:rPr>
        <w:t xml:space="preserve">概念性方案设计招标  </w:t>
      </w:r>
      <w:r>
        <w:rPr>
          <w:rFonts w:hint="eastAsia"/>
          <w:color w:val="auto"/>
          <w:highlight w:val="none"/>
          <w:lang w:eastAsia="zh-CN"/>
        </w:rPr>
        <w:t>□</w:t>
      </w:r>
      <w:r>
        <w:rPr>
          <w:rFonts w:hint="eastAsia"/>
          <w:color w:val="auto"/>
          <w:highlight w:val="none"/>
        </w:rPr>
        <w:t xml:space="preserve">实施性方案设计招标  </w:t>
      </w:r>
      <w:r>
        <w:rPr>
          <w:rFonts w:hint="eastAsia"/>
          <w:color w:val="auto"/>
          <w:highlight w:val="none"/>
          <w:lang w:eastAsia="zh-CN"/>
        </w:rPr>
        <w:t>☑</w:t>
      </w:r>
      <w:r>
        <w:rPr>
          <w:rFonts w:hint="eastAsia"/>
          <w:color w:val="auto"/>
          <w:highlight w:val="none"/>
        </w:rPr>
        <w:t xml:space="preserve">初步设计招标  </w:t>
      </w:r>
      <w:r>
        <w:rPr>
          <w:rFonts w:hint="eastAsia"/>
          <w:color w:val="auto"/>
          <w:highlight w:val="none"/>
          <w:lang w:eastAsia="zh-CN"/>
        </w:rPr>
        <w:t>☑</w:t>
      </w:r>
      <w:r>
        <w:rPr>
          <w:rFonts w:hint="eastAsia"/>
          <w:color w:val="auto"/>
          <w:highlight w:val="none"/>
        </w:rPr>
        <w:t xml:space="preserve">施工图设计招标 </w:t>
      </w:r>
      <w:r>
        <w:rPr>
          <w:rFonts w:hint="eastAsia" w:ascii="宋体" w:hAnsi="宋体"/>
          <w:color w:val="auto"/>
          <w:highlight w:val="none"/>
          <w:lang w:eastAsia="zh-CN"/>
        </w:rPr>
        <w:t>☑</w:t>
      </w:r>
      <w:r>
        <w:rPr>
          <w:rFonts w:hint="eastAsia" w:ascii="宋体" w:hAnsi="宋体"/>
          <w:color w:val="auto"/>
          <w:highlight w:val="none"/>
        </w:rPr>
        <w:t>其他：</w:t>
      </w:r>
      <w:r>
        <w:rPr>
          <w:rFonts w:hint="eastAsia" w:ascii="宋体" w:hAnsi="宋体"/>
          <w:color w:val="auto"/>
          <w:highlight w:val="none"/>
          <w:u w:val="single"/>
          <w:lang w:val="en-US" w:eastAsia="zh-CN"/>
        </w:rPr>
        <w:t>含概算编制、施工配合</w:t>
      </w:r>
      <w:r>
        <w:rPr>
          <w:rFonts w:eastAsia="楷体_GB2312"/>
          <w:b/>
          <w:color w:val="auto"/>
          <w:szCs w:val="21"/>
          <w:highlight w:val="none"/>
        </w:rPr>
        <w:t>【备</w:t>
      </w:r>
      <w:r>
        <w:rPr>
          <w:rFonts w:eastAsia="楷体_GB2312"/>
          <w:b/>
          <w:color w:val="auto"/>
          <w:highlight w:val="none"/>
        </w:rPr>
        <w:t>注：</w:t>
      </w:r>
      <w:r>
        <w:rPr>
          <w:rFonts w:hint="eastAsia" w:eastAsia="楷体_GB2312"/>
          <w:b/>
          <w:color w:val="auto"/>
          <w:highlight w:val="none"/>
        </w:rPr>
        <w:t>除概念性方案设计，鼓励对实施性方案设计、初步设计、施工图设计进行设计总包招标。</w:t>
      </w:r>
      <w:r>
        <w:rPr>
          <w:rFonts w:eastAsia="楷体_GB2312"/>
          <w:b/>
          <w:color w:val="auto"/>
          <w:szCs w:val="21"/>
          <w:highlight w:val="none"/>
        </w:rPr>
        <w:t>】</w:t>
      </w:r>
    </w:p>
    <w:p w14:paraId="4DDCFEA0">
      <w:pPr>
        <w:pStyle w:val="3"/>
        <w:rPr>
          <w:color w:val="auto"/>
          <w:highlight w:val="none"/>
        </w:rPr>
      </w:pPr>
      <w:bookmarkStart w:id="3" w:name="_Toc4385"/>
      <w:r>
        <w:rPr>
          <w:color w:val="auto"/>
          <w:highlight w:val="none"/>
        </w:rPr>
        <w:t>3. 投标人资格要求</w:t>
      </w:r>
      <w:bookmarkEnd w:id="3"/>
    </w:p>
    <w:p w14:paraId="557C0155">
      <w:pPr>
        <w:spacing w:line="360" w:lineRule="auto"/>
        <w:ind w:firstLine="420" w:firstLineChars="200"/>
        <w:rPr>
          <w:color w:val="auto"/>
          <w:highlight w:val="none"/>
          <w:u w:val="single"/>
        </w:rPr>
      </w:pPr>
      <w:r>
        <w:rPr>
          <w:color w:val="auto"/>
          <w:highlight w:val="none"/>
        </w:rPr>
        <w:t>3.1 本次招标要求投标人须</w:t>
      </w:r>
      <w:r>
        <w:rPr>
          <w:rFonts w:hint="eastAsia" w:cs="宋体"/>
          <w:color w:val="auto"/>
          <w:highlight w:val="none"/>
        </w:rPr>
        <w:t>已办理“广西建筑市场监管云平台”（以下简称：“桂建云”）入库手续并处于有效状态，</w:t>
      </w:r>
      <w:r>
        <w:rPr>
          <w:rFonts w:hint="eastAsia"/>
          <w:color w:val="auto"/>
          <w:szCs w:val="21"/>
          <w:highlight w:val="none"/>
        </w:rPr>
        <w:t>具</w:t>
      </w:r>
      <w:r>
        <w:rPr>
          <w:color w:val="auto"/>
          <w:highlight w:val="none"/>
        </w:rPr>
        <w:t>备</w:t>
      </w:r>
      <w:r>
        <w:rPr>
          <w:rFonts w:hint="eastAsia"/>
          <w:color w:val="auto"/>
          <w:highlight w:val="none"/>
          <w:u w:val="single"/>
        </w:rPr>
        <w:t>工程设计综合甲级资质或工程设计建筑行业乙级及以上设计资质或工程设计建筑行业(建筑工程)专业乙级及以上设计</w:t>
      </w:r>
      <w:r>
        <w:rPr>
          <w:color w:val="auto"/>
          <w:highlight w:val="none"/>
        </w:rPr>
        <w:t>资质</w:t>
      </w:r>
      <w:r>
        <w:rPr>
          <w:rFonts w:eastAsia="楷体_GB2312"/>
          <w:b/>
          <w:color w:val="auto"/>
          <w:szCs w:val="21"/>
          <w:highlight w:val="none"/>
        </w:rPr>
        <w:t>【备注：</w:t>
      </w:r>
      <w:r>
        <w:rPr>
          <w:rFonts w:hint="eastAsia" w:eastAsia="楷体_GB2312"/>
          <w:b/>
          <w:color w:val="auto"/>
          <w:szCs w:val="21"/>
          <w:highlight w:val="none"/>
        </w:rPr>
        <w:t>招标人应根据国家法律法规对企业资质等级许可的相关规定以及招标项目特点，合理设置设计单位资质类别和等级，不得提高资质等级要求。</w:t>
      </w:r>
      <w:r>
        <w:rPr>
          <w:rFonts w:eastAsia="楷体_GB2312"/>
          <w:b/>
          <w:color w:val="auto"/>
          <w:szCs w:val="21"/>
          <w:highlight w:val="none"/>
        </w:rPr>
        <w:t>】</w:t>
      </w:r>
      <w:r>
        <w:rPr>
          <w:color w:val="auto"/>
          <w:kern w:val="0"/>
          <w:sz w:val="24"/>
          <w:highlight w:val="none"/>
        </w:rPr>
        <w:t>，</w:t>
      </w:r>
      <w:r>
        <w:rPr>
          <w:rFonts w:hint="eastAsia"/>
          <w:color w:val="auto"/>
          <w:highlight w:val="none"/>
        </w:rPr>
        <w:t>并在人员方面具有相应的设计能力。其中，</w:t>
      </w:r>
      <w:r>
        <w:rPr>
          <w:rFonts w:hint="eastAsia" w:ascii="宋体" w:hAnsi="宋体"/>
          <w:color w:val="auto"/>
          <w:highlight w:val="none"/>
        </w:rPr>
        <w:t>项目负责人的资格要求：</w:t>
      </w:r>
      <w:r>
        <w:rPr>
          <w:rFonts w:hint="eastAsia" w:ascii="宋体" w:hAnsi="宋体"/>
          <w:color w:val="auto"/>
          <w:highlight w:val="none"/>
          <w:u w:val="single"/>
          <w:lang w:eastAsia="zh-CN"/>
        </w:rPr>
        <w:t>具备</w:t>
      </w:r>
      <w:r>
        <w:rPr>
          <w:rFonts w:hint="eastAsia" w:ascii="宋体" w:hAnsi="宋体"/>
          <w:color w:val="auto"/>
          <w:highlight w:val="none"/>
          <w:u w:val="single"/>
        </w:rPr>
        <w:t>一级注册建筑师执业资格证书及建筑工程相关</w:t>
      </w:r>
      <w:r>
        <w:rPr>
          <w:rFonts w:hint="eastAsia" w:ascii="宋体" w:hAnsi="宋体"/>
          <w:color w:val="auto"/>
          <w:highlight w:val="none"/>
          <w:u w:val="single"/>
          <w:lang w:eastAsia="zh-CN"/>
        </w:rPr>
        <w:t>专业</w:t>
      </w:r>
      <w:r>
        <w:rPr>
          <w:rFonts w:hint="eastAsia" w:ascii="宋体" w:hAnsi="宋体"/>
          <w:color w:val="auto"/>
          <w:highlight w:val="none"/>
          <w:u w:val="single"/>
        </w:rPr>
        <w:t>高级工程师</w:t>
      </w:r>
      <w:r>
        <w:rPr>
          <w:rFonts w:hint="eastAsia" w:ascii="宋体" w:hAnsi="宋体"/>
          <w:color w:val="auto"/>
          <w:highlight w:val="none"/>
          <w:u w:val="single"/>
          <w:lang w:eastAsia="zh-CN"/>
        </w:rPr>
        <w:t>及以上</w:t>
      </w:r>
      <w:r>
        <w:rPr>
          <w:rFonts w:hint="eastAsia" w:ascii="宋体" w:hAnsi="宋体"/>
          <w:color w:val="auto"/>
          <w:highlight w:val="none"/>
          <w:u w:val="single"/>
        </w:rPr>
        <w:t>职称</w:t>
      </w:r>
      <w:r>
        <w:rPr>
          <w:rFonts w:hint="eastAsia" w:ascii="宋体" w:hAnsi="宋体"/>
          <w:color w:val="auto"/>
          <w:highlight w:val="none"/>
        </w:rPr>
        <w:t>，且</w:t>
      </w:r>
      <w:r>
        <w:rPr>
          <w:rFonts w:ascii="宋体" w:hAnsi="宋体"/>
          <w:color w:val="auto"/>
          <w:szCs w:val="21"/>
          <w:highlight w:val="none"/>
        </w:rPr>
        <w:t>已</w:t>
      </w:r>
      <w:r>
        <w:rPr>
          <w:rFonts w:hint="eastAsia" w:ascii="宋体" w:hAnsi="宋体"/>
          <w:color w:val="auto"/>
          <w:szCs w:val="21"/>
          <w:highlight w:val="none"/>
        </w:rPr>
        <w:t>录入 “桂建云”</w:t>
      </w:r>
      <w:r>
        <w:rPr>
          <w:rFonts w:ascii="宋体" w:hAnsi="宋体"/>
          <w:color w:val="auto"/>
          <w:szCs w:val="21"/>
          <w:highlight w:val="none"/>
        </w:rPr>
        <w:t>并处于有效</w:t>
      </w:r>
      <w:r>
        <w:rPr>
          <w:rFonts w:hint="eastAsia" w:ascii="宋体" w:hAnsi="宋体"/>
          <w:color w:val="auto"/>
          <w:szCs w:val="21"/>
          <w:highlight w:val="none"/>
        </w:rPr>
        <w:t>状态。</w:t>
      </w:r>
    </w:p>
    <w:p w14:paraId="5CEE32E4">
      <w:pPr>
        <w:spacing w:line="360" w:lineRule="auto"/>
        <w:ind w:firstLine="420" w:firstLineChars="200"/>
        <w:rPr>
          <w:color w:val="auto"/>
          <w:szCs w:val="21"/>
          <w:highlight w:val="none"/>
        </w:rPr>
      </w:pPr>
      <w:r>
        <w:rPr>
          <w:color w:val="auto"/>
          <w:szCs w:val="21"/>
          <w:highlight w:val="none"/>
        </w:rPr>
        <w:t>3.2</w:t>
      </w:r>
      <w:r>
        <w:rPr>
          <w:rFonts w:hint="eastAsia"/>
          <w:color w:val="auto"/>
          <w:szCs w:val="21"/>
          <w:highlight w:val="none"/>
        </w:rPr>
        <w:t xml:space="preserve"> </w:t>
      </w:r>
      <w:r>
        <w:rPr>
          <w:color w:val="auto"/>
          <w:szCs w:val="21"/>
          <w:highlight w:val="none"/>
        </w:rPr>
        <w:t>业绩要求：</w:t>
      </w:r>
      <w:r>
        <w:rPr>
          <w:rFonts w:hint="eastAsia"/>
          <w:color w:val="auto"/>
          <w:highlight w:val="none"/>
          <w:lang w:eastAsia="zh-CN"/>
        </w:rPr>
        <w:t>☑</w:t>
      </w:r>
      <w:r>
        <w:rPr>
          <w:color w:val="auto"/>
          <w:szCs w:val="21"/>
          <w:highlight w:val="none"/>
        </w:rPr>
        <w:t xml:space="preserve">无要求 </w:t>
      </w:r>
    </w:p>
    <w:p w14:paraId="4BA7BA7E">
      <w:pPr>
        <w:spacing w:line="360" w:lineRule="auto"/>
        <w:ind w:firstLine="1680" w:firstLineChars="800"/>
        <w:rPr>
          <w:rFonts w:eastAsia="楷体_GB2312"/>
          <w:b/>
          <w:color w:val="auto"/>
          <w:szCs w:val="21"/>
          <w:highlight w:val="none"/>
        </w:rPr>
      </w:pPr>
      <w:r>
        <w:rPr>
          <w:color w:val="auto"/>
          <w:szCs w:val="21"/>
          <w:highlight w:val="none"/>
        </w:rPr>
        <w:t xml:space="preserve"> </w:t>
      </w:r>
      <w:r>
        <w:rPr>
          <w:rFonts w:hint="eastAsia"/>
          <w:color w:val="auto"/>
          <w:highlight w:val="none"/>
          <w:lang w:eastAsia="zh-CN"/>
        </w:rPr>
        <w:t>□</w:t>
      </w:r>
      <w:r>
        <w:rPr>
          <w:color w:val="auto"/>
          <w:szCs w:val="21"/>
          <w:highlight w:val="none"/>
        </w:rPr>
        <w:t>有要求：</w:t>
      </w:r>
      <w:r>
        <w:rPr>
          <w:rFonts w:hint="eastAsia"/>
          <w:color w:val="auto"/>
          <w:szCs w:val="21"/>
          <w:highlight w:val="none"/>
        </w:rPr>
        <w:t>近</w:t>
      </w:r>
      <w:r>
        <w:rPr>
          <w:rFonts w:hint="eastAsia"/>
          <w:color w:val="auto"/>
          <w:szCs w:val="21"/>
          <w:highlight w:val="none"/>
          <w:u w:val="single"/>
        </w:rPr>
        <w:t xml:space="preserve"> </w:t>
      </w:r>
      <w:r>
        <w:rPr>
          <w:rFonts w:hint="eastAsia"/>
          <w:color w:val="auto"/>
          <w:szCs w:val="21"/>
          <w:highlight w:val="none"/>
          <w:u w:val="single"/>
          <w:lang w:val="en-US" w:eastAsia="zh-CN"/>
        </w:rPr>
        <w:t>/</w:t>
      </w:r>
      <w:r>
        <w:rPr>
          <w:rFonts w:hint="eastAsia"/>
          <w:color w:val="auto"/>
          <w:szCs w:val="21"/>
          <w:highlight w:val="none"/>
        </w:rPr>
        <w:t>年内</w:t>
      </w:r>
      <w:r>
        <w:rPr>
          <w:rFonts w:hint="eastAsia"/>
          <w:color w:val="auto"/>
          <w:szCs w:val="21"/>
          <w:highlight w:val="none"/>
          <w:u w:val="single"/>
          <w:lang w:val="en-US" w:eastAsia="zh-CN"/>
        </w:rPr>
        <w:t>/</w:t>
      </w:r>
      <w:r>
        <w:rPr>
          <w:rFonts w:hint="eastAsia"/>
          <w:bCs/>
          <w:color w:val="auto"/>
          <w:szCs w:val="21"/>
          <w:highlight w:val="none"/>
        </w:rPr>
        <w:t>具</w:t>
      </w:r>
      <w:r>
        <w:rPr>
          <w:rFonts w:hint="eastAsia"/>
          <w:color w:val="auto"/>
          <w:szCs w:val="21"/>
          <w:highlight w:val="none"/>
        </w:rPr>
        <w:t>有</w:t>
      </w:r>
      <w:r>
        <w:rPr>
          <w:rFonts w:hint="eastAsia"/>
          <w:color w:val="auto"/>
          <w:szCs w:val="21"/>
          <w:highlight w:val="none"/>
          <w:u w:val="single"/>
        </w:rPr>
        <w:t xml:space="preserve">  </w:t>
      </w:r>
      <w:r>
        <w:rPr>
          <w:rFonts w:hint="eastAsia"/>
          <w:color w:val="auto"/>
          <w:szCs w:val="21"/>
          <w:highlight w:val="none"/>
          <w:u w:val="single"/>
          <w:lang w:val="en-US" w:eastAsia="zh-CN"/>
        </w:rPr>
        <w:t>/</w:t>
      </w:r>
      <w:r>
        <w:rPr>
          <w:rFonts w:hint="eastAsia"/>
          <w:color w:val="auto"/>
          <w:szCs w:val="21"/>
          <w:highlight w:val="none"/>
          <w:u w:val="single"/>
        </w:rPr>
        <w:t xml:space="preserve"> </w:t>
      </w:r>
      <w:r>
        <w:rPr>
          <w:rFonts w:hint="eastAsia"/>
          <w:color w:val="auto"/>
          <w:szCs w:val="21"/>
          <w:highlight w:val="none"/>
        </w:rPr>
        <w:t>个类似工程设计业绩，类似业绩指：</w:t>
      </w:r>
      <w:r>
        <w:rPr>
          <w:rFonts w:hint="eastAsia"/>
          <w:color w:val="auto"/>
          <w:szCs w:val="21"/>
          <w:highlight w:val="none"/>
          <w:u w:val="single"/>
          <w:lang w:val="en-US" w:eastAsia="zh-CN"/>
        </w:rPr>
        <w:t>/</w:t>
      </w:r>
      <w:r>
        <w:rPr>
          <w:rFonts w:hint="eastAsia"/>
          <w:b/>
          <w:color w:val="auto"/>
          <w:szCs w:val="21"/>
          <w:highlight w:val="none"/>
        </w:rPr>
        <w:t>（一般指功能、规模、项目类型等相近，由招标人指定何种因素相近</w:t>
      </w:r>
      <w:r>
        <w:rPr>
          <w:b/>
          <w:color w:val="auto"/>
          <w:szCs w:val="21"/>
          <w:highlight w:val="none"/>
          <w:lang w:val="en"/>
        </w:rPr>
        <w:t>,</w:t>
      </w:r>
      <w:r>
        <w:rPr>
          <w:rFonts w:hint="eastAsia"/>
          <w:b/>
          <w:color w:val="auto"/>
          <w:szCs w:val="21"/>
          <w:highlight w:val="none"/>
        </w:rPr>
        <w:t>已完成项目以</w:t>
      </w:r>
      <w:r>
        <w:rPr>
          <w:b/>
          <w:color w:val="auto"/>
          <w:szCs w:val="21"/>
          <w:highlight w:val="none"/>
          <w:u w:val="single"/>
          <w:lang w:val="en"/>
        </w:rPr>
        <w:t xml:space="preserve">   </w:t>
      </w:r>
      <w:r>
        <w:rPr>
          <w:rFonts w:hint="eastAsia"/>
          <w:b/>
          <w:color w:val="auto"/>
          <w:szCs w:val="21"/>
          <w:highlight w:val="none"/>
          <w:u w:val="single"/>
        </w:rPr>
        <w:t>施工图审查合格报告书、方案或初步设计批复等证明材料</w:t>
      </w:r>
      <w:r>
        <w:rPr>
          <w:b/>
          <w:color w:val="auto"/>
          <w:szCs w:val="21"/>
          <w:highlight w:val="none"/>
          <w:u w:val="single"/>
          <w:lang w:val="en"/>
        </w:rPr>
        <w:t xml:space="preserve">   </w:t>
      </w:r>
      <w:r>
        <w:rPr>
          <w:rFonts w:hint="eastAsia"/>
          <w:b/>
          <w:color w:val="auto"/>
          <w:szCs w:val="21"/>
          <w:highlight w:val="none"/>
        </w:rPr>
        <w:t>为准，在建项目以</w:t>
      </w:r>
      <w:r>
        <w:rPr>
          <w:b/>
          <w:color w:val="auto"/>
          <w:szCs w:val="21"/>
          <w:highlight w:val="none"/>
          <w:u w:val="single"/>
          <w:lang w:val="en"/>
        </w:rPr>
        <w:t xml:space="preserve">   </w:t>
      </w:r>
      <w:r>
        <w:rPr>
          <w:rFonts w:hint="eastAsia"/>
          <w:b/>
          <w:color w:val="auto"/>
          <w:szCs w:val="21"/>
          <w:highlight w:val="none"/>
          <w:u w:val="single"/>
        </w:rPr>
        <w:t>设计合同或中标</w:t>
      </w:r>
      <w:r>
        <w:rPr>
          <w:rFonts w:hint="eastAsia"/>
          <w:b/>
          <w:color w:val="auto"/>
          <w:szCs w:val="21"/>
          <w:highlight w:val="none"/>
          <w:u w:val="single"/>
          <w:lang w:eastAsia="zh-CN"/>
        </w:rPr>
        <w:t>（发包）</w:t>
      </w:r>
      <w:r>
        <w:rPr>
          <w:rFonts w:hint="eastAsia"/>
          <w:b/>
          <w:color w:val="auto"/>
          <w:szCs w:val="21"/>
          <w:highlight w:val="none"/>
          <w:u w:val="single"/>
        </w:rPr>
        <w:t>通知书等证明材料</w:t>
      </w:r>
      <w:r>
        <w:rPr>
          <w:b/>
          <w:color w:val="auto"/>
          <w:szCs w:val="21"/>
          <w:highlight w:val="none"/>
          <w:u w:val="single"/>
          <w:lang w:val="en"/>
        </w:rPr>
        <w:t xml:space="preserve">   </w:t>
      </w:r>
      <w:r>
        <w:rPr>
          <w:rFonts w:hint="eastAsia"/>
          <w:b/>
          <w:color w:val="auto"/>
          <w:szCs w:val="21"/>
          <w:highlight w:val="none"/>
        </w:rPr>
        <w:t>为准。如进行设计方案招标（不含施工图部分内容）的，对应的</w:t>
      </w:r>
      <w:r>
        <w:rPr>
          <w:rFonts w:hint="eastAsia" w:ascii="宋体" w:hAnsi="宋体" w:cs="宋体"/>
          <w:b/>
          <w:color w:val="auto"/>
          <w:highlight w:val="none"/>
        </w:rPr>
        <w:t>方案或初步设计批复文件可作为已完成项目依据。</w:t>
      </w:r>
      <w:r>
        <w:rPr>
          <w:rFonts w:hint="eastAsia"/>
          <w:b/>
          <w:color w:val="auto"/>
          <w:szCs w:val="21"/>
          <w:highlight w:val="none"/>
        </w:rPr>
        <w:t>）</w:t>
      </w:r>
      <w:r>
        <w:rPr>
          <w:color w:val="auto"/>
          <w:szCs w:val="21"/>
          <w:highlight w:val="none"/>
        </w:rPr>
        <w:t>。</w:t>
      </w:r>
      <w:r>
        <w:rPr>
          <w:rFonts w:hint="eastAsia" w:eastAsia="楷体_GB2312"/>
          <w:b/>
          <w:color w:val="auto"/>
          <w:szCs w:val="21"/>
          <w:highlight w:val="none"/>
        </w:rPr>
        <w:t>【备注：时间的限定一般按近三年，具体时间由招标人填写；</w:t>
      </w:r>
      <w:r>
        <w:rPr>
          <w:rFonts w:hint="eastAsia" w:eastAsia="楷体_GB2312"/>
          <w:b/>
          <w:color w:val="auto"/>
          <w:szCs w:val="21"/>
          <w:highlight w:val="none"/>
          <w:lang w:val="en"/>
        </w:rPr>
        <w:t>对于已完成项目和在建项目的时间节点，除</w:t>
      </w:r>
      <w:r>
        <w:rPr>
          <w:rFonts w:eastAsia="楷体_GB2312"/>
          <w:b/>
          <w:color w:val="auto"/>
          <w:szCs w:val="21"/>
          <w:highlight w:val="none"/>
          <w:lang w:val="en"/>
        </w:rPr>
        <w:t>城市轨道</w:t>
      </w:r>
      <w:r>
        <w:rPr>
          <w:rFonts w:hint="eastAsia" w:eastAsia="楷体_GB2312"/>
          <w:b/>
          <w:color w:val="auto"/>
          <w:szCs w:val="21"/>
          <w:highlight w:val="none"/>
          <w:lang w:val="en"/>
        </w:rPr>
        <w:t>交通工程项目和铁路综合交通枢纽站城一体化项目等有特殊要求的项目外，均按上述表述。</w:t>
      </w:r>
      <w:r>
        <w:rPr>
          <w:rFonts w:hint="eastAsia" w:eastAsia="楷体_GB2312"/>
          <w:b/>
          <w:color w:val="auto"/>
          <w:szCs w:val="21"/>
          <w:highlight w:val="none"/>
        </w:rPr>
        <w:t>】</w:t>
      </w:r>
    </w:p>
    <w:p w14:paraId="08BE1A2A">
      <w:pPr>
        <w:spacing w:line="360" w:lineRule="auto"/>
        <w:ind w:firstLine="420" w:firstLineChars="200"/>
        <w:rPr>
          <w:rFonts w:eastAsia="楷体_GB2312"/>
          <w:b/>
          <w:color w:val="auto"/>
          <w:szCs w:val="21"/>
          <w:highlight w:val="none"/>
        </w:rPr>
      </w:pPr>
      <w:r>
        <w:rPr>
          <w:rFonts w:hint="eastAsia"/>
          <w:color w:val="auto"/>
          <w:highlight w:val="none"/>
        </w:rPr>
        <w:t>3.3</w:t>
      </w:r>
      <w:r>
        <w:rPr>
          <w:color w:val="auto"/>
          <w:highlight w:val="none"/>
        </w:rPr>
        <w:t>本次招标</w:t>
      </w:r>
      <w:r>
        <w:rPr>
          <w:color w:val="auto"/>
          <w:highlight w:val="none"/>
          <w:u w:val="single"/>
        </w:rPr>
        <w:t>不接受</w:t>
      </w:r>
      <w:r>
        <w:rPr>
          <w:color w:val="auto"/>
          <w:highlight w:val="none"/>
        </w:rPr>
        <w:t>（接受或不接受）联合体投标。联合体投标的，应满足下列要求：</w:t>
      </w:r>
      <w:r>
        <w:rPr>
          <w:color w:val="auto"/>
          <w:highlight w:val="none"/>
          <w:u w:val="single"/>
        </w:rPr>
        <w:t xml:space="preserve">     </w:t>
      </w:r>
      <w:r>
        <w:rPr>
          <w:rFonts w:hint="eastAsia"/>
          <w:color w:val="auto"/>
          <w:highlight w:val="none"/>
          <w:u w:val="single"/>
        </w:rPr>
        <w:t xml:space="preserve">            /   </w:t>
      </w:r>
      <w:r>
        <w:rPr>
          <w:color w:val="auto"/>
          <w:highlight w:val="none"/>
        </w:rPr>
        <w:t>。</w:t>
      </w:r>
      <w:r>
        <w:rPr>
          <w:rFonts w:hint="eastAsia" w:eastAsia="楷体_GB2312"/>
          <w:b/>
          <w:color w:val="auto"/>
          <w:szCs w:val="21"/>
          <w:highlight w:val="none"/>
        </w:rPr>
        <w:t>【备注：联合体参与投标的，联合体各方应当签订联合体协议书，其中联合体牵头人代表联合体各方成员负责投标和合同实施阶段的主办、协调工作，但联合体其他成员在投标、签约与履行合同过程中，负有连带的和各自的法律责任。联合体的信誉实力分按联合体牵头人的企业认定。联合体各方均应符合“具有独立法人资格”、“具有独立承担民事责任的能力”的条件。组成联合体进行投标的成员单位不得再以自己的名义单独参与同一项目（或标段）的投标，也不得组成新的联合体参与同一项目（或标段）的投标。】</w:t>
      </w:r>
    </w:p>
    <w:p w14:paraId="1BA3412A">
      <w:pPr>
        <w:spacing w:line="360" w:lineRule="auto"/>
        <w:ind w:firstLine="420" w:firstLineChars="200"/>
        <w:rPr>
          <w:rFonts w:cs="宋体"/>
          <w:color w:val="auto"/>
          <w:highlight w:val="none"/>
        </w:rPr>
      </w:pPr>
      <w:r>
        <w:rPr>
          <w:rFonts w:hint="eastAsia"/>
          <w:color w:val="auto"/>
          <w:highlight w:val="none"/>
        </w:rPr>
        <w:t>3</w:t>
      </w:r>
      <w:r>
        <w:rPr>
          <w:color w:val="auto"/>
          <w:highlight w:val="none"/>
        </w:rPr>
        <w:t xml:space="preserve">.4 </w:t>
      </w:r>
      <w:r>
        <w:rPr>
          <w:rFonts w:hint="eastAsia" w:cs="宋体"/>
          <w:color w:val="auto"/>
          <w:highlight w:val="none"/>
        </w:rPr>
        <w:t>投标人信息以“桂建云”系统上的信息为准。</w:t>
      </w:r>
    </w:p>
    <w:p w14:paraId="7F2390FC">
      <w:pPr>
        <w:spacing w:line="360" w:lineRule="auto"/>
        <w:ind w:firstLine="420" w:firstLineChars="200"/>
        <w:rPr>
          <w:color w:val="auto"/>
          <w:highlight w:val="none"/>
        </w:rPr>
      </w:pPr>
      <w:r>
        <w:rPr>
          <w:rFonts w:hint="eastAsia"/>
          <w:color w:val="auto"/>
          <w:highlight w:val="none"/>
        </w:rPr>
        <w:t>3.5</w:t>
      </w:r>
      <w:r>
        <w:rPr>
          <w:rFonts w:hint="eastAsia" w:cs="宋体"/>
          <w:color w:val="auto"/>
          <w:highlight w:val="none"/>
          <w:lang w:eastAsia="zh-CN"/>
        </w:rPr>
        <w:t>□</w:t>
      </w:r>
      <w:r>
        <w:rPr>
          <w:rFonts w:hint="eastAsia"/>
          <w:color w:val="auto"/>
          <w:highlight w:val="none"/>
        </w:rPr>
        <w:t>本项目不属于政府采购服务项目。</w:t>
      </w:r>
    </w:p>
    <w:p w14:paraId="328915F8">
      <w:pPr>
        <w:spacing w:line="360" w:lineRule="auto"/>
        <w:ind w:firstLine="420" w:firstLineChars="200"/>
        <w:rPr>
          <w:color w:val="auto"/>
          <w:highlight w:val="none"/>
        </w:rPr>
      </w:pPr>
      <w:r>
        <w:rPr>
          <w:rFonts w:hint="eastAsia" w:cs="宋体"/>
          <w:color w:val="auto"/>
          <w:highlight w:val="none"/>
        </w:rPr>
        <w:t xml:space="preserve">   </w:t>
      </w:r>
      <w:r>
        <w:rPr>
          <w:rFonts w:hint="eastAsia" w:cs="宋体"/>
          <w:color w:val="auto"/>
          <w:highlight w:val="none"/>
          <w:lang w:eastAsia="zh-CN"/>
        </w:rPr>
        <w:t>☑</w:t>
      </w:r>
      <w:r>
        <w:rPr>
          <w:rFonts w:hint="eastAsia"/>
          <w:color w:val="auto"/>
          <w:highlight w:val="none"/>
        </w:rPr>
        <w:t>本项目属于政府采购服务项目：</w:t>
      </w:r>
    </w:p>
    <w:p w14:paraId="16594651">
      <w:pPr>
        <w:spacing w:line="360" w:lineRule="auto"/>
        <w:ind w:firstLine="420" w:firstLineChars="200"/>
        <w:rPr>
          <w:rFonts w:cs="宋体"/>
          <w:color w:val="auto"/>
          <w:highlight w:val="none"/>
        </w:rPr>
      </w:pPr>
      <w:r>
        <w:rPr>
          <w:rFonts w:hint="eastAsia" w:cs="宋体"/>
          <w:color w:val="auto"/>
          <w:highlight w:val="none"/>
        </w:rPr>
        <w:t xml:space="preserve">       </w:t>
      </w:r>
      <w:r>
        <w:rPr>
          <w:rFonts w:hint="eastAsia" w:cs="宋体"/>
          <w:color w:val="auto"/>
          <w:highlight w:val="none"/>
          <w:lang w:eastAsia="zh-CN"/>
        </w:rPr>
        <w:t>☑</w:t>
      </w:r>
      <w:r>
        <w:rPr>
          <w:rFonts w:hint="eastAsia"/>
          <w:color w:val="auto"/>
          <w:highlight w:val="none"/>
          <w:u w:val="none"/>
          <w:lang w:eastAsia="zh-CN"/>
        </w:rPr>
        <w:t>本项目</w:t>
      </w:r>
      <w:r>
        <w:rPr>
          <w:rFonts w:hint="eastAsia"/>
          <w:color w:val="auto"/>
          <w:highlight w:val="none"/>
        </w:rPr>
        <w:t>为未预留份额专门面向中小企业采购的项目，</w:t>
      </w:r>
      <w:r>
        <w:rPr>
          <w:rFonts w:hint="eastAsia" w:cs="宋体"/>
          <w:color w:val="auto"/>
          <w:highlight w:val="none"/>
        </w:rPr>
        <w:t>落实政府采购政策需满足的</w:t>
      </w:r>
      <w:r>
        <w:rPr>
          <w:rFonts w:hint="eastAsia" w:cs="宋体"/>
          <w:color w:val="auto"/>
          <w:highlight w:val="none"/>
          <w:u w:val="single"/>
        </w:rPr>
        <w:t xml:space="preserve">     </w:t>
      </w:r>
      <w:r>
        <w:rPr>
          <w:rFonts w:hint="eastAsia" w:cs="宋体"/>
          <w:color w:val="auto"/>
          <w:highlight w:val="none"/>
        </w:rPr>
        <w:t>资格要求：无。</w:t>
      </w:r>
    </w:p>
    <w:p w14:paraId="0FF7B0C2">
      <w:pPr>
        <w:rPr>
          <w:color w:val="auto"/>
          <w:highlight w:val="none"/>
        </w:rPr>
      </w:pPr>
      <w:r>
        <w:rPr>
          <w:rFonts w:hint="eastAsia" w:cs="宋体"/>
          <w:color w:val="auto"/>
          <w:highlight w:val="none"/>
        </w:rPr>
        <w:t xml:space="preserve">           □</w:t>
      </w:r>
      <w:r>
        <w:rPr>
          <w:rFonts w:hint="eastAsia"/>
          <w:color w:val="auto"/>
          <w:highlight w:val="none"/>
          <w:u w:val="single"/>
        </w:rPr>
        <w:t xml:space="preserve">      </w:t>
      </w:r>
      <w:r>
        <w:rPr>
          <w:rFonts w:hint="eastAsia"/>
          <w:color w:val="auto"/>
          <w:highlight w:val="none"/>
        </w:rPr>
        <w:t>标段为预留份额</w:t>
      </w:r>
      <w:r>
        <w:rPr>
          <w:rFonts w:hint="eastAsia" w:cs="宋体"/>
          <w:color w:val="auto"/>
          <w:highlight w:val="none"/>
        </w:rPr>
        <w:t>专门面向中小企业采购的项目，落实政府采购政策需满足的</w:t>
      </w:r>
      <w:r>
        <w:rPr>
          <w:rFonts w:hint="eastAsia" w:cs="宋体"/>
          <w:color w:val="auto"/>
          <w:highlight w:val="none"/>
          <w:u w:val="single"/>
        </w:rPr>
        <w:t xml:space="preserve">          </w:t>
      </w:r>
      <w:r>
        <w:rPr>
          <w:rFonts w:hint="eastAsia" w:cs="宋体"/>
          <w:color w:val="auto"/>
          <w:highlight w:val="none"/>
        </w:rPr>
        <w:t>资格要求：</w:t>
      </w:r>
      <w:r>
        <w:rPr>
          <w:rFonts w:hint="eastAsia"/>
          <w:color w:val="auto"/>
          <w:highlight w:val="none"/>
        </w:rPr>
        <w:t>投标人必须为</w:t>
      </w:r>
      <w:r>
        <w:rPr>
          <w:rFonts w:hint="eastAsia"/>
          <w:color w:val="auto"/>
          <w:highlight w:val="none"/>
          <w:u w:val="single"/>
        </w:rPr>
        <w:t xml:space="preserve">      </w:t>
      </w:r>
      <w:r>
        <w:rPr>
          <w:rFonts w:hint="eastAsia"/>
          <w:color w:val="auto"/>
          <w:highlight w:val="none"/>
        </w:rPr>
        <w:t>（中小微/小微）企业、监狱企业或者残疾人福利性单位，</w:t>
      </w:r>
      <w:r>
        <w:rPr>
          <w:rFonts w:hint="eastAsia"/>
          <w:color w:val="auto"/>
          <w:highlight w:val="none"/>
          <w:u w:val="single"/>
        </w:rPr>
        <w:t xml:space="preserve">     </w:t>
      </w:r>
      <w:r>
        <w:rPr>
          <w:rFonts w:hint="eastAsia"/>
          <w:color w:val="auto"/>
          <w:highlight w:val="none"/>
        </w:rPr>
        <w:t>（大型/大中型）企业不得参加。</w:t>
      </w:r>
    </w:p>
    <w:p w14:paraId="643338D8">
      <w:pPr>
        <w:pStyle w:val="3"/>
        <w:rPr>
          <w:color w:val="auto"/>
          <w:highlight w:val="none"/>
        </w:rPr>
      </w:pPr>
      <w:bookmarkStart w:id="4" w:name="_Toc23088"/>
      <w:r>
        <w:rPr>
          <w:color w:val="auto"/>
          <w:highlight w:val="none"/>
        </w:rPr>
        <w:t>4.技术成果经济补偿</w:t>
      </w:r>
      <w:bookmarkEnd w:id="4"/>
    </w:p>
    <w:p w14:paraId="5AF9842C">
      <w:pPr>
        <w:spacing w:line="360" w:lineRule="auto"/>
        <w:ind w:firstLine="420" w:firstLineChars="200"/>
        <w:rPr>
          <w:color w:val="auto"/>
          <w:highlight w:val="none"/>
          <w:u w:val="single"/>
        </w:rPr>
      </w:pPr>
      <w:r>
        <w:rPr>
          <w:color w:val="auto"/>
          <w:highlight w:val="none"/>
        </w:rPr>
        <w:t>本次招标对未中标人投标文件中的技术成果</w:t>
      </w:r>
      <w:r>
        <w:rPr>
          <w:rFonts w:hint="eastAsia"/>
          <w:color w:val="auto"/>
          <w:highlight w:val="none"/>
          <w:u w:val="single"/>
        </w:rPr>
        <w:t xml:space="preserve"> 不给予</w:t>
      </w:r>
      <w:r>
        <w:rPr>
          <w:color w:val="auto"/>
          <w:highlight w:val="none"/>
          <w:u w:val="single"/>
        </w:rPr>
        <w:t xml:space="preserve"> </w:t>
      </w:r>
      <w:r>
        <w:rPr>
          <w:color w:val="auto"/>
          <w:highlight w:val="none"/>
        </w:rPr>
        <w:t>经济补偿</w:t>
      </w:r>
      <w:r>
        <w:rPr>
          <w:rFonts w:hint="eastAsia"/>
          <w:color w:val="auto"/>
          <w:highlight w:val="none"/>
        </w:rPr>
        <w:t>。</w:t>
      </w:r>
    </w:p>
    <w:p w14:paraId="13770E3D">
      <w:pPr>
        <w:pStyle w:val="3"/>
        <w:rPr>
          <w:color w:val="auto"/>
          <w:highlight w:val="none"/>
        </w:rPr>
      </w:pPr>
      <w:bookmarkStart w:id="5" w:name="_Toc16184"/>
      <w:r>
        <w:rPr>
          <w:color w:val="auto"/>
          <w:highlight w:val="none"/>
        </w:rPr>
        <w:t>5. 招标文件的获取</w:t>
      </w:r>
      <w:bookmarkEnd w:id="5"/>
    </w:p>
    <w:p w14:paraId="47F77F22">
      <w:pPr>
        <w:spacing w:line="360" w:lineRule="auto"/>
        <w:ind w:firstLine="420" w:firstLineChars="200"/>
        <w:rPr>
          <w:color w:val="auto"/>
          <w:highlight w:val="none"/>
        </w:rPr>
      </w:pPr>
      <w:r>
        <w:rPr>
          <w:color w:val="auto"/>
          <w:highlight w:val="none"/>
        </w:rPr>
        <w:t>5.1</w:t>
      </w:r>
      <w:r>
        <w:rPr>
          <w:rFonts w:hint="eastAsia"/>
          <w:color w:val="auto"/>
          <w:highlight w:val="none"/>
        </w:rPr>
        <w:t xml:space="preserve">  </w:t>
      </w:r>
      <w:r>
        <w:rPr>
          <w:color w:val="auto"/>
          <w:highlight w:val="none"/>
        </w:rPr>
        <w:t>凡有意参加投标者，</w:t>
      </w:r>
      <w:r>
        <w:rPr>
          <w:rFonts w:hint="eastAsia"/>
          <w:color w:val="auto"/>
          <w:highlight w:val="none"/>
          <w:u w:val="single"/>
        </w:rPr>
        <w:t>202</w:t>
      </w:r>
      <w:r>
        <w:rPr>
          <w:rFonts w:hint="eastAsia"/>
          <w:color w:val="auto"/>
          <w:highlight w:val="none"/>
          <w:u w:val="single"/>
          <w:lang w:val="en-US" w:eastAsia="zh-CN"/>
        </w:rPr>
        <w:t>6</w:t>
      </w:r>
      <w:r>
        <w:rPr>
          <w:rFonts w:hint="eastAsia"/>
          <w:color w:val="auto"/>
          <w:highlight w:val="none"/>
        </w:rPr>
        <w:t>年</w:t>
      </w:r>
      <w:r>
        <w:rPr>
          <w:rFonts w:hint="eastAsia"/>
          <w:color w:val="auto"/>
          <w:highlight w:val="none"/>
          <w:u w:val="single"/>
          <w:lang w:val="en-US" w:eastAsia="zh-CN"/>
        </w:rPr>
        <w:t xml:space="preserve">  </w:t>
      </w:r>
      <w:r>
        <w:rPr>
          <w:rFonts w:hint="eastAsia"/>
          <w:color w:val="auto"/>
          <w:highlight w:val="none"/>
        </w:rPr>
        <w:t>月</w:t>
      </w:r>
      <w:r>
        <w:rPr>
          <w:rFonts w:hint="eastAsia"/>
          <w:color w:val="auto"/>
          <w:highlight w:val="none"/>
          <w:u w:val="single"/>
          <w:lang w:val="en-US" w:eastAsia="zh-CN"/>
        </w:rPr>
        <w:t xml:space="preserve">   </w:t>
      </w:r>
      <w:r>
        <w:rPr>
          <w:rFonts w:hint="eastAsia"/>
          <w:color w:val="auto"/>
          <w:highlight w:val="none"/>
        </w:rPr>
        <w:t>日北京时间</w:t>
      </w:r>
      <w:r>
        <w:rPr>
          <w:rFonts w:hint="eastAsia"/>
          <w:color w:val="auto"/>
          <w:highlight w:val="none"/>
          <w:u w:val="single"/>
        </w:rPr>
        <w:t xml:space="preserve">     </w:t>
      </w:r>
      <w:r>
        <w:rPr>
          <w:rFonts w:hint="eastAsia"/>
          <w:color w:val="auto"/>
          <w:highlight w:val="none"/>
        </w:rPr>
        <w:t>时</w:t>
      </w:r>
      <w:r>
        <w:rPr>
          <w:rFonts w:hint="eastAsia"/>
          <w:color w:val="auto"/>
          <w:highlight w:val="none"/>
          <w:u w:val="single"/>
        </w:rPr>
        <w:t xml:space="preserve">    </w:t>
      </w:r>
      <w:r>
        <w:rPr>
          <w:rFonts w:hint="eastAsia"/>
          <w:color w:val="auto"/>
          <w:highlight w:val="none"/>
        </w:rPr>
        <w:t>分至投标文件递交的截止时间止（不少于20日），由潜在投标人登录</w:t>
      </w:r>
      <w:r>
        <w:rPr>
          <w:rFonts w:hint="eastAsia" w:ascii="宋体" w:hAnsi="宋体" w:cs="宋体"/>
          <w:color w:val="auto"/>
          <w:highlight w:val="none"/>
          <w:u w:val="single"/>
        </w:rPr>
        <w:t>全国公共资源交易平台（广西</w:t>
      </w:r>
      <w:r>
        <w:rPr>
          <w:rFonts w:hint="eastAsia" w:ascii="宋体" w:hAnsi="宋体"/>
          <w:color w:val="auto"/>
          <w:highlight w:val="none"/>
          <w:u w:val="single"/>
        </w:rPr>
        <w:t>·</w:t>
      </w:r>
      <w:r>
        <w:rPr>
          <w:rFonts w:hint="eastAsia" w:ascii="宋体" w:hAnsi="宋体" w:cs="宋体"/>
          <w:color w:val="auto"/>
          <w:highlight w:val="none"/>
          <w:u w:val="single"/>
        </w:rPr>
        <w:t>桂林）</w:t>
      </w:r>
      <w:r>
        <w:rPr>
          <w:rFonts w:hint="eastAsia"/>
          <w:color w:val="auto"/>
          <w:highlight w:val="none"/>
        </w:rPr>
        <w:t>免费下载招标文件</w:t>
      </w:r>
      <w:r>
        <w:rPr>
          <w:color w:val="auto"/>
          <w:highlight w:val="none"/>
        </w:rPr>
        <w:t>。</w:t>
      </w:r>
    </w:p>
    <w:p w14:paraId="095821A7">
      <w:pPr>
        <w:pStyle w:val="3"/>
        <w:rPr>
          <w:color w:val="auto"/>
          <w:highlight w:val="none"/>
        </w:rPr>
      </w:pPr>
      <w:bookmarkStart w:id="6" w:name="_Toc23472"/>
      <w:r>
        <w:rPr>
          <w:rFonts w:hint="eastAsia"/>
          <w:color w:val="auto"/>
          <w:highlight w:val="none"/>
        </w:rPr>
        <w:t>6</w:t>
      </w:r>
      <w:r>
        <w:rPr>
          <w:color w:val="auto"/>
          <w:highlight w:val="none"/>
        </w:rPr>
        <w:t>. 投标文件的递交</w:t>
      </w:r>
      <w:r>
        <w:rPr>
          <w:color w:val="auto"/>
          <w:highlight w:val="none"/>
          <w:lang w:val="en"/>
        </w:rPr>
        <w:t>及不见面开标说明</w:t>
      </w:r>
      <w:bookmarkEnd w:id="6"/>
    </w:p>
    <w:p w14:paraId="77824420">
      <w:pPr>
        <w:spacing w:line="360" w:lineRule="auto"/>
        <w:ind w:firstLine="420" w:firstLineChars="200"/>
        <w:rPr>
          <w:rFonts w:ascii="宋体" w:hAnsi="宋体" w:cs="宋体"/>
          <w:color w:val="auto"/>
          <w:highlight w:val="none"/>
        </w:rPr>
      </w:pPr>
      <w:r>
        <w:rPr>
          <w:rFonts w:ascii="宋体" w:hAnsi="宋体" w:cs="宋体"/>
          <w:color w:val="auto"/>
          <w:highlight w:val="none"/>
        </w:rPr>
        <w:t xml:space="preserve">6.1 </w:t>
      </w:r>
      <w:r>
        <w:rPr>
          <w:rFonts w:hint="eastAsia" w:ascii="宋体" w:hAnsi="宋体" w:cs="宋体"/>
          <w:color w:val="auto"/>
          <w:highlight w:val="none"/>
        </w:rPr>
        <w:t>投标文件应通过</w:t>
      </w:r>
      <w:r>
        <w:rPr>
          <w:rFonts w:hint="eastAsia"/>
          <w:color w:val="auto"/>
          <w:highlight w:val="none"/>
        </w:rPr>
        <w:t>全国公共资源交易平台（广西壮族自治区）</w:t>
      </w:r>
      <w:r>
        <w:rPr>
          <w:rFonts w:hint="eastAsia" w:ascii="宋体" w:hAnsi="宋体" w:cs="宋体"/>
          <w:color w:val="auto"/>
          <w:highlight w:val="none"/>
        </w:rPr>
        <w:t>提交，截止时间（投标截止时间，下同）为</w:t>
      </w:r>
      <w:r>
        <w:rPr>
          <w:rFonts w:ascii="宋体" w:hAnsi="宋体" w:cs="宋体"/>
          <w:color w:val="auto"/>
          <w:highlight w:val="none"/>
        </w:rPr>
        <w:t xml:space="preserve"> </w:t>
      </w:r>
      <w:r>
        <w:rPr>
          <w:rFonts w:hint="eastAsia" w:ascii="宋体" w:hAnsi="宋体" w:cs="宋体"/>
          <w:color w:val="auto"/>
          <w:highlight w:val="none"/>
          <w:u w:val="single"/>
        </w:rPr>
        <w:t>202</w:t>
      </w:r>
      <w:r>
        <w:rPr>
          <w:rFonts w:hint="eastAsia" w:ascii="宋体" w:hAnsi="宋体" w:cs="宋体"/>
          <w:color w:val="auto"/>
          <w:highlight w:val="none"/>
          <w:u w:val="single"/>
          <w:lang w:val="en-US" w:eastAsia="zh-CN"/>
        </w:rPr>
        <w:t>6</w:t>
      </w:r>
      <w:r>
        <w:rPr>
          <w:rFonts w:hint="eastAsia" w:ascii="宋体" w:hAnsi="宋体" w:cs="宋体"/>
          <w:color w:val="auto"/>
          <w:highlight w:val="none"/>
        </w:rPr>
        <w:t>年</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月</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日北京时间</w:t>
      </w:r>
      <w:r>
        <w:rPr>
          <w:rFonts w:hint="eastAsia" w:ascii="宋体" w:hAnsi="宋体" w:cs="宋体"/>
          <w:color w:val="auto"/>
          <w:highlight w:val="none"/>
          <w:u w:val="single"/>
          <w:lang w:val="en-US" w:eastAsia="zh-CN"/>
        </w:rPr>
        <w:t>9</w:t>
      </w:r>
      <w:r>
        <w:rPr>
          <w:rFonts w:hint="eastAsia" w:ascii="宋体" w:hAnsi="宋体" w:cs="宋体"/>
          <w:color w:val="auto"/>
          <w:highlight w:val="none"/>
        </w:rPr>
        <w:t>时</w:t>
      </w:r>
      <w:r>
        <w:rPr>
          <w:rFonts w:hint="eastAsia" w:ascii="宋体" w:hAnsi="宋体" w:cs="宋体"/>
          <w:color w:val="auto"/>
          <w:highlight w:val="none"/>
          <w:u w:val="single"/>
          <w:lang w:val="en-US" w:eastAsia="zh-CN"/>
        </w:rPr>
        <w:t>30</w:t>
      </w:r>
      <w:r>
        <w:rPr>
          <w:rFonts w:hint="eastAsia" w:ascii="宋体" w:hAnsi="宋体" w:cs="宋体"/>
          <w:color w:val="auto"/>
          <w:highlight w:val="none"/>
        </w:rPr>
        <w:t>分。</w:t>
      </w:r>
    </w:p>
    <w:p w14:paraId="378CBFA9">
      <w:pPr>
        <w:spacing w:line="360" w:lineRule="auto"/>
        <w:ind w:firstLine="420" w:firstLineChars="200"/>
        <w:jc w:val="left"/>
        <w:rPr>
          <w:color w:val="auto"/>
          <w:highlight w:val="none"/>
        </w:rPr>
      </w:pPr>
      <w:r>
        <w:rPr>
          <w:rFonts w:hint="eastAsia" w:ascii="宋体" w:hAnsi="宋体" w:cs="宋体"/>
          <w:color w:val="auto"/>
          <w:highlight w:val="none"/>
          <w:lang w:val="en"/>
        </w:rPr>
        <w:t>6</w:t>
      </w:r>
      <w:r>
        <w:rPr>
          <w:rFonts w:hint="eastAsia" w:ascii="宋体" w:hAnsi="宋体" w:cs="宋体"/>
          <w:color w:val="auto"/>
          <w:highlight w:val="none"/>
        </w:rPr>
        <w:t>.2投标人在投标</w:t>
      </w:r>
      <w:r>
        <w:rPr>
          <w:rFonts w:hint="eastAsia"/>
          <w:color w:val="auto"/>
          <w:highlight w:val="none"/>
        </w:rPr>
        <w:t>截止前登陆全国公共资源交易平台（广西壮族自治区）网站上传加密的电子投标文件。投标截止后招标代理公布投标人名单，投标人代表通过广西壮族自治区网上开标子系统（http://111.59.121.211:81/BidOpening/）使用个人CA锁进行开标签到，解密环节时间结束前均可签到；由招标代理机构点击进入投标文件解密环节，解密环节时间为60分钟，投标人使用加密投标文件的CA锁解密投标文件，签到完成后才可进行投标文件的解密。在规定时间内，投标人应通过广西壮族自治区网上开标子系统完成签到及解密，否则，视为投标人撤销其投标文件。如投标人代表需到现场参加开标的，需持本人身份证原件或公安系统生成的电子身份证和加盖公章的身份证复印件（法定代表人参加现场开标会时，</w:t>
      </w:r>
      <w:r>
        <w:rPr>
          <w:color w:val="auto"/>
          <w:highlight w:val="none"/>
          <w:lang w:val="en"/>
        </w:rPr>
        <w:t>只需提供法定代表人身份证明及法定代表人身份证原件）现场核验。如投标人需在现场进行网上开标室签到和投标文件解密的，须自行携带手提电脑、个人CA锁、企业CA锁进入开标现场。</w:t>
      </w:r>
      <w:r>
        <w:rPr>
          <w:rFonts w:hint="eastAsia"/>
          <w:color w:val="auto"/>
          <w:highlight w:val="none"/>
        </w:rPr>
        <w:t>由于投标人原因造成签到不成功或投标文件不能解密的后果由投标人自行承担。</w:t>
      </w:r>
    </w:p>
    <w:p w14:paraId="7F2524EE">
      <w:pPr>
        <w:spacing w:line="360" w:lineRule="auto"/>
        <w:ind w:firstLine="420" w:firstLineChars="200"/>
        <w:rPr>
          <w:color w:val="auto"/>
          <w:highlight w:val="none"/>
        </w:rPr>
      </w:pPr>
      <w:r>
        <w:rPr>
          <w:rFonts w:hint="eastAsia"/>
          <w:color w:val="auto"/>
          <w:highlight w:val="none"/>
        </w:rPr>
        <w:t>6.3广西壮族自治区网上开标子系统（不见面）登录方式：各投标人使用IE浏览器（IE11版本）打开登录页面（登录地址：</w:t>
      </w:r>
      <w:r>
        <w:rPr>
          <w:rFonts w:hint="eastAsia"/>
          <w:color w:val="auto"/>
          <w:highlight w:val="none"/>
          <w:u w:val="single"/>
        </w:rPr>
        <w:t>http://111.59.121.211:81/BidOpening/</w:t>
      </w:r>
      <w:r>
        <w:rPr>
          <w:rFonts w:hint="eastAsia"/>
          <w:color w:val="auto"/>
          <w:highlight w:val="none"/>
        </w:rPr>
        <w:t>），使用CA锁或“桂交易移动CA”登录。使用“桂交易移动CA”投标的操作流程，详见http://ggzy.jgswj.gxzf.gov.cn/gxggzy/gywm/004021/004021001/20211123/185f3a63-1ec6-4c75-a0c9-4aeedfdacda9.html</w:t>
      </w:r>
    </w:p>
    <w:p w14:paraId="5FB8D3AD">
      <w:pPr>
        <w:spacing w:line="360" w:lineRule="auto"/>
        <w:ind w:firstLine="420" w:firstLineChars="200"/>
        <w:jc w:val="left"/>
        <w:rPr>
          <w:rFonts w:hint="eastAsia"/>
          <w:color w:val="auto"/>
          <w:highlight w:val="none"/>
        </w:rPr>
      </w:pPr>
      <w:r>
        <w:rPr>
          <w:rFonts w:hint="eastAsia"/>
          <w:color w:val="auto"/>
          <w:highlight w:val="none"/>
        </w:rPr>
        <w:t>6.4 以“桂交易移动CA”制作的投标文件，只能用生成投标文件时加密投标文件的“桂交易移动CA”证书解密，以CA锁制作的投标文件，只能用生成投标文件时加密投标文件CA证书解密。</w:t>
      </w:r>
    </w:p>
    <w:p w14:paraId="48920C98">
      <w:pPr>
        <w:spacing w:line="360" w:lineRule="auto"/>
        <w:ind w:firstLine="420" w:firstLineChars="200"/>
        <w:jc w:val="left"/>
        <w:rPr>
          <w:color w:val="auto"/>
          <w:highlight w:val="none"/>
        </w:rPr>
      </w:pPr>
      <w:r>
        <w:rPr>
          <w:rFonts w:hint="eastAsia"/>
          <w:color w:val="auto"/>
          <w:highlight w:val="none"/>
        </w:rPr>
        <w:t>6.5</w:t>
      </w:r>
      <w:r>
        <w:rPr>
          <w:rFonts w:hint="eastAsia"/>
          <w:color w:val="auto"/>
          <w:highlight w:val="none"/>
          <w:lang w:val="en"/>
        </w:rPr>
        <w:t>投标人及时到广西壮族自治区公共资源交易中心办理个人</w:t>
      </w:r>
      <w:r>
        <w:rPr>
          <w:rFonts w:hint="eastAsia"/>
          <w:color w:val="auto"/>
          <w:highlight w:val="none"/>
        </w:rPr>
        <w:t xml:space="preserve">CA，投标人代表采用个人CA进行开标签到及开标记录表签章，不再支持企业CA进行代替签章。办理方式详见网址：http://ggzy.jgswj.gxzf.gov.cn/gxggzy/CAhrpt/CAlogin.html </w:t>
      </w:r>
    </w:p>
    <w:p w14:paraId="7DD029EA">
      <w:pPr>
        <w:pStyle w:val="3"/>
        <w:rPr>
          <w:color w:val="auto"/>
          <w:highlight w:val="none"/>
        </w:rPr>
      </w:pPr>
      <w:bookmarkStart w:id="7" w:name="_Toc16136"/>
      <w:r>
        <w:rPr>
          <w:rFonts w:hint="eastAsia"/>
          <w:color w:val="auto"/>
          <w:highlight w:val="none"/>
        </w:rPr>
        <w:t>7. 评标方式</w:t>
      </w:r>
      <w:bookmarkEnd w:id="7"/>
    </w:p>
    <w:p w14:paraId="41E159A8">
      <w:pPr>
        <w:spacing w:line="360" w:lineRule="auto"/>
        <w:ind w:firstLine="420" w:firstLineChars="200"/>
        <w:rPr>
          <w:color w:val="auto"/>
          <w:szCs w:val="32"/>
          <w:highlight w:val="none"/>
        </w:rPr>
      </w:pPr>
      <w:r>
        <w:rPr>
          <w:rFonts w:hint="eastAsia"/>
          <w:color w:val="auto"/>
          <w:highlight w:val="none"/>
          <w:lang w:eastAsia="zh-CN"/>
        </w:rPr>
        <w:t>□</w:t>
      </w:r>
      <w:r>
        <w:rPr>
          <w:rFonts w:hint="eastAsia"/>
          <w:color w:val="auto"/>
          <w:szCs w:val="32"/>
          <w:highlight w:val="none"/>
        </w:rPr>
        <w:t>综合评估法（设计方案招标）</w:t>
      </w:r>
      <w:r>
        <w:rPr>
          <w:color w:val="auto"/>
          <w:highlight w:val="none"/>
        </w:rPr>
        <w:t xml:space="preserve">  </w:t>
      </w:r>
      <w:r>
        <w:rPr>
          <w:color w:val="auto"/>
          <w:highlight w:val="none"/>
        </w:rPr>
        <w:t xml:space="preserve">  </w:t>
      </w:r>
      <w:r>
        <w:rPr>
          <w:rFonts w:hint="eastAsia"/>
          <w:color w:val="auto"/>
          <w:highlight w:val="none"/>
          <w:lang w:eastAsia="zh-CN"/>
        </w:rPr>
        <w:t>☑</w:t>
      </w:r>
      <w:r>
        <w:rPr>
          <w:color w:val="auto"/>
          <w:szCs w:val="32"/>
          <w:highlight w:val="none"/>
        </w:rPr>
        <w:t>综合评估法</w:t>
      </w:r>
      <w:r>
        <w:rPr>
          <w:rFonts w:hint="eastAsia"/>
          <w:color w:val="auto"/>
          <w:szCs w:val="32"/>
          <w:highlight w:val="none"/>
        </w:rPr>
        <w:t>（设计团队招标）</w:t>
      </w:r>
    </w:p>
    <w:p w14:paraId="6C12777B">
      <w:pPr>
        <w:pStyle w:val="3"/>
        <w:rPr>
          <w:color w:val="auto"/>
          <w:highlight w:val="none"/>
        </w:rPr>
      </w:pPr>
      <w:bookmarkStart w:id="8" w:name="_Toc22642"/>
      <w:r>
        <w:rPr>
          <w:color w:val="auto"/>
          <w:highlight w:val="none"/>
        </w:rPr>
        <w:t>8.</w:t>
      </w:r>
      <w:r>
        <w:rPr>
          <w:rFonts w:hint="eastAsia"/>
          <w:color w:val="auto"/>
          <w:highlight w:val="none"/>
        </w:rPr>
        <w:t xml:space="preserve"> 设计费用</w:t>
      </w:r>
      <w:r>
        <w:rPr>
          <w:color w:val="auto"/>
          <w:highlight w:val="none"/>
        </w:rPr>
        <w:t>支付方式</w:t>
      </w:r>
      <w:bookmarkEnd w:id="8"/>
    </w:p>
    <w:p w14:paraId="22DCA430">
      <w:pPr>
        <w:spacing w:line="360" w:lineRule="auto"/>
        <w:ind w:firstLine="420" w:firstLineChars="200"/>
        <w:rPr>
          <w:color w:val="auto"/>
          <w:highlight w:val="none"/>
        </w:rPr>
      </w:pPr>
      <w:r>
        <w:rPr>
          <w:rFonts w:hint="eastAsia"/>
          <w:color w:val="auto"/>
          <w:szCs w:val="32"/>
          <w:highlight w:val="none"/>
          <w:u w:val="single"/>
        </w:rPr>
        <w:t xml:space="preserve">详见“合同条款及格式”      </w:t>
      </w:r>
      <w:r>
        <w:rPr>
          <w:color w:val="auto"/>
          <w:highlight w:val="none"/>
        </w:rPr>
        <w:t>。</w:t>
      </w:r>
    </w:p>
    <w:p w14:paraId="1397CB34">
      <w:pPr>
        <w:pStyle w:val="3"/>
        <w:rPr>
          <w:color w:val="auto"/>
          <w:highlight w:val="none"/>
        </w:rPr>
      </w:pPr>
      <w:bookmarkStart w:id="9" w:name="_Toc14546"/>
      <w:r>
        <w:rPr>
          <w:color w:val="auto"/>
          <w:highlight w:val="none"/>
        </w:rPr>
        <w:t>9.</w:t>
      </w:r>
      <w:r>
        <w:rPr>
          <w:rFonts w:hint="eastAsia"/>
          <w:color w:val="auto"/>
          <w:highlight w:val="none"/>
        </w:rPr>
        <w:t xml:space="preserve"> 本项目要求采用新型技术（可选）</w:t>
      </w:r>
      <w:bookmarkEnd w:id="9"/>
    </w:p>
    <w:p w14:paraId="7222462E">
      <w:pPr>
        <w:spacing w:line="360" w:lineRule="auto"/>
        <w:ind w:firstLine="420" w:firstLineChars="200"/>
        <w:rPr>
          <w:color w:val="auto"/>
          <w:highlight w:val="none"/>
        </w:rPr>
      </w:pPr>
      <w:r>
        <w:rPr>
          <w:rFonts w:hint="eastAsia"/>
          <w:color w:val="auto"/>
          <w:highlight w:val="none"/>
        </w:rPr>
        <w:t>☑无</w:t>
      </w:r>
    </w:p>
    <w:p w14:paraId="1B1071FC">
      <w:pPr>
        <w:spacing w:line="360" w:lineRule="auto"/>
        <w:ind w:firstLine="420" w:firstLineChars="200"/>
        <w:rPr>
          <w:color w:val="auto"/>
          <w:highlight w:val="none"/>
        </w:rPr>
      </w:pPr>
      <w:r>
        <w:rPr>
          <w:rFonts w:hint="eastAsia"/>
          <w:color w:val="auto"/>
          <w:highlight w:val="none"/>
        </w:rPr>
        <w:t>□有，要求采用以下技术：□装配式技术</w:t>
      </w:r>
      <w:r>
        <w:rPr>
          <w:color w:val="auto"/>
          <w:highlight w:val="none"/>
        </w:rPr>
        <w:t xml:space="preserve">  </w:t>
      </w:r>
      <w:r>
        <w:rPr>
          <w:rFonts w:hint="eastAsia"/>
          <w:color w:val="auto"/>
          <w:highlight w:val="none"/>
        </w:rPr>
        <w:t>□建筑信息模型（BIM）技术 □其他：</w:t>
      </w:r>
      <w:r>
        <w:rPr>
          <w:rFonts w:hint="eastAsia"/>
          <w:color w:val="auto"/>
          <w:highlight w:val="none"/>
          <w:u w:val="single"/>
        </w:rPr>
        <w:t xml:space="preserve">              </w:t>
      </w:r>
      <w:r>
        <w:rPr>
          <w:rFonts w:hint="eastAsia"/>
          <w:color w:val="auto"/>
          <w:highlight w:val="none"/>
        </w:rPr>
        <w:t xml:space="preserve">      </w:t>
      </w:r>
    </w:p>
    <w:p w14:paraId="3D4D2414">
      <w:pPr>
        <w:pStyle w:val="3"/>
        <w:rPr>
          <w:color w:val="auto"/>
          <w:highlight w:val="none"/>
        </w:rPr>
      </w:pPr>
      <w:bookmarkStart w:id="10" w:name="_Toc27914"/>
      <w:r>
        <w:rPr>
          <w:color w:val="auto"/>
          <w:highlight w:val="none"/>
        </w:rPr>
        <w:t>10</w:t>
      </w:r>
      <w:r>
        <w:rPr>
          <w:rFonts w:hint="eastAsia"/>
          <w:color w:val="auto"/>
          <w:highlight w:val="none"/>
        </w:rPr>
        <w:t xml:space="preserve">. </w:t>
      </w:r>
      <w:r>
        <w:rPr>
          <w:color w:val="auto"/>
          <w:highlight w:val="none"/>
        </w:rPr>
        <w:t>发布公告的媒介</w:t>
      </w:r>
      <w:bookmarkEnd w:id="10"/>
    </w:p>
    <w:p w14:paraId="63F9CF1E">
      <w:pPr>
        <w:spacing w:line="360" w:lineRule="auto"/>
        <w:ind w:firstLine="420" w:firstLineChars="200"/>
        <w:rPr>
          <w:rFonts w:eastAsia="楷体_GB2312"/>
          <w:b/>
          <w:color w:val="auto"/>
          <w:szCs w:val="21"/>
          <w:highlight w:val="none"/>
        </w:rPr>
      </w:pPr>
      <w:r>
        <w:rPr>
          <w:rFonts w:ascii="宋体" w:hAnsi="宋体"/>
          <w:color w:val="auto"/>
          <w:highlight w:val="none"/>
        </w:rPr>
        <w:t>本</w:t>
      </w:r>
      <w:r>
        <w:rPr>
          <w:rFonts w:hint="eastAsia" w:ascii="宋体" w:hAnsi="宋体"/>
          <w:color w:val="auto"/>
          <w:highlight w:val="none"/>
        </w:rPr>
        <w:t>次招标公告同时在</w:t>
      </w:r>
      <w:r>
        <w:rPr>
          <w:rFonts w:hint="eastAsia" w:ascii="宋体" w:hAnsi="宋体" w:cs="宋体"/>
          <w:color w:val="auto"/>
          <w:highlight w:val="none"/>
        </w:rPr>
        <w:t>中国招标投标公共服务平台http://www.cebpubservice.com、广西壮族自治区招标投标公共服务平台</w:t>
      </w:r>
      <w:bookmarkStart w:id="11" w:name="_Hlk75378480"/>
      <w:r>
        <w:rPr>
          <w:rFonts w:ascii="宋体" w:hAnsi="宋体" w:cs="宋体"/>
          <w:color w:val="auto"/>
          <w:highlight w:val="none"/>
        </w:rPr>
        <w:t>http://zbtb.gxi.gov.cn:9000</w:t>
      </w:r>
      <w:bookmarkEnd w:id="11"/>
      <w:r>
        <w:rPr>
          <w:rFonts w:hint="eastAsia" w:ascii="宋体" w:hAnsi="宋体" w:cs="宋体"/>
          <w:color w:val="auto"/>
          <w:highlight w:val="none"/>
        </w:rPr>
        <w:t>、全国公共资源交易平台（广西桂林）</w:t>
      </w:r>
      <w:r>
        <w:rPr>
          <w:color w:val="auto"/>
          <w:highlight w:val="none"/>
        </w:rPr>
        <w:fldChar w:fldCharType="begin"/>
      </w:r>
      <w:r>
        <w:rPr>
          <w:color w:val="auto"/>
          <w:highlight w:val="none"/>
        </w:rPr>
        <w:instrText xml:space="preserve"> HYPERLINK "http://ggzy.jgswj.gxzf.gov.cn/glggzy/" </w:instrText>
      </w:r>
      <w:r>
        <w:rPr>
          <w:color w:val="auto"/>
          <w:highlight w:val="none"/>
        </w:rPr>
        <w:fldChar w:fldCharType="separate"/>
      </w:r>
      <w:r>
        <w:rPr>
          <w:rFonts w:hint="eastAsia" w:ascii="宋体" w:hAnsi="宋体" w:cs="宋体"/>
          <w:color w:val="auto"/>
          <w:highlight w:val="none"/>
        </w:rPr>
        <w:t>http://ggzy.jgswj.gxzf.gov.cn/glggzy/</w:t>
      </w:r>
      <w:r>
        <w:rPr>
          <w:rFonts w:hint="eastAsia" w:ascii="宋体" w:hAnsi="宋体" w:cs="宋体"/>
          <w:color w:val="auto"/>
          <w:highlight w:val="none"/>
        </w:rPr>
        <w:fldChar w:fldCharType="end"/>
      </w:r>
      <w:r>
        <w:rPr>
          <w:rFonts w:hint="eastAsia" w:ascii="宋体" w:hAnsi="宋体"/>
          <w:color w:val="auto"/>
          <w:highlight w:val="none"/>
        </w:rPr>
        <w:t>（当地交易中心网站及全国公共资源交易平台（广西壮族自治区）网站）</w:t>
      </w:r>
      <w:r>
        <w:rPr>
          <w:rFonts w:hint="eastAsia" w:ascii="宋体" w:hAnsi="宋体"/>
          <w:color w:val="auto"/>
          <w:highlight w:val="none"/>
          <w:lang w:eastAsia="zh-CN"/>
        </w:rPr>
        <w:t>、</w:t>
      </w:r>
      <w:r>
        <w:rPr>
          <w:rFonts w:hint="eastAsia" w:ascii="宋体" w:hAnsi="宋体" w:cs="宋体"/>
          <w:color w:val="auto"/>
          <w:kern w:val="0"/>
          <w:szCs w:val="21"/>
          <w:highlight w:val="none"/>
        </w:rPr>
        <w:t>广西壮族自治区政府采购网（</w:t>
      </w:r>
      <w:r>
        <w:rPr>
          <w:rFonts w:ascii="宋体" w:hAnsi="宋体" w:cs="宋体"/>
          <w:color w:val="auto"/>
          <w:kern w:val="0"/>
          <w:szCs w:val="21"/>
          <w:highlight w:val="none"/>
        </w:rPr>
        <w:t>http:</w:t>
      </w:r>
      <w:r>
        <w:rPr>
          <w:rFonts w:hint="eastAsia" w:ascii="宋体" w:hAnsi="宋体" w:cs="宋体"/>
          <w:color w:val="auto"/>
          <w:kern w:val="0"/>
          <w:szCs w:val="21"/>
          <w:highlight w:val="none"/>
        </w:rPr>
        <w:t>//zfcg.gxzf.gov.cn）</w:t>
      </w:r>
      <w:r>
        <w:rPr>
          <w:rFonts w:hint="eastAsia" w:ascii="宋体" w:hAnsi="宋体"/>
          <w:color w:val="auto"/>
          <w:highlight w:val="none"/>
        </w:rPr>
        <w:t>（公告发布媒介包含但不限于上述媒介）发布。</w:t>
      </w:r>
      <w:r>
        <w:rPr>
          <w:rFonts w:hint="eastAsia" w:eastAsia="楷体_GB2312"/>
          <w:b/>
          <w:color w:val="auto"/>
          <w:szCs w:val="21"/>
          <w:highlight w:val="none"/>
        </w:rPr>
        <w:t>【备注：实行招标投标的政府采购服务项目还应当同时在中国政府采购网www.ccgp.gov.cn、广西壮族自治区政府采购网zfcg.gxzf.gov.cn上发布。】</w:t>
      </w:r>
    </w:p>
    <w:p w14:paraId="3179BB29">
      <w:pPr>
        <w:pStyle w:val="3"/>
        <w:rPr>
          <w:color w:val="auto"/>
          <w:highlight w:val="none"/>
        </w:rPr>
      </w:pPr>
      <w:bookmarkStart w:id="12" w:name="_Toc32456"/>
      <w:r>
        <w:rPr>
          <w:rFonts w:hint="eastAsia"/>
          <w:color w:val="auto"/>
          <w:highlight w:val="none"/>
        </w:rPr>
        <w:t>1</w:t>
      </w:r>
      <w:r>
        <w:rPr>
          <w:color w:val="auto"/>
          <w:highlight w:val="none"/>
        </w:rPr>
        <w:t>1</w:t>
      </w:r>
      <w:r>
        <w:rPr>
          <w:rFonts w:hint="eastAsia"/>
          <w:color w:val="auto"/>
          <w:highlight w:val="none"/>
        </w:rPr>
        <w:t>. 交易服务单位</w:t>
      </w:r>
      <w:bookmarkEnd w:id="12"/>
    </w:p>
    <w:p w14:paraId="5A129276">
      <w:pPr>
        <w:spacing w:line="360" w:lineRule="auto"/>
        <w:ind w:firstLine="420" w:firstLineChars="200"/>
        <w:rPr>
          <w:color w:val="auto"/>
          <w:highlight w:val="none"/>
        </w:rPr>
      </w:pPr>
      <w:r>
        <w:rPr>
          <w:rFonts w:hint="eastAsia" w:cs="宋体"/>
          <w:color w:val="auto"/>
          <w:highlight w:val="none"/>
        </w:rPr>
        <w:t>桂林市公共资源交易中心  联系电话：0773-5625165</w:t>
      </w:r>
    </w:p>
    <w:p w14:paraId="2193519D">
      <w:pPr>
        <w:pStyle w:val="3"/>
        <w:rPr>
          <w:color w:val="auto"/>
          <w:highlight w:val="none"/>
        </w:rPr>
      </w:pPr>
      <w:bookmarkStart w:id="13" w:name="_Toc29453"/>
      <w:r>
        <w:rPr>
          <w:rFonts w:hint="eastAsia"/>
          <w:color w:val="auto"/>
          <w:highlight w:val="none"/>
        </w:rPr>
        <w:t>1</w:t>
      </w:r>
      <w:r>
        <w:rPr>
          <w:color w:val="auto"/>
          <w:highlight w:val="none"/>
        </w:rPr>
        <w:t>2</w:t>
      </w:r>
      <w:r>
        <w:rPr>
          <w:rFonts w:hint="eastAsia"/>
          <w:color w:val="auto"/>
          <w:highlight w:val="none"/>
        </w:rPr>
        <w:t>. 监督部门及电话</w:t>
      </w:r>
      <w:bookmarkEnd w:id="13"/>
    </w:p>
    <w:p w14:paraId="30B5464F">
      <w:pPr>
        <w:spacing w:line="360" w:lineRule="auto"/>
        <w:ind w:firstLine="420" w:firstLineChars="200"/>
        <w:rPr>
          <w:color w:val="auto"/>
          <w:highlight w:val="none"/>
          <w:u w:val="single"/>
        </w:rPr>
      </w:pPr>
      <w:r>
        <w:rPr>
          <w:rFonts w:hint="eastAsia"/>
          <w:color w:val="auto"/>
          <w:highlight w:val="none"/>
        </w:rPr>
        <w:t>桂林市建设工程综合监督站  联系电话：</w:t>
      </w:r>
      <w:r>
        <w:rPr>
          <w:color w:val="auto"/>
          <w:highlight w:val="none"/>
        </w:rPr>
        <w:t xml:space="preserve">0773-3825369 </w:t>
      </w:r>
      <w:r>
        <w:rPr>
          <w:rFonts w:hint="eastAsia"/>
          <w:color w:val="auto"/>
          <w:highlight w:val="none"/>
        </w:rPr>
        <w:t>、</w:t>
      </w:r>
      <w:r>
        <w:rPr>
          <w:color w:val="auto"/>
          <w:highlight w:val="none"/>
        </w:rPr>
        <w:t>3810165</w:t>
      </w:r>
    </w:p>
    <w:p w14:paraId="74D465F7">
      <w:pPr>
        <w:pStyle w:val="3"/>
        <w:rPr>
          <w:color w:val="auto"/>
          <w:highlight w:val="none"/>
        </w:rPr>
      </w:pPr>
      <w:bookmarkStart w:id="14" w:name="_Toc15281"/>
      <w:r>
        <w:rPr>
          <w:color w:val="auto"/>
          <w:highlight w:val="none"/>
        </w:rPr>
        <w:t>13.注意事项</w:t>
      </w:r>
      <w:bookmarkEnd w:id="14"/>
    </w:p>
    <w:p w14:paraId="3D3F28F5">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ascii="宋体" w:hAnsi="宋体"/>
          <w:color w:val="auto"/>
          <w:highlight w:val="none"/>
        </w:rPr>
      </w:pPr>
      <w:r>
        <w:rPr>
          <w:rFonts w:hint="eastAsia" w:ascii="宋体" w:hAnsi="宋体"/>
          <w:color w:val="auto"/>
          <w:highlight w:val="none"/>
        </w:rPr>
        <w:t>潜在投标人必须录入“桂建云”系统，“桂建云”系统登陆地址：</w:t>
      </w:r>
      <w:r>
        <w:rPr>
          <w:rFonts w:ascii="宋体" w:hAnsi="宋体"/>
          <w:color w:val="auto"/>
          <w:highlight w:val="none"/>
        </w:rPr>
        <w:t>http://gxjzsc.caihcloud.com/</w:t>
      </w:r>
      <w:r>
        <w:rPr>
          <w:rFonts w:hint="eastAsia" w:ascii="宋体" w:hAnsi="宋体"/>
          <w:color w:val="auto"/>
          <w:highlight w:val="none"/>
        </w:rPr>
        <w:t>。由于“桂建云”系统与全国公共资源交易平台（广西壮族自治区）的相关信息同步存在时间差（非实时同步，每天晚上同步一次），</w:t>
      </w:r>
      <w:r>
        <w:rPr>
          <w:rFonts w:hint="eastAsia"/>
          <w:color w:val="auto"/>
          <w:highlight w:val="none"/>
        </w:rPr>
        <w:t>投标人应自行预留足够的时间将所需投标材料上传至“桂建云”，若因投标人原因未能同步的，后果自行负责</w:t>
      </w:r>
      <w:r>
        <w:rPr>
          <w:rFonts w:hint="eastAsia" w:ascii="宋体" w:hAnsi="宋体"/>
          <w:color w:val="auto"/>
          <w:highlight w:val="none"/>
        </w:rPr>
        <w:t>。</w:t>
      </w:r>
    </w:p>
    <w:p w14:paraId="6605EF4A">
      <w:pPr>
        <w:spacing w:line="360" w:lineRule="auto"/>
        <w:rPr>
          <w:color w:val="auto"/>
          <w:highlight w:val="none"/>
        </w:rPr>
      </w:pPr>
    </w:p>
    <w:p w14:paraId="5031C0C5">
      <w:pPr>
        <w:pStyle w:val="3"/>
        <w:rPr>
          <w:color w:val="auto"/>
          <w:highlight w:val="none"/>
        </w:rPr>
      </w:pPr>
      <w:bookmarkStart w:id="15" w:name="_Toc19362"/>
      <w:r>
        <w:rPr>
          <w:color w:val="auto"/>
          <w:highlight w:val="none"/>
        </w:rPr>
        <w:t>14.</w:t>
      </w:r>
      <w:r>
        <w:rPr>
          <w:rFonts w:hint="eastAsia"/>
          <w:color w:val="auto"/>
          <w:highlight w:val="none"/>
        </w:rPr>
        <w:t xml:space="preserve"> </w:t>
      </w:r>
      <w:r>
        <w:rPr>
          <w:color w:val="auto"/>
          <w:highlight w:val="none"/>
        </w:rPr>
        <w:t>联系方式</w:t>
      </w:r>
      <w:bookmarkEnd w:id="15"/>
    </w:p>
    <w:p w14:paraId="587B3935">
      <w:pPr>
        <w:spacing w:line="360" w:lineRule="auto"/>
        <w:ind w:firstLine="420" w:firstLineChars="200"/>
        <w:rPr>
          <w:color w:val="auto"/>
          <w:highlight w:val="none"/>
          <w:u w:val="single"/>
        </w:rPr>
      </w:pPr>
      <w:r>
        <w:rPr>
          <w:color w:val="auto"/>
          <w:highlight w:val="none"/>
        </w:rPr>
        <w:t>招 标 人：</w:t>
      </w:r>
      <w:r>
        <w:rPr>
          <w:rFonts w:hint="eastAsia"/>
          <w:color w:val="auto"/>
          <w:highlight w:val="none"/>
          <w:u w:val="single"/>
        </w:rPr>
        <w:t>桂林理工大学</w:t>
      </w:r>
      <w:r>
        <w:rPr>
          <w:rFonts w:hint="eastAsia"/>
          <w:color w:val="auto"/>
          <w:highlight w:val="none"/>
          <w:u w:val="single"/>
          <w:lang w:val="en-US" w:eastAsia="zh-CN"/>
        </w:rPr>
        <w:t xml:space="preserve">  </w:t>
      </w:r>
      <w:r>
        <w:rPr>
          <w:rFonts w:hint="eastAsia"/>
          <w:color w:val="auto"/>
          <w:highlight w:val="none"/>
          <w:u w:val="none"/>
          <w:lang w:val="en-US" w:eastAsia="zh-CN"/>
        </w:rPr>
        <w:t xml:space="preserve">                 </w:t>
      </w:r>
      <w:r>
        <w:rPr>
          <w:color w:val="auto"/>
          <w:highlight w:val="none"/>
        </w:rPr>
        <w:t>招标代理机构：</w:t>
      </w:r>
      <w:r>
        <w:rPr>
          <w:rFonts w:hint="eastAsia" w:ascii="宋体" w:hAnsi="宋体"/>
          <w:color w:val="auto"/>
          <w:highlight w:val="none"/>
          <w:u w:val="single"/>
        </w:rPr>
        <w:t>云之龙咨询集团有限公司</w:t>
      </w:r>
      <w:r>
        <w:rPr>
          <w:color w:val="auto"/>
          <w:highlight w:val="none"/>
        </w:rPr>
        <w:t xml:space="preserve">  </w:t>
      </w:r>
    </w:p>
    <w:p w14:paraId="2AA19EFE">
      <w:pPr>
        <w:spacing w:line="360" w:lineRule="auto"/>
        <w:ind w:left="5670" w:leftChars="200" w:hanging="5250" w:hangingChars="2500"/>
        <w:rPr>
          <w:rFonts w:hint="eastAsia"/>
          <w:color w:val="auto"/>
          <w:highlight w:val="none"/>
          <w:u w:val="single"/>
        </w:rPr>
      </w:pPr>
      <w:r>
        <w:rPr>
          <w:color w:val="auto"/>
          <w:highlight w:val="none"/>
        </w:rPr>
        <w:t>地    址</w:t>
      </w:r>
      <w:r>
        <w:rPr>
          <w:rFonts w:hint="eastAsia"/>
          <w:color w:val="auto"/>
          <w:highlight w:val="none"/>
          <w:lang w:eastAsia="zh-CN"/>
        </w:rPr>
        <w:t>：</w:t>
      </w:r>
      <w:r>
        <w:rPr>
          <w:rFonts w:hint="eastAsia"/>
          <w:color w:val="auto"/>
          <w:highlight w:val="none"/>
          <w:u w:val="single"/>
        </w:rPr>
        <w:t>广西桂林市建干路12号</w:t>
      </w:r>
      <w:r>
        <w:rPr>
          <w:color w:val="auto"/>
          <w:highlight w:val="none"/>
        </w:rPr>
        <w:t xml:space="preserve">  </w:t>
      </w:r>
      <w:r>
        <w:rPr>
          <w:rFonts w:hint="eastAsia"/>
          <w:color w:val="auto"/>
          <w:highlight w:val="none"/>
        </w:rPr>
        <w:t xml:space="preserve"> </w:t>
      </w:r>
      <w:r>
        <w:rPr>
          <w:rFonts w:hint="eastAsia"/>
          <w:color w:val="auto"/>
          <w:highlight w:val="none"/>
          <w:lang w:val="en-US" w:eastAsia="zh-CN"/>
        </w:rPr>
        <w:t xml:space="preserve">      </w:t>
      </w:r>
      <w:r>
        <w:rPr>
          <w:color w:val="auto"/>
          <w:highlight w:val="none"/>
        </w:rPr>
        <w:t>地    址：</w:t>
      </w:r>
      <w:r>
        <w:rPr>
          <w:rFonts w:hint="eastAsia"/>
          <w:color w:val="auto"/>
          <w:highlight w:val="none"/>
          <w:u w:val="single"/>
        </w:rPr>
        <w:t>广西桂林市临桂区西城北路2号耀辉•美好家园2幢12层1号房</w:t>
      </w:r>
    </w:p>
    <w:p w14:paraId="64C0AB04">
      <w:pPr>
        <w:spacing w:line="360" w:lineRule="auto"/>
        <w:ind w:firstLine="420" w:firstLineChars="200"/>
        <w:rPr>
          <w:color w:val="auto"/>
          <w:highlight w:val="none"/>
        </w:rPr>
      </w:pPr>
      <w:r>
        <w:rPr>
          <w:color w:val="auto"/>
          <w:highlight w:val="none"/>
        </w:rPr>
        <w:t>邮    编：</w:t>
      </w:r>
      <w:r>
        <w:rPr>
          <w:rFonts w:hint="eastAsia"/>
          <w:color w:val="auto"/>
          <w:highlight w:val="none"/>
          <w:u w:val="single"/>
        </w:rPr>
        <w:t xml:space="preserve">541004       </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 xml:space="preserve"> </w:t>
      </w:r>
      <w:r>
        <w:rPr>
          <w:color w:val="auto"/>
          <w:highlight w:val="none"/>
        </w:rPr>
        <w:t>邮    编：</w:t>
      </w:r>
      <w:r>
        <w:rPr>
          <w:rFonts w:ascii="宋体" w:hAnsi="宋体"/>
          <w:color w:val="auto"/>
          <w:highlight w:val="none"/>
          <w:u w:val="single"/>
        </w:rPr>
        <w:t>541199</w:t>
      </w:r>
    </w:p>
    <w:p w14:paraId="5C5A1FF1">
      <w:pPr>
        <w:spacing w:line="360" w:lineRule="auto"/>
        <w:ind w:firstLine="420" w:firstLineChars="200"/>
        <w:rPr>
          <w:color w:val="auto"/>
          <w:highlight w:val="none"/>
        </w:rPr>
      </w:pPr>
      <w:r>
        <w:rPr>
          <w:color w:val="auto"/>
          <w:highlight w:val="none"/>
        </w:rPr>
        <w:t>联 系 人：</w:t>
      </w:r>
      <w:r>
        <w:rPr>
          <w:rFonts w:hint="eastAsia"/>
          <w:color w:val="auto"/>
          <w:highlight w:val="none"/>
          <w:u w:val="single"/>
        </w:rPr>
        <w:t xml:space="preserve">谢仁标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联 系 人：</w:t>
      </w:r>
      <w:r>
        <w:rPr>
          <w:rFonts w:hint="eastAsia" w:ascii="宋体" w:hAnsi="宋体"/>
          <w:color w:val="auto"/>
          <w:highlight w:val="none"/>
          <w:u w:val="single"/>
        </w:rPr>
        <w:t>李贞</w:t>
      </w:r>
      <w:r>
        <w:rPr>
          <w:color w:val="auto"/>
          <w:highlight w:val="none"/>
          <w:u w:val="single"/>
        </w:rPr>
        <w:t xml:space="preserve"> </w:t>
      </w:r>
    </w:p>
    <w:p w14:paraId="73571892">
      <w:pPr>
        <w:spacing w:line="360" w:lineRule="auto"/>
        <w:ind w:firstLine="420" w:firstLineChars="200"/>
        <w:rPr>
          <w:color w:val="auto"/>
          <w:highlight w:val="none"/>
        </w:rPr>
      </w:pPr>
      <w:r>
        <w:rPr>
          <w:color w:val="auto"/>
          <w:highlight w:val="none"/>
        </w:rPr>
        <w:t>电    话：</w:t>
      </w:r>
      <w:r>
        <w:rPr>
          <w:rFonts w:hint="eastAsia"/>
          <w:color w:val="auto"/>
          <w:highlight w:val="none"/>
          <w:u w:val="single"/>
        </w:rPr>
        <w:t xml:space="preserve">0773-5895090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电    话：</w:t>
      </w:r>
      <w:r>
        <w:rPr>
          <w:rFonts w:ascii="宋体" w:hAnsi="宋体"/>
          <w:color w:val="auto"/>
          <w:highlight w:val="none"/>
          <w:u w:val="single"/>
        </w:rPr>
        <w:t>0773-2887388</w:t>
      </w:r>
      <w:r>
        <w:rPr>
          <w:rFonts w:hint="eastAsia" w:ascii="宋体" w:hAnsi="宋体"/>
          <w:color w:val="auto"/>
          <w:highlight w:val="none"/>
          <w:u w:val="single"/>
        </w:rPr>
        <w:t>、</w:t>
      </w:r>
      <w:r>
        <w:rPr>
          <w:rFonts w:ascii="宋体" w:hAnsi="宋体"/>
          <w:color w:val="auto"/>
          <w:highlight w:val="none"/>
          <w:u w:val="single"/>
        </w:rPr>
        <w:t>2887399</w:t>
      </w:r>
    </w:p>
    <w:p w14:paraId="684D3AA1">
      <w:pPr>
        <w:spacing w:line="360" w:lineRule="auto"/>
        <w:ind w:firstLine="420" w:firstLineChars="200"/>
        <w:rPr>
          <w:color w:val="auto"/>
          <w:highlight w:val="none"/>
        </w:rPr>
      </w:pPr>
      <w:r>
        <w:rPr>
          <w:color w:val="auto"/>
          <w:highlight w:val="none"/>
        </w:rPr>
        <w:t>传    真：</w:t>
      </w:r>
      <w:r>
        <w:rPr>
          <w:color w:val="auto"/>
          <w:highlight w:val="none"/>
          <w:u w:val="single"/>
        </w:rPr>
        <w:t xml:space="preserve">                         </w:t>
      </w:r>
      <w:r>
        <w:rPr>
          <w:color w:val="auto"/>
          <w:highlight w:val="none"/>
        </w:rPr>
        <w:t xml:space="preserve">   </w:t>
      </w:r>
      <w:r>
        <w:rPr>
          <w:rFonts w:hint="eastAsia"/>
          <w:color w:val="auto"/>
          <w:highlight w:val="none"/>
          <w:lang w:val="en-US" w:eastAsia="zh-CN"/>
        </w:rPr>
        <w:t xml:space="preserve">  </w:t>
      </w:r>
      <w:r>
        <w:rPr>
          <w:color w:val="auto"/>
          <w:highlight w:val="none"/>
        </w:rPr>
        <w:t>传    真：</w:t>
      </w:r>
      <w:r>
        <w:rPr>
          <w:rFonts w:ascii="宋体" w:hAnsi="宋体"/>
          <w:color w:val="auto"/>
          <w:highlight w:val="none"/>
          <w:u w:val="single"/>
        </w:rPr>
        <w:t>0773-2889218</w:t>
      </w:r>
      <w:r>
        <w:rPr>
          <w:color w:val="auto"/>
          <w:highlight w:val="none"/>
          <w:u w:val="single"/>
        </w:rPr>
        <w:t xml:space="preserve">     </w:t>
      </w:r>
    </w:p>
    <w:p w14:paraId="6808EC3F">
      <w:pPr>
        <w:spacing w:line="360" w:lineRule="auto"/>
        <w:ind w:firstLine="420" w:firstLineChars="200"/>
        <w:rPr>
          <w:color w:val="auto"/>
          <w:highlight w:val="none"/>
        </w:rPr>
      </w:pPr>
      <w:r>
        <w:rPr>
          <w:color w:val="auto"/>
          <w:highlight w:val="none"/>
        </w:rPr>
        <w:t>电子邮箱：</w:t>
      </w:r>
      <w:r>
        <w:rPr>
          <w:color w:val="auto"/>
          <w:highlight w:val="none"/>
          <w:u w:val="single"/>
        </w:rPr>
        <w:t xml:space="preserve">                         </w:t>
      </w:r>
      <w:r>
        <w:rPr>
          <w:color w:val="auto"/>
          <w:highlight w:val="none"/>
        </w:rPr>
        <w:t xml:space="preserve">   </w:t>
      </w:r>
      <w:r>
        <w:rPr>
          <w:rFonts w:hint="eastAsia"/>
          <w:color w:val="auto"/>
          <w:highlight w:val="none"/>
          <w:lang w:val="en-US" w:eastAsia="zh-CN"/>
        </w:rPr>
        <w:t xml:space="preserve">  </w:t>
      </w:r>
      <w:r>
        <w:rPr>
          <w:color w:val="auto"/>
          <w:highlight w:val="none"/>
        </w:rPr>
        <w:t>电子邮箱：</w:t>
      </w:r>
      <w:r>
        <w:rPr>
          <w:color w:val="auto"/>
          <w:highlight w:val="none"/>
          <w:u w:val="single"/>
        </w:rPr>
        <w:t xml:space="preserve">                            </w:t>
      </w:r>
    </w:p>
    <w:p w14:paraId="3A70B721">
      <w:pPr>
        <w:spacing w:line="360" w:lineRule="auto"/>
        <w:ind w:firstLine="420" w:firstLineChars="200"/>
        <w:rPr>
          <w:color w:val="auto"/>
          <w:highlight w:val="none"/>
        </w:rPr>
      </w:pPr>
      <w:r>
        <w:rPr>
          <w:color w:val="auto"/>
          <w:highlight w:val="none"/>
        </w:rPr>
        <w:t>网    址：</w:t>
      </w:r>
      <w:r>
        <w:rPr>
          <w:color w:val="auto"/>
          <w:highlight w:val="none"/>
          <w:u w:val="single"/>
        </w:rPr>
        <w:t xml:space="preserve">                         </w:t>
      </w:r>
      <w:r>
        <w:rPr>
          <w:color w:val="auto"/>
          <w:highlight w:val="none"/>
        </w:rPr>
        <w:t xml:space="preserve">   </w:t>
      </w:r>
      <w:r>
        <w:rPr>
          <w:rFonts w:hint="eastAsia"/>
          <w:color w:val="auto"/>
          <w:highlight w:val="none"/>
          <w:lang w:val="en-US" w:eastAsia="zh-CN"/>
        </w:rPr>
        <w:t xml:space="preserve">  </w:t>
      </w:r>
      <w:r>
        <w:rPr>
          <w:color w:val="auto"/>
          <w:highlight w:val="none"/>
        </w:rPr>
        <w:t>网    址：</w:t>
      </w:r>
      <w:r>
        <w:rPr>
          <w:color w:val="auto"/>
          <w:highlight w:val="none"/>
          <w:u w:val="single"/>
        </w:rPr>
        <w:t xml:space="preserve">                            </w:t>
      </w:r>
    </w:p>
    <w:p w14:paraId="7DEFA961">
      <w:pPr>
        <w:spacing w:line="360" w:lineRule="auto"/>
        <w:ind w:right="420" w:firstLine="5371" w:firstLineChars="2558"/>
        <w:rPr>
          <w:color w:val="auto"/>
          <w:szCs w:val="21"/>
          <w:highlight w:val="none"/>
          <w:u w:val="single"/>
        </w:rPr>
      </w:pPr>
    </w:p>
    <w:p w14:paraId="7344EB04">
      <w:pPr>
        <w:wordWrap w:val="0"/>
        <w:spacing w:line="360" w:lineRule="auto"/>
        <w:jc w:val="right"/>
        <w:rPr>
          <w:color w:val="auto"/>
          <w:highlight w:val="none"/>
        </w:rPr>
      </w:pPr>
      <w:r>
        <w:rPr>
          <w:rFonts w:hint="eastAsia"/>
          <w:color w:val="auto"/>
          <w:highlight w:val="none"/>
          <w:u w:val="single"/>
        </w:rPr>
        <w:t>202</w:t>
      </w:r>
      <w:r>
        <w:rPr>
          <w:rFonts w:hint="eastAsia"/>
          <w:color w:val="auto"/>
          <w:highlight w:val="none"/>
          <w:u w:val="single"/>
          <w:lang w:val="en-US" w:eastAsia="zh-CN"/>
        </w:rPr>
        <w:t>6</w:t>
      </w:r>
      <w:r>
        <w:rPr>
          <w:color w:val="auto"/>
          <w:highlight w:val="none"/>
          <w:u w:val="single"/>
        </w:rPr>
        <w:t xml:space="preserve"> </w:t>
      </w:r>
      <w:r>
        <w:rPr>
          <w:color w:val="auto"/>
          <w:szCs w:val="21"/>
          <w:highlight w:val="none"/>
        </w:rPr>
        <w:t>年</w:t>
      </w:r>
      <w:r>
        <w:rPr>
          <w:rFonts w:hint="eastAsia"/>
          <w:color w:val="auto"/>
          <w:highlight w:val="none"/>
          <w:u w:val="single"/>
          <w:lang w:val="en-US" w:eastAsia="zh-CN"/>
        </w:rPr>
        <w:t xml:space="preserve">  </w:t>
      </w:r>
      <w:r>
        <w:rPr>
          <w:color w:val="auto"/>
          <w:szCs w:val="21"/>
          <w:highlight w:val="none"/>
        </w:rPr>
        <w:t>月</w:t>
      </w:r>
      <w:r>
        <w:rPr>
          <w:rFonts w:hint="eastAsia"/>
          <w:color w:val="auto"/>
          <w:highlight w:val="none"/>
          <w:u w:val="single"/>
          <w:lang w:val="en-US" w:eastAsia="zh-CN"/>
        </w:rPr>
        <w:t xml:space="preserve">   </w:t>
      </w:r>
      <w:r>
        <w:rPr>
          <w:color w:val="auto"/>
          <w:szCs w:val="21"/>
          <w:highlight w:val="none"/>
        </w:rPr>
        <w:t>日</w:t>
      </w:r>
    </w:p>
    <w:p w14:paraId="35BF06AD">
      <w:pPr>
        <w:spacing w:line="360" w:lineRule="auto"/>
        <w:rPr>
          <w:color w:val="auto"/>
          <w:highlight w:val="none"/>
        </w:rPr>
        <w:sectPr>
          <w:footerReference r:id="rId7" w:type="default"/>
          <w:pgSz w:w="11906" w:h="16838"/>
          <w:pgMar w:top="1440" w:right="1440" w:bottom="1440" w:left="1797" w:header="851" w:footer="851" w:gutter="0"/>
          <w:pgNumType w:start="1"/>
          <w:cols w:space="720" w:num="1"/>
          <w:docGrid w:linePitch="312" w:charSpace="0"/>
        </w:sectPr>
      </w:pPr>
    </w:p>
    <w:p w14:paraId="7C8CF3AC">
      <w:pPr>
        <w:pStyle w:val="2"/>
        <w:rPr>
          <w:color w:val="auto"/>
          <w:highlight w:val="none"/>
        </w:rPr>
      </w:pPr>
      <w:bookmarkStart w:id="16" w:name="_Toc4006"/>
      <w:r>
        <w:rPr>
          <w:color w:val="auto"/>
          <w:highlight w:val="none"/>
        </w:rPr>
        <w:t>第二章  投标人须知</w:t>
      </w:r>
      <w:bookmarkEnd w:id="16"/>
    </w:p>
    <w:p w14:paraId="138588B7">
      <w:pPr>
        <w:pStyle w:val="2"/>
        <w:rPr>
          <w:color w:val="auto"/>
          <w:highlight w:val="none"/>
        </w:rPr>
      </w:pPr>
      <w:bookmarkStart w:id="17" w:name="_Toc5059"/>
      <w:r>
        <w:rPr>
          <w:color w:val="auto"/>
          <w:highlight w:val="none"/>
        </w:rPr>
        <w:t>投标人须知前附表</w:t>
      </w:r>
      <w:bookmarkEnd w:id="17"/>
    </w:p>
    <w:p w14:paraId="387A40A2">
      <w:pPr>
        <w:rPr>
          <w:color w:val="auto"/>
          <w:highlight w:val="none"/>
        </w:r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843"/>
        <w:gridCol w:w="5800"/>
      </w:tblGrid>
      <w:tr w14:paraId="1BEC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42" w:type="dxa"/>
            <w:shd w:val="clear" w:color="auto" w:fill="BFBFBF"/>
            <w:vAlign w:val="center"/>
          </w:tcPr>
          <w:p w14:paraId="69973550">
            <w:pPr>
              <w:spacing w:line="360" w:lineRule="auto"/>
              <w:jc w:val="center"/>
              <w:rPr>
                <w:b/>
                <w:color w:val="auto"/>
                <w:highlight w:val="none"/>
              </w:rPr>
            </w:pPr>
            <w:r>
              <w:rPr>
                <w:b/>
                <w:color w:val="auto"/>
                <w:highlight w:val="none"/>
              </w:rPr>
              <w:t>条款号</w:t>
            </w:r>
          </w:p>
        </w:tc>
        <w:tc>
          <w:tcPr>
            <w:tcW w:w="1843" w:type="dxa"/>
            <w:shd w:val="clear" w:color="auto" w:fill="BFBFBF"/>
            <w:vAlign w:val="center"/>
          </w:tcPr>
          <w:p w14:paraId="62477D28">
            <w:pPr>
              <w:spacing w:line="360" w:lineRule="auto"/>
              <w:jc w:val="center"/>
              <w:rPr>
                <w:b/>
                <w:color w:val="auto"/>
                <w:highlight w:val="none"/>
              </w:rPr>
            </w:pPr>
            <w:r>
              <w:rPr>
                <w:b/>
                <w:color w:val="auto"/>
                <w:highlight w:val="none"/>
              </w:rPr>
              <w:t>条  款  名  称</w:t>
            </w:r>
          </w:p>
        </w:tc>
        <w:tc>
          <w:tcPr>
            <w:tcW w:w="5800" w:type="dxa"/>
            <w:shd w:val="clear" w:color="auto" w:fill="BFBFBF"/>
            <w:vAlign w:val="center"/>
          </w:tcPr>
          <w:p w14:paraId="11B9E350">
            <w:pPr>
              <w:spacing w:line="360" w:lineRule="auto"/>
              <w:jc w:val="center"/>
              <w:rPr>
                <w:b/>
                <w:color w:val="auto"/>
                <w:highlight w:val="none"/>
              </w:rPr>
            </w:pPr>
            <w:r>
              <w:rPr>
                <w:b/>
                <w:color w:val="auto"/>
                <w:highlight w:val="none"/>
              </w:rPr>
              <w:t>编  列  内  容</w:t>
            </w:r>
          </w:p>
        </w:tc>
      </w:tr>
      <w:tr w14:paraId="6D7D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242" w:type="dxa"/>
            <w:vAlign w:val="center"/>
          </w:tcPr>
          <w:p w14:paraId="2EF4DE97">
            <w:pPr>
              <w:spacing w:line="360" w:lineRule="auto"/>
              <w:jc w:val="center"/>
              <w:rPr>
                <w:color w:val="auto"/>
                <w:highlight w:val="none"/>
              </w:rPr>
            </w:pPr>
            <w:r>
              <w:rPr>
                <w:color w:val="auto"/>
                <w:highlight w:val="none"/>
              </w:rPr>
              <w:t>1.1.2</w:t>
            </w:r>
          </w:p>
        </w:tc>
        <w:tc>
          <w:tcPr>
            <w:tcW w:w="1843" w:type="dxa"/>
            <w:vAlign w:val="center"/>
          </w:tcPr>
          <w:p w14:paraId="6A6898D0">
            <w:pPr>
              <w:spacing w:line="360" w:lineRule="auto"/>
              <w:rPr>
                <w:color w:val="auto"/>
                <w:highlight w:val="none"/>
              </w:rPr>
            </w:pPr>
            <w:r>
              <w:rPr>
                <w:color w:val="auto"/>
                <w:highlight w:val="none"/>
              </w:rPr>
              <w:t>招标人</w:t>
            </w:r>
          </w:p>
        </w:tc>
        <w:tc>
          <w:tcPr>
            <w:tcW w:w="5800" w:type="dxa"/>
            <w:vAlign w:val="center"/>
          </w:tcPr>
          <w:p w14:paraId="2D3C4ACF">
            <w:pPr>
              <w:spacing w:line="360" w:lineRule="auto"/>
              <w:rPr>
                <w:rFonts w:hint="eastAsia"/>
                <w:color w:val="auto"/>
                <w:highlight w:val="none"/>
              </w:rPr>
            </w:pPr>
            <w:r>
              <w:rPr>
                <w:color w:val="auto"/>
                <w:highlight w:val="none"/>
              </w:rPr>
              <w:t>名称：</w:t>
            </w:r>
            <w:r>
              <w:rPr>
                <w:rFonts w:hint="eastAsia"/>
                <w:color w:val="auto"/>
                <w:highlight w:val="none"/>
              </w:rPr>
              <w:t>桂林理工大学</w:t>
            </w:r>
          </w:p>
          <w:p w14:paraId="65EFA38D">
            <w:pPr>
              <w:spacing w:line="360" w:lineRule="auto"/>
              <w:rPr>
                <w:rFonts w:hint="eastAsia"/>
                <w:color w:val="auto"/>
                <w:highlight w:val="none"/>
                <w:lang w:eastAsia="zh-CN"/>
              </w:rPr>
            </w:pPr>
            <w:r>
              <w:rPr>
                <w:color w:val="auto"/>
                <w:highlight w:val="none"/>
              </w:rPr>
              <w:t>地址：广西桂林市建干路12号</w:t>
            </w:r>
          </w:p>
          <w:p w14:paraId="39586D1C">
            <w:pPr>
              <w:spacing w:line="360" w:lineRule="auto"/>
              <w:rPr>
                <w:color w:val="auto"/>
                <w:highlight w:val="none"/>
              </w:rPr>
            </w:pPr>
            <w:r>
              <w:rPr>
                <w:color w:val="auto"/>
                <w:highlight w:val="none"/>
              </w:rPr>
              <w:t>联系人：谢仁标</w:t>
            </w:r>
          </w:p>
          <w:p w14:paraId="6D290677">
            <w:pPr>
              <w:spacing w:line="360" w:lineRule="auto"/>
              <w:rPr>
                <w:color w:val="auto"/>
                <w:highlight w:val="none"/>
              </w:rPr>
            </w:pPr>
            <w:r>
              <w:rPr>
                <w:color w:val="auto"/>
                <w:highlight w:val="none"/>
              </w:rPr>
              <w:t>电话：0773-5895090</w:t>
            </w:r>
          </w:p>
          <w:p w14:paraId="0F5331F0">
            <w:pPr>
              <w:spacing w:line="360" w:lineRule="auto"/>
              <w:rPr>
                <w:color w:val="auto"/>
                <w:highlight w:val="none"/>
              </w:rPr>
            </w:pPr>
            <w:r>
              <w:rPr>
                <w:color w:val="auto"/>
                <w:highlight w:val="none"/>
              </w:rPr>
              <w:t>电子邮箱：</w:t>
            </w:r>
            <w:r>
              <w:rPr>
                <w:rFonts w:hint="eastAsia"/>
                <w:color w:val="auto"/>
                <w:highlight w:val="none"/>
              </w:rPr>
              <w:t>/</w:t>
            </w:r>
          </w:p>
        </w:tc>
      </w:tr>
      <w:tr w14:paraId="0587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1242" w:type="dxa"/>
            <w:vAlign w:val="center"/>
          </w:tcPr>
          <w:p w14:paraId="0C5A4DEE">
            <w:pPr>
              <w:spacing w:line="360" w:lineRule="auto"/>
              <w:jc w:val="center"/>
              <w:rPr>
                <w:color w:val="auto"/>
                <w:highlight w:val="none"/>
              </w:rPr>
            </w:pPr>
            <w:r>
              <w:rPr>
                <w:color w:val="auto"/>
                <w:highlight w:val="none"/>
              </w:rPr>
              <w:t>1.1.3</w:t>
            </w:r>
          </w:p>
        </w:tc>
        <w:tc>
          <w:tcPr>
            <w:tcW w:w="1843" w:type="dxa"/>
            <w:vAlign w:val="center"/>
          </w:tcPr>
          <w:p w14:paraId="7472F0E1">
            <w:pPr>
              <w:spacing w:line="360" w:lineRule="auto"/>
              <w:rPr>
                <w:color w:val="auto"/>
                <w:highlight w:val="none"/>
              </w:rPr>
            </w:pPr>
            <w:r>
              <w:rPr>
                <w:color w:val="auto"/>
                <w:highlight w:val="none"/>
              </w:rPr>
              <w:t>招标代理机构</w:t>
            </w:r>
          </w:p>
        </w:tc>
        <w:tc>
          <w:tcPr>
            <w:tcW w:w="5800" w:type="dxa"/>
            <w:vAlign w:val="center"/>
          </w:tcPr>
          <w:p w14:paraId="788CC2A7">
            <w:pPr>
              <w:spacing w:line="360" w:lineRule="auto"/>
              <w:rPr>
                <w:color w:val="auto"/>
                <w:highlight w:val="none"/>
              </w:rPr>
            </w:pPr>
            <w:r>
              <w:rPr>
                <w:color w:val="auto"/>
                <w:highlight w:val="none"/>
              </w:rPr>
              <w:t>名称：</w:t>
            </w:r>
            <w:r>
              <w:rPr>
                <w:rFonts w:hint="eastAsia"/>
                <w:color w:val="auto"/>
                <w:highlight w:val="none"/>
              </w:rPr>
              <w:t>云之龙咨询集团有限公司</w:t>
            </w:r>
          </w:p>
          <w:p w14:paraId="304EEB22">
            <w:pPr>
              <w:spacing w:line="360" w:lineRule="auto"/>
              <w:rPr>
                <w:color w:val="auto"/>
                <w:highlight w:val="none"/>
              </w:rPr>
            </w:pPr>
            <w:r>
              <w:rPr>
                <w:color w:val="auto"/>
                <w:highlight w:val="none"/>
              </w:rPr>
              <w:t>地址：广西桂林市临桂区西城北路2号</w:t>
            </w:r>
            <w:r>
              <w:rPr>
                <w:rFonts w:hint="eastAsia"/>
                <w:color w:val="auto"/>
                <w:highlight w:val="none"/>
              </w:rPr>
              <w:t>耀辉•美好家园2幢12层1号房</w:t>
            </w:r>
          </w:p>
          <w:p w14:paraId="05F84497">
            <w:pPr>
              <w:spacing w:line="360" w:lineRule="auto"/>
              <w:rPr>
                <w:color w:val="auto"/>
                <w:highlight w:val="none"/>
              </w:rPr>
            </w:pPr>
            <w:r>
              <w:rPr>
                <w:color w:val="auto"/>
                <w:highlight w:val="none"/>
              </w:rPr>
              <w:t>联系人：</w:t>
            </w:r>
            <w:r>
              <w:rPr>
                <w:rFonts w:hint="eastAsia"/>
                <w:color w:val="auto"/>
                <w:highlight w:val="none"/>
              </w:rPr>
              <w:t>李贞</w:t>
            </w:r>
          </w:p>
          <w:p w14:paraId="13625C16">
            <w:pPr>
              <w:spacing w:line="360" w:lineRule="auto"/>
              <w:rPr>
                <w:color w:val="auto"/>
                <w:highlight w:val="none"/>
              </w:rPr>
            </w:pPr>
            <w:r>
              <w:rPr>
                <w:color w:val="auto"/>
                <w:highlight w:val="none"/>
              </w:rPr>
              <w:t>电话：0773-2887388</w:t>
            </w:r>
            <w:r>
              <w:rPr>
                <w:rFonts w:hint="eastAsia"/>
                <w:color w:val="auto"/>
                <w:highlight w:val="none"/>
              </w:rPr>
              <w:t>、</w:t>
            </w:r>
            <w:r>
              <w:rPr>
                <w:color w:val="auto"/>
                <w:highlight w:val="none"/>
              </w:rPr>
              <w:t>2887399</w:t>
            </w:r>
          </w:p>
          <w:p w14:paraId="08085E6F">
            <w:pPr>
              <w:spacing w:line="360" w:lineRule="auto"/>
              <w:rPr>
                <w:color w:val="auto"/>
                <w:highlight w:val="none"/>
              </w:rPr>
            </w:pPr>
            <w:r>
              <w:rPr>
                <w:color w:val="auto"/>
                <w:highlight w:val="none"/>
              </w:rPr>
              <w:t>电子邮箱：</w:t>
            </w:r>
            <w:r>
              <w:rPr>
                <w:rFonts w:hint="eastAsia"/>
                <w:color w:val="auto"/>
                <w:highlight w:val="none"/>
              </w:rPr>
              <w:t>/</w:t>
            </w:r>
          </w:p>
        </w:tc>
      </w:tr>
      <w:tr w14:paraId="503A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242" w:type="dxa"/>
            <w:vAlign w:val="center"/>
          </w:tcPr>
          <w:p w14:paraId="7455D99B">
            <w:pPr>
              <w:spacing w:line="360" w:lineRule="auto"/>
              <w:jc w:val="center"/>
              <w:rPr>
                <w:color w:val="auto"/>
                <w:highlight w:val="none"/>
              </w:rPr>
            </w:pPr>
            <w:r>
              <w:rPr>
                <w:color w:val="auto"/>
                <w:highlight w:val="none"/>
              </w:rPr>
              <w:t>1.1.4</w:t>
            </w:r>
          </w:p>
        </w:tc>
        <w:tc>
          <w:tcPr>
            <w:tcW w:w="1843" w:type="dxa"/>
            <w:vAlign w:val="center"/>
          </w:tcPr>
          <w:p w14:paraId="3BA399C8">
            <w:pPr>
              <w:spacing w:line="360" w:lineRule="auto"/>
              <w:rPr>
                <w:color w:val="auto"/>
                <w:highlight w:val="none"/>
              </w:rPr>
            </w:pPr>
            <w:r>
              <w:rPr>
                <w:color w:val="auto"/>
                <w:highlight w:val="none"/>
              </w:rPr>
              <w:t>项目名称</w:t>
            </w:r>
            <w:r>
              <w:rPr>
                <w:rFonts w:hint="eastAsia"/>
                <w:color w:val="auto"/>
                <w:highlight w:val="none"/>
              </w:rPr>
              <w:t>及项目招标编号</w:t>
            </w:r>
          </w:p>
        </w:tc>
        <w:tc>
          <w:tcPr>
            <w:tcW w:w="5800" w:type="dxa"/>
            <w:vAlign w:val="center"/>
          </w:tcPr>
          <w:p w14:paraId="4910989F">
            <w:pPr>
              <w:spacing w:line="360" w:lineRule="auto"/>
              <w:rPr>
                <w:color w:val="auto"/>
                <w:highlight w:val="none"/>
              </w:rPr>
            </w:pPr>
            <w:r>
              <w:rPr>
                <w:rFonts w:hint="eastAsia"/>
                <w:color w:val="auto"/>
                <w:highlight w:val="none"/>
              </w:rPr>
              <w:t>桂林理工大学自然资源科研楼工程设计服</w:t>
            </w:r>
            <w:r>
              <w:rPr>
                <w:rFonts w:hint="eastAsia"/>
                <w:color w:val="auto"/>
                <w:highlight w:val="none"/>
              </w:rPr>
              <w:t>务(项目招标编号:</w:t>
            </w:r>
            <w:r>
              <w:rPr>
                <w:rFonts w:hint="eastAsia"/>
                <w:color w:val="auto"/>
                <w:highlight w:val="none"/>
                <w:lang w:val="en-US" w:eastAsia="zh-CN"/>
              </w:rPr>
              <w:t xml:space="preserve">        </w:t>
            </w:r>
            <w:r>
              <w:rPr>
                <w:rFonts w:hint="eastAsia"/>
                <w:color w:val="auto"/>
                <w:highlight w:val="none"/>
              </w:rPr>
              <w:t>)</w:t>
            </w:r>
          </w:p>
        </w:tc>
      </w:tr>
      <w:tr w14:paraId="39F5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42" w:type="dxa"/>
            <w:vAlign w:val="center"/>
          </w:tcPr>
          <w:p w14:paraId="6DD52C45">
            <w:pPr>
              <w:spacing w:line="360" w:lineRule="auto"/>
              <w:jc w:val="center"/>
              <w:rPr>
                <w:color w:val="auto"/>
                <w:highlight w:val="none"/>
              </w:rPr>
            </w:pPr>
            <w:r>
              <w:rPr>
                <w:color w:val="auto"/>
                <w:highlight w:val="none"/>
              </w:rPr>
              <w:t>1.1.5</w:t>
            </w:r>
          </w:p>
        </w:tc>
        <w:tc>
          <w:tcPr>
            <w:tcW w:w="1843" w:type="dxa"/>
            <w:vAlign w:val="center"/>
          </w:tcPr>
          <w:p w14:paraId="19C1BD13">
            <w:pPr>
              <w:spacing w:line="360" w:lineRule="auto"/>
              <w:jc w:val="center"/>
              <w:rPr>
                <w:color w:val="auto"/>
                <w:highlight w:val="none"/>
              </w:rPr>
            </w:pPr>
            <w:r>
              <w:rPr>
                <w:rFonts w:hint="eastAsia"/>
                <w:color w:val="auto"/>
                <w:highlight w:val="none"/>
              </w:rPr>
              <w:t>项目</w:t>
            </w:r>
            <w:r>
              <w:rPr>
                <w:color w:val="auto"/>
                <w:highlight w:val="none"/>
              </w:rPr>
              <w:t>建设地点</w:t>
            </w:r>
          </w:p>
        </w:tc>
        <w:tc>
          <w:tcPr>
            <w:tcW w:w="5800" w:type="dxa"/>
            <w:vAlign w:val="center"/>
          </w:tcPr>
          <w:p w14:paraId="65219CB2">
            <w:pPr>
              <w:spacing w:line="360" w:lineRule="auto"/>
              <w:rPr>
                <w:color w:val="auto"/>
                <w:highlight w:val="none"/>
              </w:rPr>
            </w:pPr>
            <w:r>
              <w:rPr>
                <w:rFonts w:hint="eastAsia"/>
                <w:color w:val="auto"/>
                <w:highlight w:val="none"/>
              </w:rPr>
              <w:t>桂林理工大学屏风校区内（桂林市七星区建干路12号）</w:t>
            </w:r>
          </w:p>
        </w:tc>
      </w:tr>
      <w:tr w14:paraId="290F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2" w:type="dxa"/>
            <w:vAlign w:val="center"/>
          </w:tcPr>
          <w:p w14:paraId="19DAFD52">
            <w:pPr>
              <w:spacing w:line="360" w:lineRule="auto"/>
              <w:jc w:val="center"/>
              <w:rPr>
                <w:color w:val="auto"/>
                <w:highlight w:val="none"/>
              </w:rPr>
            </w:pPr>
            <w:r>
              <w:rPr>
                <w:rFonts w:hint="eastAsia"/>
                <w:color w:val="auto"/>
                <w:highlight w:val="none"/>
              </w:rPr>
              <w:t>1.1.6</w:t>
            </w:r>
          </w:p>
        </w:tc>
        <w:tc>
          <w:tcPr>
            <w:tcW w:w="1843" w:type="dxa"/>
            <w:vAlign w:val="center"/>
          </w:tcPr>
          <w:p w14:paraId="5A0AD4BF">
            <w:pPr>
              <w:spacing w:line="360" w:lineRule="auto"/>
              <w:rPr>
                <w:color w:val="auto"/>
                <w:highlight w:val="none"/>
              </w:rPr>
            </w:pPr>
            <w:r>
              <w:rPr>
                <w:rFonts w:hint="eastAsia"/>
                <w:color w:val="auto"/>
                <w:highlight w:val="none"/>
              </w:rPr>
              <w:t>项目建设规模</w:t>
            </w:r>
          </w:p>
        </w:tc>
        <w:tc>
          <w:tcPr>
            <w:tcW w:w="5800" w:type="dxa"/>
            <w:vAlign w:val="center"/>
          </w:tcPr>
          <w:p w14:paraId="27C8B64E">
            <w:pPr>
              <w:spacing w:line="360" w:lineRule="auto"/>
              <w:rPr>
                <w:rFonts w:hint="eastAsia" w:eastAsiaTheme="majorEastAsia"/>
                <w:color w:val="auto"/>
                <w:highlight w:val="none"/>
                <w:lang w:val="en-US" w:eastAsia="zh-CN"/>
              </w:rPr>
            </w:pPr>
            <w:r>
              <w:rPr>
                <w:rFonts w:hint="eastAsia" w:asciiTheme="majorEastAsia" w:hAnsiTheme="majorEastAsia" w:eastAsiaTheme="majorEastAsia" w:cstheme="majorEastAsia"/>
                <w:color w:val="auto"/>
                <w:highlight w:val="none"/>
                <w:u w:val="none"/>
                <w:lang w:val="en-US" w:eastAsia="zh-CN"/>
              </w:rPr>
              <w:t>项目拆除校内 1 栋教学楼，拆除面积4956.10平方米。拆除后新建1栋科研楼，总建筑面积19695.35平方米，其中地上建筑面积16212.93平方米，地下建筑面积3482.42平方米。</w:t>
            </w:r>
          </w:p>
        </w:tc>
      </w:tr>
      <w:tr w14:paraId="6EB2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Align w:val="center"/>
          </w:tcPr>
          <w:p w14:paraId="60F32ECE">
            <w:pPr>
              <w:spacing w:line="360" w:lineRule="auto"/>
              <w:jc w:val="center"/>
              <w:rPr>
                <w:color w:val="auto"/>
                <w:highlight w:val="none"/>
              </w:rPr>
            </w:pPr>
            <w:r>
              <w:rPr>
                <w:rFonts w:hint="eastAsia"/>
                <w:color w:val="auto"/>
                <w:highlight w:val="none"/>
              </w:rPr>
              <w:t>1.1.7</w:t>
            </w:r>
          </w:p>
        </w:tc>
        <w:tc>
          <w:tcPr>
            <w:tcW w:w="1843" w:type="dxa"/>
            <w:vAlign w:val="center"/>
          </w:tcPr>
          <w:p w14:paraId="12718210">
            <w:pPr>
              <w:spacing w:line="360" w:lineRule="auto"/>
              <w:rPr>
                <w:color w:val="auto"/>
                <w:highlight w:val="none"/>
              </w:rPr>
            </w:pPr>
            <w:r>
              <w:rPr>
                <w:rFonts w:hint="eastAsia"/>
                <w:color w:val="auto"/>
                <w:highlight w:val="none"/>
              </w:rPr>
              <w:t>项目投资估算</w:t>
            </w:r>
          </w:p>
        </w:tc>
        <w:tc>
          <w:tcPr>
            <w:tcW w:w="5800" w:type="dxa"/>
            <w:vAlign w:val="center"/>
          </w:tcPr>
          <w:p w14:paraId="38DA7A5D">
            <w:pPr>
              <w:spacing w:line="360" w:lineRule="auto"/>
              <w:rPr>
                <w:rFonts w:ascii="楷体" w:hAnsi="楷体" w:cs="楷体"/>
                <w:b/>
                <w:bCs/>
                <w:color w:val="auto"/>
                <w:highlight w:val="none"/>
              </w:rPr>
            </w:pPr>
            <w:r>
              <w:rPr>
                <w:rFonts w:hint="eastAsia"/>
                <w:color w:val="auto"/>
                <w:highlight w:val="none"/>
              </w:rPr>
              <w:t xml:space="preserve"> </w:t>
            </w:r>
            <w:r>
              <w:rPr>
                <w:rFonts w:hint="eastAsia"/>
                <w:color w:val="auto"/>
                <w:highlight w:val="none"/>
              </w:rPr>
              <w:t>9500.3万元</w:t>
            </w:r>
          </w:p>
        </w:tc>
      </w:tr>
      <w:tr w14:paraId="3F2B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42" w:type="dxa"/>
            <w:vAlign w:val="center"/>
          </w:tcPr>
          <w:p w14:paraId="724C409D">
            <w:pPr>
              <w:spacing w:line="360" w:lineRule="auto"/>
              <w:jc w:val="center"/>
              <w:rPr>
                <w:color w:val="auto"/>
                <w:highlight w:val="none"/>
              </w:rPr>
            </w:pPr>
            <w:r>
              <w:rPr>
                <w:rFonts w:hint="eastAsia"/>
                <w:color w:val="auto"/>
                <w:highlight w:val="none"/>
              </w:rPr>
              <w:t>1</w:t>
            </w:r>
            <w:r>
              <w:rPr>
                <w:color w:val="auto"/>
                <w:highlight w:val="none"/>
              </w:rPr>
              <w:t>.1.8</w:t>
            </w:r>
          </w:p>
        </w:tc>
        <w:tc>
          <w:tcPr>
            <w:tcW w:w="1843" w:type="dxa"/>
            <w:vAlign w:val="center"/>
          </w:tcPr>
          <w:p w14:paraId="24819023">
            <w:pPr>
              <w:spacing w:line="360" w:lineRule="auto"/>
              <w:rPr>
                <w:color w:val="auto"/>
                <w:highlight w:val="none"/>
              </w:rPr>
            </w:pPr>
            <w:r>
              <w:rPr>
                <w:rFonts w:hint="eastAsia"/>
                <w:color w:val="auto"/>
                <w:highlight w:val="none"/>
              </w:rPr>
              <w:t>设计招标方式</w:t>
            </w:r>
          </w:p>
        </w:tc>
        <w:tc>
          <w:tcPr>
            <w:tcW w:w="5800" w:type="dxa"/>
            <w:vAlign w:val="center"/>
          </w:tcPr>
          <w:p w14:paraId="63980BF2">
            <w:pPr>
              <w:spacing w:line="360" w:lineRule="auto"/>
              <w:rPr>
                <w:bCs/>
                <w:color w:val="auto"/>
                <w:highlight w:val="none"/>
              </w:rPr>
            </w:pPr>
            <w:r>
              <w:rPr>
                <w:rFonts w:hint="eastAsia"/>
                <w:bCs/>
                <w:color w:val="auto"/>
                <w:highlight w:val="none"/>
                <w:lang w:eastAsia="zh-CN"/>
              </w:rPr>
              <w:t>□</w:t>
            </w:r>
            <w:r>
              <w:rPr>
                <w:rFonts w:hint="eastAsia"/>
                <w:bCs/>
                <w:color w:val="auto"/>
                <w:highlight w:val="none"/>
              </w:rPr>
              <w:t>设计方案招标</w:t>
            </w:r>
            <w:r>
              <w:rPr>
                <w:bCs/>
                <w:color w:val="auto"/>
                <w:highlight w:val="none"/>
              </w:rPr>
              <w:t xml:space="preserve">  </w:t>
            </w:r>
            <w:r>
              <w:rPr>
                <w:rFonts w:hint="eastAsia"/>
                <w:bCs/>
                <w:color w:val="auto"/>
                <w:highlight w:val="none"/>
                <w:lang w:eastAsia="zh-CN"/>
              </w:rPr>
              <w:t>☑</w:t>
            </w:r>
            <w:r>
              <w:rPr>
                <w:rFonts w:hint="eastAsia"/>
                <w:bCs/>
                <w:color w:val="auto"/>
                <w:highlight w:val="none"/>
              </w:rPr>
              <w:t>设计团队招标</w:t>
            </w:r>
          </w:p>
          <w:p w14:paraId="05A98A5F">
            <w:pPr>
              <w:spacing w:line="360" w:lineRule="auto"/>
              <w:rPr>
                <w:rFonts w:ascii="楷体" w:hAnsi="楷体" w:eastAsia="楷体" w:cs="楷体"/>
                <w:b/>
                <w:bCs/>
                <w:color w:val="auto"/>
                <w:highlight w:val="none"/>
              </w:rPr>
            </w:pPr>
            <w:r>
              <w:rPr>
                <w:rFonts w:hint="eastAsia" w:ascii="楷体" w:hAnsi="楷体" w:eastAsia="楷体" w:cs="楷体"/>
                <w:b/>
                <w:bCs/>
                <w:color w:val="auto"/>
                <w:highlight w:val="none"/>
              </w:rPr>
              <w:t>【备注：设计方案招标，是指主要通过对投标人提交</w:t>
            </w:r>
          </w:p>
          <w:p w14:paraId="15EE4883">
            <w:pPr>
              <w:spacing w:line="360" w:lineRule="auto"/>
              <w:rPr>
                <w:rFonts w:ascii="楷体" w:hAnsi="楷体" w:eastAsia="楷体" w:cs="楷体"/>
                <w:b/>
                <w:bCs/>
                <w:color w:val="auto"/>
                <w:highlight w:val="none"/>
              </w:rPr>
            </w:pPr>
            <w:r>
              <w:rPr>
                <w:rFonts w:hint="eastAsia" w:ascii="楷体" w:hAnsi="楷体" w:eastAsia="楷体" w:cs="楷体"/>
                <w:b/>
                <w:bCs/>
                <w:color w:val="auto"/>
                <w:highlight w:val="none"/>
              </w:rPr>
              <w:t>的设计方案进行评审确定中标人。设计团队招标，是</w:t>
            </w:r>
          </w:p>
          <w:p w14:paraId="72ED9D57">
            <w:pPr>
              <w:spacing w:line="360" w:lineRule="auto"/>
              <w:rPr>
                <w:rFonts w:ascii="楷体" w:hAnsi="楷体" w:eastAsia="楷体" w:cs="楷体"/>
                <w:b/>
                <w:bCs/>
                <w:color w:val="auto"/>
                <w:highlight w:val="none"/>
              </w:rPr>
            </w:pPr>
            <w:r>
              <w:rPr>
                <w:rFonts w:hint="eastAsia" w:ascii="楷体" w:hAnsi="楷体" w:eastAsia="楷体" w:cs="楷体"/>
                <w:b/>
                <w:bCs/>
                <w:color w:val="auto"/>
                <w:highlight w:val="none"/>
              </w:rPr>
              <w:t>指主要通过对投标人拟派设计团队的综合能力进行评</w:t>
            </w:r>
          </w:p>
          <w:p w14:paraId="694957B9">
            <w:pPr>
              <w:spacing w:line="360" w:lineRule="auto"/>
              <w:rPr>
                <w:rFonts w:ascii="楷体" w:hAnsi="楷体" w:eastAsia="楷体" w:cs="楷体"/>
                <w:b/>
                <w:bCs/>
                <w:color w:val="auto"/>
                <w:highlight w:val="none"/>
              </w:rPr>
            </w:pPr>
            <w:r>
              <w:rPr>
                <w:rFonts w:hint="eastAsia" w:ascii="楷体" w:hAnsi="楷体" w:eastAsia="楷体" w:cs="楷体"/>
                <w:b/>
                <w:bCs/>
                <w:color w:val="auto"/>
                <w:highlight w:val="none"/>
              </w:rPr>
              <w:t>审确定中标人。招标人可以根据项目特点和实际需要</w:t>
            </w:r>
          </w:p>
          <w:p w14:paraId="3162AED9">
            <w:pPr>
              <w:spacing w:line="360" w:lineRule="auto"/>
              <w:rPr>
                <w:color w:val="auto"/>
                <w:highlight w:val="none"/>
              </w:rPr>
            </w:pPr>
            <w:r>
              <w:rPr>
                <w:rFonts w:hint="eastAsia" w:ascii="楷体" w:hAnsi="楷体" w:eastAsia="楷体" w:cs="楷体"/>
                <w:b/>
                <w:bCs/>
                <w:color w:val="auto"/>
                <w:highlight w:val="none"/>
              </w:rPr>
              <w:t>选择。】</w:t>
            </w:r>
          </w:p>
        </w:tc>
      </w:tr>
      <w:tr w14:paraId="6DC8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42" w:type="dxa"/>
            <w:vAlign w:val="center"/>
          </w:tcPr>
          <w:p w14:paraId="676963F5">
            <w:pPr>
              <w:spacing w:line="360" w:lineRule="auto"/>
              <w:jc w:val="center"/>
              <w:rPr>
                <w:color w:val="auto"/>
                <w:highlight w:val="none"/>
              </w:rPr>
            </w:pPr>
            <w:r>
              <w:rPr>
                <w:color w:val="auto"/>
                <w:highlight w:val="none"/>
              </w:rPr>
              <w:t>1.2.1</w:t>
            </w:r>
            <w:r>
              <w:rPr>
                <w:rFonts w:hint="eastAsia"/>
                <w:color w:val="auto"/>
                <w:highlight w:val="none"/>
              </w:rPr>
              <w:t>、1.2.2</w:t>
            </w:r>
          </w:p>
        </w:tc>
        <w:tc>
          <w:tcPr>
            <w:tcW w:w="1843" w:type="dxa"/>
            <w:vAlign w:val="center"/>
          </w:tcPr>
          <w:p w14:paraId="44AE19A9">
            <w:pPr>
              <w:spacing w:line="360" w:lineRule="auto"/>
              <w:rPr>
                <w:bCs/>
                <w:color w:val="auto"/>
                <w:highlight w:val="none"/>
              </w:rPr>
            </w:pPr>
            <w:r>
              <w:rPr>
                <w:rFonts w:hint="eastAsia"/>
                <w:bCs/>
                <w:color w:val="auto"/>
                <w:highlight w:val="none"/>
              </w:rPr>
              <w:t>资金来源及比例</w:t>
            </w:r>
          </w:p>
        </w:tc>
        <w:tc>
          <w:tcPr>
            <w:tcW w:w="5800" w:type="dxa"/>
            <w:vAlign w:val="center"/>
          </w:tcPr>
          <w:p w14:paraId="6408C7E1">
            <w:pPr>
              <w:spacing w:line="360" w:lineRule="auto"/>
              <w:rPr>
                <w:bCs/>
                <w:color w:val="auto"/>
                <w:highlight w:val="none"/>
              </w:rPr>
            </w:pPr>
            <w:r>
              <w:rPr>
                <w:rFonts w:hint="eastAsia"/>
                <w:bCs/>
                <w:color w:val="auto"/>
                <w:highlight w:val="none"/>
                <w:u w:val="none"/>
                <w:lang w:eastAsia="zh-CN"/>
              </w:rPr>
              <w:t>财政</w:t>
            </w:r>
            <w:r>
              <w:rPr>
                <w:rFonts w:hint="eastAsia"/>
                <w:bCs/>
                <w:color w:val="auto"/>
                <w:highlight w:val="none"/>
              </w:rPr>
              <w:t>资金  100%</w:t>
            </w:r>
          </w:p>
        </w:tc>
      </w:tr>
      <w:tr w14:paraId="76C3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42" w:type="dxa"/>
            <w:vAlign w:val="center"/>
          </w:tcPr>
          <w:p w14:paraId="2FB40FE6">
            <w:pPr>
              <w:spacing w:line="360" w:lineRule="auto"/>
              <w:jc w:val="center"/>
              <w:rPr>
                <w:color w:val="auto"/>
                <w:highlight w:val="none"/>
              </w:rPr>
            </w:pPr>
            <w:r>
              <w:rPr>
                <w:color w:val="auto"/>
                <w:highlight w:val="none"/>
              </w:rPr>
              <w:t>1.2.</w:t>
            </w:r>
            <w:r>
              <w:rPr>
                <w:rFonts w:hint="eastAsia"/>
                <w:color w:val="auto"/>
                <w:highlight w:val="none"/>
              </w:rPr>
              <w:t>3</w:t>
            </w:r>
          </w:p>
        </w:tc>
        <w:tc>
          <w:tcPr>
            <w:tcW w:w="1843" w:type="dxa"/>
            <w:vAlign w:val="center"/>
          </w:tcPr>
          <w:p w14:paraId="6B9A689C">
            <w:pPr>
              <w:spacing w:line="360" w:lineRule="auto"/>
              <w:rPr>
                <w:color w:val="auto"/>
                <w:highlight w:val="none"/>
              </w:rPr>
            </w:pPr>
            <w:r>
              <w:rPr>
                <w:color w:val="auto"/>
                <w:highlight w:val="none"/>
              </w:rPr>
              <w:t>资金落实情况</w:t>
            </w:r>
          </w:p>
        </w:tc>
        <w:tc>
          <w:tcPr>
            <w:tcW w:w="5800" w:type="dxa"/>
            <w:vAlign w:val="center"/>
          </w:tcPr>
          <w:p w14:paraId="739349A7">
            <w:pPr>
              <w:spacing w:line="360" w:lineRule="auto"/>
              <w:rPr>
                <w:b/>
                <w:color w:val="auto"/>
                <w:highlight w:val="none"/>
              </w:rPr>
            </w:pPr>
            <w:r>
              <w:rPr>
                <w:rFonts w:hint="eastAsia"/>
                <w:b/>
                <w:color w:val="auto"/>
                <w:highlight w:val="none"/>
              </w:rPr>
              <w:t>已落实</w:t>
            </w:r>
          </w:p>
        </w:tc>
      </w:tr>
      <w:tr w14:paraId="62C5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42" w:type="dxa"/>
            <w:vAlign w:val="center"/>
          </w:tcPr>
          <w:p w14:paraId="10F67EE8">
            <w:pPr>
              <w:spacing w:line="360" w:lineRule="auto"/>
              <w:jc w:val="center"/>
              <w:rPr>
                <w:color w:val="auto"/>
                <w:highlight w:val="none"/>
              </w:rPr>
            </w:pPr>
            <w:r>
              <w:rPr>
                <w:color w:val="auto"/>
                <w:highlight w:val="none"/>
              </w:rPr>
              <w:t>1.2.4</w:t>
            </w:r>
          </w:p>
        </w:tc>
        <w:tc>
          <w:tcPr>
            <w:tcW w:w="1843" w:type="dxa"/>
            <w:vAlign w:val="center"/>
          </w:tcPr>
          <w:p w14:paraId="251444DA">
            <w:pPr>
              <w:spacing w:line="360" w:lineRule="auto"/>
              <w:rPr>
                <w:color w:val="auto"/>
                <w:highlight w:val="none"/>
              </w:rPr>
            </w:pPr>
            <w:r>
              <w:rPr>
                <w:rFonts w:hint="eastAsia" w:cs="宋体"/>
                <w:color w:val="auto"/>
                <w:highlight w:val="none"/>
              </w:rPr>
              <w:t>本工程增值税计税方法</w:t>
            </w:r>
          </w:p>
        </w:tc>
        <w:tc>
          <w:tcPr>
            <w:tcW w:w="5800" w:type="dxa"/>
            <w:vAlign w:val="center"/>
          </w:tcPr>
          <w:p w14:paraId="4FE1BCA6">
            <w:pPr>
              <w:spacing w:line="360" w:lineRule="auto"/>
              <w:rPr>
                <w:color w:val="auto"/>
                <w:highlight w:val="none"/>
              </w:rPr>
            </w:pPr>
            <w:r>
              <w:rPr>
                <w:rFonts w:hint="eastAsia" w:cs="宋体"/>
                <w:color w:val="auto"/>
                <w:highlight w:val="none"/>
              </w:rPr>
              <w:t>☑一般计税法</w:t>
            </w:r>
            <w:r>
              <w:rPr>
                <w:color w:val="auto"/>
                <w:highlight w:val="none"/>
              </w:rPr>
              <w:t xml:space="preserve">         </w:t>
            </w:r>
            <w:r>
              <w:rPr>
                <w:rFonts w:hint="eastAsia" w:cs="宋体"/>
                <w:color w:val="auto"/>
                <w:highlight w:val="none"/>
              </w:rPr>
              <w:t>□简易计税法</w:t>
            </w:r>
          </w:p>
          <w:p w14:paraId="67670E1E">
            <w:pPr>
              <w:spacing w:line="360" w:lineRule="auto"/>
              <w:rPr>
                <w:color w:val="auto"/>
                <w:highlight w:val="none"/>
              </w:rPr>
            </w:pPr>
            <w:r>
              <w:rPr>
                <w:rFonts w:hint="eastAsia" w:ascii="楷体" w:hAnsi="楷体" w:eastAsia="楷体" w:cs="楷体"/>
                <w:b/>
                <w:bCs/>
                <w:color w:val="auto"/>
                <w:highlight w:val="none"/>
              </w:rPr>
              <w:t>【备注：根据《关于全面推开营业税改征增值税试点的通知》（财税〔2016〕36号）、《关于建筑服务等营改增试点政策的通知》（财税〔2017〕58号）等国家、自治区现行有关文件规定】</w:t>
            </w:r>
          </w:p>
        </w:tc>
      </w:tr>
      <w:tr w14:paraId="3229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42" w:type="dxa"/>
            <w:vAlign w:val="center"/>
          </w:tcPr>
          <w:p w14:paraId="20E89CB4">
            <w:pPr>
              <w:spacing w:line="360" w:lineRule="auto"/>
              <w:jc w:val="center"/>
              <w:rPr>
                <w:color w:val="auto"/>
                <w:highlight w:val="none"/>
              </w:rPr>
            </w:pPr>
            <w:r>
              <w:rPr>
                <w:color w:val="auto"/>
                <w:highlight w:val="none"/>
              </w:rPr>
              <w:t>1.3.1</w:t>
            </w:r>
          </w:p>
        </w:tc>
        <w:tc>
          <w:tcPr>
            <w:tcW w:w="1843" w:type="dxa"/>
            <w:vAlign w:val="center"/>
          </w:tcPr>
          <w:p w14:paraId="1BA88C33">
            <w:pPr>
              <w:spacing w:line="360" w:lineRule="auto"/>
              <w:rPr>
                <w:color w:val="auto"/>
                <w:highlight w:val="none"/>
              </w:rPr>
            </w:pPr>
            <w:r>
              <w:rPr>
                <w:color w:val="auto"/>
                <w:highlight w:val="none"/>
              </w:rPr>
              <w:t>招标范围</w:t>
            </w:r>
          </w:p>
        </w:tc>
        <w:tc>
          <w:tcPr>
            <w:tcW w:w="5800" w:type="dxa"/>
            <w:vAlign w:val="center"/>
          </w:tcPr>
          <w:p w14:paraId="1C22FF66">
            <w:pPr>
              <w:spacing w:line="360" w:lineRule="auto"/>
              <w:rPr>
                <w:color w:val="auto"/>
                <w:highlight w:val="none"/>
              </w:rPr>
            </w:pPr>
            <w:r>
              <w:rPr>
                <w:rFonts w:hint="eastAsia"/>
                <w:color w:val="auto"/>
                <w:highlight w:val="none"/>
                <w:lang w:eastAsia="zh-CN"/>
              </w:rPr>
              <w:t>□</w:t>
            </w:r>
            <w:r>
              <w:rPr>
                <w:rFonts w:hint="eastAsia"/>
                <w:color w:val="auto"/>
                <w:highlight w:val="none"/>
              </w:rPr>
              <w:t xml:space="preserve">概念性方案设计招标     </w:t>
            </w:r>
          </w:p>
          <w:p w14:paraId="3C5C49E8">
            <w:pPr>
              <w:spacing w:line="360" w:lineRule="auto"/>
              <w:rPr>
                <w:color w:val="auto"/>
                <w:highlight w:val="none"/>
              </w:rPr>
            </w:pPr>
            <w:r>
              <w:rPr>
                <w:rFonts w:hint="eastAsia"/>
                <w:color w:val="auto"/>
                <w:highlight w:val="none"/>
                <w:lang w:eastAsia="zh-CN"/>
              </w:rPr>
              <w:t>□</w:t>
            </w:r>
            <w:r>
              <w:rPr>
                <w:rFonts w:hint="eastAsia"/>
                <w:color w:val="auto"/>
                <w:highlight w:val="none"/>
              </w:rPr>
              <w:t xml:space="preserve">实施性方案设计招标     </w:t>
            </w:r>
          </w:p>
          <w:p w14:paraId="03E5F6BE">
            <w:pPr>
              <w:spacing w:line="360" w:lineRule="auto"/>
              <w:rPr>
                <w:color w:val="auto"/>
                <w:highlight w:val="none"/>
              </w:rPr>
            </w:pPr>
            <w:r>
              <w:rPr>
                <w:rFonts w:hint="eastAsia"/>
                <w:color w:val="auto"/>
                <w:highlight w:val="none"/>
              </w:rPr>
              <w:t xml:space="preserve">☑初步设计招标   </w:t>
            </w:r>
          </w:p>
          <w:p w14:paraId="4E9D868B">
            <w:pPr>
              <w:spacing w:line="360" w:lineRule="auto"/>
              <w:rPr>
                <w:color w:val="auto"/>
                <w:highlight w:val="none"/>
              </w:rPr>
            </w:pPr>
            <w:r>
              <w:rPr>
                <w:rFonts w:hint="eastAsia"/>
                <w:color w:val="auto"/>
                <w:highlight w:val="none"/>
                <w:lang w:eastAsia="zh-CN"/>
              </w:rPr>
              <w:t>☑</w:t>
            </w:r>
            <w:r>
              <w:rPr>
                <w:rFonts w:hint="eastAsia"/>
                <w:color w:val="auto"/>
                <w:highlight w:val="none"/>
              </w:rPr>
              <w:t xml:space="preserve">施工图设计招标  </w:t>
            </w:r>
          </w:p>
          <w:p w14:paraId="4E1EF264">
            <w:pPr>
              <w:spacing w:line="360" w:lineRule="auto"/>
              <w:rPr>
                <w:color w:val="auto"/>
                <w:highlight w:val="none"/>
              </w:rPr>
            </w:pPr>
            <w:r>
              <w:rPr>
                <w:rFonts w:hint="eastAsia"/>
                <w:color w:val="auto"/>
                <w:highlight w:val="none"/>
                <w:lang w:eastAsia="zh-CN"/>
              </w:rPr>
              <w:t>☑</w:t>
            </w:r>
            <w:r>
              <w:rPr>
                <w:rFonts w:hint="eastAsia"/>
                <w:color w:val="auto"/>
                <w:highlight w:val="none"/>
              </w:rPr>
              <w:t>其他：</w:t>
            </w:r>
            <w:r>
              <w:rPr>
                <w:rFonts w:hint="eastAsia" w:ascii="宋体" w:hAnsi="宋体"/>
                <w:color w:val="auto"/>
                <w:highlight w:val="none"/>
                <w:u w:val="single"/>
                <w:lang w:val="en-US" w:eastAsia="zh-CN"/>
              </w:rPr>
              <w:t>含概算编制，施工配合</w:t>
            </w:r>
            <w:r>
              <w:rPr>
                <w:rFonts w:hint="eastAsia"/>
                <w:color w:val="auto"/>
                <w:highlight w:val="none"/>
                <w:u w:val="single"/>
              </w:rPr>
              <w:t xml:space="preserve">    </w:t>
            </w:r>
          </w:p>
          <w:p w14:paraId="33122BE5">
            <w:pPr>
              <w:spacing w:line="360" w:lineRule="auto"/>
              <w:rPr>
                <w:color w:val="auto"/>
                <w:highlight w:val="none"/>
              </w:rPr>
            </w:pPr>
            <w:r>
              <w:rPr>
                <w:rFonts w:hint="eastAsia" w:ascii="楷体" w:hAnsi="楷体" w:eastAsia="楷体" w:cs="楷体"/>
                <w:b/>
                <w:bCs/>
                <w:color w:val="auto"/>
                <w:highlight w:val="none"/>
              </w:rPr>
              <w:t>【备注：除概念性方案设计招标外，鼓励对实施性方案设计、初步设计、施工图设计进行设计总包招标】</w:t>
            </w:r>
          </w:p>
        </w:tc>
      </w:tr>
      <w:tr w14:paraId="017F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8" w:hRule="atLeast"/>
        </w:trPr>
        <w:tc>
          <w:tcPr>
            <w:tcW w:w="1242" w:type="dxa"/>
            <w:vAlign w:val="center"/>
          </w:tcPr>
          <w:p w14:paraId="2DFE2570">
            <w:pPr>
              <w:spacing w:line="360" w:lineRule="auto"/>
              <w:jc w:val="center"/>
              <w:rPr>
                <w:color w:val="auto"/>
                <w:highlight w:val="none"/>
              </w:rPr>
            </w:pPr>
            <w:r>
              <w:rPr>
                <w:color w:val="auto"/>
                <w:highlight w:val="none"/>
              </w:rPr>
              <w:t>1.3.2</w:t>
            </w:r>
          </w:p>
        </w:tc>
        <w:tc>
          <w:tcPr>
            <w:tcW w:w="1843" w:type="dxa"/>
            <w:vAlign w:val="center"/>
          </w:tcPr>
          <w:p w14:paraId="48972BFE">
            <w:pPr>
              <w:spacing w:line="360" w:lineRule="auto"/>
              <w:rPr>
                <w:color w:val="auto"/>
                <w:highlight w:val="none"/>
              </w:rPr>
            </w:pPr>
            <w:r>
              <w:rPr>
                <w:rFonts w:hint="eastAsia"/>
                <w:color w:val="auto"/>
                <w:highlight w:val="none"/>
              </w:rPr>
              <w:t>设计服务期限</w:t>
            </w:r>
          </w:p>
        </w:tc>
        <w:tc>
          <w:tcPr>
            <w:tcW w:w="5800" w:type="dxa"/>
            <w:vAlign w:val="center"/>
          </w:tcPr>
          <w:p w14:paraId="7F55B53F">
            <w:pPr>
              <w:spacing w:line="360" w:lineRule="auto"/>
              <w:rPr>
                <w:color w:val="auto"/>
                <w:highlight w:val="none"/>
              </w:rPr>
            </w:pPr>
            <w:r>
              <w:rPr>
                <w:rFonts w:hint="eastAsia"/>
                <w:b/>
                <w:color w:val="auto"/>
                <w:highlight w:val="none"/>
              </w:rPr>
              <w:t>☑</w:t>
            </w:r>
            <w:r>
              <w:rPr>
                <w:rFonts w:hint="eastAsia"/>
                <w:color w:val="auto"/>
                <w:highlight w:val="none"/>
              </w:rPr>
              <w:t>要求期限</w:t>
            </w:r>
            <w:r>
              <w:rPr>
                <w:color w:val="auto"/>
                <w:highlight w:val="none"/>
              </w:rPr>
              <w:t>：</w:t>
            </w:r>
            <w:r>
              <w:rPr>
                <w:rFonts w:hint="eastAsia"/>
                <w:color w:val="auto"/>
                <w:highlight w:val="none"/>
                <w:u w:val="single"/>
              </w:rPr>
              <w:t xml:space="preserve"> 60 </w:t>
            </w:r>
            <w:r>
              <w:rPr>
                <w:color w:val="auto"/>
                <w:highlight w:val="none"/>
              </w:rPr>
              <w:t>日历天</w:t>
            </w:r>
          </w:p>
          <w:p w14:paraId="75F1A15E">
            <w:pPr>
              <w:spacing w:line="360" w:lineRule="auto"/>
              <w:rPr>
                <w:rFonts w:eastAsia="楷体_GB2312"/>
                <w:b/>
                <w:color w:val="auto"/>
                <w:szCs w:val="21"/>
                <w:highlight w:val="none"/>
              </w:rPr>
            </w:pPr>
            <w:r>
              <w:rPr>
                <w:rFonts w:hint="eastAsia"/>
                <w:b/>
                <w:color w:val="auto"/>
                <w:highlight w:val="none"/>
              </w:rPr>
              <w:t>☑</w:t>
            </w:r>
            <w:r>
              <w:rPr>
                <w:color w:val="auto"/>
                <w:highlight w:val="none"/>
              </w:rPr>
              <w:t>定额</w:t>
            </w:r>
            <w:r>
              <w:rPr>
                <w:rFonts w:hint="eastAsia"/>
                <w:color w:val="auto"/>
                <w:highlight w:val="none"/>
              </w:rPr>
              <w:t>期限</w:t>
            </w:r>
            <w:r>
              <w:rPr>
                <w:color w:val="auto"/>
                <w:highlight w:val="none"/>
              </w:rPr>
              <w:t>：</w:t>
            </w:r>
            <w:r>
              <w:rPr>
                <w:rFonts w:hint="eastAsia"/>
                <w:color w:val="auto"/>
                <w:highlight w:val="none"/>
                <w:u w:val="single"/>
              </w:rPr>
              <w:t xml:space="preserve"> 60 </w:t>
            </w:r>
            <w:r>
              <w:rPr>
                <w:color w:val="auto"/>
                <w:highlight w:val="none"/>
              </w:rPr>
              <w:t>日历天</w:t>
            </w:r>
            <w:r>
              <w:rPr>
                <w:rFonts w:eastAsia="楷体_GB2312"/>
                <w:color w:val="auto"/>
                <w:szCs w:val="21"/>
                <w:highlight w:val="none"/>
              </w:rPr>
              <w:t>【</w:t>
            </w:r>
            <w:r>
              <w:rPr>
                <w:rFonts w:eastAsia="楷体_GB2312"/>
                <w:b/>
                <w:color w:val="auto"/>
                <w:szCs w:val="21"/>
                <w:highlight w:val="none"/>
              </w:rPr>
              <w:t>备</w:t>
            </w:r>
            <w:r>
              <w:rPr>
                <w:rFonts w:eastAsia="楷体_GB2312"/>
                <w:b/>
                <w:color w:val="auto"/>
                <w:highlight w:val="none"/>
              </w:rPr>
              <w:t>注：</w:t>
            </w:r>
            <w:r>
              <w:rPr>
                <w:rFonts w:hint="eastAsia" w:eastAsia="楷体_GB2312"/>
                <w:b/>
                <w:color w:val="auto"/>
                <w:highlight w:val="none"/>
              </w:rPr>
              <w:t>建筑工程设计定额服务期限应按《全国建筑设计周期定额（2016年版）》确定，不得任意压缩设计周期，确需压缩时，宜组织专家论证，并增加压缩周期费用，在招标文件中明确；市政工程项目根据具体情况确定</w:t>
            </w:r>
            <w:r>
              <w:rPr>
                <w:rFonts w:eastAsia="楷体_GB2312"/>
                <w:b/>
                <w:color w:val="auto"/>
                <w:szCs w:val="21"/>
                <w:highlight w:val="none"/>
              </w:rPr>
              <w:t>】</w:t>
            </w:r>
          </w:p>
          <w:p w14:paraId="433A705D">
            <w:pPr>
              <w:numPr>
                <w:ilvl w:val="0"/>
                <w:numId w:val="0"/>
              </w:numPr>
              <w:spacing w:line="360" w:lineRule="auto"/>
              <w:ind w:leftChars="0"/>
              <w:rPr>
                <w:rFonts w:hint="eastAsia" w:eastAsia="宋体"/>
                <w:color w:val="auto"/>
                <w:szCs w:val="21"/>
                <w:highlight w:val="none"/>
              </w:rPr>
            </w:pPr>
            <w:r>
              <w:rPr>
                <w:rFonts w:hint="eastAsia"/>
                <w:color w:val="auto"/>
                <w:szCs w:val="21"/>
                <w:highlight w:val="none"/>
                <w:lang w:eastAsia="zh-CN"/>
              </w:rPr>
              <w:t>①</w:t>
            </w:r>
            <w:r>
              <w:rPr>
                <w:color w:val="auto"/>
                <w:szCs w:val="21"/>
                <w:highlight w:val="none"/>
              </w:rPr>
              <w:t>设计</w:t>
            </w:r>
            <w:r>
              <w:rPr>
                <w:rFonts w:hint="eastAsia"/>
                <w:color w:val="auto"/>
                <w:szCs w:val="21"/>
                <w:highlight w:val="none"/>
              </w:rPr>
              <w:t>方案</w:t>
            </w:r>
            <w:r>
              <w:rPr>
                <w:rFonts w:hint="eastAsia"/>
                <w:color w:val="auto"/>
                <w:szCs w:val="21"/>
                <w:highlight w:val="none"/>
              </w:rPr>
              <w:t>经相关部门批准</w:t>
            </w:r>
            <w:r>
              <w:rPr>
                <w:color w:val="auto"/>
                <w:szCs w:val="21"/>
                <w:highlight w:val="none"/>
              </w:rPr>
              <w:t>后</w:t>
            </w:r>
            <w:r>
              <w:rPr>
                <w:rFonts w:hint="eastAsia"/>
                <w:color w:val="auto"/>
                <w:szCs w:val="21"/>
                <w:highlight w:val="none"/>
                <w:u w:val="single"/>
              </w:rPr>
              <w:t xml:space="preserve">    </w:t>
            </w:r>
            <w:r>
              <w:rPr>
                <w:rFonts w:hint="eastAsia"/>
                <w:color w:val="auto"/>
                <w:szCs w:val="21"/>
                <w:highlight w:val="none"/>
                <w:u w:val="single"/>
                <w:lang w:val="en-US" w:eastAsia="zh-CN"/>
              </w:rPr>
              <w:t>25</w:t>
            </w:r>
            <w:r>
              <w:rPr>
                <w:rFonts w:hint="eastAsia"/>
                <w:color w:val="auto"/>
                <w:szCs w:val="21"/>
                <w:highlight w:val="none"/>
                <w:u w:val="single"/>
              </w:rPr>
              <w:t xml:space="preserve">    </w:t>
            </w:r>
            <w:r>
              <w:rPr>
                <w:rFonts w:hint="eastAsia"/>
                <w:color w:val="auto"/>
                <w:szCs w:val="21"/>
                <w:highlight w:val="none"/>
              </w:rPr>
              <w:t>日历天</w:t>
            </w:r>
            <w:r>
              <w:rPr>
                <w:color w:val="auto"/>
                <w:szCs w:val="21"/>
                <w:highlight w:val="none"/>
              </w:rPr>
              <w:t>内完成初步设</w:t>
            </w:r>
            <w:r>
              <w:rPr>
                <w:rFonts w:hint="eastAsia" w:eastAsia="宋体"/>
                <w:color w:val="auto"/>
                <w:szCs w:val="21"/>
                <w:highlight w:val="none"/>
              </w:rPr>
              <w:t>计</w:t>
            </w:r>
            <w:r>
              <w:rPr>
                <w:rFonts w:hint="eastAsia" w:eastAsia="宋体"/>
                <w:color w:val="auto"/>
                <w:szCs w:val="21"/>
                <w:highlight w:val="none"/>
                <w:lang w:eastAsia="zh-CN"/>
              </w:rPr>
              <w:t>（</w:t>
            </w:r>
            <w:r>
              <w:rPr>
                <w:rFonts w:hint="eastAsia" w:eastAsia="宋体"/>
                <w:color w:val="auto"/>
                <w:szCs w:val="21"/>
                <w:highlight w:val="none"/>
                <w:lang w:val="en-US" w:eastAsia="zh-CN"/>
              </w:rPr>
              <w:t>含概算编制</w:t>
            </w:r>
            <w:r>
              <w:rPr>
                <w:rFonts w:hint="eastAsia" w:eastAsia="宋体"/>
                <w:color w:val="auto"/>
                <w:szCs w:val="21"/>
                <w:highlight w:val="none"/>
                <w:lang w:eastAsia="zh-CN"/>
              </w:rPr>
              <w:t>）</w:t>
            </w:r>
            <w:r>
              <w:rPr>
                <w:rFonts w:hint="eastAsia" w:eastAsia="宋体"/>
                <w:color w:val="auto"/>
                <w:szCs w:val="21"/>
                <w:highlight w:val="none"/>
              </w:rPr>
              <w:t>；</w:t>
            </w:r>
          </w:p>
          <w:p w14:paraId="4CE1FDB4">
            <w:pPr>
              <w:numPr>
                <w:ilvl w:val="0"/>
                <w:numId w:val="0"/>
              </w:numPr>
              <w:spacing w:line="360" w:lineRule="auto"/>
              <w:ind w:leftChars="0"/>
              <w:rPr>
                <w:rFonts w:hint="eastAsia" w:eastAsia="楷体_GB2312"/>
                <w:b/>
                <w:color w:val="auto"/>
                <w:szCs w:val="21"/>
                <w:highlight w:val="none"/>
              </w:rPr>
            </w:pPr>
            <w:r>
              <w:rPr>
                <w:rFonts w:hint="eastAsia"/>
                <w:color w:val="auto"/>
                <w:szCs w:val="21"/>
                <w:highlight w:val="none"/>
                <w:lang w:eastAsia="zh-CN"/>
              </w:rPr>
              <w:t>②</w:t>
            </w:r>
            <w:r>
              <w:rPr>
                <w:color w:val="auto"/>
                <w:szCs w:val="21"/>
                <w:highlight w:val="none"/>
              </w:rPr>
              <w:t>初步设计审查批准后</w:t>
            </w:r>
            <w:r>
              <w:rPr>
                <w:rFonts w:hint="eastAsia"/>
                <w:color w:val="auto"/>
                <w:szCs w:val="21"/>
                <w:highlight w:val="none"/>
                <w:u w:val="single"/>
              </w:rPr>
              <w:t xml:space="preserve">   </w:t>
            </w:r>
            <w:r>
              <w:rPr>
                <w:rFonts w:hint="eastAsia"/>
                <w:color w:val="auto"/>
                <w:szCs w:val="21"/>
                <w:highlight w:val="none"/>
                <w:u w:val="single"/>
                <w:lang w:val="en-US" w:eastAsia="zh-CN"/>
              </w:rPr>
              <w:t>30</w:t>
            </w:r>
            <w:r>
              <w:rPr>
                <w:rFonts w:hint="eastAsia"/>
                <w:color w:val="auto"/>
                <w:szCs w:val="21"/>
                <w:highlight w:val="none"/>
                <w:u w:val="single"/>
              </w:rPr>
              <w:t xml:space="preserve">   </w:t>
            </w:r>
            <w:r>
              <w:rPr>
                <w:rFonts w:hint="eastAsia"/>
                <w:color w:val="auto"/>
                <w:szCs w:val="21"/>
                <w:highlight w:val="none"/>
              </w:rPr>
              <w:t>日历天</w:t>
            </w:r>
            <w:r>
              <w:rPr>
                <w:color w:val="auto"/>
                <w:szCs w:val="21"/>
                <w:highlight w:val="none"/>
              </w:rPr>
              <w:t>内完成所有施工图设计</w:t>
            </w:r>
            <w:r>
              <w:rPr>
                <w:rFonts w:hint="eastAsia"/>
                <w:color w:val="auto"/>
                <w:szCs w:val="21"/>
                <w:highlight w:val="none"/>
              </w:rPr>
              <w:t>；</w:t>
            </w:r>
          </w:p>
          <w:p w14:paraId="41959677">
            <w:pPr>
              <w:spacing w:line="360" w:lineRule="auto"/>
              <w:rPr>
                <w:rFonts w:hint="eastAsia"/>
                <w:color w:val="auto"/>
                <w:szCs w:val="21"/>
                <w:highlight w:val="none"/>
              </w:rPr>
            </w:pPr>
            <w:r>
              <w:rPr>
                <w:rFonts w:hint="eastAsia"/>
                <w:color w:val="auto"/>
                <w:szCs w:val="21"/>
                <w:highlight w:val="none"/>
                <w:lang w:eastAsia="zh-CN"/>
              </w:rPr>
              <w:t>③</w:t>
            </w:r>
            <w:r>
              <w:rPr>
                <w:color w:val="auto"/>
                <w:szCs w:val="21"/>
                <w:highlight w:val="none"/>
              </w:rPr>
              <w:t>施工图设计经审查后</w:t>
            </w:r>
            <w:r>
              <w:rPr>
                <w:rFonts w:hint="eastAsia"/>
                <w:color w:val="auto"/>
                <w:szCs w:val="21"/>
                <w:highlight w:val="none"/>
                <w:u w:val="single"/>
              </w:rPr>
              <w:t xml:space="preserve">   </w:t>
            </w:r>
            <w:r>
              <w:rPr>
                <w:rFonts w:hint="eastAsia"/>
                <w:color w:val="auto"/>
                <w:szCs w:val="21"/>
                <w:highlight w:val="none"/>
                <w:u w:val="single"/>
                <w:lang w:val="en-US" w:eastAsia="zh-CN"/>
              </w:rPr>
              <w:t>5</w:t>
            </w:r>
            <w:r>
              <w:rPr>
                <w:rFonts w:hint="eastAsia"/>
                <w:color w:val="auto"/>
                <w:szCs w:val="21"/>
                <w:highlight w:val="none"/>
                <w:u w:val="single"/>
              </w:rPr>
              <w:t xml:space="preserve">   </w:t>
            </w:r>
            <w:r>
              <w:rPr>
                <w:rFonts w:hint="eastAsia"/>
                <w:color w:val="auto"/>
                <w:szCs w:val="21"/>
                <w:highlight w:val="none"/>
              </w:rPr>
              <w:t>日历</w:t>
            </w:r>
            <w:r>
              <w:rPr>
                <w:rFonts w:hint="eastAsia"/>
                <w:color w:val="auto"/>
                <w:szCs w:val="21"/>
                <w:highlight w:val="none"/>
              </w:rPr>
              <w:t>天</w:t>
            </w:r>
            <w:r>
              <w:rPr>
                <w:color w:val="auto"/>
                <w:szCs w:val="21"/>
                <w:highlight w:val="none"/>
              </w:rPr>
              <w:t>内完成补充、修改</w:t>
            </w:r>
            <w:r>
              <w:rPr>
                <w:rFonts w:hint="eastAsia"/>
                <w:color w:val="auto"/>
                <w:szCs w:val="21"/>
                <w:highlight w:val="none"/>
              </w:rPr>
              <w:t>；</w:t>
            </w:r>
          </w:p>
          <w:p w14:paraId="30241328">
            <w:pPr>
              <w:spacing w:line="360" w:lineRule="auto"/>
              <w:rPr>
                <w:rFonts w:hint="eastAsia"/>
                <w:color w:val="auto"/>
                <w:szCs w:val="21"/>
                <w:highlight w:val="none"/>
              </w:rPr>
            </w:pPr>
            <w:r>
              <w:rPr>
                <w:rFonts w:hint="eastAsia"/>
                <w:color w:val="auto"/>
                <w:szCs w:val="21"/>
                <w:highlight w:val="none"/>
                <w:lang w:eastAsia="zh-CN"/>
              </w:rPr>
              <w:t>④</w:t>
            </w:r>
            <w:r>
              <w:rPr>
                <w:color w:val="auto"/>
                <w:szCs w:val="21"/>
                <w:highlight w:val="none"/>
              </w:rPr>
              <w:t>施工</w:t>
            </w:r>
            <w:r>
              <w:rPr>
                <w:rFonts w:hint="eastAsia"/>
                <w:color w:val="auto"/>
                <w:szCs w:val="21"/>
                <w:highlight w:val="none"/>
              </w:rPr>
              <w:t>配合：从工程项目施工阶段开始至工程竣工验收（如本项目包含施工图设计）</w:t>
            </w:r>
          </w:p>
          <w:p w14:paraId="638EFAD2">
            <w:pPr>
              <w:spacing w:line="360" w:lineRule="auto"/>
              <w:rPr>
                <w:color w:val="auto"/>
                <w:highlight w:val="none"/>
              </w:rPr>
            </w:pPr>
            <w:r>
              <w:rPr>
                <w:rFonts w:hint="eastAsia"/>
                <w:color w:val="auto"/>
                <w:szCs w:val="21"/>
                <w:highlight w:val="none"/>
              </w:rPr>
              <w:t>计划开始日期：</w:t>
            </w:r>
            <w:r>
              <w:rPr>
                <w:rFonts w:hint="eastAsia"/>
                <w:color w:val="auto"/>
                <w:szCs w:val="21"/>
                <w:highlight w:val="none"/>
                <w:u w:val="single"/>
              </w:rPr>
              <w:t>202</w:t>
            </w:r>
            <w:r>
              <w:rPr>
                <w:rFonts w:hint="eastAsia"/>
                <w:color w:val="auto"/>
                <w:szCs w:val="21"/>
                <w:highlight w:val="none"/>
                <w:u w:val="single"/>
                <w:lang w:val="en-US" w:eastAsia="zh-CN"/>
              </w:rPr>
              <w:t>6</w:t>
            </w:r>
            <w:r>
              <w:rPr>
                <w:rFonts w:hint="eastAsia"/>
                <w:color w:val="auto"/>
                <w:szCs w:val="21"/>
                <w:highlight w:val="none"/>
              </w:rPr>
              <w:t>年</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lang w:val="en-US" w:eastAsia="zh-CN"/>
              </w:rPr>
              <w:t xml:space="preserve">  </w:t>
            </w:r>
            <w:r>
              <w:rPr>
                <w:rFonts w:hint="eastAsia"/>
                <w:color w:val="auto"/>
                <w:szCs w:val="21"/>
                <w:highlight w:val="none"/>
              </w:rPr>
              <w:t>日</w:t>
            </w:r>
          </w:p>
        </w:tc>
      </w:tr>
      <w:tr w14:paraId="34B2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1242" w:type="dxa"/>
            <w:vAlign w:val="center"/>
          </w:tcPr>
          <w:p w14:paraId="71C15AAF">
            <w:pPr>
              <w:spacing w:line="360" w:lineRule="auto"/>
              <w:jc w:val="center"/>
              <w:rPr>
                <w:color w:val="auto"/>
                <w:highlight w:val="none"/>
              </w:rPr>
            </w:pPr>
            <w:r>
              <w:rPr>
                <w:color w:val="auto"/>
                <w:highlight w:val="none"/>
              </w:rPr>
              <w:t>1.3.3</w:t>
            </w:r>
          </w:p>
        </w:tc>
        <w:tc>
          <w:tcPr>
            <w:tcW w:w="1843" w:type="dxa"/>
            <w:vAlign w:val="center"/>
          </w:tcPr>
          <w:p w14:paraId="26A64552">
            <w:pPr>
              <w:spacing w:line="360" w:lineRule="auto"/>
              <w:jc w:val="center"/>
              <w:rPr>
                <w:color w:val="auto"/>
                <w:highlight w:val="none"/>
              </w:rPr>
            </w:pPr>
            <w:r>
              <w:rPr>
                <w:color w:val="auto"/>
                <w:highlight w:val="none"/>
              </w:rPr>
              <w:t>质量要求</w:t>
            </w:r>
          </w:p>
        </w:tc>
        <w:tc>
          <w:tcPr>
            <w:tcW w:w="5800" w:type="dxa"/>
            <w:vAlign w:val="center"/>
          </w:tcPr>
          <w:p w14:paraId="0371E972">
            <w:pPr>
              <w:spacing w:line="360" w:lineRule="auto"/>
              <w:rPr>
                <w:rFonts w:hint="eastAsia" w:eastAsia="宋体"/>
                <w:color w:val="auto"/>
                <w:highlight w:val="none"/>
                <w:lang w:eastAsia="zh-CN"/>
              </w:rPr>
            </w:pPr>
            <w:r>
              <w:rPr>
                <w:rFonts w:hint="eastAsia" w:ascii="宋体" w:hAnsi="宋体"/>
                <w:color w:val="auto"/>
                <w:highlight w:val="none"/>
                <w:u w:val="none"/>
              </w:rPr>
              <w:t xml:space="preserve"> </w:t>
            </w:r>
            <w:r>
              <w:rPr>
                <w:rFonts w:hint="eastAsia" w:ascii="宋体" w:hAnsi="宋体" w:cs="宋体"/>
                <w:bCs/>
                <w:color w:val="auto"/>
                <w:kern w:val="0"/>
                <w:szCs w:val="21"/>
                <w:highlight w:val="none"/>
                <w:u w:val="none"/>
              </w:rPr>
              <w:t>符合国家规定的工程设计质量标准、深度要求和现行技术规范、规程要求，并通过国家相关部门组织的审查</w:t>
            </w:r>
            <w:r>
              <w:rPr>
                <w:rFonts w:hint="eastAsia" w:ascii="宋体" w:hAnsi="宋体" w:cs="宋体"/>
                <w:bCs/>
                <w:color w:val="auto"/>
                <w:kern w:val="0"/>
                <w:szCs w:val="21"/>
                <w:highlight w:val="none"/>
                <w:u w:val="none"/>
                <w:lang w:eastAsia="zh-CN"/>
              </w:rPr>
              <w:t>。</w:t>
            </w:r>
          </w:p>
        </w:tc>
      </w:tr>
      <w:tr w14:paraId="1BD4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242" w:type="dxa"/>
            <w:vAlign w:val="center"/>
          </w:tcPr>
          <w:p w14:paraId="6DDAF55B">
            <w:pPr>
              <w:spacing w:line="360" w:lineRule="auto"/>
              <w:jc w:val="center"/>
              <w:rPr>
                <w:color w:val="auto"/>
                <w:highlight w:val="none"/>
              </w:rPr>
            </w:pPr>
            <w:r>
              <w:rPr>
                <w:rFonts w:hint="eastAsia"/>
                <w:color w:val="auto"/>
                <w:highlight w:val="none"/>
              </w:rPr>
              <w:t>1.3.4</w:t>
            </w:r>
          </w:p>
        </w:tc>
        <w:tc>
          <w:tcPr>
            <w:tcW w:w="1843" w:type="dxa"/>
            <w:vAlign w:val="center"/>
          </w:tcPr>
          <w:p w14:paraId="2CB4F468">
            <w:pPr>
              <w:spacing w:line="360" w:lineRule="auto"/>
              <w:rPr>
                <w:color w:val="auto"/>
                <w:highlight w:val="none"/>
              </w:rPr>
            </w:pPr>
            <w:r>
              <w:rPr>
                <w:rFonts w:hint="eastAsia"/>
                <w:color w:val="auto"/>
                <w:highlight w:val="none"/>
              </w:rPr>
              <w:t>城乡规划和城市设计对项目的基本要求（如有）</w:t>
            </w:r>
          </w:p>
        </w:tc>
        <w:tc>
          <w:tcPr>
            <w:tcW w:w="5800" w:type="dxa"/>
            <w:vAlign w:val="center"/>
          </w:tcPr>
          <w:p w14:paraId="44EAC4E8">
            <w:pPr>
              <w:spacing w:line="360" w:lineRule="auto"/>
              <w:rPr>
                <w:color w:val="auto"/>
                <w:highlight w:val="none"/>
              </w:rPr>
            </w:pPr>
            <w:r>
              <w:rPr>
                <w:rFonts w:hint="eastAsia"/>
                <w:color w:val="auto"/>
                <w:highlight w:val="none"/>
              </w:rPr>
              <w:t>/</w:t>
            </w:r>
          </w:p>
        </w:tc>
      </w:tr>
      <w:tr w14:paraId="6AA3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Align w:val="center"/>
          </w:tcPr>
          <w:p w14:paraId="239FCC0A">
            <w:pPr>
              <w:spacing w:line="360" w:lineRule="auto"/>
              <w:jc w:val="center"/>
              <w:rPr>
                <w:color w:val="auto"/>
                <w:highlight w:val="none"/>
              </w:rPr>
            </w:pPr>
            <w:r>
              <w:rPr>
                <w:rFonts w:hint="eastAsia"/>
                <w:color w:val="auto"/>
                <w:highlight w:val="none"/>
              </w:rPr>
              <w:t>1.3.5</w:t>
            </w:r>
          </w:p>
        </w:tc>
        <w:tc>
          <w:tcPr>
            <w:tcW w:w="1843" w:type="dxa"/>
            <w:vAlign w:val="center"/>
          </w:tcPr>
          <w:p w14:paraId="3F10AACA">
            <w:pPr>
              <w:spacing w:line="360" w:lineRule="auto"/>
              <w:rPr>
                <w:color w:val="auto"/>
                <w:highlight w:val="none"/>
              </w:rPr>
            </w:pPr>
            <w:r>
              <w:rPr>
                <w:rFonts w:hint="eastAsia"/>
                <w:color w:val="auto"/>
                <w:highlight w:val="none"/>
              </w:rPr>
              <w:t>项目工程经济技术要求（如有）</w:t>
            </w:r>
          </w:p>
        </w:tc>
        <w:tc>
          <w:tcPr>
            <w:tcW w:w="5800" w:type="dxa"/>
            <w:vAlign w:val="center"/>
          </w:tcPr>
          <w:p w14:paraId="0A061E0B">
            <w:pPr>
              <w:spacing w:line="360" w:lineRule="auto"/>
              <w:rPr>
                <w:color w:val="auto"/>
                <w:highlight w:val="none"/>
              </w:rPr>
            </w:pPr>
            <w:r>
              <w:rPr>
                <w:rFonts w:hint="eastAsia"/>
                <w:color w:val="auto"/>
                <w:highlight w:val="none"/>
              </w:rPr>
              <w:t>/</w:t>
            </w:r>
          </w:p>
        </w:tc>
      </w:tr>
      <w:tr w14:paraId="2636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242" w:type="dxa"/>
            <w:vAlign w:val="center"/>
          </w:tcPr>
          <w:p w14:paraId="6EB3A333">
            <w:pPr>
              <w:spacing w:line="360" w:lineRule="auto"/>
              <w:jc w:val="left"/>
              <w:rPr>
                <w:color w:val="auto"/>
                <w:highlight w:val="none"/>
              </w:rPr>
            </w:pPr>
            <w:r>
              <w:rPr>
                <w:rFonts w:hint="eastAsia"/>
                <w:color w:val="auto"/>
                <w:highlight w:val="none"/>
              </w:rPr>
              <w:t>1.4.1</w:t>
            </w:r>
          </w:p>
        </w:tc>
        <w:tc>
          <w:tcPr>
            <w:tcW w:w="1843" w:type="dxa"/>
            <w:vAlign w:val="center"/>
          </w:tcPr>
          <w:p w14:paraId="5E1B0E0C">
            <w:pPr>
              <w:spacing w:line="360" w:lineRule="auto"/>
              <w:rPr>
                <w:color w:val="auto"/>
                <w:highlight w:val="none"/>
              </w:rPr>
            </w:pPr>
            <w:r>
              <w:rPr>
                <w:rFonts w:hint="eastAsia"/>
                <w:color w:val="auto"/>
                <w:highlight w:val="none"/>
              </w:rPr>
              <w:t>投标人资质条件、能力、信誉要求</w:t>
            </w:r>
          </w:p>
        </w:tc>
        <w:tc>
          <w:tcPr>
            <w:tcW w:w="5800" w:type="dxa"/>
            <w:vAlign w:val="center"/>
          </w:tcPr>
          <w:p w14:paraId="213D1C36">
            <w:pPr>
              <w:spacing w:line="360" w:lineRule="auto"/>
              <w:rPr>
                <w:rFonts w:ascii="楷体" w:hAnsi="楷体" w:eastAsia="楷体"/>
                <w:b/>
                <w:bCs/>
                <w:color w:val="auto"/>
                <w:highlight w:val="none"/>
              </w:rPr>
            </w:pPr>
            <w:r>
              <w:rPr>
                <w:rFonts w:hint="eastAsia"/>
                <w:color w:val="auto"/>
                <w:highlight w:val="none"/>
              </w:rPr>
              <w:t>（1）资质要求：投标人须具有建设行政主管部门颁发的</w:t>
            </w:r>
            <w:r>
              <w:rPr>
                <w:rFonts w:hint="eastAsia"/>
                <w:color w:val="auto"/>
                <w:highlight w:val="none"/>
                <w:u w:val="single"/>
              </w:rPr>
              <w:t>工程设计综合甲级资质或工程设计建筑行业乙级及以上设计资质或工程设计建筑行业(建筑工程)专业乙级及以上设计</w:t>
            </w:r>
            <w:r>
              <w:rPr>
                <w:rFonts w:hint="eastAsia"/>
                <w:color w:val="auto"/>
                <w:highlight w:val="none"/>
              </w:rPr>
              <w:t>资质，并在人员组成方面具有相应的设计能力。</w:t>
            </w:r>
            <w:r>
              <w:rPr>
                <w:rFonts w:hint="eastAsia" w:ascii="楷体" w:hAnsi="楷体" w:eastAsia="楷体"/>
                <w:b/>
                <w:bCs/>
                <w:color w:val="auto"/>
                <w:highlight w:val="none"/>
              </w:rPr>
              <w:t>【备注：</w:t>
            </w:r>
            <w:r>
              <w:rPr>
                <w:rFonts w:hint="eastAsia" w:ascii="楷体" w:hAnsi="楷体" w:eastAsia="楷体" w:cs="宋体"/>
                <w:b/>
                <w:bCs/>
                <w:color w:val="auto"/>
                <w:highlight w:val="none"/>
              </w:rPr>
              <w:t>①</w:t>
            </w:r>
            <w:r>
              <w:rPr>
                <w:rFonts w:hint="eastAsia" w:ascii="楷体" w:hAnsi="楷体" w:eastAsia="楷体"/>
                <w:b/>
                <w:bCs/>
                <w:color w:val="auto"/>
                <w:highlight w:val="none"/>
              </w:rPr>
              <w:t>招标人应根据国家法律法规对企业资质等级许可的相关规定以及招标项目特点，合理设置企业资质类别和等级，不得提高资质等级要求；②</w:t>
            </w:r>
            <w:r>
              <w:rPr>
                <w:rFonts w:hint="eastAsia" w:ascii="楷体" w:hAnsi="楷体" w:eastAsia="楷体" w:cs="宋体"/>
                <w:b/>
                <w:bCs/>
                <w:color w:val="auto"/>
                <w:highlight w:val="none"/>
              </w:rPr>
              <w:t>以“广西建筑市场监管云平台（以下简称“桂建云”）”系统的信息为准</w:t>
            </w:r>
            <w:r>
              <w:rPr>
                <w:rFonts w:hint="eastAsia" w:ascii="楷体" w:hAnsi="楷体" w:eastAsia="楷体"/>
                <w:b/>
                <w:bCs/>
                <w:color w:val="auto"/>
                <w:highlight w:val="none"/>
              </w:rPr>
              <w:t>】</w:t>
            </w:r>
          </w:p>
          <w:p w14:paraId="00C22144">
            <w:pPr>
              <w:spacing w:line="360" w:lineRule="auto"/>
              <w:rPr>
                <w:color w:val="auto"/>
                <w:highlight w:val="none"/>
              </w:rPr>
            </w:pPr>
            <w:r>
              <w:rPr>
                <w:rFonts w:hint="eastAsia"/>
                <w:color w:val="auto"/>
                <w:highlight w:val="none"/>
              </w:rPr>
              <w:t>（2）财务要求：</w:t>
            </w:r>
          </w:p>
          <w:p w14:paraId="4F9FA35D">
            <w:pPr>
              <w:spacing w:line="360" w:lineRule="auto"/>
              <w:rPr>
                <w:color w:val="auto"/>
                <w:highlight w:val="none"/>
              </w:rPr>
            </w:pPr>
            <w:r>
              <w:rPr>
                <w:rFonts w:hint="eastAsia"/>
                <w:color w:val="auto"/>
                <w:highlight w:val="none"/>
                <w:lang w:eastAsia="zh-CN"/>
              </w:rPr>
              <w:t>□</w:t>
            </w:r>
            <w:r>
              <w:rPr>
                <w:rFonts w:hint="eastAsia"/>
                <w:color w:val="auto"/>
                <w:highlight w:val="none"/>
              </w:rPr>
              <w:t>无要求</w:t>
            </w:r>
          </w:p>
          <w:p w14:paraId="1490E443">
            <w:pPr>
              <w:spacing w:line="360" w:lineRule="auto"/>
              <w:rPr>
                <w:rFonts w:ascii="楷体" w:hAnsi="楷体" w:eastAsia="楷体"/>
                <w:b/>
                <w:bCs/>
                <w:color w:val="auto"/>
                <w:highlight w:val="none"/>
              </w:rPr>
            </w:pPr>
            <w:r>
              <w:rPr>
                <w:rFonts w:hint="eastAsia"/>
                <w:color w:val="auto"/>
                <w:highlight w:val="none"/>
              </w:rPr>
              <w:t>☑有要求：财务状况良好，没有处于企业被接管、破产或关、停、并、转状态情况。需提供近</w:t>
            </w:r>
            <w:r>
              <w:rPr>
                <w:rFonts w:hint="eastAsia"/>
                <w:color w:val="auto"/>
                <w:highlight w:val="none"/>
                <w:u w:val="single"/>
              </w:rPr>
              <w:t>3（即：2022年、2023年、2024年）</w:t>
            </w:r>
            <w:r>
              <w:rPr>
                <w:rFonts w:hint="eastAsia"/>
                <w:color w:val="auto"/>
                <w:highlight w:val="none"/>
              </w:rPr>
              <w:t>年经审计的财务报表。</w:t>
            </w:r>
            <w:r>
              <w:rPr>
                <w:rFonts w:hint="eastAsia" w:ascii="楷体" w:hAnsi="楷体" w:eastAsia="楷体" w:cs="宋体"/>
                <w:b/>
                <w:bCs/>
                <w:color w:val="auto"/>
                <w:highlight w:val="none"/>
              </w:rPr>
              <w:t>【备注：①一般为近三年；②以录入 “桂建云”系统为准；③对于从取得营业执照时间起到投标截止时间为止不足要求年数的企业，只需提交企业取得营业执照年份至所要求最近年份经审计的财务报表；</w:t>
            </w:r>
            <w:r>
              <w:rPr>
                <w:rFonts w:hint="eastAsia" w:ascii="楷体" w:hAnsi="楷体" w:eastAsia="楷体" w:cs="宋体"/>
                <w:b/>
                <w:color w:val="auto"/>
                <w:highlight w:val="none"/>
              </w:rPr>
              <w:t>④若是投标当年成立的企业，其财务报表不要求经审计；⑤联合体投标的则联合体各方均须提供。</w:t>
            </w:r>
            <w:r>
              <w:rPr>
                <w:rFonts w:hint="eastAsia" w:ascii="楷体" w:hAnsi="楷体" w:eastAsia="楷体" w:cs="宋体"/>
                <w:b/>
                <w:bCs/>
                <w:color w:val="auto"/>
                <w:highlight w:val="none"/>
              </w:rPr>
              <w:t>】</w:t>
            </w:r>
          </w:p>
          <w:p w14:paraId="26616A5D">
            <w:pPr>
              <w:spacing w:line="360" w:lineRule="auto"/>
              <w:rPr>
                <w:color w:val="auto"/>
                <w:highlight w:val="none"/>
              </w:rPr>
            </w:pPr>
            <w:r>
              <w:rPr>
                <w:rFonts w:hint="eastAsia"/>
                <w:color w:val="auto"/>
                <w:highlight w:val="none"/>
              </w:rPr>
              <w:t>（3）业绩要求：</w:t>
            </w:r>
          </w:p>
          <w:p w14:paraId="32C0B182">
            <w:pPr>
              <w:spacing w:line="360" w:lineRule="auto"/>
              <w:rPr>
                <w:color w:val="auto"/>
                <w:highlight w:val="none"/>
              </w:rPr>
            </w:pPr>
            <w:r>
              <w:rPr>
                <w:rFonts w:hint="eastAsia"/>
                <w:color w:val="auto"/>
                <w:highlight w:val="none"/>
                <w:lang w:eastAsia="zh-CN"/>
              </w:rPr>
              <w:t>☑</w:t>
            </w:r>
            <w:r>
              <w:rPr>
                <w:rFonts w:hint="eastAsia"/>
                <w:color w:val="auto"/>
                <w:highlight w:val="none"/>
              </w:rPr>
              <w:t>无要求</w:t>
            </w:r>
          </w:p>
          <w:p w14:paraId="6AFCD019">
            <w:pPr>
              <w:spacing w:line="360" w:lineRule="auto"/>
              <w:rPr>
                <w:color w:val="auto"/>
                <w:highlight w:val="none"/>
              </w:rPr>
            </w:pPr>
            <w:r>
              <w:rPr>
                <w:rFonts w:hint="eastAsia"/>
                <w:color w:val="auto"/>
                <w:highlight w:val="none"/>
                <w:lang w:eastAsia="zh-CN"/>
              </w:rPr>
              <w:t>□</w:t>
            </w:r>
            <w:r>
              <w:rPr>
                <w:rFonts w:hint="eastAsia"/>
                <w:color w:val="auto"/>
                <w:highlight w:val="none"/>
              </w:rPr>
              <w:t>有要求：</w:t>
            </w:r>
            <w:r>
              <w:rPr>
                <w:rFonts w:hint="eastAsia"/>
                <w:color w:val="auto"/>
                <w:highlight w:val="none"/>
                <w:u w:val="single"/>
                <w:lang w:val="en-US" w:eastAsia="zh-CN"/>
              </w:rPr>
              <w:t>/</w:t>
            </w:r>
            <w:r>
              <w:rPr>
                <w:rFonts w:hint="eastAsia"/>
                <w:color w:val="auto"/>
                <w:highlight w:val="none"/>
              </w:rPr>
              <w:t xml:space="preserve">年 </w:t>
            </w:r>
            <w:r>
              <w:rPr>
                <w:rFonts w:hint="eastAsia"/>
                <w:color w:val="auto"/>
                <w:highlight w:val="none"/>
                <w:u w:val="single"/>
                <w:lang w:val="en-US" w:eastAsia="zh-CN"/>
              </w:rPr>
              <w:t>/</w:t>
            </w:r>
            <w:r>
              <w:rPr>
                <w:rFonts w:hint="eastAsia"/>
                <w:color w:val="auto"/>
                <w:highlight w:val="none"/>
              </w:rPr>
              <w:t>月</w:t>
            </w:r>
            <w:r>
              <w:rPr>
                <w:rFonts w:hint="eastAsia"/>
                <w:color w:val="auto"/>
                <w:highlight w:val="none"/>
                <w:u w:val="single"/>
                <w:lang w:val="en-US" w:eastAsia="zh-CN"/>
              </w:rPr>
              <w:t>/</w:t>
            </w:r>
            <w:r>
              <w:rPr>
                <w:rFonts w:hint="eastAsia"/>
                <w:color w:val="auto"/>
                <w:highlight w:val="none"/>
              </w:rPr>
              <w:t>日至投标截止日期止企业：</w:t>
            </w:r>
          </w:p>
          <w:p w14:paraId="5089CC89">
            <w:pPr>
              <w:spacing w:line="360" w:lineRule="auto"/>
              <w:rPr>
                <w:rFonts w:ascii="楷体" w:hAnsi="楷体" w:eastAsia="楷体" w:cs="宋体"/>
                <w:b/>
                <w:bCs/>
                <w:color w:val="auto"/>
                <w:highlight w:val="none"/>
              </w:rPr>
            </w:pPr>
            <w:r>
              <w:rPr>
                <w:rFonts w:hint="eastAsia"/>
                <w:color w:val="auto"/>
                <w:highlight w:val="none"/>
                <w:lang w:eastAsia="zh-CN"/>
              </w:rPr>
              <w:t>□</w:t>
            </w:r>
            <w:r>
              <w:rPr>
                <w:rFonts w:hint="eastAsia"/>
                <w:color w:val="auto"/>
                <w:highlight w:val="none"/>
              </w:rPr>
              <w:t>完成的类似工程项目</w:t>
            </w:r>
            <w:r>
              <w:rPr>
                <w:rFonts w:hint="eastAsia" w:ascii="楷体" w:hAnsi="楷体" w:eastAsia="楷体" w:cs="宋体"/>
                <w:b/>
                <w:bCs/>
                <w:color w:val="auto"/>
                <w:highlight w:val="none"/>
              </w:rPr>
              <w:t>【备注：①完成的工程业绩以和</w:t>
            </w:r>
            <w:r>
              <w:rPr>
                <w:rFonts w:hint="eastAsia" w:ascii="楷体" w:hAnsi="楷体" w:eastAsia="楷体"/>
                <w:b/>
                <w:bCs/>
                <w:color w:val="auto"/>
                <w:highlight w:val="none"/>
              </w:rPr>
              <w:t>“桂建云”系统上的信息</w:t>
            </w:r>
            <w:r>
              <w:rPr>
                <w:rFonts w:hint="eastAsia" w:ascii="楷体" w:hAnsi="楷体" w:eastAsia="楷体" w:cs="宋体"/>
                <w:b/>
                <w:bCs/>
                <w:color w:val="auto"/>
                <w:highlight w:val="none"/>
              </w:rPr>
              <w:t>为准；②需提供施工图审查合格报告书、方案或初步设计批复等证明材料，可从“桂建云”系统导入。】</w:t>
            </w:r>
          </w:p>
          <w:p w14:paraId="66DB231B">
            <w:pPr>
              <w:spacing w:line="360" w:lineRule="auto"/>
              <w:rPr>
                <w:rFonts w:ascii="楷体" w:hAnsi="楷体" w:eastAsia="楷体" w:cs="宋体"/>
                <w:b/>
                <w:bCs/>
                <w:color w:val="auto"/>
                <w:highlight w:val="none"/>
              </w:rPr>
            </w:pPr>
            <w:r>
              <w:rPr>
                <w:rFonts w:hint="eastAsia" w:ascii="宋体" w:hAnsi="宋体" w:cs="宋体"/>
                <w:b/>
                <w:bCs/>
                <w:color w:val="auto"/>
                <w:highlight w:val="none"/>
                <w:lang w:eastAsia="zh-CN"/>
              </w:rPr>
              <w:t>□</w:t>
            </w:r>
            <w:r>
              <w:rPr>
                <w:rFonts w:hint="eastAsia"/>
                <w:color w:val="auto"/>
                <w:highlight w:val="none"/>
              </w:rPr>
              <w:t>正在实施和新承接的类似工程项目</w:t>
            </w:r>
            <w:r>
              <w:rPr>
                <w:rFonts w:hint="eastAsia" w:ascii="楷体" w:hAnsi="楷体" w:eastAsia="楷体"/>
                <w:b/>
                <w:bCs/>
                <w:color w:val="auto"/>
                <w:szCs w:val="21"/>
                <w:highlight w:val="none"/>
              </w:rPr>
              <w:t>【</w:t>
            </w:r>
            <w:r>
              <w:rPr>
                <w:rFonts w:hint="eastAsia" w:ascii="楷体" w:hAnsi="楷体" w:eastAsia="楷体" w:cs="宋体"/>
                <w:b/>
                <w:bCs/>
                <w:color w:val="auto"/>
                <w:highlight w:val="none"/>
              </w:rPr>
              <w:t>备注：①以</w:t>
            </w:r>
            <w:r>
              <w:rPr>
                <w:rFonts w:hint="eastAsia" w:ascii="楷体" w:hAnsi="楷体" w:eastAsia="楷体"/>
                <w:b/>
                <w:bCs/>
                <w:color w:val="auto"/>
                <w:highlight w:val="none"/>
              </w:rPr>
              <w:t>“桂建云”系统上的信息</w:t>
            </w:r>
            <w:r>
              <w:rPr>
                <w:rFonts w:hint="eastAsia" w:ascii="楷体" w:hAnsi="楷体" w:eastAsia="楷体" w:cs="宋体"/>
                <w:b/>
                <w:bCs/>
                <w:color w:val="auto"/>
                <w:highlight w:val="none"/>
              </w:rPr>
              <w:t>为准；②</w:t>
            </w:r>
            <w:r>
              <w:rPr>
                <w:rFonts w:hint="eastAsia" w:ascii="楷体" w:hAnsi="楷体" w:eastAsia="楷体"/>
                <w:b/>
                <w:bCs/>
                <w:color w:val="auto"/>
                <w:szCs w:val="21"/>
                <w:highlight w:val="none"/>
              </w:rPr>
              <w:t>需提供签订的工程设计合同或中标通知书等证明材料，</w:t>
            </w:r>
            <w:r>
              <w:rPr>
                <w:rFonts w:hint="eastAsia" w:ascii="楷体" w:hAnsi="楷体" w:eastAsia="楷体" w:cs="宋体"/>
                <w:b/>
                <w:bCs/>
                <w:color w:val="auto"/>
                <w:highlight w:val="none"/>
              </w:rPr>
              <w:t>可从“桂建云”系统导入。（此项可选）。】</w:t>
            </w:r>
          </w:p>
          <w:p w14:paraId="1471AA24">
            <w:pPr>
              <w:keepNext w:val="0"/>
              <w:keepLines w:val="0"/>
              <w:pageBreakBefore w:val="0"/>
              <w:kinsoku/>
              <w:wordWrap w:val="0"/>
              <w:overflowPunct/>
              <w:topLinePunct w:val="0"/>
              <w:autoSpaceDE/>
              <w:autoSpaceDN/>
              <w:bidi w:val="0"/>
              <w:adjustRightInd/>
              <w:snapToGrid/>
              <w:spacing w:line="400" w:lineRule="exact"/>
              <w:textAlignment w:val="auto"/>
              <w:rPr>
                <w:color w:val="auto"/>
                <w:highlight w:val="none"/>
              </w:rPr>
            </w:pPr>
            <w:r>
              <w:rPr>
                <w:rFonts w:hint="eastAsia"/>
                <w:color w:val="auto"/>
                <w:highlight w:val="none"/>
              </w:rPr>
              <w:t>（4）诚信要求：</w:t>
            </w:r>
          </w:p>
          <w:p w14:paraId="34159B55">
            <w:pPr>
              <w:keepNext w:val="0"/>
              <w:keepLines w:val="0"/>
              <w:pageBreakBefore w:val="0"/>
              <w:kinsoku/>
              <w:wordWrap w:val="0"/>
              <w:overflowPunct/>
              <w:topLinePunct w:val="0"/>
              <w:autoSpaceDE/>
              <w:autoSpaceDN/>
              <w:bidi w:val="0"/>
              <w:adjustRightInd/>
              <w:snapToGrid/>
              <w:spacing w:line="400" w:lineRule="exact"/>
              <w:textAlignment w:val="auto"/>
              <w:rPr>
                <w:color w:val="auto"/>
                <w:highlight w:val="none"/>
              </w:rPr>
            </w:pPr>
            <w:r>
              <w:rPr>
                <w:rFonts w:hint="eastAsia"/>
                <w:color w:val="auto"/>
                <w:highlight w:val="none"/>
              </w:rPr>
              <w:t>根据最高人民法院等9部门《关于在招投标活动中对失信被执行人实施联合惩戒的通知》（法〔2016〕285号）规定，投标人、拟派项目负责人不得为失信被执行人（以评标阶段 “信用中国”网站（www.creditchina.gov.cn）查询信息为准）。</w:t>
            </w:r>
          </w:p>
          <w:p w14:paraId="72DE8A8D">
            <w:pPr>
              <w:keepNext w:val="0"/>
              <w:keepLines w:val="0"/>
              <w:pageBreakBefore w:val="0"/>
              <w:kinsoku/>
              <w:wordWrap w:val="0"/>
              <w:overflowPunct/>
              <w:topLinePunct w:val="0"/>
              <w:autoSpaceDE/>
              <w:autoSpaceDN/>
              <w:bidi w:val="0"/>
              <w:adjustRightInd/>
              <w:snapToGrid/>
              <w:spacing w:line="400" w:lineRule="exact"/>
              <w:textAlignment w:val="auto"/>
              <w:rPr>
                <w:color w:val="auto"/>
                <w:highlight w:val="none"/>
              </w:rPr>
            </w:pPr>
            <w:r>
              <w:rPr>
                <w:rFonts w:hint="eastAsia"/>
                <w:color w:val="auto"/>
                <w:highlight w:val="none"/>
              </w:rPr>
              <w:t>投标人（如为联合体时，联合体中任一个成员）、拟派项目负责人不得是列为企业或个人诚信不良、失信联合惩戒的投标人、项目负责人。（以评标阶段全国建筑市场监管公共服务平台（http://jzsc.mohurd.gov.cn/home）查询信息为准）。</w:t>
            </w:r>
          </w:p>
          <w:p w14:paraId="493D8A25">
            <w:pPr>
              <w:keepNext w:val="0"/>
              <w:keepLines w:val="0"/>
              <w:pageBreakBefore w:val="0"/>
              <w:kinsoku/>
              <w:wordWrap w:val="0"/>
              <w:overflowPunct/>
              <w:topLinePunct w:val="0"/>
              <w:autoSpaceDE/>
              <w:autoSpaceDN/>
              <w:bidi w:val="0"/>
              <w:adjustRightInd/>
              <w:snapToGrid/>
              <w:spacing w:line="400" w:lineRule="exact"/>
              <w:textAlignment w:val="auto"/>
              <w:rPr>
                <w:color w:val="auto"/>
                <w:highlight w:val="none"/>
              </w:rPr>
            </w:pPr>
            <w:r>
              <w:rPr>
                <w:rFonts w:hint="eastAsia"/>
                <w:color w:val="auto"/>
                <w:highlight w:val="none"/>
              </w:rPr>
              <w:t>近三年内投标人或其法定代表人不得有行贿犯罪行为（以评标阶段“中国裁判文书”网站（https://wenshu.court.gov.cn）查询信息为准）。</w:t>
            </w:r>
          </w:p>
          <w:p w14:paraId="48D6C3A6">
            <w:pPr>
              <w:keepNext w:val="0"/>
              <w:keepLines w:val="0"/>
              <w:pageBreakBefore w:val="0"/>
              <w:kinsoku/>
              <w:wordWrap w:val="0"/>
              <w:overflowPunct/>
              <w:topLinePunct w:val="0"/>
              <w:autoSpaceDE/>
              <w:autoSpaceDN/>
              <w:bidi w:val="0"/>
              <w:adjustRightInd/>
              <w:snapToGrid/>
              <w:spacing w:line="400" w:lineRule="exact"/>
              <w:textAlignment w:val="auto"/>
              <w:rPr>
                <w:color w:val="auto"/>
                <w:highlight w:val="none"/>
              </w:rPr>
            </w:pPr>
            <w:r>
              <w:rPr>
                <w:rFonts w:hint="eastAsia"/>
                <w:color w:val="auto"/>
                <w:highlight w:val="none"/>
              </w:rPr>
              <w:t>（5）项目负责人资格：</w:t>
            </w:r>
            <w:r>
              <w:rPr>
                <w:rFonts w:hint="eastAsia" w:ascii="宋体" w:hAnsi="宋体"/>
                <w:color w:val="auto"/>
                <w:highlight w:val="none"/>
                <w:u w:val="single"/>
                <w:lang w:eastAsia="zh-CN"/>
              </w:rPr>
              <w:t>具备</w:t>
            </w:r>
            <w:r>
              <w:rPr>
                <w:rFonts w:hint="eastAsia" w:ascii="宋体" w:hAnsi="宋体"/>
                <w:color w:val="auto"/>
                <w:highlight w:val="none"/>
                <w:u w:val="single"/>
              </w:rPr>
              <w:t>一级注册建筑师执业资格证书及建筑工程相关</w:t>
            </w:r>
            <w:r>
              <w:rPr>
                <w:rFonts w:hint="eastAsia" w:ascii="宋体" w:hAnsi="宋体"/>
                <w:color w:val="auto"/>
                <w:highlight w:val="none"/>
                <w:u w:val="single"/>
                <w:lang w:eastAsia="zh-CN"/>
              </w:rPr>
              <w:t>专业</w:t>
            </w:r>
            <w:r>
              <w:rPr>
                <w:rFonts w:hint="eastAsia" w:ascii="宋体" w:hAnsi="宋体"/>
                <w:color w:val="auto"/>
                <w:highlight w:val="none"/>
                <w:u w:val="single"/>
              </w:rPr>
              <w:t>高级工程师</w:t>
            </w:r>
            <w:r>
              <w:rPr>
                <w:rFonts w:hint="eastAsia" w:ascii="宋体" w:hAnsi="宋体"/>
                <w:color w:val="auto"/>
                <w:highlight w:val="none"/>
                <w:u w:val="single"/>
                <w:lang w:eastAsia="zh-CN"/>
              </w:rPr>
              <w:t>及以上</w:t>
            </w:r>
            <w:r>
              <w:rPr>
                <w:rFonts w:hint="eastAsia" w:ascii="宋体" w:hAnsi="宋体"/>
                <w:color w:val="auto"/>
                <w:highlight w:val="none"/>
                <w:u w:val="single"/>
              </w:rPr>
              <w:t>职称</w:t>
            </w:r>
            <w:r>
              <w:rPr>
                <w:rFonts w:hint="eastAsia"/>
                <w:color w:val="auto"/>
                <w:highlight w:val="none"/>
              </w:rPr>
              <w:t xml:space="preserve"> ，且已录入 “桂建云”系统并处于有效状态。</w:t>
            </w:r>
          </w:p>
          <w:p w14:paraId="2DC340B3">
            <w:pPr>
              <w:keepNext w:val="0"/>
              <w:keepLines w:val="0"/>
              <w:pageBreakBefore w:val="0"/>
              <w:kinsoku/>
              <w:wordWrap w:val="0"/>
              <w:overflowPunct/>
              <w:topLinePunct w:val="0"/>
              <w:autoSpaceDE/>
              <w:autoSpaceDN/>
              <w:bidi w:val="0"/>
              <w:adjustRightInd/>
              <w:snapToGrid/>
              <w:spacing w:line="400" w:lineRule="exact"/>
              <w:textAlignment w:val="auto"/>
              <w:rPr>
                <w:rFonts w:ascii="楷体" w:hAnsi="楷体" w:eastAsia="楷体"/>
                <w:b/>
                <w:bCs/>
                <w:color w:val="auto"/>
                <w:highlight w:val="none"/>
              </w:rPr>
            </w:pPr>
            <w:r>
              <w:rPr>
                <w:rFonts w:hint="eastAsia"/>
                <w:color w:val="auto"/>
                <w:highlight w:val="none"/>
              </w:rPr>
              <w:t>（6）项目组人员要求：</w:t>
            </w:r>
            <w:r>
              <w:rPr>
                <w:rFonts w:hint="eastAsia" w:ascii="楷体" w:hAnsi="楷体" w:eastAsia="楷体"/>
                <w:b/>
                <w:bCs/>
                <w:color w:val="auto"/>
                <w:highlight w:val="none"/>
              </w:rPr>
              <w:t>【备注：可根据项目具体情况做相应调整】：</w:t>
            </w:r>
          </w:p>
          <w:p w14:paraId="569F8C63">
            <w:pPr>
              <w:keepNext w:val="0"/>
              <w:keepLines w:val="0"/>
              <w:pageBreakBefore w:val="0"/>
              <w:widowControl/>
              <w:kinsoku/>
              <w:wordWrap w:val="0"/>
              <w:overflowPunct/>
              <w:topLinePunct w:val="0"/>
              <w:autoSpaceDE/>
              <w:autoSpaceDN/>
              <w:bidi w:val="0"/>
              <w:adjustRightInd/>
              <w:snapToGrid/>
              <w:spacing w:line="400" w:lineRule="exact"/>
              <w:jc w:val="left"/>
              <w:textAlignment w:val="auto"/>
              <w:rPr>
                <w:rFonts w:ascii="宋体"/>
                <w:color w:val="auto"/>
                <w:szCs w:val="21"/>
                <w:highlight w:val="none"/>
              </w:rPr>
            </w:pPr>
            <w:r>
              <w:rPr>
                <w:rFonts w:hint="eastAsia" w:ascii="宋体"/>
                <w:color w:val="auto"/>
                <w:szCs w:val="21"/>
                <w:highlight w:val="none"/>
              </w:rPr>
              <w:t>建筑设计专业负责人</w:t>
            </w:r>
            <w:r>
              <w:rPr>
                <w:rFonts w:hint="eastAsia" w:ascii="宋体"/>
                <w:color w:val="auto"/>
                <w:szCs w:val="21"/>
                <w:highlight w:val="none"/>
                <w:u w:val="single"/>
              </w:rPr>
              <w:t xml:space="preserve"> </w:t>
            </w:r>
            <w:r>
              <w:rPr>
                <w:rFonts w:hint="eastAsia" w:ascii="宋体"/>
                <w:color w:val="auto"/>
                <w:szCs w:val="21"/>
                <w:highlight w:val="none"/>
                <w:u w:val="single"/>
                <w:lang w:val="en-US" w:eastAsia="zh-CN"/>
              </w:rPr>
              <w:t xml:space="preserve"> 1 </w:t>
            </w:r>
            <w:r>
              <w:rPr>
                <w:rFonts w:hint="eastAsia" w:ascii="宋体"/>
                <w:color w:val="auto"/>
                <w:szCs w:val="21"/>
                <w:highlight w:val="none"/>
                <w:u w:val="single"/>
              </w:rPr>
              <w:t xml:space="preserve"> </w:t>
            </w:r>
            <w:r>
              <w:rPr>
                <w:rFonts w:hint="eastAsia" w:ascii="宋体"/>
                <w:color w:val="auto"/>
                <w:szCs w:val="21"/>
                <w:highlight w:val="none"/>
              </w:rPr>
              <w:t>人，执业资格（职称）：</w:t>
            </w:r>
            <w:r>
              <w:rPr>
                <w:rFonts w:hint="eastAsia" w:ascii="宋体"/>
                <w:color w:val="auto"/>
                <w:szCs w:val="21"/>
                <w:highlight w:val="none"/>
                <w:u w:val="single"/>
                <w:lang w:val="en-US" w:eastAsia="zh-CN"/>
              </w:rPr>
              <w:t xml:space="preserve"> </w:t>
            </w:r>
            <w:r>
              <w:rPr>
                <w:rFonts w:hint="eastAsia" w:ascii="宋体" w:hAnsi="Times New Roman" w:eastAsia="宋体" w:cs="Times New Roman"/>
                <w:color w:val="auto"/>
                <w:kern w:val="2"/>
                <w:sz w:val="21"/>
                <w:szCs w:val="21"/>
                <w:highlight w:val="none"/>
                <w:u w:val="single"/>
                <w:lang w:val="en-US" w:eastAsia="zh-CN" w:bidi="ar"/>
              </w:rPr>
              <w:t>具有一级注册建筑师资格，职称：中级及以上职称</w:t>
            </w:r>
            <w:r>
              <w:rPr>
                <w:rFonts w:hint="eastAsia" w:ascii="宋体"/>
                <w:color w:val="auto"/>
                <w:szCs w:val="21"/>
                <w:highlight w:val="none"/>
                <w:u w:val="single"/>
              </w:rPr>
              <w:t>；</w:t>
            </w:r>
          </w:p>
          <w:p w14:paraId="0290719B">
            <w:pPr>
              <w:keepNext w:val="0"/>
              <w:keepLines w:val="0"/>
              <w:pageBreakBefore w:val="0"/>
              <w:kinsoku/>
              <w:wordWrap w:val="0"/>
              <w:overflowPunct/>
              <w:topLinePunct w:val="0"/>
              <w:autoSpaceDE/>
              <w:autoSpaceDN/>
              <w:bidi w:val="0"/>
              <w:adjustRightInd/>
              <w:snapToGrid/>
              <w:spacing w:line="400" w:lineRule="exact"/>
              <w:textAlignment w:val="auto"/>
              <w:rPr>
                <w:rFonts w:ascii="宋体"/>
                <w:color w:val="auto"/>
                <w:szCs w:val="21"/>
                <w:highlight w:val="none"/>
                <w:u w:val="single"/>
              </w:rPr>
            </w:pPr>
            <w:r>
              <w:rPr>
                <w:rFonts w:hint="eastAsia" w:ascii="宋体"/>
                <w:color w:val="auto"/>
                <w:szCs w:val="21"/>
                <w:highlight w:val="none"/>
              </w:rPr>
              <w:t>结构设计专业负责人</w:t>
            </w:r>
            <w:r>
              <w:rPr>
                <w:rFonts w:hint="eastAsia" w:ascii="宋体"/>
                <w:color w:val="auto"/>
                <w:szCs w:val="21"/>
                <w:highlight w:val="none"/>
                <w:u w:val="single"/>
              </w:rPr>
              <w:t xml:space="preserve">  </w:t>
            </w:r>
            <w:r>
              <w:rPr>
                <w:rFonts w:hint="eastAsia" w:ascii="宋体"/>
                <w:color w:val="auto"/>
                <w:szCs w:val="21"/>
                <w:highlight w:val="none"/>
                <w:u w:val="single"/>
                <w:lang w:val="en-US" w:eastAsia="zh-CN"/>
              </w:rPr>
              <w:t xml:space="preserve"> 1 </w:t>
            </w:r>
            <w:r>
              <w:rPr>
                <w:rFonts w:hint="eastAsia" w:ascii="宋体"/>
                <w:color w:val="auto"/>
                <w:szCs w:val="21"/>
                <w:highlight w:val="none"/>
                <w:u w:val="single"/>
              </w:rPr>
              <w:t xml:space="preserve">  </w:t>
            </w:r>
            <w:r>
              <w:rPr>
                <w:rFonts w:hint="eastAsia" w:ascii="宋体"/>
                <w:color w:val="auto"/>
                <w:szCs w:val="21"/>
                <w:highlight w:val="none"/>
              </w:rPr>
              <w:t>人，执业资格（职称）：</w:t>
            </w:r>
            <w:r>
              <w:rPr>
                <w:rFonts w:hint="eastAsia" w:ascii="宋体"/>
                <w:color w:val="auto"/>
                <w:szCs w:val="21"/>
                <w:highlight w:val="none"/>
                <w:u w:val="single"/>
                <w:lang w:val="en-US" w:eastAsia="zh-CN"/>
              </w:rPr>
              <w:t xml:space="preserve"> </w:t>
            </w:r>
            <w:r>
              <w:rPr>
                <w:rFonts w:hint="eastAsia" w:ascii="宋体"/>
                <w:color w:val="auto"/>
                <w:szCs w:val="21"/>
                <w:highlight w:val="none"/>
                <w:u w:val="single"/>
              </w:rPr>
              <w:t>具有一级注册结构工程师资格，职称：中级及以上职称</w:t>
            </w:r>
            <w:r>
              <w:rPr>
                <w:rFonts w:hint="eastAsia" w:ascii="宋体"/>
                <w:color w:val="auto"/>
                <w:szCs w:val="21"/>
                <w:highlight w:val="none"/>
                <w:u w:val="single"/>
                <w:lang w:val="en-US" w:eastAsia="zh-CN"/>
              </w:rPr>
              <w:t xml:space="preserve"> </w:t>
            </w:r>
            <w:r>
              <w:rPr>
                <w:rFonts w:hint="eastAsia" w:ascii="宋体"/>
                <w:color w:val="auto"/>
                <w:szCs w:val="21"/>
                <w:highlight w:val="none"/>
              </w:rPr>
              <w:t>；</w:t>
            </w:r>
          </w:p>
          <w:p w14:paraId="3022CE9C">
            <w:pPr>
              <w:keepNext w:val="0"/>
              <w:keepLines w:val="0"/>
              <w:pageBreakBefore w:val="0"/>
              <w:kinsoku/>
              <w:wordWrap w:val="0"/>
              <w:overflowPunct/>
              <w:topLinePunct w:val="0"/>
              <w:autoSpaceDE/>
              <w:autoSpaceDN/>
              <w:bidi w:val="0"/>
              <w:adjustRightInd/>
              <w:snapToGrid/>
              <w:spacing w:line="400" w:lineRule="exact"/>
              <w:textAlignment w:val="auto"/>
              <w:rPr>
                <w:rFonts w:ascii="宋体"/>
                <w:color w:val="auto"/>
                <w:szCs w:val="21"/>
                <w:highlight w:val="none"/>
              </w:rPr>
            </w:pPr>
            <w:r>
              <w:rPr>
                <w:rFonts w:hint="eastAsia" w:ascii="宋体"/>
                <w:color w:val="auto"/>
                <w:szCs w:val="21"/>
                <w:highlight w:val="none"/>
              </w:rPr>
              <w:t>电气设备专业负责人</w:t>
            </w:r>
            <w:r>
              <w:rPr>
                <w:rFonts w:hint="eastAsia" w:ascii="宋体"/>
                <w:color w:val="auto"/>
                <w:szCs w:val="21"/>
                <w:highlight w:val="none"/>
                <w:u w:val="single"/>
              </w:rPr>
              <w:t xml:space="preserve">  </w:t>
            </w:r>
            <w:r>
              <w:rPr>
                <w:rFonts w:hint="eastAsia" w:ascii="宋体"/>
                <w:color w:val="auto"/>
                <w:szCs w:val="21"/>
                <w:highlight w:val="none"/>
                <w:u w:val="single"/>
                <w:lang w:val="en-US" w:eastAsia="zh-CN"/>
              </w:rPr>
              <w:t xml:space="preserve"> 1</w:t>
            </w:r>
            <w:r>
              <w:rPr>
                <w:rFonts w:hint="eastAsia" w:ascii="宋体"/>
                <w:color w:val="auto"/>
                <w:szCs w:val="21"/>
                <w:highlight w:val="none"/>
                <w:u w:val="single"/>
              </w:rPr>
              <w:t xml:space="preserve">  </w:t>
            </w:r>
            <w:r>
              <w:rPr>
                <w:rFonts w:hint="eastAsia" w:ascii="宋体"/>
                <w:color w:val="auto"/>
                <w:szCs w:val="21"/>
                <w:highlight w:val="none"/>
              </w:rPr>
              <w:t>人，执业资格（职称）：</w:t>
            </w:r>
            <w:r>
              <w:rPr>
                <w:rFonts w:hint="eastAsia" w:ascii="宋体"/>
                <w:color w:val="auto"/>
                <w:szCs w:val="21"/>
                <w:highlight w:val="none"/>
                <w:u w:val="single"/>
                <w:lang w:val="en-US" w:eastAsia="zh-CN"/>
              </w:rPr>
              <w:t xml:space="preserve"> </w:t>
            </w:r>
            <w:r>
              <w:rPr>
                <w:rFonts w:hint="eastAsia" w:ascii="宋体"/>
                <w:color w:val="auto"/>
                <w:szCs w:val="21"/>
                <w:highlight w:val="none"/>
                <w:u w:val="single"/>
              </w:rPr>
              <w:t>具有注册电气工程师（供配电）执业证书，职称：中级及以上职称</w:t>
            </w:r>
            <w:r>
              <w:rPr>
                <w:rFonts w:hint="eastAsia" w:ascii="宋体"/>
                <w:color w:val="auto"/>
                <w:szCs w:val="21"/>
                <w:highlight w:val="none"/>
                <w:u w:val="single"/>
                <w:lang w:val="en-US" w:eastAsia="zh-CN"/>
              </w:rPr>
              <w:t xml:space="preserve"> </w:t>
            </w:r>
            <w:r>
              <w:rPr>
                <w:rFonts w:hint="eastAsia" w:ascii="宋体"/>
                <w:color w:val="auto"/>
                <w:szCs w:val="21"/>
                <w:highlight w:val="none"/>
              </w:rPr>
              <w:t>；</w:t>
            </w:r>
          </w:p>
          <w:p w14:paraId="76DEB883">
            <w:pPr>
              <w:keepNext w:val="0"/>
              <w:keepLines w:val="0"/>
              <w:pageBreakBefore w:val="0"/>
              <w:kinsoku/>
              <w:wordWrap w:val="0"/>
              <w:overflowPunct/>
              <w:topLinePunct w:val="0"/>
              <w:autoSpaceDE/>
              <w:autoSpaceDN/>
              <w:bidi w:val="0"/>
              <w:adjustRightInd/>
              <w:snapToGrid/>
              <w:spacing w:line="400" w:lineRule="exact"/>
              <w:textAlignment w:val="auto"/>
              <w:rPr>
                <w:rFonts w:ascii="宋体"/>
                <w:color w:val="auto"/>
                <w:szCs w:val="21"/>
                <w:highlight w:val="none"/>
              </w:rPr>
            </w:pPr>
            <w:r>
              <w:rPr>
                <w:rFonts w:hint="eastAsia" w:ascii="宋体"/>
                <w:color w:val="auto"/>
                <w:szCs w:val="21"/>
                <w:highlight w:val="none"/>
              </w:rPr>
              <w:t>给排水专业负责人</w:t>
            </w:r>
            <w:r>
              <w:rPr>
                <w:rFonts w:hint="eastAsia" w:ascii="宋体"/>
                <w:color w:val="auto"/>
                <w:szCs w:val="21"/>
                <w:highlight w:val="none"/>
                <w:u w:val="single"/>
              </w:rPr>
              <w:t xml:space="preserve">  </w:t>
            </w:r>
            <w:r>
              <w:rPr>
                <w:rFonts w:hint="eastAsia" w:ascii="宋体"/>
                <w:color w:val="auto"/>
                <w:szCs w:val="21"/>
                <w:highlight w:val="none"/>
                <w:u w:val="single"/>
                <w:lang w:val="en-US" w:eastAsia="zh-CN"/>
              </w:rPr>
              <w:t xml:space="preserve"> 1</w:t>
            </w:r>
            <w:r>
              <w:rPr>
                <w:rFonts w:hint="eastAsia" w:ascii="宋体"/>
                <w:color w:val="auto"/>
                <w:szCs w:val="21"/>
                <w:highlight w:val="none"/>
                <w:u w:val="single"/>
              </w:rPr>
              <w:t xml:space="preserve">  </w:t>
            </w:r>
            <w:r>
              <w:rPr>
                <w:rFonts w:hint="eastAsia" w:ascii="宋体"/>
                <w:color w:val="auto"/>
                <w:szCs w:val="21"/>
                <w:highlight w:val="none"/>
              </w:rPr>
              <w:t>人，执业资格（职称）：</w:t>
            </w:r>
            <w:r>
              <w:rPr>
                <w:rFonts w:hint="eastAsia" w:ascii="宋体"/>
                <w:color w:val="auto"/>
                <w:szCs w:val="21"/>
                <w:highlight w:val="none"/>
                <w:u w:val="single"/>
              </w:rPr>
              <w:t>职称：中级及以上职称</w:t>
            </w:r>
            <w:r>
              <w:rPr>
                <w:rFonts w:hint="eastAsia" w:ascii="宋体"/>
                <w:color w:val="auto"/>
                <w:szCs w:val="21"/>
                <w:highlight w:val="none"/>
              </w:rPr>
              <w:t>；</w:t>
            </w:r>
          </w:p>
          <w:p w14:paraId="7587482D">
            <w:pPr>
              <w:keepNext w:val="0"/>
              <w:keepLines w:val="0"/>
              <w:pageBreakBefore w:val="0"/>
              <w:kinsoku/>
              <w:wordWrap w:val="0"/>
              <w:overflowPunct/>
              <w:topLinePunct w:val="0"/>
              <w:autoSpaceDE/>
              <w:autoSpaceDN/>
              <w:bidi w:val="0"/>
              <w:adjustRightInd/>
              <w:snapToGrid/>
              <w:spacing w:line="400" w:lineRule="exact"/>
              <w:textAlignment w:val="auto"/>
              <w:rPr>
                <w:rFonts w:ascii="宋体"/>
                <w:color w:val="auto"/>
                <w:szCs w:val="21"/>
                <w:highlight w:val="none"/>
              </w:rPr>
            </w:pPr>
            <w:r>
              <w:rPr>
                <w:rFonts w:hint="eastAsia" w:ascii="宋体"/>
                <w:color w:val="auto"/>
                <w:szCs w:val="21"/>
                <w:highlight w:val="none"/>
              </w:rPr>
              <w:t>道路设计专业负责人</w:t>
            </w:r>
            <w:r>
              <w:rPr>
                <w:rFonts w:hint="eastAsia" w:ascii="宋体"/>
                <w:color w:val="auto"/>
                <w:szCs w:val="21"/>
                <w:highlight w:val="none"/>
                <w:u w:val="single"/>
              </w:rPr>
              <w:t xml:space="preserve"> 0   </w:t>
            </w:r>
            <w:r>
              <w:rPr>
                <w:rFonts w:hint="eastAsia" w:ascii="宋体"/>
                <w:color w:val="auto"/>
                <w:szCs w:val="21"/>
                <w:highlight w:val="none"/>
              </w:rPr>
              <w:t>人，执业资格（职称）：</w:t>
            </w:r>
            <w:r>
              <w:rPr>
                <w:rFonts w:hint="eastAsia" w:ascii="宋体"/>
                <w:color w:val="auto"/>
                <w:szCs w:val="21"/>
                <w:highlight w:val="none"/>
                <w:u w:val="single"/>
              </w:rPr>
              <w:t xml:space="preserve">  /      </w:t>
            </w:r>
            <w:r>
              <w:rPr>
                <w:rFonts w:hint="eastAsia" w:ascii="宋体"/>
                <w:color w:val="auto"/>
                <w:szCs w:val="21"/>
                <w:highlight w:val="none"/>
              </w:rPr>
              <w:t>；</w:t>
            </w:r>
          </w:p>
          <w:p w14:paraId="303E7B28">
            <w:pPr>
              <w:keepNext w:val="0"/>
              <w:keepLines w:val="0"/>
              <w:pageBreakBefore w:val="0"/>
              <w:kinsoku/>
              <w:wordWrap w:val="0"/>
              <w:overflowPunct/>
              <w:topLinePunct w:val="0"/>
              <w:autoSpaceDE/>
              <w:autoSpaceDN/>
              <w:bidi w:val="0"/>
              <w:adjustRightInd/>
              <w:snapToGrid/>
              <w:spacing w:line="400" w:lineRule="exact"/>
              <w:textAlignment w:val="auto"/>
              <w:rPr>
                <w:rFonts w:ascii="宋体"/>
                <w:color w:val="auto"/>
                <w:szCs w:val="21"/>
                <w:highlight w:val="none"/>
              </w:rPr>
            </w:pPr>
            <w:r>
              <w:rPr>
                <w:rFonts w:hint="eastAsia" w:ascii="宋体"/>
                <w:color w:val="auto"/>
                <w:szCs w:val="21"/>
                <w:highlight w:val="none"/>
              </w:rPr>
              <w:t>桥梁设计专业负责人</w:t>
            </w:r>
            <w:r>
              <w:rPr>
                <w:rFonts w:hint="eastAsia" w:ascii="宋体"/>
                <w:color w:val="auto"/>
                <w:szCs w:val="21"/>
                <w:highlight w:val="none"/>
                <w:u w:val="single"/>
              </w:rPr>
              <w:t xml:space="preserve">  0  </w:t>
            </w:r>
            <w:r>
              <w:rPr>
                <w:rFonts w:hint="eastAsia" w:ascii="宋体"/>
                <w:color w:val="auto"/>
                <w:szCs w:val="21"/>
                <w:highlight w:val="none"/>
              </w:rPr>
              <w:t>人，执业资格（职称）：</w:t>
            </w:r>
            <w:r>
              <w:rPr>
                <w:rFonts w:hint="eastAsia" w:ascii="宋体"/>
                <w:color w:val="auto"/>
                <w:szCs w:val="21"/>
                <w:highlight w:val="none"/>
                <w:u w:val="single"/>
              </w:rPr>
              <w:t xml:space="preserve">   /     </w:t>
            </w:r>
            <w:r>
              <w:rPr>
                <w:rFonts w:hint="eastAsia" w:ascii="宋体"/>
                <w:color w:val="auto"/>
                <w:szCs w:val="21"/>
                <w:highlight w:val="none"/>
              </w:rPr>
              <w:t>；</w:t>
            </w:r>
          </w:p>
          <w:p w14:paraId="0C5AFFE1">
            <w:pPr>
              <w:keepNext w:val="0"/>
              <w:keepLines w:val="0"/>
              <w:pageBreakBefore w:val="0"/>
              <w:kinsoku/>
              <w:wordWrap w:val="0"/>
              <w:overflowPunct/>
              <w:topLinePunct w:val="0"/>
              <w:autoSpaceDE/>
              <w:autoSpaceDN/>
              <w:bidi w:val="0"/>
              <w:adjustRightInd/>
              <w:snapToGrid/>
              <w:spacing w:line="400" w:lineRule="exact"/>
              <w:textAlignment w:val="auto"/>
              <w:rPr>
                <w:rFonts w:hint="eastAsia" w:ascii="宋体"/>
                <w:color w:val="auto"/>
                <w:szCs w:val="21"/>
                <w:highlight w:val="none"/>
                <w:u w:val="single"/>
              </w:rPr>
            </w:pPr>
            <w:r>
              <w:rPr>
                <w:rFonts w:hint="eastAsia" w:ascii="宋体"/>
                <w:color w:val="auto"/>
                <w:szCs w:val="21"/>
                <w:highlight w:val="none"/>
              </w:rPr>
              <w:t>造价编制负责人</w:t>
            </w:r>
            <w:r>
              <w:rPr>
                <w:rFonts w:hint="eastAsia" w:ascii="宋体"/>
                <w:color w:val="auto"/>
                <w:szCs w:val="21"/>
                <w:highlight w:val="none"/>
                <w:u w:val="single"/>
              </w:rPr>
              <w:t xml:space="preserve">  </w:t>
            </w:r>
            <w:r>
              <w:rPr>
                <w:rFonts w:hint="eastAsia" w:ascii="宋体"/>
                <w:color w:val="auto"/>
                <w:szCs w:val="21"/>
                <w:highlight w:val="none"/>
                <w:u w:val="single"/>
                <w:lang w:val="en-US" w:eastAsia="zh-CN"/>
              </w:rPr>
              <w:t>1</w:t>
            </w:r>
            <w:r>
              <w:rPr>
                <w:rFonts w:hint="eastAsia" w:ascii="宋体"/>
                <w:color w:val="auto"/>
                <w:szCs w:val="21"/>
                <w:highlight w:val="none"/>
                <w:u w:val="single"/>
              </w:rPr>
              <w:t xml:space="preserve">  </w:t>
            </w:r>
            <w:r>
              <w:rPr>
                <w:rFonts w:hint="eastAsia" w:ascii="宋体"/>
                <w:color w:val="auto"/>
                <w:szCs w:val="21"/>
                <w:highlight w:val="none"/>
              </w:rPr>
              <w:t>人，资格（职称）：</w:t>
            </w:r>
            <w:r>
              <w:rPr>
                <w:rFonts w:hint="eastAsia" w:ascii="宋体"/>
                <w:color w:val="auto"/>
                <w:szCs w:val="21"/>
                <w:highlight w:val="none"/>
                <w:u w:val="single"/>
                <w:lang w:val="en-US" w:eastAsia="zh-CN"/>
              </w:rPr>
              <w:t xml:space="preserve"> </w:t>
            </w:r>
            <w:r>
              <w:rPr>
                <w:rFonts w:hint="eastAsia" w:ascii="宋体"/>
                <w:color w:val="auto"/>
                <w:szCs w:val="21"/>
                <w:highlight w:val="none"/>
                <w:u w:val="single"/>
              </w:rPr>
              <w:t>具有</w:t>
            </w:r>
            <w:r>
              <w:rPr>
                <w:rFonts w:hint="eastAsia" w:ascii="宋体"/>
                <w:color w:val="auto"/>
                <w:szCs w:val="21"/>
                <w:highlight w:val="none"/>
                <w:u w:val="single"/>
                <w:lang w:eastAsia="zh-CN"/>
              </w:rPr>
              <w:t>一级</w:t>
            </w:r>
            <w:r>
              <w:rPr>
                <w:rFonts w:hint="eastAsia" w:ascii="宋体"/>
                <w:color w:val="auto"/>
                <w:szCs w:val="21"/>
                <w:highlight w:val="none"/>
                <w:u w:val="single"/>
              </w:rPr>
              <w:t>注册造价</w:t>
            </w:r>
            <w:r>
              <w:rPr>
                <w:rFonts w:hint="eastAsia" w:ascii="宋体"/>
                <w:color w:val="auto"/>
                <w:szCs w:val="21"/>
                <w:highlight w:val="none"/>
                <w:u w:val="single"/>
                <w:lang w:eastAsia="zh-CN"/>
              </w:rPr>
              <w:t>工程</w:t>
            </w:r>
            <w:r>
              <w:rPr>
                <w:rFonts w:hint="eastAsia" w:ascii="宋体"/>
                <w:color w:val="auto"/>
                <w:szCs w:val="21"/>
                <w:highlight w:val="none"/>
                <w:u w:val="single"/>
              </w:rPr>
              <w:t>师资格，职称：中级及以上职称；</w:t>
            </w:r>
          </w:p>
          <w:p w14:paraId="331B8614">
            <w:pPr>
              <w:keepNext w:val="0"/>
              <w:keepLines w:val="0"/>
              <w:pageBreakBefore w:val="0"/>
              <w:kinsoku/>
              <w:wordWrap w:val="0"/>
              <w:overflowPunct/>
              <w:topLinePunct w:val="0"/>
              <w:autoSpaceDE/>
              <w:autoSpaceDN/>
              <w:bidi w:val="0"/>
              <w:adjustRightInd/>
              <w:snapToGrid/>
              <w:spacing w:line="360" w:lineRule="exact"/>
              <w:textAlignment w:val="auto"/>
              <w:rPr>
                <w:rFonts w:hint="eastAsia" w:ascii="宋体"/>
                <w:color w:val="auto"/>
                <w:szCs w:val="21"/>
                <w:highlight w:val="none"/>
                <w:u w:val="single"/>
              </w:rPr>
            </w:pPr>
            <w:r>
              <w:rPr>
                <w:rFonts w:hint="eastAsia" w:ascii="宋体"/>
                <w:color w:val="auto"/>
                <w:szCs w:val="21"/>
                <w:highlight w:val="none"/>
                <w:u w:val="single"/>
                <w:lang w:val="en-US" w:eastAsia="zh-CN"/>
              </w:rPr>
              <w:t>暖通</w:t>
            </w:r>
            <w:r>
              <w:rPr>
                <w:rFonts w:hint="eastAsia" w:ascii="宋体"/>
                <w:color w:val="auto"/>
                <w:szCs w:val="21"/>
                <w:highlight w:val="none"/>
                <w:lang w:val="en-US" w:eastAsia="zh-CN"/>
              </w:rPr>
              <w:t>专业</w:t>
            </w:r>
            <w:r>
              <w:rPr>
                <w:rFonts w:hint="eastAsia" w:ascii="宋体"/>
                <w:color w:val="auto"/>
                <w:szCs w:val="21"/>
                <w:highlight w:val="none"/>
              </w:rPr>
              <w:t>负责人</w:t>
            </w:r>
            <w:r>
              <w:rPr>
                <w:rFonts w:hint="eastAsia" w:ascii="宋体"/>
                <w:color w:val="auto"/>
                <w:szCs w:val="21"/>
                <w:highlight w:val="none"/>
                <w:u w:val="single"/>
              </w:rPr>
              <w:t xml:space="preserve"> </w:t>
            </w:r>
            <w:r>
              <w:rPr>
                <w:rFonts w:hint="eastAsia" w:ascii="宋体"/>
                <w:color w:val="auto"/>
                <w:szCs w:val="21"/>
                <w:highlight w:val="none"/>
                <w:u w:val="single"/>
                <w:lang w:val="en-US" w:eastAsia="zh-CN"/>
              </w:rPr>
              <w:t>1</w:t>
            </w:r>
            <w:r>
              <w:rPr>
                <w:rFonts w:hint="eastAsia" w:ascii="宋体"/>
                <w:color w:val="auto"/>
                <w:szCs w:val="21"/>
                <w:highlight w:val="none"/>
                <w:u w:val="single"/>
              </w:rPr>
              <w:t xml:space="preserve"> </w:t>
            </w:r>
            <w:r>
              <w:rPr>
                <w:rFonts w:hint="eastAsia" w:ascii="宋体"/>
                <w:color w:val="auto"/>
                <w:szCs w:val="21"/>
                <w:highlight w:val="none"/>
              </w:rPr>
              <w:t>人，资格（职称）：</w:t>
            </w:r>
            <w:r>
              <w:rPr>
                <w:rFonts w:hint="eastAsia" w:ascii="宋体"/>
                <w:color w:val="auto"/>
                <w:szCs w:val="21"/>
                <w:highlight w:val="none"/>
                <w:u w:val="single"/>
                <w:lang w:eastAsia="zh-CN"/>
              </w:rPr>
              <w:t>职称：中级及以上职称</w:t>
            </w:r>
            <w:r>
              <w:rPr>
                <w:rFonts w:hint="eastAsia" w:ascii="宋体"/>
                <w:color w:val="auto"/>
                <w:szCs w:val="21"/>
                <w:highlight w:val="none"/>
                <w:u w:val="none"/>
                <w:lang w:eastAsia="zh-CN"/>
              </w:rPr>
              <w:t>。</w:t>
            </w:r>
          </w:p>
          <w:p w14:paraId="21C298F4">
            <w:pPr>
              <w:spacing w:line="360" w:lineRule="auto"/>
              <w:rPr>
                <w:rFonts w:ascii="楷体" w:hAnsi="楷体" w:eastAsia="楷体"/>
                <w:b/>
                <w:bCs/>
                <w:color w:val="auto"/>
                <w:szCs w:val="21"/>
                <w:highlight w:val="none"/>
              </w:rPr>
            </w:pPr>
            <w:r>
              <w:rPr>
                <w:rFonts w:hint="eastAsia" w:ascii="楷体" w:hAnsi="楷体" w:eastAsia="楷体"/>
                <w:b/>
                <w:bCs/>
                <w:color w:val="auto"/>
                <w:szCs w:val="21"/>
                <w:highlight w:val="none"/>
              </w:rPr>
              <w:t>【</w:t>
            </w:r>
            <w:r>
              <w:rPr>
                <w:rFonts w:ascii="楷体" w:hAnsi="楷体" w:eastAsia="楷体"/>
                <w:b/>
                <w:bCs/>
                <w:color w:val="auto"/>
                <w:szCs w:val="21"/>
                <w:highlight w:val="none"/>
              </w:rPr>
              <w:t>备注</w:t>
            </w:r>
            <w:r>
              <w:rPr>
                <w:rFonts w:hint="eastAsia" w:ascii="楷体" w:hAnsi="楷体" w:eastAsia="楷体"/>
                <w:b/>
                <w:bCs/>
                <w:color w:val="auto"/>
                <w:szCs w:val="21"/>
                <w:highlight w:val="none"/>
              </w:rPr>
              <w:t>：（5）</w:t>
            </w:r>
            <w:r>
              <w:rPr>
                <w:rFonts w:ascii="楷体" w:hAnsi="楷体" w:eastAsia="楷体"/>
                <w:b/>
                <w:bCs/>
                <w:color w:val="auto"/>
                <w:kern w:val="0"/>
                <w:highlight w:val="none"/>
              </w:rPr>
              <w:t>~</w:t>
            </w:r>
            <w:r>
              <w:rPr>
                <w:rFonts w:hint="eastAsia" w:ascii="楷体" w:hAnsi="楷体" w:eastAsia="楷体"/>
                <w:b/>
                <w:bCs/>
                <w:color w:val="auto"/>
                <w:kern w:val="0"/>
                <w:highlight w:val="none"/>
              </w:rPr>
              <w:t>（6）：</w:t>
            </w:r>
            <w:r>
              <w:rPr>
                <w:rFonts w:hint="eastAsia" w:ascii="楷体" w:hAnsi="楷体" w:eastAsia="楷体"/>
                <w:b/>
                <w:bCs/>
                <w:color w:val="auto"/>
                <w:highlight w:val="none"/>
              </w:rPr>
              <w:t>①</w:t>
            </w:r>
            <w:r>
              <w:rPr>
                <w:rFonts w:hint="eastAsia" w:ascii="楷体" w:hAnsi="楷体" w:eastAsia="楷体"/>
                <w:b/>
                <w:bCs/>
                <w:color w:val="auto"/>
                <w:szCs w:val="21"/>
                <w:highlight w:val="none"/>
              </w:rPr>
              <w:tab/>
            </w:r>
            <w:r>
              <w:rPr>
                <w:rFonts w:hint="eastAsia" w:ascii="楷体" w:hAnsi="楷体" w:eastAsia="楷体"/>
                <w:b/>
                <w:bCs/>
                <w:color w:val="auto"/>
                <w:szCs w:val="21"/>
                <w:highlight w:val="none"/>
              </w:rPr>
              <w:t>项目负责人身份证、学历证、职称证、执业注册信息</w:t>
            </w:r>
            <w:r>
              <w:rPr>
                <w:rFonts w:hint="eastAsia" w:eastAsia="楷体"/>
                <w:b/>
                <w:color w:val="auto"/>
                <w:szCs w:val="21"/>
                <w:highlight w:val="none"/>
              </w:rPr>
              <w:t>（</w:t>
            </w:r>
            <w:r>
              <w:rPr>
                <w:rFonts w:hint="eastAsia" w:ascii="楷体" w:hAnsi="楷体" w:eastAsia="楷体"/>
                <w:b/>
                <w:color w:val="auto"/>
                <w:highlight w:val="none"/>
              </w:rPr>
              <w:t>注册类型及等级、证书编号等信息从全国建筑市场监管公共服务平台下行到“桂建云”即可，不需要核验注册证书扫描件</w:t>
            </w:r>
            <w:r>
              <w:rPr>
                <w:rFonts w:hint="eastAsia" w:eastAsia="楷体"/>
                <w:b/>
                <w:color w:val="auto"/>
                <w:szCs w:val="21"/>
                <w:highlight w:val="none"/>
              </w:rPr>
              <w:t>）</w:t>
            </w:r>
            <w:r>
              <w:rPr>
                <w:rFonts w:hint="eastAsia" w:ascii="楷体" w:hAnsi="楷体" w:eastAsia="楷体"/>
                <w:b/>
                <w:bCs/>
                <w:color w:val="auto"/>
                <w:szCs w:val="21"/>
                <w:highlight w:val="none"/>
              </w:rPr>
              <w:t>等相关证明材料未通过“桂建云”的，在评审时不予承认。项目负责人应附社保缴费证明原件扫描件，管理过的项目业绩须附合同协议书的封面及相关内容页或中标通知书复印件；②项目组人员</w:t>
            </w:r>
            <w:r>
              <w:rPr>
                <w:rFonts w:hint="eastAsia" w:ascii="楷体" w:hAnsi="楷体" w:eastAsia="楷体"/>
                <w:b/>
                <w:color w:val="auto"/>
                <w:szCs w:val="21"/>
                <w:highlight w:val="none"/>
              </w:rPr>
              <w:t>身份证、学历证、职称证、执业注册信息</w:t>
            </w:r>
            <w:r>
              <w:rPr>
                <w:rFonts w:hint="eastAsia" w:eastAsia="楷体"/>
                <w:b/>
                <w:color w:val="auto"/>
                <w:szCs w:val="21"/>
                <w:highlight w:val="none"/>
              </w:rPr>
              <w:t>（</w:t>
            </w:r>
            <w:r>
              <w:rPr>
                <w:rFonts w:hint="eastAsia" w:ascii="楷体" w:hAnsi="楷体" w:eastAsia="楷体"/>
                <w:b/>
                <w:color w:val="auto"/>
                <w:highlight w:val="none"/>
              </w:rPr>
              <w:t>注册类型及等级、证书编号等信息从全国建筑市场监管公共服务平台下行到“桂建云”即可，不需要核验注册证书扫描件</w:t>
            </w:r>
            <w:r>
              <w:rPr>
                <w:rFonts w:hint="eastAsia" w:eastAsia="楷体"/>
                <w:b/>
                <w:color w:val="auto"/>
                <w:szCs w:val="21"/>
                <w:highlight w:val="none"/>
              </w:rPr>
              <w:t>）</w:t>
            </w:r>
            <w:r>
              <w:rPr>
                <w:rFonts w:hint="eastAsia" w:ascii="楷体" w:hAnsi="楷体" w:eastAsia="楷体"/>
                <w:b/>
                <w:color w:val="auto"/>
                <w:szCs w:val="21"/>
                <w:highlight w:val="none"/>
              </w:rPr>
              <w:t>等相关证明材料未通过“桂建云”的，在评审时不予承认。</w:t>
            </w:r>
            <w:r>
              <w:rPr>
                <w:rFonts w:hint="eastAsia" w:ascii="楷体" w:hAnsi="楷体" w:eastAsia="楷体" w:cs="宋体"/>
                <w:b/>
                <w:color w:val="auto"/>
                <w:highlight w:val="none"/>
              </w:rPr>
              <w:t>注册城乡规划师，咨询工程师，注册土木工程师（道路）等未在住建部注册或者未实施注册制度的资格证书，可在投标人认为的其他材料内补充上传电子证书，</w:t>
            </w:r>
            <w:r>
              <w:rPr>
                <w:rFonts w:ascii="楷体" w:hAnsi="楷体" w:eastAsia="楷体" w:cs="宋体"/>
                <w:b/>
                <w:color w:val="auto"/>
                <w:highlight w:val="none"/>
                <w:lang w:val="en"/>
              </w:rPr>
              <w:t>非电子证书，均不予以认可。</w:t>
            </w:r>
            <w:r>
              <w:rPr>
                <w:rFonts w:hint="eastAsia" w:ascii="楷体" w:hAnsi="楷体" w:eastAsia="楷体"/>
                <w:b/>
                <w:bCs/>
                <w:color w:val="auto"/>
                <w:szCs w:val="21"/>
                <w:highlight w:val="none"/>
              </w:rPr>
              <w:t>项目组成员应附社保缴费证明原件扫描件；③</w:t>
            </w:r>
            <w:r>
              <w:rPr>
                <w:rFonts w:hint="eastAsia" w:ascii="楷体" w:hAnsi="楷体" w:eastAsia="楷体"/>
                <w:b/>
                <w:bCs/>
                <w:color w:val="auto"/>
                <w:highlight w:val="none"/>
              </w:rPr>
              <w:t>社保</w:t>
            </w:r>
            <w:r>
              <w:rPr>
                <w:rFonts w:ascii="楷体" w:hAnsi="楷体" w:eastAsia="楷体"/>
                <w:b/>
                <w:bCs/>
                <w:color w:val="auto"/>
                <w:highlight w:val="none"/>
              </w:rPr>
              <w:t>缴费证明</w:t>
            </w:r>
            <w:r>
              <w:rPr>
                <w:rFonts w:hint="eastAsia" w:ascii="楷体" w:hAnsi="楷体" w:eastAsia="楷体"/>
                <w:b/>
                <w:bCs/>
                <w:color w:val="auto"/>
                <w:highlight w:val="none"/>
              </w:rPr>
              <w:t>，</w:t>
            </w:r>
            <w:r>
              <w:rPr>
                <w:rFonts w:ascii="楷体" w:hAnsi="楷体" w:eastAsia="楷体"/>
                <w:b/>
                <w:bCs/>
                <w:color w:val="auto"/>
                <w:highlight w:val="none"/>
              </w:rPr>
              <w:t>一般提交近</w:t>
            </w:r>
            <w:r>
              <w:rPr>
                <w:rFonts w:hint="eastAsia" w:ascii="楷体" w:hAnsi="楷体" w:eastAsia="楷体"/>
                <w:b/>
                <w:bCs/>
                <w:color w:val="auto"/>
                <w:highlight w:val="none"/>
              </w:rPr>
              <w:t>3个月（</w:t>
            </w:r>
            <w:r>
              <w:rPr>
                <w:rFonts w:hint="eastAsia" w:ascii="楷体" w:hAnsi="楷体" w:eastAsia="楷体"/>
                <w:b/>
                <w:bCs/>
                <w:color w:val="auto"/>
                <w:highlight w:val="none"/>
                <w:u w:val="single"/>
              </w:rPr>
              <w:t>2025</w:t>
            </w:r>
            <w:r>
              <w:rPr>
                <w:rFonts w:hint="eastAsia" w:ascii="楷体" w:hAnsi="楷体" w:eastAsia="楷体"/>
                <w:b/>
                <w:bCs/>
                <w:color w:val="auto"/>
                <w:highlight w:val="none"/>
              </w:rPr>
              <w:t>年</w:t>
            </w:r>
            <w:r>
              <w:rPr>
                <w:rFonts w:hint="eastAsia" w:ascii="楷体" w:hAnsi="楷体" w:eastAsia="楷体"/>
                <w:b/>
                <w:bCs/>
                <w:color w:val="auto"/>
                <w:highlight w:val="none"/>
                <w:u w:val="single"/>
                <w:lang w:val="en-US" w:eastAsia="zh-CN"/>
              </w:rPr>
              <w:t>10</w:t>
            </w:r>
            <w:r>
              <w:rPr>
                <w:rFonts w:hint="eastAsia" w:ascii="楷体" w:hAnsi="楷体" w:eastAsia="楷体"/>
                <w:b/>
                <w:bCs/>
                <w:color w:val="auto"/>
                <w:highlight w:val="none"/>
              </w:rPr>
              <w:t>月至</w:t>
            </w:r>
            <w:r>
              <w:rPr>
                <w:rFonts w:hint="eastAsia" w:ascii="楷体" w:hAnsi="楷体" w:eastAsia="楷体"/>
                <w:b/>
                <w:bCs/>
                <w:color w:val="auto"/>
                <w:highlight w:val="none"/>
                <w:u w:val="single"/>
              </w:rPr>
              <w:t>2025</w:t>
            </w:r>
            <w:r>
              <w:rPr>
                <w:rFonts w:hint="eastAsia" w:ascii="楷体" w:hAnsi="楷体" w:eastAsia="楷体"/>
                <w:b/>
                <w:bCs/>
                <w:color w:val="auto"/>
                <w:highlight w:val="none"/>
              </w:rPr>
              <w:t>年</w:t>
            </w:r>
            <w:r>
              <w:rPr>
                <w:rFonts w:hint="eastAsia" w:ascii="楷体" w:hAnsi="楷体" w:eastAsia="楷体"/>
                <w:b/>
                <w:bCs/>
                <w:color w:val="auto"/>
                <w:highlight w:val="none"/>
                <w:u w:val="single"/>
                <w:lang w:val="en-US" w:eastAsia="zh-CN"/>
              </w:rPr>
              <w:t>12</w:t>
            </w:r>
            <w:r>
              <w:rPr>
                <w:rFonts w:hint="eastAsia" w:ascii="楷体" w:hAnsi="楷体" w:eastAsia="楷体"/>
                <w:b/>
                <w:bCs/>
                <w:color w:val="auto"/>
                <w:highlight w:val="none"/>
              </w:rPr>
              <w:t>月）内的。如为退休返聘人员，提供其退休证及返聘合同原件扫描件。</w:t>
            </w:r>
            <w:r>
              <w:rPr>
                <w:rFonts w:hint="eastAsia" w:ascii="楷体" w:hAnsi="楷体" w:eastAsia="楷体"/>
                <w:b/>
                <w:bCs/>
                <w:color w:val="auto"/>
                <w:szCs w:val="21"/>
                <w:highlight w:val="none"/>
              </w:rPr>
              <w:t>】</w:t>
            </w:r>
          </w:p>
          <w:p w14:paraId="6C3DD002">
            <w:pPr>
              <w:spacing w:line="360" w:lineRule="auto"/>
              <w:rPr>
                <w:color w:val="auto"/>
                <w:highlight w:val="none"/>
              </w:rPr>
            </w:pPr>
            <w:r>
              <w:rPr>
                <w:rFonts w:hint="eastAsia"/>
                <w:color w:val="auto"/>
                <w:highlight w:val="none"/>
              </w:rPr>
              <w:t xml:space="preserve">（7）其他要求： </w:t>
            </w:r>
            <w:r>
              <w:rPr>
                <w:rFonts w:hint="eastAsia"/>
                <w:color w:val="auto"/>
                <w:highlight w:val="none"/>
                <w:u w:val="single"/>
              </w:rPr>
              <w:t xml:space="preserve">            /                     </w:t>
            </w:r>
            <w:r>
              <w:rPr>
                <w:rFonts w:hint="eastAsia"/>
                <w:color w:val="auto"/>
                <w:highlight w:val="none"/>
              </w:rPr>
              <w:t xml:space="preserve"> </w:t>
            </w:r>
          </w:p>
          <w:p w14:paraId="7A4FA465">
            <w:pPr>
              <w:spacing w:line="360" w:lineRule="auto"/>
              <w:rPr>
                <w:rFonts w:ascii="楷体" w:hAnsi="楷体" w:eastAsia="楷体" w:cs="宋体"/>
                <w:b/>
                <w:bCs/>
                <w:iCs/>
                <w:color w:val="auto"/>
                <w:highlight w:val="none"/>
              </w:rPr>
            </w:pPr>
            <w:r>
              <w:rPr>
                <w:rFonts w:hint="eastAsia" w:ascii="楷体" w:hAnsi="楷体" w:eastAsia="楷体" w:cs="宋体"/>
                <w:b/>
                <w:bCs/>
                <w:iCs/>
                <w:color w:val="auto"/>
                <w:highlight w:val="none"/>
              </w:rPr>
              <w:t xml:space="preserve">【备注：落实政府采购政策需满足的资格要求】   </w:t>
            </w:r>
          </w:p>
          <w:p w14:paraId="1EE63DCC">
            <w:pPr>
              <w:spacing w:line="360" w:lineRule="auto"/>
              <w:rPr>
                <w:rFonts w:ascii="宋体" w:hAnsi="宋体"/>
                <w:b/>
                <w:bCs/>
                <w:color w:val="auto"/>
                <w:szCs w:val="21"/>
                <w:highlight w:val="none"/>
              </w:rPr>
            </w:pPr>
            <w:r>
              <w:rPr>
                <w:rFonts w:hint="eastAsia"/>
                <w:color w:val="auto"/>
                <w:highlight w:val="none"/>
              </w:rPr>
              <w:t xml:space="preserve"> </w:t>
            </w:r>
            <w:r>
              <w:rPr>
                <w:rFonts w:hint="eastAsia" w:ascii="楷体" w:hAnsi="楷体" w:eastAsia="楷体" w:cs="宋体"/>
                <w:b/>
                <w:bCs/>
                <w:iCs/>
                <w:color w:val="auto"/>
                <w:highlight w:val="none"/>
              </w:rPr>
              <w:t>1</w:t>
            </w:r>
            <w:r>
              <w:rPr>
                <w:rFonts w:ascii="楷体" w:hAnsi="楷体" w:eastAsia="楷体" w:cs="宋体"/>
                <w:b/>
                <w:bCs/>
                <w:iCs/>
                <w:color w:val="auto"/>
                <w:highlight w:val="none"/>
              </w:rPr>
              <w:t>.4.1</w:t>
            </w:r>
            <w:r>
              <w:rPr>
                <w:rFonts w:hint="eastAsia" w:ascii="楷体" w:hAnsi="楷体" w:eastAsia="楷体" w:cs="宋体"/>
                <w:b/>
                <w:bCs/>
                <w:iCs/>
                <w:color w:val="auto"/>
                <w:highlight w:val="none"/>
              </w:rPr>
              <w:t>条件要求的投标人信息，如无特别出处要求的，一律以</w:t>
            </w:r>
            <w:r>
              <w:rPr>
                <w:rFonts w:hint="eastAsia" w:ascii="楷体" w:hAnsi="楷体" w:eastAsia="楷体"/>
                <w:b/>
                <w:bCs/>
                <w:iCs/>
                <w:color w:val="auto"/>
                <w:highlight w:val="none"/>
              </w:rPr>
              <w:t>“桂建云”系统</w:t>
            </w:r>
            <w:r>
              <w:rPr>
                <w:rFonts w:hint="eastAsia" w:ascii="楷体" w:hAnsi="楷体" w:eastAsia="楷体" w:cs="宋体"/>
                <w:b/>
                <w:bCs/>
                <w:iCs/>
                <w:color w:val="auto"/>
                <w:highlight w:val="none"/>
              </w:rPr>
              <w:t>的信息为准。</w:t>
            </w:r>
          </w:p>
        </w:tc>
      </w:tr>
      <w:tr w14:paraId="3D0C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242" w:type="dxa"/>
            <w:vAlign w:val="center"/>
          </w:tcPr>
          <w:p w14:paraId="1AB4278C">
            <w:pPr>
              <w:spacing w:line="360" w:lineRule="auto"/>
              <w:jc w:val="center"/>
              <w:rPr>
                <w:color w:val="auto"/>
                <w:highlight w:val="none"/>
              </w:rPr>
            </w:pPr>
            <w:r>
              <w:rPr>
                <w:color w:val="auto"/>
                <w:highlight w:val="none"/>
              </w:rPr>
              <w:t>1.4.2</w:t>
            </w:r>
          </w:p>
        </w:tc>
        <w:tc>
          <w:tcPr>
            <w:tcW w:w="1843" w:type="dxa"/>
            <w:vAlign w:val="center"/>
          </w:tcPr>
          <w:p w14:paraId="71375B46">
            <w:pPr>
              <w:spacing w:line="360" w:lineRule="auto"/>
              <w:rPr>
                <w:color w:val="auto"/>
                <w:highlight w:val="none"/>
              </w:rPr>
            </w:pPr>
            <w:r>
              <w:rPr>
                <w:color w:val="auto"/>
                <w:highlight w:val="none"/>
              </w:rPr>
              <w:t>是否接受联合体投标</w:t>
            </w:r>
          </w:p>
        </w:tc>
        <w:tc>
          <w:tcPr>
            <w:tcW w:w="5800" w:type="dxa"/>
            <w:vAlign w:val="center"/>
          </w:tcPr>
          <w:p w14:paraId="0F911D97">
            <w:pPr>
              <w:spacing w:line="360" w:lineRule="auto"/>
              <w:rPr>
                <w:color w:val="auto"/>
                <w:highlight w:val="none"/>
              </w:rPr>
            </w:pPr>
            <w:r>
              <w:rPr>
                <w:rFonts w:hint="eastAsia"/>
                <w:color w:val="auto"/>
                <w:highlight w:val="none"/>
              </w:rPr>
              <w:t>☑</w:t>
            </w:r>
            <w:r>
              <w:rPr>
                <w:color w:val="auto"/>
                <w:highlight w:val="none"/>
              </w:rPr>
              <w:t>不接受</w:t>
            </w:r>
            <w:r>
              <w:rPr>
                <w:rFonts w:hint="eastAsia"/>
                <w:color w:val="auto"/>
                <w:highlight w:val="none"/>
              </w:rPr>
              <w:t xml:space="preserve">    </w:t>
            </w:r>
          </w:p>
          <w:p w14:paraId="20D4848A">
            <w:pPr>
              <w:spacing w:line="360" w:lineRule="auto"/>
              <w:rPr>
                <w:color w:val="auto"/>
                <w:highlight w:val="none"/>
              </w:rPr>
            </w:pPr>
            <w:r>
              <w:rPr>
                <w:rFonts w:hint="eastAsia"/>
                <w:color w:val="auto"/>
                <w:highlight w:val="none"/>
              </w:rPr>
              <w:t>□</w:t>
            </w:r>
            <w:r>
              <w:rPr>
                <w:color w:val="auto"/>
                <w:highlight w:val="none"/>
              </w:rPr>
              <w:t>接受</w:t>
            </w:r>
            <w:r>
              <w:rPr>
                <w:rFonts w:hint="eastAsia"/>
                <w:color w:val="auto"/>
                <w:highlight w:val="none"/>
              </w:rPr>
              <w:t>，应满足下列要求：</w:t>
            </w:r>
          </w:p>
        </w:tc>
      </w:tr>
      <w:tr w14:paraId="2C1B0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242" w:type="dxa"/>
            <w:vAlign w:val="center"/>
          </w:tcPr>
          <w:p w14:paraId="13EA8722">
            <w:pPr>
              <w:spacing w:line="360" w:lineRule="auto"/>
              <w:jc w:val="center"/>
              <w:rPr>
                <w:color w:val="auto"/>
                <w:highlight w:val="none"/>
              </w:rPr>
            </w:pPr>
            <w:r>
              <w:rPr>
                <w:color w:val="auto"/>
                <w:highlight w:val="none"/>
              </w:rPr>
              <w:t>1.</w:t>
            </w:r>
            <w:r>
              <w:rPr>
                <w:rFonts w:hint="eastAsia"/>
                <w:color w:val="auto"/>
                <w:highlight w:val="none"/>
              </w:rPr>
              <w:t>4</w:t>
            </w:r>
            <w:r>
              <w:rPr>
                <w:color w:val="auto"/>
                <w:highlight w:val="none"/>
              </w:rPr>
              <w:t>.</w:t>
            </w:r>
            <w:r>
              <w:rPr>
                <w:rFonts w:hint="eastAsia"/>
                <w:color w:val="auto"/>
                <w:highlight w:val="none"/>
              </w:rPr>
              <w:t>3（15）</w:t>
            </w:r>
          </w:p>
        </w:tc>
        <w:tc>
          <w:tcPr>
            <w:tcW w:w="1843" w:type="dxa"/>
            <w:vAlign w:val="center"/>
          </w:tcPr>
          <w:p w14:paraId="22CE59CC">
            <w:pPr>
              <w:spacing w:line="360" w:lineRule="auto"/>
              <w:jc w:val="center"/>
              <w:rPr>
                <w:color w:val="auto"/>
                <w:highlight w:val="none"/>
              </w:rPr>
            </w:pPr>
            <w:r>
              <w:rPr>
                <w:rFonts w:hint="eastAsia"/>
                <w:color w:val="auto"/>
                <w:highlight w:val="none"/>
              </w:rPr>
              <w:t>投标人不得存在的其他情形</w:t>
            </w:r>
          </w:p>
        </w:tc>
        <w:tc>
          <w:tcPr>
            <w:tcW w:w="5800" w:type="dxa"/>
            <w:vAlign w:val="center"/>
          </w:tcPr>
          <w:p w14:paraId="58B1F921">
            <w:pPr>
              <w:spacing w:line="360" w:lineRule="auto"/>
              <w:rPr>
                <w:color w:val="auto"/>
                <w:highlight w:val="none"/>
              </w:rPr>
            </w:pPr>
            <w:r>
              <w:rPr>
                <w:rFonts w:hint="eastAsia"/>
                <w:color w:val="auto"/>
                <w:highlight w:val="none"/>
              </w:rPr>
              <w:t>/</w:t>
            </w:r>
          </w:p>
        </w:tc>
      </w:tr>
      <w:tr w14:paraId="322B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242" w:type="dxa"/>
            <w:vAlign w:val="center"/>
          </w:tcPr>
          <w:p w14:paraId="70A61DC3">
            <w:pPr>
              <w:spacing w:line="360" w:lineRule="auto"/>
              <w:jc w:val="center"/>
              <w:rPr>
                <w:color w:val="auto"/>
                <w:highlight w:val="none"/>
              </w:rPr>
            </w:pPr>
            <w:r>
              <w:rPr>
                <w:rFonts w:hint="eastAsia"/>
                <w:color w:val="auto"/>
                <w:highlight w:val="none"/>
              </w:rPr>
              <w:t>1.9.1</w:t>
            </w:r>
          </w:p>
        </w:tc>
        <w:tc>
          <w:tcPr>
            <w:tcW w:w="1843" w:type="dxa"/>
            <w:vAlign w:val="center"/>
          </w:tcPr>
          <w:p w14:paraId="15BDA71C">
            <w:pPr>
              <w:spacing w:line="360" w:lineRule="auto"/>
              <w:rPr>
                <w:color w:val="auto"/>
                <w:highlight w:val="none"/>
              </w:rPr>
            </w:pPr>
            <w:r>
              <w:rPr>
                <w:rFonts w:ascii="宋体" w:hAnsi="宋体" w:cs="宋体"/>
                <w:color w:val="auto"/>
                <w:spacing w:val="-7"/>
                <w:highlight w:val="none"/>
              </w:rPr>
              <w:t>踏勘现场</w:t>
            </w:r>
          </w:p>
        </w:tc>
        <w:tc>
          <w:tcPr>
            <w:tcW w:w="5800" w:type="dxa"/>
            <w:vAlign w:val="center"/>
          </w:tcPr>
          <w:p w14:paraId="7A9EC695">
            <w:pPr>
              <w:spacing w:line="360" w:lineRule="auto"/>
              <w:rPr>
                <w:rFonts w:ascii="宋体" w:hAnsi="宋体"/>
                <w:color w:val="auto"/>
                <w:szCs w:val="21"/>
                <w:highlight w:val="none"/>
              </w:rPr>
            </w:pPr>
            <w:r>
              <w:rPr>
                <w:rFonts w:hint="eastAsia" w:ascii="宋体" w:hAnsi="宋体"/>
                <w:color w:val="auto"/>
                <w:spacing w:val="-1"/>
                <w:szCs w:val="21"/>
                <w:highlight w:val="none"/>
              </w:rPr>
              <w:t>☑</w:t>
            </w:r>
            <w:r>
              <w:rPr>
                <w:rFonts w:ascii="宋体" w:hAnsi="宋体" w:cs="宋体"/>
                <w:color w:val="auto"/>
                <w:spacing w:val="-2"/>
                <w:position w:val="1"/>
                <w:szCs w:val="21"/>
                <w:highlight w:val="none"/>
              </w:rPr>
              <w:t>不组织</w:t>
            </w:r>
          </w:p>
          <w:p w14:paraId="6EE77CFF">
            <w:pPr>
              <w:spacing w:line="360" w:lineRule="auto"/>
              <w:rPr>
                <w:rFonts w:ascii="宋体" w:hAnsi="宋体" w:cs="宋体"/>
                <w:color w:val="auto"/>
                <w:spacing w:val="-7"/>
                <w:position w:val="1"/>
                <w:szCs w:val="21"/>
                <w:highlight w:val="none"/>
              </w:rPr>
            </w:pPr>
            <w:r>
              <w:rPr>
                <w:rFonts w:ascii="宋体" w:hAnsi="宋体"/>
                <w:color w:val="auto"/>
                <w:spacing w:val="-1"/>
                <w:szCs w:val="21"/>
                <w:highlight w:val="none"/>
              </w:rPr>
              <w:t>□</w:t>
            </w:r>
            <w:r>
              <w:rPr>
                <w:rFonts w:ascii="宋体" w:hAnsi="宋体" w:cs="宋体"/>
                <w:color w:val="auto"/>
                <w:spacing w:val="-7"/>
                <w:position w:val="1"/>
                <w:szCs w:val="21"/>
                <w:highlight w:val="none"/>
              </w:rPr>
              <w:t>组织</w:t>
            </w:r>
          </w:p>
          <w:p w14:paraId="604D639F">
            <w:pPr>
              <w:spacing w:line="360" w:lineRule="auto"/>
              <w:ind w:firstLine="420" w:firstLineChars="200"/>
              <w:rPr>
                <w:rFonts w:ascii="宋体" w:hAnsi="宋体"/>
                <w:color w:val="auto"/>
                <w:szCs w:val="21"/>
                <w:highlight w:val="none"/>
              </w:rPr>
            </w:pPr>
            <w:r>
              <w:rPr>
                <w:rFonts w:ascii="宋体" w:hAnsi="宋体" w:cs="宋体"/>
                <w:color w:val="auto"/>
                <w:position w:val="1"/>
                <w:szCs w:val="21"/>
                <w:highlight w:val="none"/>
              </w:rPr>
              <w:t>踏勘时间：</w:t>
            </w:r>
          </w:p>
          <w:p w14:paraId="6EBD54F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踏勘集中地点：</w:t>
            </w:r>
          </w:p>
          <w:p w14:paraId="2B26CBA9">
            <w:pPr>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联系人及电话：</w:t>
            </w:r>
            <w:r>
              <w:rPr>
                <w:rFonts w:hint="eastAsia" w:ascii="宋体" w:hAnsi="宋体" w:cs="宋体"/>
                <w:color w:val="auto"/>
                <w:szCs w:val="21"/>
                <w:highlight w:val="none"/>
              </w:rPr>
              <w:t xml:space="preserve"> </w:t>
            </w:r>
            <w:r>
              <w:rPr>
                <w:rFonts w:ascii="宋体" w:hAnsi="宋体" w:cs="宋体"/>
                <w:color w:val="auto"/>
                <w:szCs w:val="21"/>
                <w:highlight w:val="none"/>
              </w:rPr>
              <w:t xml:space="preserve">                          </w:t>
            </w:r>
          </w:p>
          <w:p w14:paraId="3D075550">
            <w:pPr>
              <w:spacing w:line="360" w:lineRule="auto"/>
              <w:jc w:val="left"/>
              <w:rPr>
                <w:rFonts w:ascii="楷体" w:hAnsi="楷体" w:eastAsia="楷体" w:cs="宋体"/>
                <w:b/>
                <w:color w:val="auto"/>
                <w:szCs w:val="21"/>
                <w:highlight w:val="none"/>
              </w:rPr>
            </w:pPr>
            <w:r>
              <w:rPr>
                <w:rFonts w:hint="eastAsia" w:ascii="楷体" w:hAnsi="楷体" w:eastAsia="楷体" w:cs="宋体"/>
                <w:b/>
                <w:color w:val="auto"/>
                <w:spacing w:val="-7"/>
                <w:szCs w:val="21"/>
                <w:highlight w:val="none"/>
              </w:rPr>
              <w:t>【备注：招标人组织现场踏勘的，应以不记名方式进行】</w:t>
            </w:r>
          </w:p>
        </w:tc>
      </w:tr>
      <w:tr w14:paraId="73A2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242" w:type="dxa"/>
            <w:vAlign w:val="center"/>
          </w:tcPr>
          <w:p w14:paraId="29043136">
            <w:pPr>
              <w:spacing w:line="360" w:lineRule="auto"/>
              <w:jc w:val="center"/>
              <w:rPr>
                <w:color w:val="auto"/>
                <w:highlight w:val="none"/>
              </w:rPr>
            </w:pPr>
            <w:r>
              <w:rPr>
                <w:color w:val="auto"/>
                <w:highlight w:val="none"/>
              </w:rPr>
              <w:t>1.1</w:t>
            </w:r>
            <w:r>
              <w:rPr>
                <w:rFonts w:hint="eastAsia"/>
                <w:color w:val="auto"/>
                <w:highlight w:val="none"/>
              </w:rPr>
              <w:t>0</w:t>
            </w:r>
          </w:p>
        </w:tc>
        <w:tc>
          <w:tcPr>
            <w:tcW w:w="1843" w:type="dxa"/>
            <w:vAlign w:val="center"/>
          </w:tcPr>
          <w:p w14:paraId="62DA615A">
            <w:pPr>
              <w:spacing w:line="360" w:lineRule="auto"/>
              <w:rPr>
                <w:rFonts w:ascii="宋体" w:hAnsi="宋体" w:cs="宋体"/>
                <w:color w:val="auto"/>
                <w:spacing w:val="-7"/>
                <w:highlight w:val="none"/>
              </w:rPr>
            </w:pPr>
            <w:r>
              <w:rPr>
                <w:color w:val="auto"/>
                <w:highlight w:val="none"/>
              </w:rPr>
              <w:t>投标预备会</w:t>
            </w:r>
          </w:p>
        </w:tc>
        <w:tc>
          <w:tcPr>
            <w:tcW w:w="5800" w:type="dxa"/>
            <w:vAlign w:val="center"/>
          </w:tcPr>
          <w:p w14:paraId="31820BC4">
            <w:pPr>
              <w:spacing w:line="360" w:lineRule="auto"/>
              <w:rPr>
                <w:color w:val="auto"/>
                <w:highlight w:val="none"/>
              </w:rPr>
            </w:pPr>
            <w:r>
              <w:rPr>
                <w:rFonts w:hint="eastAsia"/>
                <w:color w:val="auto"/>
                <w:highlight w:val="none"/>
              </w:rPr>
              <w:t>不召开。</w:t>
            </w:r>
          </w:p>
        </w:tc>
      </w:tr>
      <w:tr w14:paraId="1D51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242" w:type="dxa"/>
            <w:vAlign w:val="center"/>
          </w:tcPr>
          <w:p w14:paraId="5D61DF64">
            <w:pPr>
              <w:spacing w:line="360" w:lineRule="auto"/>
              <w:jc w:val="center"/>
              <w:rPr>
                <w:color w:val="auto"/>
                <w:highlight w:val="none"/>
              </w:rPr>
            </w:pPr>
            <w:r>
              <w:rPr>
                <w:color w:val="auto"/>
                <w:highlight w:val="none"/>
              </w:rPr>
              <w:t>1.1</w:t>
            </w:r>
            <w:r>
              <w:rPr>
                <w:rFonts w:hint="eastAsia"/>
                <w:color w:val="auto"/>
                <w:highlight w:val="none"/>
              </w:rPr>
              <w:t>1.1</w:t>
            </w:r>
          </w:p>
        </w:tc>
        <w:tc>
          <w:tcPr>
            <w:tcW w:w="1843" w:type="dxa"/>
            <w:vAlign w:val="center"/>
          </w:tcPr>
          <w:p w14:paraId="12A996DD">
            <w:pPr>
              <w:spacing w:line="360" w:lineRule="auto"/>
              <w:rPr>
                <w:color w:val="auto"/>
                <w:highlight w:val="none"/>
              </w:rPr>
            </w:pPr>
            <w:r>
              <w:rPr>
                <w:color w:val="auto"/>
                <w:highlight w:val="none"/>
              </w:rPr>
              <w:t>分  包</w:t>
            </w:r>
          </w:p>
        </w:tc>
        <w:tc>
          <w:tcPr>
            <w:tcW w:w="5800" w:type="dxa"/>
            <w:vAlign w:val="center"/>
          </w:tcPr>
          <w:p w14:paraId="2BE3A5BB">
            <w:pPr>
              <w:spacing w:line="360" w:lineRule="auto"/>
              <w:rPr>
                <w:color w:val="auto"/>
                <w:highlight w:val="none"/>
              </w:rPr>
            </w:pPr>
            <w:r>
              <w:rPr>
                <w:rFonts w:hint="eastAsia"/>
                <w:color w:val="auto"/>
                <w:highlight w:val="none"/>
              </w:rPr>
              <w:sym w:font="Wingdings 2" w:char="0052"/>
            </w:r>
            <w:r>
              <w:rPr>
                <w:color w:val="auto"/>
                <w:highlight w:val="none"/>
              </w:rPr>
              <w:t>不允许</w:t>
            </w:r>
          </w:p>
          <w:p w14:paraId="5D9EC8F0">
            <w:pPr>
              <w:spacing w:line="360" w:lineRule="auto"/>
              <w:rPr>
                <w:color w:val="auto"/>
                <w:highlight w:val="none"/>
              </w:rPr>
            </w:pPr>
            <w:r>
              <w:rPr>
                <w:rFonts w:hint="eastAsia"/>
                <w:color w:val="auto"/>
                <w:highlight w:val="none"/>
              </w:rPr>
              <w:t>□</w:t>
            </w:r>
            <w:r>
              <w:rPr>
                <w:color w:val="auto"/>
                <w:highlight w:val="none"/>
              </w:rPr>
              <w:t>允许</w:t>
            </w:r>
          </w:p>
          <w:p w14:paraId="17CF35A4">
            <w:pPr>
              <w:spacing w:line="360" w:lineRule="auto"/>
              <w:ind w:firstLine="420"/>
              <w:rPr>
                <w:color w:val="auto"/>
                <w:highlight w:val="none"/>
              </w:rPr>
            </w:pPr>
            <w:r>
              <w:rPr>
                <w:color w:val="auto"/>
                <w:highlight w:val="none"/>
              </w:rPr>
              <w:t>分包内容要求：</w:t>
            </w:r>
          </w:p>
          <w:p w14:paraId="44C843F5">
            <w:pPr>
              <w:spacing w:line="360" w:lineRule="auto"/>
              <w:ind w:firstLine="420"/>
              <w:rPr>
                <w:color w:val="auto"/>
                <w:highlight w:val="none"/>
              </w:rPr>
            </w:pPr>
            <w:r>
              <w:rPr>
                <w:rFonts w:hint="eastAsia"/>
                <w:color w:val="auto"/>
                <w:highlight w:val="none"/>
              </w:rPr>
              <w:t>对分包人的</w:t>
            </w:r>
            <w:r>
              <w:rPr>
                <w:color w:val="auto"/>
                <w:highlight w:val="none"/>
              </w:rPr>
              <w:t>资质要求：</w:t>
            </w:r>
          </w:p>
          <w:p w14:paraId="183B3FC9">
            <w:pPr>
              <w:spacing w:line="360" w:lineRule="auto"/>
              <w:ind w:firstLine="420"/>
              <w:rPr>
                <w:color w:val="auto"/>
                <w:highlight w:val="none"/>
              </w:rPr>
            </w:pPr>
            <w:r>
              <w:rPr>
                <w:rFonts w:hint="eastAsia"/>
                <w:color w:val="auto"/>
                <w:highlight w:val="none"/>
              </w:rPr>
              <w:t>分包其他要求：依据招标文件规定享受中小企业扶持政策获得政府采购服务合同的，小微企业不得将合同分包给大中型企业，中型企业不得将合同分包给大型企业，否则招标人有权要求其改正；拒不改正的，招标人可终止合同，并报请有关行政监督部门查处。</w:t>
            </w:r>
          </w:p>
        </w:tc>
      </w:tr>
      <w:tr w14:paraId="6831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242" w:type="dxa"/>
            <w:vAlign w:val="center"/>
          </w:tcPr>
          <w:p w14:paraId="504351DB">
            <w:pPr>
              <w:spacing w:line="360" w:lineRule="auto"/>
              <w:jc w:val="center"/>
              <w:rPr>
                <w:color w:val="auto"/>
                <w:highlight w:val="none"/>
              </w:rPr>
            </w:pPr>
            <w:r>
              <w:rPr>
                <w:rFonts w:hint="eastAsia"/>
                <w:color w:val="auto"/>
                <w:highlight w:val="none"/>
              </w:rPr>
              <w:t>1.12.1、1.12.3</w:t>
            </w:r>
          </w:p>
        </w:tc>
        <w:tc>
          <w:tcPr>
            <w:tcW w:w="1843" w:type="dxa"/>
            <w:vAlign w:val="center"/>
          </w:tcPr>
          <w:p w14:paraId="0C6B26F4">
            <w:pPr>
              <w:spacing w:line="360" w:lineRule="auto"/>
              <w:rPr>
                <w:color w:val="auto"/>
                <w:highlight w:val="none"/>
              </w:rPr>
            </w:pPr>
            <w:r>
              <w:rPr>
                <w:color w:val="auto"/>
                <w:highlight w:val="none"/>
              </w:rPr>
              <w:t>偏  离</w:t>
            </w:r>
          </w:p>
        </w:tc>
        <w:tc>
          <w:tcPr>
            <w:tcW w:w="5800" w:type="dxa"/>
            <w:vAlign w:val="center"/>
          </w:tcPr>
          <w:p w14:paraId="12C393B4">
            <w:pPr>
              <w:spacing w:line="360" w:lineRule="auto"/>
              <w:rPr>
                <w:color w:val="auto"/>
                <w:szCs w:val="21"/>
                <w:highlight w:val="none"/>
              </w:rPr>
            </w:pPr>
            <w:r>
              <w:rPr>
                <w:rFonts w:hint="eastAsia"/>
                <w:color w:val="auto"/>
                <w:highlight w:val="none"/>
              </w:rPr>
              <w:t>☑</w:t>
            </w:r>
            <w:r>
              <w:rPr>
                <w:color w:val="auto"/>
                <w:szCs w:val="21"/>
                <w:highlight w:val="none"/>
              </w:rPr>
              <w:t>不允许</w:t>
            </w:r>
          </w:p>
          <w:p w14:paraId="5432E8BC">
            <w:pPr>
              <w:spacing w:line="360" w:lineRule="auto"/>
              <w:rPr>
                <w:color w:val="auto"/>
                <w:highlight w:val="none"/>
              </w:rPr>
            </w:pPr>
            <w:r>
              <w:rPr>
                <w:rFonts w:hint="eastAsia"/>
                <w:color w:val="auto"/>
                <w:highlight w:val="none"/>
              </w:rPr>
              <w:t>□允许</w:t>
            </w:r>
          </w:p>
          <w:p w14:paraId="0437EFE8">
            <w:pPr>
              <w:spacing w:line="360" w:lineRule="auto"/>
              <w:ind w:firstLine="420" w:firstLineChars="200"/>
              <w:rPr>
                <w:color w:val="auto"/>
                <w:highlight w:val="none"/>
              </w:rPr>
            </w:pPr>
            <w:r>
              <w:rPr>
                <w:rFonts w:hint="eastAsia"/>
                <w:color w:val="auto"/>
                <w:highlight w:val="none"/>
              </w:rPr>
              <w:t>偏差范围：</w:t>
            </w:r>
          </w:p>
          <w:p w14:paraId="7FAEEE38">
            <w:pPr>
              <w:spacing w:line="360" w:lineRule="auto"/>
              <w:ind w:firstLine="420" w:firstLineChars="200"/>
              <w:rPr>
                <w:color w:val="auto"/>
                <w:highlight w:val="none"/>
              </w:rPr>
            </w:pPr>
            <w:r>
              <w:rPr>
                <w:rFonts w:hint="eastAsia"/>
                <w:color w:val="auto"/>
                <w:highlight w:val="none"/>
              </w:rPr>
              <w:t>偏差幅度：</w:t>
            </w:r>
          </w:p>
        </w:tc>
      </w:tr>
      <w:tr w14:paraId="5377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242" w:type="dxa"/>
            <w:vAlign w:val="center"/>
          </w:tcPr>
          <w:p w14:paraId="47592C46">
            <w:pPr>
              <w:spacing w:line="360" w:lineRule="auto"/>
              <w:jc w:val="center"/>
              <w:rPr>
                <w:color w:val="auto"/>
                <w:highlight w:val="none"/>
              </w:rPr>
            </w:pPr>
            <w:r>
              <w:rPr>
                <w:color w:val="auto"/>
                <w:highlight w:val="none"/>
              </w:rPr>
              <w:t>2.</w:t>
            </w:r>
            <w:r>
              <w:rPr>
                <w:rFonts w:hint="eastAsia"/>
                <w:color w:val="auto"/>
                <w:highlight w:val="none"/>
              </w:rPr>
              <w:t>1.1（7）</w:t>
            </w:r>
          </w:p>
        </w:tc>
        <w:tc>
          <w:tcPr>
            <w:tcW w:w="1843" w:type="dxa"/>
            <w:vAlign w:val="center"/>
          </w:tcPr>
          <w:p w14:paraId="08DA0A95">
            <w:pPr>
              <w:spacing w:line="360" w:lineRule="auto"/>
              <w:rPr>
                <w:color w:val="auto"/>
                <w:highlight w:val="none"/>
              </w:rPr>
            </w:pPr>
            <w:r>
              <w:rPr>
                <w:color w:val="auto"/>
                <w:highlight w:val="none"/>
              </w:rPr>
              <w:t>构成招标文件的其他材料</w:t>
            </w:r>
          </w:p>
        </w:tc>
        <w:tc>
          <w:tcPr>
            <w:tcW w:w="5800" w:type="dxa"/>
            <w:vAlign w:val="center"/>
          </w:tcPr>
          <w:p w14:paraId="265EBBBF">
            <w:pPr>
              <w:spacing w:line="360" w:lineRule="auto"/>
              <w:rPr>
                <w:color w:val="auto"/>
                <w:highlight w:val="none"/>
              </w:rPr>
            </w:pPr>
            <w:r>
              <w:rPr>
                <w:color w:val="auto"/>
                <w:highlight w:val="none"/>
              </w:rPr>
              <w:t>招标文件的澄清、修改、补充通知等内容</w:t>
            </w:r>
          </w:p>
        </w:tc>
      </w:tr>
      <w:tr w14:paraId="3919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242" w:type="dxa"/>
            <w:vAlign w:val="center"/>
          </w:tcPr>
          <w:p w14:paraId="1855FCA7">
            <w:pPr>
              <w:spacing w:line="360" w:lineRule="auto"/>
              <w:jc w:val="center"/>
              <w:rPr>
                <w:color w:val="auto"/>
                <w:highlight w:val="none"/>
              </w:rPr>
            </w:pPr>
            <w:r>
              <w:rPr>
                <w:color w:val="auto"/>
                <w:highlight w:val="none"/>
              </w:rPr>
              <w:t>2.2.1</w:t>
            </w:r>
          </w:p>
        </w:tc>
        <w:tc>
          <w:tcPr>
            <w:tcW w:w="1843" w:type="dxa"/>
            <w:vAlign w:val="center"/>
          </w:tcPr>
          <w:p w14:paraId="6D5F9D0F">
            <w:pPr>
              <w:spacing w:line="360" w:lineRule="auto"/>
              <w:rPr>
                <w:color w:val="auto"/>
                <w:highlight w:val="none"/>
              </w:rPr>
            </w:pPr>
            <w:r>
              <w:rPr>
                <w:rFonts w:hint="eastAsia" w:cs="宋体"/>
                <w:color w:val="auto"/>
                <w:highlight w:val="none"/>
              </w:rPr>
              <w:t>投标人对招标文件提出异议的截止时间</w:t>
            </w:r>
          </w:p>
        </w:tc>
        <w:tc>
          <w:tcPr>
            <w:tcW w:w="5800" w:type="dxa"/>
            <w:vAlign w:val="center"/>
          </w:tcPr>
          <w:p w14:paraId="2DB87AE1">
            <w:pPr>
              <w:spacing w:line="360" w:lineRule="auto"/>
              <w:rPr>
                <w:color w:val="auto"/>
                <w:highlight w:val="none"/>
              </w:rPr>
            </w:pPr>
            <w:r>
              <w:rPr>
                <w:rFonts w:hint="eastAsia" w:cs="宋体"/>
                <w:color w:val="auto"/>
                <w:highlight w:val="none"/>
              </w:rPr>
              <w:t>投标截止时间</w:t>
            </w:r>
            <w:r>
              <w:rPr>
                <w:color w:val="auto"/>
                <w:highlight w:val="none"/>
              </w:rPr>
              <w:t>10</w:t>
            </w:r>
            <w:r>
              <w:rPr>
                <w:rFonts w:hint="eastAsia" w:cs="宋体"/>
                <w:color w:val="auto"/>
                <w:highlight w:val="none"/>
              </w:rPr>
              <w:t>日前。投标人不在规定期限内通过</w:t>
            </w:r>
            <w:r>
              <w:rPr>
                <w:rFonts w:hint="eastAsia" w:ascii="宋体" w:hAnsi="宋体"/>
                <w:color w:val="auto"/>
                <w:highlight w:val="none"/>
              </w:rPr>
              <w:t>全国公共资源交易平台（广西壮族自治区）</w:t>
            </w:r>
            <w:r>
              <w:rPr>
                <w:rFonts w:hint="eastAsia" w:cs="宋体"/>
                <w:color w:val="auto"/>
                <w:highlight w:val="none"/>
              </w:rPr>
              <w:t>或者</w:t>
            </w:r>
            <w:r>
              <w:rPr>
                <w:rFonts w:cs="宋体"/>
                <w:color w:val="auto"/>
                <w:highlight w:val="none"/>
              </w:rPr>
              <w:t>线下</w:t>
            </w:r>
            <w:r>
              <w:rPr>
                <w:rFonts w:hint="eastAsia" w:cs="宋体"/>
                <w:color w:val="auto"/>
                <w:highlight w:val="none"/>
              </w:rPr>
              <w:t>提出，招标人有权不予答复，或答复后投标截止时间由招标人确定是否顺延。</w:t>
            </w:r>
          </w:p>
          <w:p w14:paraId="0A59236A">
            <w:pPr>
              <w:spacing w:line="360" w:lineRule="auto"/>
              <w:rPr>
                <w:color w:val="auto"/>
                <w:highlight w:val="none"/>
              </w:rPr>
            </w:pPr>
            <w:r>
              <w:rPr>
                <w:rFonts w:hint="eastAsia" w:cs="宋体"/>
                <w:color w:val="auto"/>
                <w:highlight w:val="none"/>
              </w:rPr>
              <w:t>澄清和答复须通过</w:t>
            </w:r>
            <w:r>
              <w:rPr>
                <w:rFonts w:hint="eastAsia" w:ascii="宋体" w:hAnsi="宋体"/>
                <w:color w:val="auto"/>
                <w:highlight w:val="none"/>
              </w:rPr>
              <w:t>全国公共资源交易平台（广西壮族自治区）</w:t>
            </w:r>
            <w:r>
              <w:rPr>
                <w:rFonts w:hint="eastAsia" w:cs="宋体"/>
                <w:color w:val="auto"/>
                <w:highlight w:val="none"/>
              </w:rPr>
              <w:t>进行。</w:t>
            </w:r>
          </w:p>
        </w:tc>
      </w:tr>
      <w:tr w14:paraId="4A8F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42" w:type="dxa"/>
            <w:vMerge w:val="restart"/>
            <w:vAlign w:val="center"/>
          </w:tcPr>
          <w:p w14:paraId="68257B29">
            <w:pPr>
              <w:spacing w:line="360" w:lineRule="auto"/>
              <w:jc w:val="center"/>
              <w:rPr>
                <w:color w:val="auto"/>
                <w:highlight w:val="none"/>
              </w:rPr>
            </w:pPr>
            <w:r>
              <w:rPr>
                <w:color w:val="auto"/>
                <w:highlight w:val="none"/>
              </w:rPr>
              <w:t>2.2.2</w:t>
            </w:r>
          </w:p>
        </w:tc>
        <w:tc>
          <w:tcPr>
            <w:tcW w:w="1843" w:type="dxa"/>
            <w:vAlign w:val="center"/>
          </w:tcPr>
          <w:p w14:paraId="007E6979">
            <w:pPr>
              <w:spacing w:line="360" w:lineRule="auto"/>
              <w:jc w:val="center"/>
              <w:rPr>
                <w:rFonts w:cs="宋体"/>
                <w:color w:val="auto"/>
                <w:highlight w:val="none"/>
              </w:rPr>
            </w:pPr>
            <w:r>
              <w:rPr>
                <w:rFonts w:hint="eastAsia" w:cs="宋体"/>
                <w:color w:val="auto"/>
                <w:highlight w:val="none"/>
              </w:rPr>
              <w:t>开标时间</w:t>
            </w:r>
          </w:p>
        </w:tc>
        <w:tc>
          <w:tcPr>
            <w:tcW w:w="5800" w:type="dxa"/>
            <w:vAlign w:val="center"/>
          </w:tcPr>
          <w:p w14:paraId="1BEF6B34">
            <w:pPr>
              <w:spacing w:line="360" w:lineRule="auto"/>
              <w:rPr>
                <w:rFonts w:cs="宋体"/>
                <w:color w:val="auto"/>
                <w:highlight w:val="none"/>
              </w:rPr>
            </w:pPr>
            <w:r>
              <w:rPr>
                <w:rFonts w:hint="eastAsia"/>
                <w:color w:val="auto"/>
                <w:highlight w:val="none"/>
                <w:u w:val="single"/>
              </w:rPr>
              <w:t>详见招标公告</w:t>
            </w:r>
          </w:p>
        </w:tc>
      </w:tr>
      <w:tr w14:paraId="7CA1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242" w:type="dxa"/>
            <w:vMerge w:val="continue"/>
            <w:vAlign w:val="center"/>
          </w:tcPr>
          <w:p w14:paraId="319B87C5">
            <w:pPr>
              <w:spacing w:line="360" w:lineRule="auto"/>
              <w:jc w:val="center"/>
              <w:rPr>
                <w:color w:val="auto"/>
                <w:highlight w:val="none"/>
              </w:rPr>
            </w:pPr>
          </w:p>
        </w:tc>
        <w:tc>
          <w:tcPr>
            <w:tcW w:w="1843" w:type="dxa"/>
            <w:vAlign w:val="center"/>
          </w:tcPr>
          <w:p w14:paraId="698E5080">
            <w:pPr>
              <w:spacing w:line="360" w:lineRule="auto"/>
              <w:jc w:val="center"/>
              <w:rPr>
                <w:rFonts w:cs="宋体"/>
                <w:color w:val="auto"/>
                <w:highlight w:val="none"/>
              </w:rPr>
            </w:pPr>
            <w:r>
              <w:rPr>
                <w:rFonts w:hint="eastAsia" w:cs="宋体"/>
                <w:color w:val="auto"/>
                <w:highlight w:val="none"/>
              </w:rPr>
              <w:t>招标文件澄清发布方式</w:t>
            </w:r>
          </w:p>
        </w:tc>
        <w:tc>
          <w:tcPr>
            <w:tcW w:w="5800" w:type="dxa"/>
            <w:vAlign w:val="center"/>
          </w:tcPr>
          <w:p w14:paraId="14E2BABD">
            <w:pPr>
              <w:spacing w:line="360" w:lineRule="auto"/>
              <w:rPr>
                <w:color w:val="auto"/>
                <w:highlight w:val="none"/>
                <w:u w:val="single"/>
              </w:rPr>
            </w:pPr>
            <w:r>
              <w:rPr>
                <w:rFonts w:hint="eastAsia" w:ascii="仿宋_GB2312" w:hAnsi="宋体" w:cs="宋体"/>
                <w:color w:val="auto"/>
                <w:highlight w:val="none"/>
              </w:rPr>
              <w:t>在发布招标公告媒介上发布</w:t>
            </w:r>
          </w:p>
        </w:tc>
      </w:tr>
      <w:tr w14:paraId="47AE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3DE8428E">
            <w:pPr>
              <w:spacing w:line="360" w:lineRule="auto"/>
              <w:jc w:val="center"/>
              <w:rPr>
                <w:color w:val="auto"/>
                <w:highlight w:val="none"/>
              </w:rPr>
            </w:pPr>
            <w:r>
              <w:rPr>
                <w:rFonts w:hint="eastAsia"/>
                <w:color w:val="auto"/>
                <w:highlight w:val="none"/>
              </w:rPr>
              <w:t>2</w:t>
            </w:r>
            <w:r>
              <w:rPr>
                <w:color w:val="auto"/>
                <w:highlight w:val="none"/>
              </w:rPr>
              <w:t>.2.3</w:t>
            </w:r>
          </w:p>
        </w:tc>
        <w:tc>
          <w:tcPr>
            <w:tcW w:w="1843" w:type="dxa"/>
            <w:vAlign w:val="center"/>
          </w:tcPr>
          <w:p w14:paraId="5FC4FC8F">
            <w:pPr>
              <w:spacing w:line="360" w:lineRule="auto"/>
              <w:jc w:val="center"/>
              <w:rPr>
                <w:rFonts w:cs="宋体"/>
                <w:color w:val="auto"/>
                <w:highlight w:val="none"/>
              </w:rPr>
            </w:pPr>
            <w:r>
              <w:rPr>
                <w:rFonts w:hint="eastAsia" w:cs="宋体"/>
                <w:color w:val="auto"/>
                <w:highlight w:val="none"/>
              </w:rPr>
              <w:t>投标人确认收到澄清的方式</w:t>
            </w:r>
          </w:p>
        </w:tc>
        <w:tc>
          <w:tcPr>
            <w:tcW w:w="5800" w:type="dxa"/>
            <w:vAlign w:val="center"/>
          </w:tcPr>
          <w:p w14:paraId="64FB5F8B">
            <w:pPr>
              <w:spacing w:line="360" w:lineRule="auto"/>
              <w:jc w:val="left"/>
              <w:rPr>
                <w:rFonts w:ascii="仿宋_GB2312" w:hAnsi="宋体" w:cs="宋体"/>
                <w:color w:val="auto"/>
                <w:highlight w:val="none"/>
              </w:rPr>
            </w:pPr>
            <w:r>
              <w:rPr>
                <w:rFonts w:hint="eastAsia" w:ascii="仿宋_GB2312" w:hAnsi="宋体" w:cs="宋体"/>
                <w:color w:val="auto"/>
                <w:highlight w:val="none"/>
              </w:rPr>
              <w:t>澄清文件在本章第2.2.2款规定的网站上发布之日起，视为投标人已收到该澄清。投标人未及时关注招标人在网站上发布的澄清文件造成的损失，由投标人自行负责。</w:t>
            </w:r>
          </w:p>
        </w:tc>
      </w:tr>
      <w:tr w14:paraId="0522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75C01CB4">
            <w:pPr>
              <w:spacing w:line="360" w:lineRule="auto"/>
              <w:jc w:val="center"/>
              <w:rPr>
                <w:color w:val="auto"/>
                <w:highlight w:val="none"/>
              </w:rPr>
            </w:pPr>
            <w:r>
              <w:rPr>
                <w:color w:val="auto"/>
                <w:highlight w:val="none"/>
              </w:rPr>
              <w:t>3.1.1</w:t>
            </w:r>
          </w:p>
        </w:tc>
        <w:tc>
          <w:tcPr>
            <w:tcW w:w="1843" w:type="dxa"/>
            <w:vAlign w:val="center"/>
          </w:tcPr>
          <w:p w14:paraId="442F5236">
            <w:pPr>
              <w:spacing w:line="360" w:lineRule="auto"/>
              <w:rPr>
                <w:color w:val="auto"/>
                <w:highlight w:val="none"/>
              </w:rPr>
            </w:pPr>
            <w:r>
              <w:rPr>
                <w:rFonts w:hint="eastAsia" w:cs="宋体"/>
                <w:color w:val="auto"/>
                <w:highlight w:val="none"/>
              </w:rPr>
              <w:t>构成投标文件的材料</w:t>
            </w:r>
          </w:p>
          <w:p w14:paraId="07B2AF30">
            <w:pPr>
              <w:spacing w:line="360" w:lineRule="auto"/>
              <w:rPr>
                <w:b/>
                <w:color w:val="auto"/>
                <w:highlight w:val="none"/>
              </w:rPr>
            </w:pPr>
            <w:r>
              <w:rPr>
                <w:rFonts w:hint="eastAsia" w:eastAsia="楷体_GB2312" w:cs="楷体_GB2312"/>
                <w:b/>
                <w:color w:val="auto"/>
                <w:highlight w:val="none"/>
              </w:rPr>
              <w:t>【备注：</w:t>
            </w:r>
            <w:r>
              <w:rPr>
                <w:rFonts w:hint="eastAsia" w:ascii="楷体_GB2312" w:eastAsia="楷体_GB2312" w:cs="楷体_GB2312"/>
                <w:b/>
                <w:color w:val="auto"/>
                <w:highlight w:val="none"/>
              </w:rPr>
              <w:t>右栏招标人可根据需要进行增减</w:t>
            </w:r>
            <w:r>
              <w:rPr>
                <w:rFonts w:hint="eastAsia" w:eastAsia="楷体_GB2312" w:cs="楷体_GB2312"/>
                <w:b/>
                <w:color w:val="auto"/>
                <w:highlight w:val="none"/>
              </w:rPr>
              <w:t>】</w:t>
            </w:r>
          </w:p>
        </w:tc>
        <w:tc>
          <w:tcPr>
            <w:tcW w:w="5800" w:type="dxa"/>
            <w:vAlign w:val="center"/>
          </w:tcPr>
          <w:p w14:paraId="666A7E8C">
            <w:pPr>
              <w:pStyle w:val="21"/>
              <w:spacing w:line="360" w:lineRule="auto"/>
              <w:ind w:firstLine="630" w:firstLineChars="300"/>
              <w:rPr>
                <w:b/>
                <w:color w:val="auto"/>
                <w:highlight w:val="none"/>
              </w:rPr>
            </w:pPr>
            <w:r>
              <w:rPr>
                <w:rFonts w:hint="eastAsia"/>
                <w:color w:val="auto"/>
                <w:highlight w:val="none"/>
              </w:rPr>
              <w:t>投标文件的组成部分：</w:t>
            </w:r>
            <w:r>
              <w:rPr>
                <w:rFonts w:hint="eastAsia"/>
                <w:b/>
                <w:color w:val="auto"/>
                <w:highlight w:val="none"/>
              </w:rPr>
              <w:t xml:space="preserve">☑资格审查 ☑商务标 </w:t>
            </w:r>
          </w:p>
          <w:p w14:paraId="47CD8467">
            <w:pPr>
              <w:pStyle w:val="21"/>
              <w:spacing w:line="360" w:lineRule="auto"/>
              <w:ind w:firstLine="632" w:firstLineChars="300"/>
              <w:rPr>
                <w:b/>
                <w:color w:val="auto"/>
                <w:highlight w:val="none"/>
              </w:rPr>
            </w:pPr>
            <w:r>
              <w:rPr>
                <w:rFonts w:hint="eastAsia"/>
                <w:b/>
                <w:color w:val="auto"/>
                <w:highlight w:val="none"/>
              </w:rPr>
              <w:t xml:space="preserve">☑技术标（设计组织实施）   </w:t>
            </w:r>
            <w:r>
              <w:rPr>
                <w:rFonts w:hint="eastAsia"/>
                <w:b/>
                <w:color w:val="auto"/>
                <w:highlight w:val="none"/>
                <w:lang w:eastAsia="zh-CN"/>
              </w:rPr>
              <w:t>□</w:t>
            </w:r>
            <w:r>
              <w:rPr>
                <w:rFonts w:hint="eastAsia"/>
                <w:b/>
                <w:color w:val="auto"/>
                <w:highlight w:val="none"/>
              </w:rPr>
              <w:t>设计方案标（或</w:t>
            </w:r>
            <w:r>
              <w:rPr>
                <w:rFonts w:hint="eastAsia"/>
                <w:b/>
                <w:color w:val="auto"/>
                <w:highlight w:val="none"/>
                <w:lang w:eastAsia="zh-CN"/>
              </w:rPr>
              <w:t>☑</w:t>
            </w:r>
            <w:r>
              <w:rPr>
                <w:rFonts w:hint="eastAsia"/>
                <w:b/>
                <w:color w:val="auto"/>
                <w:highlight w:val="none"/>
              </w:rPr>
              <w:t>设计团队标）（如有）</w:t>
            </w:r>
            <w:r>
              <w:rPr>
                <w:b/>
                <w:color w:val="auto"/>
                <w:highlight w:val="none"/>
              </w:rPr>
              <w:t xml:space="preserve"> </w:t>
            </w:r>
            <w:r>
              <w:rPr>
                <w:rFonts w:hint="eastAsia"/>
                <w:b/>
                <w:color w:val="auto"/>
                <w:highlight w:val="none"/>
              </w:rPr>
              <w:t xml:space="preserve">  </w:t>
            </w:r>
          </w:p>
          <w:p w14:paraId="33B9728D">
            <w:pPr>
              <w:pStyle w:val="21"/>
              <w:spacing w:line="360" w:lineRule="auto"/>
              <w:ind w:firstLine="632" w:firstLineChars="300"/>
              <w:rPr>
                <w:color w:val="auto"/>
                <w:highlight w:val="none"/>
              </w:rPr>
            </w:pPr>
            <w:r>
              <w:rPr>
                <w:rFonts w:hint="eastAsia"/>
                <w:b/>
                <w:color w:val="auto"/>
                <w:highlight w:val="none"/>
              </w:rPr>
              <w:t>☑资格审查</w:t>
            </w:r>
            <w:r>
              <w:rPr>
                <w:rFonts w:hint="eastAsia" w:eastAsia="楷体_GB2312" w:cs="楷体_GB2312"/>
                <w:b/>
                <w:color w:val="auto"/>
                <w:highlight w:val="none"/>
              </w:rPr>
              <w:t>【备注：以下扫描件均为原件的扫描件。】</w:t>
            </w:r>
            <w:r>
              <w:rPr>
                <w:rFonts w:hint="eastAsia" w:cs="宋体"/>
                <w:color w:val="auto"/>
                <w:highlight w:val="none"/>
              </w:rPr>
              <w:t>：</w:t>
            </w:r>
          </w:p>
          <w:p w14:paraId="6EF8831E">
            <w:pPr>
              <w:pStyle w:val="21"/>
              <w:spacing w:line="360" w:lineRule="auto"/>
              <w:ind w:firstLine="630" w:firstLineChars="300"/>
              <w:rPr>
                <w:color w:val="auto"/>
                <w:highlight w:val="none"/>
              </w:rPr>
            </w:pPr>
            <w:r>
              <w:rPr>
                <w:rFonts w:hint="eastAsia"/>
                <w:color w:val="auto"/>
                <w:highlight w:val="none"/>
              </w:rPr>
              <w:t>（联合体投标时，各方企业均需提供相关文件）</w:t>
            </w:r>
          </w:p>
          <w:p w14:paraId="3996E371">
            <w:pPr>
              <w:pStyle w:val="21"/>
              <w:spacing w:line="360" w:lineRule="auto"/>
              <w:ind w:firstLine="630" w:firstLineChars="300"/>
              <w:rPr>
                <w:rFonts w:ascii="楷体" w:hAnsi="楷体" w:eastAsia="楷体"/>
                <w:b/>
                <w:color w:val="auto"/>
                <w:highlight w:val="none"/>
              </w:rPr>
            </w:pPr>
            <w:r>
              <w:rPr>
                <w:rFonts w:hint="eastAsia"/>
                <w:color w:val="auto"/>
                <w:highlight w:val="none"/>
              </w:rPr>
              <w:t>（1）</w:t>
            </w:r>
            <w:r>
              <w:rPr>
                <w:rFonts w:hint="eastAsia" w:cs="宋体"/>
                <w:color w:val="auto"/>
                <w:highlight w:val="none"/>
              </w:rPr>
              <w:t>投标人基本情况表</w:t>
            </w:r>
            <w:r>
              <w:rPr>
                <w:rFonts w:hint="eastAsia" w:ascii="楷体" w:hAnsi="楷体" w:eastAsia="楷体"/>
                <w:b/>
                <w:color w:val="auto"/>
                <w:highlight w:val="none"/>
              </w:rPr>
              <w:t>【备注：提供的企业基本情况、营业执照副本均以“桂建云”系统的信息为准。资质证书数据由“桂建云”系统从全国建筑市场监管公共服务平台下载，不需要在“桂建云”系统上传资质证书扫描件。资质证书扫描件可在投标文件资格审查部分在投标人认为有必要提交的其他投标资料中上传。</w:t>
            </w:r>
            <w:r>
              <w:rPr>
                <w:rFonts w:hint="eastAsia" w:ascii="楷体" w:hAnsi="楷体" w:eastAsia="楷体" w:cs="宋体"/>
                <w:b/>
                <w:color w:val="auto"/>
                <w:highlight w:val="none"/>
              </w:rPr>
              <w:t>】；</w:t>
            </w:r>
          </w:p>
          <w:p w14:paraId="2EA5841B">
            <w:pPr>
              <w:pStyle w:val="21"/>
              <w:spacing w:line="360" w:lineRule="auto"/>
              <w:ind w:firstLine="630" w:firstLineChars="300"/>
              <w:rPr>
                <w:color w:val="auto"/>
                <w:highlight w:val="none"/>
              </w:rPr>
            </w:pPr>
            <w:r>
              <w:rPr>
                <w:rFonts w:hint="eastAsia"/>
                <w:color w:val="auto"/>
                <w:highlight w:val="none"/>
              </w:rPr>
              <w:t xml:space="preserve">（2）联合体协议书原件（如有）； </w:t>
            </w:r>
          </w:p>
          <w:p w14:paraId="58336843">
            <w:pPr>
              <w:pStyle w:val="21"/>
              <w:spacing w:line="360" w:lineRule="auto"/>
              <w:ind w:firstLine="630" w:firstLineChars="300"/>
              <w:rPr>
                <w:rFonts w:ascii="楷体" w:hAnsi="楷体" w:eastAsia="楷体"/>
                <w:b/>
                <w:color w:val="auto"/>
                <w:highlight w:val="none"/>
              </w:rPr>
            </w:pPr>
            <w:r>
              <w:rPr>
                <w:rFonts w:hint="eastAsia"/>
                <w:color w:val="auto"/>
                <w:highlight w:val="none"/>
              </w:rPr>
              <w:t>（3）</w:t>
            </w:r>
            <w:r>
              <w:rPr>
                <w:rFonts w:hint="eastAsia" w:cs="宋体"/>
                <w:color w:val="auto"/>
                <w:highlight w:val="none"/>
              </w:rPr>
              <w:t>投标保证金的转账（或电汇、网上支付）底单原件的扫描件、电子转账截图或保函（银行保函、保证保险保函、工程担保保函）原件扫描件或电子保函系统自动认证；</w:t>
            </w:r>
            <w:r>
              <w:rPr>
                <w:rFonts w:hint="eastAsia" w:ascii="楷体" w:hAnsi="楷体" w:eastAsia="楷体" w:cs="宋体"/>
                <w:b/>
                <w:color w:val="auto"/>
                <w:highlight w:val="none"/>
              </w:rPr>
              <w:t>【备注：</w:t>
            </w:r>
            <w:r>
              <w:rPr>
                <w:rFonts w:ascii="楷体" w:hAnsi="楷体" w:eastAsia="楷体" w:cs="宋体"/>
                <w:b/>
                <w:color w:val="auto"/>
                <w:highlight w:val="none"/>
              </w:rPr>
              <w:t>鼓励</w:t>
            </w:r>
            <w:r>
              <w:rPr>
                <w:rFonts w:hint="eastAsia" w:ascii="楷体" w:hAnsi="楷体" w:eastAsia="楷体" w:cs="宋体"/>
                <w:b/>
                <w:color w:val="auto"/>
                <w:highlight w:val="none"/>
              </w:rPr>
              <w:t>采</w:t>
            </w:r>
            <w:r>
              <w:rPr>
                <w:rFonts w:ascii="楷体" w:hAnsi="楷体" w:eastAsia="楷体" w:cs="宋体"/>
                <w:b/>
                <w:color w:val="auto"/>
                <w:highlight w:val="none"/>
              </w:rPr>
              <w:t>用电子保函形式</w:t>
            </w:r>
            <w:r>
              <w:rPr>
                <w:rFonts w:hint="eastAsia" w:ascii="楷体" w:hAnsi="楷体" w:eastAsia="楷体" w:cs="宋体"/>
                <w:b/>
                <w:color w:val="auto"/>
                <w:highlight w:val="none"/>
              </w:rPr>
              <w:t>。】</w:t>
            </w:r>
          </w:p>
          <w:p w14:paraId="5CCE6D08">
            <w:pPr>
              <w:pStyle w:val="21"/>
              <w:spacing w:line="360" w:lineRule="auto"/>
              <w:ind w:firstLine="630" w:firstLineChars="300"/>
              <w:rPr>
                <w:rFonts w:ascii="Times New Roman" w:hAnsi="Times New Roman" w:cs="宋体"/>
                <w:color w:val="auto"/>
                <w:highlight w:val="none"/>
              </w:rPr>
            </w:pPr>
            <w:r>
              <w:rPr>
                <w:rFonts w:hint="eastAsia"/>
                <w:color w:val="auto"/>
                <w:highlight w:val="none"/>
              </w:rPr>
              <w:t>（4）拟派项目负责人相应的注册证书（如需要）、职称证书（如需要）；</w:t>
            </w:r>
            <w:r>
              <w:rPr>
                <w:rFonts w:hint="eastAsia" w:ascii="楷体" w:hAnsi="楷体" w:eastAsia="楷体"/>
                <w:b/>
                <w:color w:val="auto"/>
                <w:highlight w:val="none"/>
              </w:rPr>
              <w:t>【备注：①</w:t>
            </w:r>
            <w:r>
              <w:rPr>
                <w:rFonts w:hint="eastAsia" w:ascii="楷体" w:hAnsi="楷体" w:eastAsia="楷体"/>
                <w:b/>
                <w:color w:val="auto"/>
                <w:szCs w:val="21"/>
                <w:highlight w:val="none"/>
              </w:rPr>
              <w:t>项目负责人身份证、学历证、职称证、执业注册信息</w:t>
            </w:r>
            <w:r>
              <w:rPr>
                <w:rFonts w:hint="eastAsia" w:eastAsia="楷体"/>
                <w:b/>
                <w:color w:val="auto"/>
                <w:szCs w:val="21"/>
                <w:highlight w:val="none"/>
              </w:rPr>
              <w:t>（</w:t>
            </w:r>
            <w:r>
              <w:rPr>
                <w:rFonts w:hint="eastAsia" w:ascii="楷体" w:hAnsi="楷体" w:eastAsia="楷体"/>
                <w:b/>
                <w:color w:val="auto"/>
                <w:highlight w:val="none"/>
              </w:rPr>
              <w:t>注册类型及等级、证书编号等信息从全国建筑市场监管公共服务平台下行到“桂建云”即可，不需要核验注册证书扫描件</w:t>
            </w:r>
            <w:r>
              <w:rPr>
                <w:rFonts w:hint="eastAsia" w:eastAsia="楷体"/>
                <w:b/>
                <w:color w:val="auto"/>
                <w:szCs w:val="21"/>
                <w:highlight w:val="none"/>
              </w:rPr>
              <w:t>）</w:t>
            </w:r>
            <w:r>
              <w:rPr>
                <w:rFonts w:hint="eastAsia" w:ascii="楷体" w:hAnsi="楷体" w:eastAsia="楷体"/>
                <w:b/>
                <w:color w:val="auto"/>
                <w:szCs w:val="21"/>
                <w:highlight w:val="none"/>
              </w:rPr>
              <w:t>等相关证明材料未通过“桂建云”的，在评审时不予承认。项目负责人应附社保缴费证明明原件扫描件，管理过的项目业绩须附合同协议的封面及相关内容页书或中标通知书复印件。】</w:t>
            </w:r>
          </w:p>
          <w:p w14:paraId="13FE82A3">
            <w:pPr>
              <w:spacing w:line="360" w:lineRule="auto"/>
              <w:ind w:firstLine="420" w:firstLineChars="200"/>
              <w:rPr>
                <w:rFonts w:cs="宋体"/>
                <w:color w:val="auto"/>
                <w:highlight w:val="none"/>
              </w:rPr>
            </w:pPr>
            <w:r>
              <w:rPr>
                <w:rFonts w:hint="eastAsia" w:cs="宋体"/>
                <w:color w:val="auto"/>
                <w:highlight w:val="none"/>
                <w:lang w:val="en"/>
              </w:rPr>
              <w:t>（5）其他主要项目组人员</w:t>
            </w:r>
            <w:r>
              <w:rPr>
                <w:rFonts w:hint="eastAsia" w:cs="宋体"/>
                <w:color w:val="auto"/>
                <w:highlight w:val="none"/>
              </w:rPr>
              <w:t>(如需要）;</w:t>
            </w:r>
            <w:r>
              <w:rPr>
                <w:rFonts w:hint="eastAsia" w:ascii="楷体" w:hAnsi="楷体" w:eastAsia="楷体" w:cs="宋体"/>
                <w:b/>
                <w:color w:val="auto"/>
                <w:highlight w:val="none"/>
              </w:rPr>
              <w:t>【备注：项目组人员身份证、学历证、职称证、执业注册信息</w:t>
            </w:r>
            <w:r>
              <w:rPr>
                <w:rFonts w:hint="eastAsia" w:eastAsia="楷体"/>
                <w:b/>
                <w:color w:val="auto"/>
                <w:szCs w:val="21"/>
                <w:highlight w:val="none"/>
              </w:rPr>
              <w:t>（</w:t>
            </w:r>
            <w:r>
              <w:rPr>
                <w:rFonts w:hint="eastAsia" w:ascii="楷体" w:hAnsi="楷体" w:eastAsia="楷体"/>
                <w:b/>
                <w:color w:val="auto"/>
                <w:highlight w:val="none"/>
              </w:rPr>
              <w:t>注册类型及等级、证书编号等信息从全国建筑市场监管公共服务平台下行到“桂建云”即可，不需要核验注册证书扫描件</w:t>
            </w:r>
            <w:r>
              <w:rPr>
                <w:rFonts w:hint="eastAsia" w:eastAsia="楷体"/>
                <w:b/>
                <w:color w:val="auto"/>
                <w:szCs w:val="21"/>
                <w:highlight w:val="none"/>
              </w:rPr>
              <w:t>）</w:t>
            </w:r>
            <w:r>
              <w:rPr>
                <w:rFonts w:hint="eastAsia" w:ascii="楷体" w:hAnsi="楷体" w:eastAsia="楷体" w:cs="宋体"/>
                <w:b/>
                <w:color w:val="auto"/>
                <w:highlight w:val="none"/>
              </w:rPr>
              <w:t>等相关证明材料未通过“桂建云”的，在评审时不予承认，项目组成员应附社保缴费证明原件扫描件。注册城乡规划师，咨询工程师，注册土木工程师（道路）等未在住建部注册或者未实施注册制度的资格证书，可在投标人认为的其他材料内补充上传电子证书，</w:t>
            </w:r>
            <w:r>
              <w:rPr>
                <w:rFonts w:ascii="楷体" w:hAnsi="楷体" w:eastAsia="楷体" w:cs="宋体"/>
                <w:b/>
                <w:color w:val="auto"/>
                <w:highlight w:val="none"/>
                <w:lang w:val="en"/>
              </w:rPr>
              <w:t>非电子证书，均不予以认可。</w:t>
            </w:r>
            <w:r>
              <w:rPr>
                <w:rFonts w:hint="eastAsia" w:ascii="楷体" w:hAnsi="楷体" w:eastAsia="楷体" w:cs="宋体"/>
                <w:b/>
                <w:color w:val="auto"/>
                <w:highlight w:val="none"/>
              </w:rPr>
              <w:t>】</w:t>
            </w:r>
            <w:r>
              <w:rPr>
                <w:rFonts w:hint="eastAsia" w:ascii="楷体" w:hAnsi="楷体" w:eastAsia="楷体" w:cs="宋体"/>
                <w:b/>
                <w:color w:val="auto"/>
                <w:highlight w:val="none"/>
              </w:rPr>
              <w:br w:type="textWrapping"/>
            </w:r>
            <w:r>
              <w:rPr>
                <w:rFonts w:hint="eastAsia" w:ascii="楷体" w:hAnsi="楷体" w:eastAsia="楷体" w:cs="宋体"/>
                <w:b/>
                <w:color w:val="auto"/>
                <w:highlight w:val="none"/>
              </w:rPr>
              <w:t xml:space="preserve">      </w:t>
            </w:r>
            <w:r>
              <w:rPr>
                <w:rFonts w:hint="eastAsia" w:cs="宋体"/>
                <w:color w:val="auto"/>
                <w:highlight w:val="none"/>
                <w:lang w:val="en"/>
              </w:rPr>
              <w:t>（6）业绩要求：符合第二章“投标人须知”第 1.4.1 项规定。</w:t>
            </w:r>
          </w:p>
          <w:p w14:paraId="14BBAC4C">
            <w:pPr>
              <w:pStyle w:val="21"/>
              <w:spacing w:line="360" w:lineRule="auto"/>
              <w:ind w:firstLine="630" w:firstLineChars="300"/>
              <w:rPr>
                <w:color w:val="auto"/>
                <w:highlight w:val="none"/>
              </w:rPr>
            </w:pPr>
            <w:r>
              <w:rPr>
                <w:rFonts w:hint="eastAsia"/>
                <w:color w:val="auto"/>
                <w:highlight w:val="none"/>
              </w:rPr>
              <w:t>（7）资格审查需要的其他材料：企业近</w:t>
            </w:r>
            <w:r>
              <w:rPr>
                <w:rFonts w:hint="eastAsia"/>
                <w:color w:val="auto"/>
                <w:highlight w:val="none"/>
                <w:u w:val="single"/>
              </w:rPr>
              <w:t>3（即：2022年、2023年、2024年）</w:t>
            </w:r>
            <w:r>
              <w:rPr>
                <w:rFonts w:hint="eastAsia"/>
                <w:color w:val="auto"/>
                <w:highlight w:val="none"/>
              </w:rPr>
              <w:t>年财务状况表</w:t>
            </w:r>
            <w:r>
              <w:rPr>
                <w:rFonts w:hint="eastAsia" w:cs="宋体"/>
                <w:color w:val="auto"/>
                <w:highlight w:val="none"/>
              </w:rPr>
              <w:t>、（联合体投标的则联合体各方均须提供）、母公司承诺书（如有）、《中小企业声明函》或者《残疾人福利性单位声明函》或者省级以上监狱管理局、戒毒管理局（含新疆生产建设兵团）出具的属于监狱企业的证明文件扫描件（</w:t>
            </w:r>
            <w:r>
              <w:rPr>
                <w:rFonts w:hint="eastAsia"/>
                <w:color w:val="auto"/>
                <w:highlight w:val="none"/>
              </w:rPr>
              <w:t>预留份额</w:t>
            </w:r>
            <w:r>
              <w:rPr>
                <w:rFonts w:hint="eastAsia" w:cs="宋体"/>
                <w:color w:val="auto"/>
                <w:highlight w:val="none"/>
              </w:rPr>
              <w:t>专门面向中小企业采购的项目须提供）</w:t>
            </w:r>
            <w:r>
              <w:rPr>
                <w:rFonts w:hint="eastAsia"/>
                <w:color w:val="auto"/>
                <w:highlight w:val="none"/>
              </w:rPr>
              <w:t>；</w:t>
            </w:r>
            <w:r>
              <w:rPr>
                <w:rFonts w:hint="eastAsia" w:ascii="楷体" w:hAnsi="楷体" w:eastAsia="楷体" w:cs="宋体"/>
                <w:b/>
                <w:color w:val="auto"/>
                <w:highlight w:val="none"/>
              </w:rPr>
              <w:t>【备注：①一般为近三年；②以录入 “桂建云”系统为准；③对于从取得营业执照时间起到投标截止时间为止不足要求年数的企业，只需提交企业取得营业执照年份至所要求最近年份经审计的财务报表；④若是投标当年成立的企业，其财务报表不要求经审计；⑤联合体投标的则联合体各方均须提供。】</w:t>
            </w:r>
          </w:p>
          <w:p w14:paraId="6748E8F2">
            <w:pPr>
              <w:pStyle w:val="21"/>
              <w:spacing w:line="360" w:lineRule="auto"/>
              <w:ind w:firstLine="630" w:firstLineChars="300"/>
              <w:rPr>
                <w:color w:val="auto"/>
                <w:highlight w:val="none"/>
              </w:rPr>
            </w:pPr>
            <w:r>
              <w:rPr>
                <w:rFonts w:hint="eastAsia"/>
                <w:color w:val="auto"/>
                <w:highlight w:val="none"/>
              </w:rPr>
              <w:t>（8）</w:t>
            </w:r>
            <w:r>
              <w:rPr>
                <w:color w:val="auto"/>
                <w:highlight w:val="none"/>
              </w:rPr>
              <w:t>投标人认为有必要提交的其他投标资料</w:t>
            </w:r>
            <w:r>
              <w:rPr>
                <w:rFonts w:hint="eastAsia"/>
                <w:color w:val="auto"/>
                <w:highlight w:val="none"/>
              </w:rPr>
              <w:t>。（如资质证书、质量体系认证证书等）</w:t>
            </w:r>
          </w:p>
          <w:p w14:paraId="673DDDA0">
            <w:pPr>
              <w:pStyle w:val="21"/>
              <w:spacing w:line="360" w:lineRule="auto"/>
              <w:ind w:firstLine="630" w:firstLineChars="300"/>
              <w:rPr>
                <w:color w:val="auto"/>
                <w:highlight w:val="none"/>
              </w:rPr>
            </w:pPr>
          </w:p>
          <w:p w14:paraId="736306D7">
            <w:pPr>
              <w:pStyle w:val="21"/>
              <w:spacing w:line="360" w:lineRule="auto"/>
              <w:ind w:firstLine="632" w:firstLineChars="300"/>
              <w:rPr>
                <w:b/>
                <w:color w:val="auto"/>
                <w:highlight w:val="none"/>
              </w:rPr>
            </w:pPr>
            <w:r>
              <w:rPr>
                <w:rFonts w:hint="eastAsia"/>
                <w:b/>
                <w:color w:val="auto"/>
                <w:highlight w:val="none"/>
              </w:rPr>
              <w:t>☑商务标</w:t>
            </w:r>
          </w:p>
          <w:p w14:paraId="36B1C05B">
            <w:pPr>
              <w:pStyle w:val="21"/>
              <w:spacing w:line="360" w:lineRule="auto"/>
              <w:ind w:firstLine="630" w:firstLineChars="300"/>
              <w:rPr>
                <w:color w:val="auto"/>
                <w:highlight w:val="none"/>
              </w:rPr>
            </w:pPr>
            <w:r>
              <w:rPr>
                <w:rFonts w:hint="eastAsia"/>
                <w:color w:val="auto"/>
                <w:highlight w:val="none"/>
              </w:rPr>
              <w:t>（1）投标函；</w:t>
            </w:r>
          </w:p>
          <w:p w14:paraId="34CBD602">
            <w:pPr>
              <w:pStyle w:val="21"/>
              <w:spacing w:line="360" w:lineRule="auto"/>
              <w:ind w:firstLine="630" w:firstLineChars="300"/>
              <w:rPr>
                <w:color w:val="auto"/>
                <w:highlight w:val="none"/>
              </w:rPr>
            </w:pPr>
            <w:r>
              <w:rPr>
                <w:rFonts w:hint="eastAsia"/>
                <w:color w:val="auto"/>
                <w:highlight w:val="none"/>
              </w:rPr>
              <w:t>（2）投标函附录；</w:t>
            </w:r>
          </w:p>
          <w:p w14:paraId="4663390F">
            <w:pPr>
              <w:pStyle w:val="21"/>
              <w:spacing w:line="360" w:lineRule="auto"/>
              <w:ind w:firstLine="630" w:firstLineChars="300"/>
              <w:rPr>
                <w:color w:val="auto"/>
                <w:highlight w:val="none"/>
              </w:rPr>
            </w:pPr>
            <w:r>
              <w:rPr>
                <w:rFonts w:hint="eastAsia"/>
                <w:color w:val="auto"/>
                <w:highlight w:val="none"/>
              </w:rPr>
              <w:t>（3）设计费用清单；</w:t>
            </w:r>
          </w:p>
          <w:p w14:paraId="5EC07124">
            <w:pPr>
              <w:pStyle w:val="21"/>
              <w:spacing w:line="360" w:lineRule="auto"/>
              <w:ind w:firstLine="630" w:firstLineChars="300"/>
              <w:rPr>
                <w:color w:val="auto"/>
                <w:highlight w:val="none"/>
              </w:rPr>
            </w:pPr>
            <w:r>
              <w:rPr>
                <w:rFonts w:hint="eastAsia"/>
                <w:color w:val="auto"/>
                <w:highlight w:val="none"/>
              </w:rPr>
              <w:t>（</w:t>
            </w:r>
            <w:r>
              <w:rPr>
                <w:color w:val="auto"/>
                <w:highlight w:val="none"/>
              </w:rPr>
              <w:t>4</w:t>
            </w:r>
            <w:r>
              <w:rPr>
                <w:rFonts w:hint="eastAsia"/>
                <w:color w:val="auto"/>
                <w:highlight w:val="none"/>
              </w:rPr>
              <w:t>）资信业绩；</w:t>
            </w:r>
          </w:p>
          <w:p w14:paraId="43D796C4">
            <w:pPr>
              <w:pStyle w:val="21"/>
              <w:spacing w:line="360" w:lineRule="auto"/>
              <w:ind w:firstLine="630" w:firstLineChars="300"/>
              <w:rPr>
                <w:rFonts w:cs="宋体"/>
                <w:color w:val="auto"/>
                <w:highlight w:val="none"/>
              </w:rPr>
            </w:pPr>
            <w:r>
              <w:rPr>
                <w:rFonts w:hint="eastAsia" w:cs="宋体"/>
                <w:color w:val="auto"/>
                <w:highlight w:val="none"/>
              </w:rPr>
              <w:t>（5）《中小企业声明函》或者《残疾人福利性单位声明函》或者省级以上监狱管理局、戒毒管理局（含新疆生产建设兵团）出具的属于监狱企业的证明文件扫描件（如有）、母公司承诺书（如有）。</w:t>
            </w:r>
          </w:p>
          <w:p w14:paraId="3E2842C0">
            <w:pPr>
              <w:pStyle w:val="21"/>
              <w:spacing w:line="360" w:lineRule="auto"/>
              <w:ind w:firstLine="630" w:firstLineChars="300"/>
              <w:rPr>
                <w:color w:val="auto"/>
                <w:highlight w:val="none"/>
              </w:rPr>
            </w:pPr>
            <w:r>
              <w:rPr>
                <w:rFonts w:hint="eastAsia"/>
                <w:color w:val="auto"/>
                <w:highlight w:val="none"/>
              </w:rPr>
              <w:t>（6）投标人认为应提交的其他投标资料。</w:t>
            </w:r>
          </w:p>
          <w:p w14:paraId="26139409">
            <w:pPr>
              <w:pStyle w:val="21"/>
              <w:spacing w:line="360" w:lineRule="auto"/>
              <w:ind w:firstLine="632" w:firstLineChars="300"/>
              <w:rPr>
                <w:b/>
                <w:color w:val="auto"/>
                <w:highlight w:val="none"/>
              </w:rPr>
            </w:pPr>
            <w:r>
              <w:rPr>
                <w:rFonts w:hint="eastAsia"/>
                <w:b/>
                <w:color w:val="auto"/>
                <w:highlight w:val="none"/>
              </w:rPr>
              <w:t>☑技术标（设计组织实施）</w:t>
            </w:r>
          </w:p>
          <w:p w14:paraId="70AB6AEC">
            <w:pPr>
              <w:pStyle w:val="21"/>
              <w:spacing w:line="360" w:lineRule="auto"/>
              <w:ind w:firstLine="630" w:firstLineChars="300"/>
              <w:rPr>
                <w:color w:val="auto"/>
                <w:highlight w:val="none"/>
              </w:rPr>
            </w:pPr>
            <w:r>
              <w:rPr>
                <w:rFonts w:hint="eastAsia"/>
                <w:color w:val="auto"/>
                <w:highlight w:val="none"/>
              </w:rPr>
              <w:t>一、设计实施人员配备</w:t>
            </w:r>
            <w:r>
              <w:rPr>
                <w:rFonts w:hint="eastAsia" w:ascii="楷体" w:hAnsi="楷体" w:eastAsia="楷体" w:cs="楷体"/>
                <w:color w:val="auto"/>
                <w:highlight w:val="none"/>
              </w:rPr>
              <w:t>【</w:t>
            </w:r>
            <w:r>
              <w:rPr>
                <w:rFonts w:hint="eastAsia" w:ascii="楷体" w:hAnsi="楷体" w:eastAsia="楷体" w:cs="楷体"/>
                <w:b/>
                <w:color w:val="auto"/>
                <w:highlight w:val="none"/>
              </w:rPr>
              <w:t>备注：设计团队招标，技术标内不含此项。】</w:t>
            </w:r>
            <w:r>
              <w:rPr>
                <w:rFonts w:hint="eastAsia"/>
                <w:color w:val="auto"/>
                <w:highlight w:val="none"/>
              </w:rPr>
              <w:t>；</w:t>
            </w:r>
          </w:p>
          <w:p w14:paraId="5B7335B2">
            <w:pPr>
              <w:pStyle w:val="21"/>
              <w:spacing w:line="360" w:lineRule="auto"/>
              <w:ind w:firstLine="630" w:firstLineChars="300"/>
              <w:rPr>
                <w:color w:val="auto"/>
                <w:highlight w:val="none"/>
              </w:rPr>
            </w:pPr>
            <w:r>
              <w:rPr>
                <w:rFonts w:hint="eastAsia"/>
                <w:color w:val="auto"/>
                <w:highlight w:val="none"/>
              </w:rPr>
              <w:t>二、设计实施方案</w:t>
            </w:r>
          </w:p>
          <w:p w14:paraId="794E2929">
            <w:pPr>
              <w:pStyle w:val="21"/>
              <w:spacing w:line="360" w:lineRule="auto"/>
              <w:ind w:firstLine="630" w:firstLineChars="300"/>
              <w:rPr>
                <w:color w:val="auto"/>
                <w:highlight w:val="none"/>
              </w:rPr>
            </w:pPr>
            <w:r>
              <w:rPr>
                <w:rFonts w:hint="eastAsia"/>
                <w:color w:val="auto"/>
                <w:highlight w:val="none"/>
              </w:rPr>
              <w:t>（一）设计服务方案；</w:t>
            </w:r>
          </w:p>
          <w:p w14:paraId="0B2A9819">
            <w:pPr>
              <w:pStyle w:val="21"/>
              <w:spacing w:line="360" w:lineRule="auto"/>
              <w:ind w:firstLine="630" w:firstLineChars="300"/>
              <w:rPr>
                <w:color w:val="auto"/>
                <w:highlight w:val="none"/>
              </w:rPr>
            </w:pPr>
            <w:r>
              <w:rPr>
                <w:rFonts w:hint="eastAsia"/>
                <w:color w:val="auto"/>
                <w:highlight w:val="none"/>
              </w:rPr>
              <w:t>（二）设计与发包方前期工作的配合；</w:t>
            </w:r>
          </w:p>
          <w:p w14:paraId="1D00EE6E">
            <w:pPr>
              <w:pStyle w:val="21"/>
              <w:spacing w:line="360" w:lineRule="auto"/>
              <w:ind w:firstLine="630" w:firstLineChars="300"/>
              <w:rPr>
                <w:b/>
                <w:color w:val="auto"/>
                <w:highlight w:val="none"/>
              </w:rPr>
            </w:pPr>
            <w:r>
              <w:rPr>
                <w:rFonts w:hint="eastAsia"/>
                <w:color w:val="auto"/>
                <w:highlight w:val="none"/>
              </w:rPr>
              <w:t>（三）设计在项目施工过程中的工作配合；</w:t>
            </w:r>
          </w:p>
          <w:p w14:paraId="7F01433F">
            <w:pPr>
              <w:pStyle w:val="21"/>
              <w:spacing w:line="360" w:lineRule="auto"/>
              <w:ind w:firstLine="630" w:firstLineChars="300"/>
              <w:rPr>
                <w:color w:val="auto"/>
                <w:highlight w:val="none"/>
              </w:rPr>
            </w:pPr>
            <w:r>
              <w:rPr>
                <w:rFonts w:hint="eastAsia"/>
                <w:color w:val="auto"/>
                <w:highlight w:val="none"/>
              </w:rPr>
              <w:t>（四）服务响应管理方案；</w:t>
            </w:r>
          </w:p>
          <w:p w14:paraId="6F5F80C8">
            <w:pPr>
              <w:pStyle w:val="21"/>
              <w:spacing w:line="360" w:lineRule="auto"/>
              <w:ind w:firstLine="630" w:firstLineChars="300"/>
              <w:rPr>
                <w:color w:val="auto"/>
                <w:highlight w:val="none"/>
              </w:rPr>
            </w:pPr>
            <w:r>
              <w:rPr>
                <w:rFonts w:hint="eastAsia"/>
                <w:color w:val="auto"/>
                <w:highlight w:val="none"/>
              </w:rPr>
              <w:t>三、投标人认为有必要提供的其他材料；</w:t>
            </w:r>
          </w:p>
          <w:p w14:paraId="0884A64D">
            <w:pPr>
              <w:pStyle w:val="21"/>
              <w:spacing w:line="360" w:lineRule="auto"/>
              <w:ind w:firstLine="632" w:firstLineChars="300"/>
              <w:rPr>
                <w:rFonts w:eastAsia="楷体"/>
                <w:b/>
                <w:color w:val="auto"/>
                <w:highlight w:val="none"/>
              </w:rPr>
            </w:pPr>
            <w:r>
              <w:rPr>
                <w:rFonts w:hint="eastAsia"/>
                <w:b/>
                <w:color w:val="auto"/>
                <w:highlight w:val="none"/>
                <w:lang w:eastAsia="zh-CN"/>
              </w:rPr>
              <w:t>□</w:t>
            </w:r>
            <w:r>
              <w:rPr>
                <w:rFonts w:hint="eastAsia"/>
                <w:b/>
                <w:color w:val="auto"/>
                <w:highlight w:val="none"/>
              </w:rPr>
              <w:t>设计方案标（如有）</w:t>
            </w:r>
            <w:r>
              <w:rPr>
                <w:rFonts w:hint="eastAsia" w:ascii="楷体" w:hAnsi="楷体" w:eastAsia="楷体"/>
                <w:b/>
                <w:color w:val="auto"/>
                <w:highlight w:val="none"/>
              </w:rPr>
              <w:t>【备注：当采用设计方案招标时提交。】</w:t>
            </w:r>
          </w:p>
          <w:p w14:paraId="17C5228E">
            <w:pPr>
              <w:pStyle w:val="21"/>
              <w:spacing w:line="360" w:lineRule="auto"/>
              <w:ind w:firstLine="630" w:firstLineChars="300"/>
              <w:rPr>
                <w:rFonts w:hAnsi="宋体"/>
                <w:color w:val="auto"/>
                <w:highlight w:val="none"/>
              </w:rPr>
            </w:pPr>
            <w:r>
              <w:rPr>
                <w:rFonts w:hint="eastAsia" w:hAnsi="宋体"/>
                <w:color w:val="auto"/>
                <w:highlight w:val="none"/>
              </w:rPr>
              <w:t>（1）可行性研究报告完成后方案设计完成前：</w:t>
            </w:r>
          </w:p>
          <w:p w14:paraId="5E226088">
            <w:pPr>
              <w:pStyle w:val="21"/>
              <w:spacing w:line="360" w:lineRule="auto"/>
              <w:ind w:firstLine="630" w:firstLineChars="300"/>
              <w:rPr>
                <w:rFonts w:hAnsi="宋体"/>
                <w:color w:val="auto"/>
                <w:highlight w:val="none"/>
              </w:rPr>
            </w:pPr>
            <w:r>
              <w:rPr>
                <w:rFonts w:hint="eastAsia" w:hAnsi="宋体"/>
                <w:color w:val="auto"/>
                <w:highlight w:val="none"/>
                <w:lang w:eastAsia="zh-CN"/>
              </w:rPr>
              <w:t>□</w:t>
            </w:r>
            <w:r>
              <w:rPr>
                <w:rFonts w:hint="eastAsia" w:hAnsi="宋体"/>
                <w:color w:val="auto"/>
                <w:highlight w:val="none"/>
              </w:rPr>
              <w:t>方案设计</w:t>
            </w:r>
          </w:p>
          <w:p w14:paraId="151A853C">
            <w:pPr>
              <w:pStyle w:val="21"/>
              <w:spacing w:line="360" w:lineRule="auto"/>
              <w:ind w:firstLine="630" w:firstLineChars="300"/>
              <w:rPr>
                <w:rFonts w:ascii="Times New Roman" w:hAnsi="Times New Roman"/>
                <w:color w:val="auto"/>
                <w:highlight w:val="none"/>
              </w:rPr>
            </w:pPr>
            <w:r>
              <w:rPr>
                <w:rFonts w:hint="eastAsia" w:ascii="Times New Roman" w:hAnsi="Times New Roman"/>
                <w:color w:val="auto"/>
                <w:highlight w:val="none"/>
              </w:rPr>
              <w:t>设计方案标内容应包括：</w:t>
            </w:r>
          </w:p>
          <w:p w14:paraId="01E7EAD8">
            <w:pPr>
              <w:pStyle w:val="21"/>
              <w:spacing w:line="360" w:lineRule="auto"/>
              <w:ind w:firstLine="632" w:firstLineChars="300"/>
              <w:rPr>
                <w:rFonts w:ascii="Times New Roman" w:hAnsi="Times New Roman"/>
                <w:color w:val="auto"/>
                <w:highlight w:val="none"/>
                <w:u w:val="single"/>
              </w:rPr>
            </w:pPr>
            <w:r>
              <w:rPr>
                <w:rFonts w:hint="eastAsia"/>
                <w:b/>
                <w:color w:val="auto"/>
                <w:highlight w:val="none"/>
                <w:u w:val="single"/>
                <w:lang w:eastAsia="zh-CN"/>
              </w:rPr>
              <w:t>□</w:t>
            </w:r>
            <w:r>
              <w:rPr>
                <w:rFonts w:hint="eastAsia" w:ascii="Times New Roman" w:hAnsi="Times New Roman"/>
                <w:color w:val="auto"/>
                <w:highlight w:val="none"/>
                <w:u w:val="single"/>
              </w:rPr>
              <w:t>设计说明及各项技术经济指标；</w:t>
            </w:r>
          </w:p>
          <w:p w14:paraId="0C13C4AA">
            <w:pPr>
              <w:pStyle w:val="21"/>
              <w:spacing w:line="360" w:lineRule="auto"/>
              <w:ind w:firstLine="632" w:firstLineChars="300"/>
              <w:rPr>
                <w:rFonts w:ascii="Times New Roman" w:hAnsi="Times New Roman"/>
                <w:color w:val="auto"/>
                <w:highlight w:val="none"/>
                <w:u w:val="single"/>
              </w:rPr>
            </w:pPr>
            <w:r>
              <w:rPr>
                <w:rFonts w:hint="eastAsia"/>
                <w:b/>
                <w:color w:val="auto"/>
                <w:highlight w:val="none"/>
                <w:u w:val="single"/>
                <w:lang w:eastAsia="zh-CN"/>
              </w:rPr>
              <w:t>□</w:t>
            </w:r>
            <w:r>
              <w:rPr>
                <w:rFonts w:hint="eastAsia" w:ascii="Times New Roman" w:hAnsi="Times New Roman"/>
                <w:color w:val="auto"/>
                <w:highlight w:val="none"/>
                <w:u w:val="single"/>
              </w:rPr>
              <w:t>正、侧立面、背立面彩图；</w:t>
            </w:r>
          </w:p>
          <w:p w14:paraId="2EFD8CEE">
            <w:pPr>
              <w:pStyle w:val="21"/>
              <w:spacing w:line="360" w:lineRule="auto"/>
              <w:ind w:firstLine="632" w:firstLineChars="300"/>
              <w:rPr>
                <w:rFonts w:ascii="Times New Roman" w:hAnsi="Times New Roman"/>
                <w:color w:val="auto"/>
                <w:highlight w:val="none"/>
                <w:u w:val="single"/>
              </w:rPr>
            </w:pPr>
            <w:r>
              <w:rPr>
                <w:rFonts w:hint="eastAsia"/>
                <w:b/>
                <w:color w:val="auto"/>
                <w:highlight w:val="none"/>
                <w:u w:val="single"/>
              </w:rPr>
              <w:t>□</w:t>
            </w:r>
            <w:r>
              <w:rPr>
                <w:rFonts w:hint="eastAsia" w:ascii="Times New Roman" w:hAnsi="Times New Roman"/>
                <w:color w:val="auto"/>
                <w:highlight w:val="none"/>
                <w:u w:val="single"/>
              </w:rPr>
              <w:t>鸟瞰图；</w:t>
            </w:r>
          </w:p>
          <w:p w14:paraId="6B0B6123">
            <w:pPr>
              <w:pStyle w:val="21"/>
              <w:spacing w:line="360" w:lineRule="auto"/>
              <w:ind w:firstLine="632" w:firstLineChars="300"/>
              <w:rPr>
                <w:rFonts w:ascii="Times New Roman" w:hAnsi="Times New Roman"/>
                <w:color w:val="auto"/>
                <w:highlight w:val="none"/>
                <w:u w:val="single"/>
              </w:rPr>
            </w:pPr>
            <w:r>
              <w:rPr>
                <w:rFonts w:hint="eastAsia"/>
                <w:b/>
                <w:color w:val="auto"/>
                <w:highlight w:val="none"/>
                <w:u w:val="single"/>
                <w:lang w:eastAsia="zh-CN"/>
              </w:rPr>
              <w:t>□</w:t>
            </w:r>
            <w:r>
              <w:rPr>
                <w:rFonts w:hint="eastAsia" w:ascii="Times New Roman" w:hAnsi="Times New Roman"/>
                <w:color w:val="auto"/>
                <w:highlight w:val="none"/>
                <w:u w:val="single"/>
              </w:rPr>
              <w:t>效果图（白天或夜景）；</w:t>
            </w:r>
          </w:p>
          <w:p w14:paraId="6655E0DC">
            <w:pPr>
              <w:pStyle w:val="21"/>
              <w:spacing w:line="360" w:lineRule="auto"/>
              <w:ind w:firstLine="632" w:firstLineChars="300"/>
              <w:rPr>
                <w:rFonts w:ascii="Times New Roman" w:hAnsi="Times New Roman"/>
                <w:color w:val="auto"/>
                <w:highlight w:val="none"/>
                <w:u w:val="single"/>
              </w:rPr>
            </w:pPr>
            <w:r>
              <w:rPr>
                <w:rFonts w:hint="eastAsia"/>
                <w:b/>
                <w:color w:val="auto"/>
                <w:highlight w:val="none"/>
                <w:u w:val="single"/>
                <w:lang w:eastAsia="zh-CN"/>
              </w:rPr>
              <w:t>□</w:t>
            </w:r>
            <w:r>
              <w:rPr>
                <w:rFonts w:hint="eastAsia" w:ascii="Times New Roman" w:hAnsi="Times New Roman"/>
                <w:color w:val="auto"/>
                <w:highlight w:val="none"/>
                <w:u w:val="single"/>
              </w:rPr>
              <w:t>各项分析图；</w:t>
            </w:r>
          </w:p>
          <w:p w14:paraId="4D076E00">
            <w:pPr>
              <w:pStyle w:val="21"/>
              <w:spacing w:line="360" w:lineRule="auto"/>
              <w:ind w:firstLine="630" w:firstLineChars="300"/>
              <w:rPr>
                <w:rFonts w:ascii="Times New Roman" w:hAnsi="Times New Roman"/>
                <w:color w:val="auto"/>
                <w:highlight w:val="none"/>
                <w:u w:val="single"/>
              </w:rPr>
            </w:pPr>
            <w:r>
              <w:rPr>
                <w:rFonts w:hint="eastAsia" w:ascii="Times New Roman" w:hAnsi="Times New Roman"/>
                <w:color w:val="auto"/>
                <w:highlight w:val="none"/>
                <w:u w:val="single"/>
                <w:lang w:eastAsia="zh-CN"/>
              </w:rPr>
              <w:t>□</w:t>
            </w:r>
            <w:r>
              <w:rPr>
                <w:rFonts w:hint="eastAsia" w:ascii="Times New Roman" w:hAnsi="Times New Roman"/>
                <w:color w:val="auto"/>
                <w:highlight w:val="none"/>
                <w:u w:val="single"/>
                <w:lang w:val="en"/>
              </w:rPr>
              <w:t>总平面图及单体平、立、剖图</w:t>
            </w:r>
          </w:p>
          <w:p w14:paraId="4FEC4CA2">
            <w:pPr>
              <w:pStyle w:val="21"/>
              <w:spacing w:line="360" w:lineRule="auto"/>
              <w:ind w:firstLine="632" w:firstLineChars="300"/>
              <w:rPr>
                <w:b/>
                <w:color w:val="auto"/>
                <w:highlight w:val="none"/>
                <w:u w:val="single"/>
              </w:rPr>
            </w:pPr>
            <w:r>
              <w:rPr>
                <w:rFonts w:hint="eastAsia"/>
                <w:b/>
                <w:color w:val="auto"/>
                <w:highlight w:val="none"/>
                <w:u w:val="single"/>
              </w:rPr>
              <w:t>□</w:t>
            </w:r>
            <w:r>
              <w:rPr>
                <w:rFonts w:hint="eastAsia" w:ascii="Times New Roman" w:hAnsi="Times New Roman"/>
                <w:color w:val="auto"/>
                <w:highlight w:val="none"/>
                <w:u w:val="single"/>
              </w:rPr>
              <w:t>电子演示文本；</w:t>
            </w:r>
          </w:p>
          <w:p w14:paraId="7C05F5CC">
            <w:pPr>
              <w:pStyle w:val="21"/>
              <w:spacing w:line="360" w:lineRule="auto"/>
              <w:ind w:firstLine="632" w:firstLineChars="300"/>
              <w:rPr>
                <w:rFonts w:ascii="Times New Roman" w:hAnsi="Times New Roman"/>
                <w:color w:val="auto"/>
                <w:highlight w:val="none"/>
                <w:u w:val="single"/>
              </w:rPr>
            </w:pPr>
            <w:r>
              <w:rPr>
                <w:rFonts w:hint="eastAsia"/>
                <w:b/>
                <w:color w:val="auto"/>
                <w:highlight w:val="none"/>
                <w:lang w:eastAsia="zh-CN"/>
              </w:rPr>
              <w:t>□</w:t>
            </w:r>
            <w:r>
              <w:rPr>
                <w:rFonts w:hint="eastAsia"/>
                <w:b/>
                <w:color w:val="auto"/>
                <w:highlight w:val="none"/>
              </w:rPr>
              <w:t>投标人认为有必要</w:t>
            </w:r>
            <w:r>
              <w:rPr>
                <w:rFonts w:hint="eastAsia"/>
                <w:b/>
                <w:color w:val="auto"/>
                <w:highlight w:val="none"/>
                <w:u w:val="single"/>
              </w:rPr>
              <w:t>提供的其他图纸</w:t>
            </w:r>
            <w:r>
              <w:rPr>
                <w:b/>
                <w:color w:val="auto"/>
                <w:highlight w:val="none"/>
                <w:u w:val="single"/>
              </w:rPr>
              <w:t xml:space="preserve">  </w:t>
            </w:r>
            <w:r>
              <w:rPr>
                <w:rFonts w:hint="eastAsia"/>
                <w:b/>
                <w:color w:val="auto"/>
                <w:highlight w:val="none"/>
                <w:u w:val="single"/>
              </w:rPr>
              <w:t xml:space="preserve"> </w:t>
            </w:r>
          </w:p>
          <w:p w14:paraId="6BBB1232">
            <w:pPr>
              <w:pStyle w:val="21"/>
              <w:spacing w:line="360" w:lineRule="auto"/>
              <w:ind w:firstLine="630" w:firstLineChars="300"/>
              <w:rPr>
                <w:rFonts w:ascii="Times New Roman" w:hAnsi="Times New Roman"/>
                <w:color w:val="auto"/>
                <w:highlight w:val="none"/>
              </w:rPr>
            </w:pPr>
            <w:r>
              <w:rPr>
                <w:rFonts w:hint="eastAsia" w:ascii="Times New Roman" w:hAnsi="Times New Roman"/>
                <w:color w:val="auto"/>
                <w:highlight w:val="none"/>
              </w:rPr>
              <w:t>设计文本一律采用A3图面。</w:t>
            </w:r>
          </w:p>
          <w:p w14:paraId="0514FD0A">
            <w:pPr>
              <w:pStyle w:val="21"/>
              <w:spacing w:line="360" w:lineRule="auto"/>
              <w:ind w:firstLine="630" w:firstLineChars="300"/>
              <w:rPr>
                <w:rFonts w:hAnsi="宋体"/>
                <w:color w:val="auto"/>
                <w:highlight w:val="none"/>
              </w:rPr>
            </w:pPr>
            <w:r>
              <w:rPr>
                <w:rFonts w:hint="eastAsia" w:hAnsi="宋体"/>
                <w:color w:val="auto"/>
                <w:highlight w:val="none"/>
              </w:rPr>
              <w:t>（2）方案设计完成后初步设计完成前：</w:t>
            </w:r>
            <w:r>
              <w:rPr>
                <w:rFonts w:hint="eastAsia" w:hAnsi="宋体"/>
                <w:color w:val="auto"/>
                <w:highlight w:val="none"/>
              </w:rPr>
              <w:sym w:font="Wingdings 2" w:char="00A3"/>
            </w:r>
            <w:r>
              <w:rPr>
                <w:rFonts w:hint="eastAsia" w:hAnsi="宋体"/>
                <w:color w:val="auto"/>
                <w:highlight w:val="none"/>
              </w:rPr>
              <w:t>初步设计</w:t>
            </w:r>
          </w:p>
          <w:p w14:paraId="333F4E6E">
            <w:pPr>
              <w:pStyle w:val="21"/>
              <w:spacing w:line="360" w:lineRule="auto"/>
              <w:ind w:firstLine="630" w:firstLineChars="300"/>
              <w:rPr>
                <w:rFonts w:hAnsi="宋体"/>
                <w:color w:val="auto"/>
                <w:highlight w:val="none"/>
              </w:rPr>
            </w:pPr>
            <w:r>
              <w:rPr>
                <w:rFonts w:hint="eastAsia" w:hAnsi="宋体"/>
                <w:color w:val="auto"/>
                <w:highlight w:val="none"/>
              </w:rPr>
              <w:t>（3）初步设计完成后施工图设计完成前：</w:t>
            </w:r>
            <w:r>
              <w:rPr>
                <w:rFonts w:hint="eastAsia" w:hAnsi="宋体"/>
                <w:color w:val="auto"/>
                <w:highlight w:val="none"/>
                <w:lang w:eastAsia="zh-CN"/>
              </w:rPr>
              <w:t>□</w:t>
            </w:r>
            <w:r>
              <w:rPr>
                <w:rFonts w:hint="eastAsia" w:hAnsi="宋体"/>
                <w:color w:val="auto"/>
                <w:highlight w:val="none"/>
              </w:rPr>
              <w:t>深化初步设计</w:t>
            </w:r>
          </w:p>
          <w:p w14:paraId="6D0922A5">
            <w:pPr>
              <w:pStyle w:val="21"/>
              <w:spacing w:line="360" w:lineRule="auto"/>
              <w:ind w:firstLine="632" w:firstLineChars="300"/>
              <w:rPr>
                <w:rFonts w:ascii="楷体" w:hAnsi="楷体" w:eastAsia="楷体"/>
                <w:b/>
                <w:color w:val="auto"/>
                <w:highlight w:val="none"/>
              </w:rPr>
            </w:pPr>
            <w:r>
              <w:rPr>
                <w:rFonts w:hint="eastAsia" w:ascii="楷体" w:hAnsi="楷体" w:eastAsia="楷体"/>
                <w:b/>
                <w:color w:val="auto"/>
                <w:highlight w:val="none"/>
              </w:rPr>
              <w:t>【备注：如选择初步设计+深化初步设计、初步设计或深化初步设计招标时。】</w:t>
            </w:r>
          </w:p>
          <w:p w14:paraId="57FD20CF">
            <w:pPr>
              <w:pStyle w:val="21"/>
              <w:spacing w:line="360" w:lineRule="auto"/>
              <w:ind w:firstLine="632" w:firstLineChars="300"/>
              <w:rPr>
                <w:color w:val="auto"/>
                <w:highlight w:val="none"/>
                <w:u w:val="single"/>
              </w:rPr>
            </w:pPr>
            <w:r>
              <w:rPr>
                <w:rFonts w:hint="eastAsia"/>
                <w:b/>
                <w:color w:val="auto"/>
                <w:highlight w:val="none"/>
                <w:u w:val="single"/>
                <w:lang w:eastAsia="zh-CN"/>
              </w:rPr>
              <w:t>□</w:t>
            </w:r>
            <w:r>
              <w:rPr>
                <w:rFonts w:hint="eastAsia"/>
                <w:color w:val="auto"/>
                <w:highlight w:val="none"/>
                <w:u w:val="single"/>
              </w:rPr>
              <w:t>对方案提出深化评估分析</w:t>
            </w:r>
          </w:p>
          <w:p w14:paraId="4B05B2EC">
            <w:pPr>
              <w:pStyle w:val="21"/>
              <w:spacing w:line="360" w:lineRule="auto"/>
              <w:ind w:firstLine="632" w:firstLineChars="300"/>
              <w:rPr>
                <w:color w:val="auto"/>
                <w:highlight w:val="none"/>
                <w:u w:val="single"/>
              </w:rPr>
            </w:pPr>
            <w:r>
              <w:rPr>
                <w:rFonts w:hint="eastAsia"/>
                <w:b/>
                <w:color w:val="auto"/>
                <w:highlight w:val="none"/>
                <w:u w:val="single"/>
                <w:lang w:eastAsia="zh-CN"/>
              </w:rPr>
              <w:t>□</w:t>
            </w:r>
            <w:r>
              <w:rPr>
                <w:rFonts w:hint="eastAsia"/>
                <w:color w:val="auto"/>
                <w:highlight w:val="none"/>
                <w:u w:val="single"/>
              </w:rPr>
              <w:t>全专业提出方案优化意见及概预算方案</w:t>
            </w:r>
          </w:p>
          <w:p w14:paraId="5E940876">
            <w:pPr>
              <w:pStyle w:val="21"/>
              <w:spacing w:line="360" w:lineRule="auto"/>
              <w:ind w:firstLine="632" w:firstLineChars="300"/>
              <w:rPr>
                <w:color w:val="auto"/>
                <w:highlight w:val="none"/>
              </w:rPr>
            </w:pPr>
            <w:r>
              <w:rPr>
                <w:rFonts w:hint="eastAsia"/>
                <w:b/>
                <w:color w:val="auto"/>
                <w:highlight w:val="none"/>
              </w:rPr>
              <w:t>□</w:t>
            </w:r>
            <w:r>
              <w:rPr>
                <w:rFonts w:hint="eastAsia"/>
                <w:color w:val="auto"/>
                <w:highlight w:val="none"/>
              </w:rPr>
              <w:t>其他要求：</w:t>
            </w:r>
            <w:r>
              <w:rPr>
                <w:rFonts w:hint="eastAsia"/>
                <w:color w:val="auto"/>
                <w:highlight w:val="none"/>
                <w:u w:val="single"/>
              </w:rPr>
              <w:t xml:space="preserve">                       </w:t>
            </w:r>
            <w:r>
              <w:rPr>
                <w:rFonts w:hint="eastAsia"/>
                <w:color w:val="auto"/>
                <w:highlight w:val="none"/>
              </w:rPr>
              <w:t xml:space="preserve">                    </w:t>
            </w:r>
          </w:p>
          <w:p w14:paraId="3AACEE72">
            <w:pPr>
              <w:pStyle w:val="21"/>
              <w:spacing w:line="360" w:lineRule="auto"/>
              <w:ind w:firstLine="632" w:firstLineChars="300"/>
              <w:rPr>
                <w:rFonts w:eastAsia="楷体"/>
                <w:b/>
                <w:color w:val="auto"/>
                <w:highlight w:val="none"/>
              </w:rPr>
            </w:pPr>
            <w:r>
              <w:rPr>
                <w:rFonts w:hint="eastAsia"/>
                <w:b/>
                <w:color w:val="auto"/>
                <w:highlight w:val="none"/>
                <w:lang w:eastAsia="zh-CN"/>
              </w:rPr>
              <w:t>☑</w:t>
            </w:r>
            <w:r>
              <w:rPr>
                <w:rFonts w:hint="eastAsia"/>
                <w:b/>
                <w:color w:val="auto"/>
                <w:highlight w:val="none"/>
              </w:rPr>
              <w:t>设计团队标（如有）</w:t>
            </w:r>
            <w:r>
              <w:rPr>
                <w:rFonts w:hint="eastAsia" w:ascii="楷体" w:hAnsi="楷体" w:eastAsia="楷体"/>
                <w:b/>
                <w:color w:val="auto"/>
                <w:highlight w:val="none"/>
              </w:rPr>
              <w:t>【备注：当采用设计团队招标时提交。】</w:t>
            </w:r>
          </w:p>
          <w:p w14:paraId="7A61B0B5">
            <w:pPr>
              <w:keepNext w:val="0"/>
              <w:keepLines/>
              <w:pageBreakBefore w:val="0"/>
              <w:widowControl w:val="0"/>
              <w:kinsoku/>
              <w:wordWrap/>
              <w:overflowPunct w:val="0"/>
              <w:topLinePunct w:val="0"/>
              <w:autoSpaceDE/>
              <w:autoSpaceDN/>
              <w:bidi w:val="0"/>
              <w:adjustRightInd/>
              <w:snapToGrid/>
              <w:spacing w:line="360" w:lineRule="auto"/>
              <w:ind w:left="240"/>
              <w:textAlignment w:val="auto"/>
              <w:rPr>
                <w:rFonts w:hint="default" w:eastAsia="宋体"/>
                <w:color w:val="auto"/>
                <w:highlight w:val="none"/>
                <w:u w:val="single"/>
                <w:lang w:val="en-US" w:eastAsia="zh-CN"/>
              </w:rPr>
            </w:pPr>
            <w:r>
              <w:rPr>
                <w:rFonts w:hint="eastAsia"/>
                <w:b/>
                <w:color w:val="auto"/>
                <w:highlight w:val="none"/>
                <w:lang w:eastAsia="zh-CN"/>
              </w:rPr>
              <w:t>☑</w:t>
            </w:r>
            <w:r>
              <w:rPr>
                <w:rFonts w:hint="eastAsia"/>
                <w:color w:val="auto"/>
                <w:highlight w:val="none"/>
              </w:rPr>
              <w:t>项目负责人要求：</w:t>
            </w:r>
            <w:r>
              <w:rPr>
                <w:rFonts w:hint="eastAsia" w:asciiTheme="minorEastAsia" w:hAnsiTheme="minorEastAsia" w:eastAsiaTheme="minorEastAsia" w:cstheme="minorEastAsia"/>
                <w:color w:val="auto"/>
                <w:highlight w:val="none"/>
                <w:u w:val="single"/>
                <w:lang w:eastAsia="zh-CN"/>
              </w:rPr>
              <w:t>具备</w:t>
            </w:r>
            <w:r>
              <w:rPr>
                <w:rFonts w:hint="eastAsia" w:asciiTheme="minorEastAsia" w:hAnsiTheme="minorEastAsia" w:eastAsiaTheme="minorEastAsia" w:cstheme="minorEastAsia"/>
                <w:color w:val="auto"/>
                <w:highlight w:val="none"/>
                <w:u w:val="single"/>
              </w:rPr>
              <w:t>一级注册建筑师执业资格证书及建筑工程相关</w:t>
            </w:r>
            <w:r>
              <w:rPr>
                <w:rFonts w:hint="eastAsia" w:asciiTheme="minorEastAsia" w:hAnsiTheme="minorEastAsia" w:eastAsiaTheme="minorEastAsia" w:cstheme="minorEastAsia"/>
                <w:color w:val="auto"/>
                <w:highlight w:val="none"/>
                <w:u w:val="single"/>
                <w:lang w:eastAsia="zh-CN"/>
              </w:rPr>
              <w:t>专业</w:t>
            </w:r>
            <w:r>
              <w:rPr>
                <w:rFonts w:hint="eastAsia" w:asciiTheme="minorEastAsia" w:hAnsiTheme="minorEastAsia" w:eastAsiaTheme="minorEastAsia" w:cstheme="minorEastAsia"/>
                <w:color w:val="auto"/>
                <w:highlight w:val="none"/>
                <w:u w:val="single"/>
              </w:rPr>
              <w:t>高级工程师</w:t>
            </w:r>
            <w:r>
              <w:rPr>
                <w:rFonts w:hint="eastAsia" w:asciiTheme="minorEastAsia" w:hAnsiTheme="minorEastAsia" w:eastAsiaTheme="minorEastAsia" w:cstheme="minorEastAsia"/>
                <w:color w:val="auto"/>
                <w:highlight w:val="none"/>
                <w:u w:val="single"/>
                <w:lang w:eastAsia="zh-CN"/>
              </w:rPr>
              <w:t>及以上</w:t>
            </w:r>
            <w:r>
              <w:rPr>
                <w:rFonts w:hint="eastAsia" w:asciiTheme="minorEastAsia" w:hAnsiTheme="minorEastAsia" w:eastAsiaTheme="minorEastAsia" w:cstheme="minorEastAsia"/>
                <w:color w:val="auto"/>
                <w:highlight w:val="none"/>
                <w:u w:val="single"/>
              </w:rPr>
              <w:t>职称</w:t>
            </w:r>
            <w:r>
              <w:rPr>
                <w:rFonts w:hint="eastAsia" w:asciiTheme="minorEastAsia" w:hAnsiTheme="minorEastAsia" w:eastAsiaTheme="minorEastAsia" w:cstheme="minorEastAsia"/>
                <w:color w:val="auto"/>
                <w:highlight w:val="none"/>
                <w:u w:val="single"/>
                <w:lang w:val="en-US" w:eastAsia="zh-CN"/>
              </w:rPr>
              <w:t>等相关证明材料【具体详见“</w:t>
            </w:r>
            <w:r>
              <w:rPr>
                <w:rFonts w:hint="eastAsia" w:asciiTheme="minorEastAsia" w:hAnsiTheme="minorEastAsia" w:eastAsiaTheme="minorEastAsia" w:cstheme="minorEastAsia"/>
                <w:color w:val="auto"/>
                <w:highlight w:val="none"/>
                <w:u w:val="single"/>
              </w:rPr>
              <w:t>第三章  评标办法综合评估法（设计团队招标）</w:t>
            </w:r>
            <w:r>
              <w:rPr>
                <w:rFonts w:hint="eastAsia" w:asciiTheme="minorEastAsia" w:hAnsiTheme="minorEastAsia" w:eastAsiaTheme="minorEastAsia" w:cstheme="minorEastAsia"/>
                <w:color w:val="auto"/>
                <w:highlight w:val="none"/>
                <w:u w:val="single"/>
                <w:lang w:val="en-US" w:eastAsia="zh-CN"/>
              </w:rPr>
              <w:t>”“</w:t>
            </w:r>
            <w:r>
              <w:rPr>
                <w:rFonts w:hint="eastAsia" w:asciiTheme="minorEastAsia" w:hAnsiTheme="minorEastAsia" w:eastAsiaTheme="minorEastAsia" w:cstheme="minorEastAsia"/>
                <w:color w:val="auto"/>
                <w:highlight w:val="none"/>
                <w:u w:val="single"/>
              </w:rPr>
              <w:t>评标办法前附表</w:t>
            </w:r>
            <w:r>
              <w:rPr>
                <w:rFonts w:hint="eastAsia" w:asciiTheme="minorEastAsia" w:hAnsiTheme="minorEastAsia" w:eastAsiaTheme="minorEastAsia" w:cstheme="minorEastAsia"/>
                <w:color w:val="auto"/>
                <w:highlight w:val="none"/>
                <w:u w:val="single"/>
                <w:lang w:eastAsia="zh-CN"/>
              </w:rPr>
              <w:t>”</w:t>
            </w:r>
            <w:r>
              <w:rPr>
                <w:rFonts w:hint="eastAsia" w:asciiTheme="minorEastAsia" w:hAnsiTheme="minorEastAsia" w:eastAsiaTheme="minorEastAsia" w:cstheme="minorEastAsia"/>
                <w:color w:val="auto"/>
                <w:highlight w:val="none"/>
                <w:u w:val="single"/>
                <w:lang w:val="en-US" w:eastAsia="zh-CN"/>
              </w:rPr>
              <w:t>第</w:t>
            </w:r>
            <w:r>
              <w:rPr>
                <w:rFonts w:hint="eastAsia" w:asciiTheme="minorEastAsia" w:hAnsiTheme="minorEastAsia" w:eastAsiaTheme="minorEastAsia" w:cstheme="minorEastAsia"/>
                <w:color w:val="auto"/>
                <w:highlight w:val="none"/>
                <w:u w:val="single"/>
              </w:rPr>
              <w:t>2.2.2（3）</w:t>
            </w:r>
            <w:r>
              <w:rPr>
                <w:rFonts w:hint="eastAsia" w:asciiTheme="minorEastAsia" w:hAnsiTheme="minorEastAsia" w:eastAsiaTheme="minorEastAsia" w:cstheme="minorEastAsia"/>
                <w:color w:val="auto"/>
                <w:highlight w:val="none"/>
                <w:u w:val="single"/>
                <w:lang w:val="en-US" w:eastAsia="zh-CN"/>
              </w:rPr>
              <w:t>项</w:t>
            </w:r>
            <w:r>
              <w:rPr>
                <w:rFonts w:hint="eastAsia" w:asciiTheme="minorEastAsia" w:hAnsiTheme="minorEastAsia" w:eastAsiaTheme="minorEastAsia" w:cstheme="minorEastAsia"/>
                <w:color w:val="auto"/>
                <w:highlight w:val="none"/>
                <w:u w:val="single"/>
                <w:lang w:eastAsia="zh-CN"/>
              </w:rPr>
              <w:t>“</w:t>
            </w:r>
            <w:r>
              <w:rPr>
                <w:rFonts w:hint="eastAsia" w:asciiTheme="minorEastAsia" w:hAnsiTheme="minorEastAsia" w:eastAsiaTheme="minorEastAsia" w:cstheme="minorEastAsia"/>
                <w:color w:val="auto"/>
                <w:highlight w:val="none"/>
                <w:u w:val="single"/>
              </w:rPr>
              <w:t>设计团队评分标准</w:t>
            </w:r>
            <w:r>
              <w:rPr>
                <w:rFonts w:hint="eastAsia" w:asciiTheme="minorEastAsia" w:hAnsiTheme="minorEastAsia" w:eastAsiaTheme="minorEastAsia" w:cstheme="minorEastAsia"/>
                <w:color w:val="auto"/>
                <w:highlight w:val="none"/>
                <w:u w:val="single"/>
                <w:lang w:eastAsia="zh-CN"/>
              </w:rPr>
              <w:t>”</w:t>
            </w:r>
            <w:r>
              <w:rPr>
                <w:rFonts w:hint="eastAsia" w:asciiTheme="minorEastAsia" w:hAnsiTheme="minorEastAsia" w:eastAsiaTheme="minorEastAsia" w:cstheme="minorEastAsia"/>
                <w:color w:val="auto"/>
                <w:highlight w:val="none"/>
                <w:u w:val="single"/>
                <w:lang w:val="en-US" w:eastAsia="zh-CN"/>
              </w:rPr>
              <w:t>】</w:t>
            </w:r>
            <w:r>
              <w:rPr>
                <w:rFonts w:hint="eastAsia" w:ascii="Times New Roman" w:hAnsi="Times New Roman" w:eastAsia="宋体" w:cs="Times New Roman"/>
                <w:color w:val="auto"/>
                <w:highlight w:val="none"/>
                <w:lang w:val="en-US" w:eastAsia="zh-CN"/>
              </w:rPr>
              <w:t>。</w:t>
            </w:r>
          </w:p>
          <w:p w14:paraId="51B3A709">
            <w:pPr>
              <w:pStyle w:val="21"/>
              <w:spacing w:line="360" w:lineRule="auto"/>
              <w:ind w:firstLine="632" w:firstLineChars="300"/>
              <w:rPr>
                <w:color w:val="auto"/>
                <w:highlight w:val="none"/>
                <w:u w:val="single"/>
              </w:rPr>
            </w:pPr>
            <w:r>
              <w:rPr>
                <w:rFonts w:hint="eastAsia" w:ascii="楷体" w:hAnsi="楷体" w:eastAsia="楷体"/>
                <w:b/>
                <w:color w:val="auto"/>
                <w:highlight w:val="none"/>
              </w:rPr>
              <w:t>【备注：</w:t>
            </w:r>
            <w:r>
              <w:rPr>
                <w:rFonts w:hint="eastAsia" w:ascii="楷体" w:hAnsi="楷体" w:eastAsia="楷体"/>
                <w:b/>
                <w:color w:val="auto"/>
                <w:szCs w:val="21"/>
                <w:highlight w:val="none"/>
              </w:rPr>
              <w:t>项目负责人身份证、学历证、职称证、执业注册信息</w:t>
            </w:r>
            <w:r>
              <w:rPr>
                <w:rFonts w:hint="eastAsia" w:eastAsia="楷体"/>
                <w:b/>
                <w:color w:val="auto"/>
                <w:szCs w:val="21"/>
                <w:highlight w:val="none"/>
              </w:rPr>
              <w:t>（</w:t>
            </w:r>
            <w:r>
              <w:rPr>
                <w:rFonts w:hint="eastAsia" w:ascii="楷体" w:hAnsi="楷体" w:eastAsia="楷体"/>
                <w:b/>
                <w:color w:val="auto"/>
                <w:highlight w:val="none"/>
              </w:rPr>
              <w:t>注册类型及等级、证书编号等信息从全国建筑市场监管公共服务平台下行到“桂建云”即可，不需要核验注册证书扫描件</w:t>
            </w:r>
            <w:r>
              <w:rPr>
                <w:rFonts w:hint="eastAsia" w:eastAsia="楷体"/>
                <w:b/>
                <w:color w:val="auto"/>
                <w:szCs w:val="21"/>
                <w:highlight w:val="none"/>
              </w:rPr>
              <w:t>）</w:t>
            </w:r>
            <w:r>
              <w:rPr>
                <w:rFonts w:hint="eastAsia" w:ascii="楷体" w:hAnsi="楷体" w:eastAsia="楷体"/>
                <w:b/>
                <w:color w:val="auto"/>
                <w:szCs w:val="21"/>
                <w:highlight w:val="none"/>
              </w:rPr>
              <w:t>等相关证明材料未通过“桂建云”的，在评审时不予承认，项目负责人应附社保缴费证明原件扫描件，管理过的项目业绩须附合同协议书</w:t>
            </w:r>
            <w:r>
              <w:rPr>
                <w:rFonts w:hint="eastAsia" w:ascii="楷体" w:hAnsi="楷体" w:eastAsia="楷体"/>
                <w:b/>
                <w:bCs/>
                <w:color w:val="auto"/>
                <w:szCs w:val="21"/>
                <w:highlight w:val="none"/>
              </w:rPr>
              <w:t>的封面及相关内容页</w:t>
            </w:r>
            <w:r>
              <w:rPr>
                <w:rFonts w:hint="eastAsia" w:ascii="楷体" w:hAnsi="楷体" w:eastAsia="楷体"/>
                <w:b/>
                <w:color w:val="auto"/>
                <w:szCs w:val="21"/>
                <w:highlight w:val="none"/>
              </w:rPr>
              <w:t>复印件。】</w:t>
            </w:r>
          </w:p>
          <w:p w14:paraId="51C29045">
            <w:pPr>
              <w:keepNext w:val="0"/>
              <w:keepLines w:val="0"/>
              <w:pageBreakBefore w:val="0"/>
              <w:widowControl/>
              <w:kinsoku/>
              <w:wordWrap w:val="0"/>
              <w:overflowPunct/>
              <w:topLinePunct w:val="0"/>
              <w:autoSpaceDE/>
              <w:autoSpaceDN/>
              <w:bidi w:val="0"/>
              <w:adjustRightInd/>
              <w:snapToGrid/>
              <w:spacing w:line="400" w:lineRule="exact"/>
              <w:jc w:val="left"/>
              <w:textAlignment w:val="auto"/>
              <w:rPr>
                <w:rFonts w:hint="default" w:eastAsia="宋体"/>
                <w:b/>
                <w:bCs/>
                <w:color w:val="auto"/>
                <w:highlight w:val="none"/>
                <w:lang w:val="en-US" w:eastAsia="zh-CN"/>
              </w:rPr>
            </w:pPr>
            <w:r>
              <w:rPr>
                <w:rFonts w:hint="eastAsia"/>
                <w:b/>
                <w:color w:val="auto"/>
                <w:highlight w:val="none"/>
                <w:lang w:eastAsia="zh-CN"/>
              </w:rPr>
              <w:t>☑</w:t>
            </w:r>
            <w:r>
              <w:rPr>
                <w:rFonts w:hint="eastAsia"/>
                <w:b/>
                <w:bCs/>
                <w:color w:val="auto"/>
                <w:highlight w:val="none"/>
              </w:rPr>
              <w:t>项目组人员要求：</w:t>
            </w:r>
            <w:r>
              <w:rPr>
                <w:rFonts w:hint="eastAsia" w:cs="宋体"/>
                <w:color w:val="auto"/>
                <w:kern w:val="0"/>
                <w:highlight w:val="none"/>
                <w:lang w:val="en-US" w:eastAsia="zh-CN"/>
              </w:rPr>
              <w:t>项目组人员中项目组负责人（项目负责人除外）关于建筑、结构、电气、给排水、造价、暖通各专业配备设计专业负责人（项目负责人除外）职称证等相关证明材料【具体详见“第三章  评标办法综合评估法（设计团队招标）”“评标办法前附表”第2.2.2（3）项“设计团队评分标准”】。</w:t>
            </w:r>
          </w:p>
          <w:p w14:paraId="4DBC0865">
            <w:pPr>
              <w:pStyle w:val="21"/>
              <w:spacing w:line="360" w:lineRule="auto"/>
              <w:ind w:firstLine="632" w:firstLineChars="300"/>
              <w:rPr>
                <w:color w:val="auto"/>
                <w:highlight w:val="none"/>
                <w:u w:val="single"/>
              </w:rPr>
            </w:pPr>
            <w:r>
              <w:rPr>
                <w:rFonts w:hint="eastAsia" w:ascii="楷体" w:hAnsi="楷体" w:eastAsia="楷体"/>
                <w:b/>
                <w:color w:val="auto"/>
                <w:szCs w:val="21"/>
                <w:highlight w:val="none"/>
              </w:rPr>
              <w:t>【备注：项目组人员身份证、学历证、职称证、执业注册信息</w:t>
            </w:r>
            <w:r>
              <w:rPr>
                <w:rFonts w:hint="eastAsia" w:eastAsia="楷体"/>
                <w:b/>
                <w:color w:val="auto"/>
                <w:szCs w:val="21"/>
                <w:highlight w:val="none"/>
              </w:rPr>
              <w:t>（</w:t>
            </w:r>
            <w:r>
              <w:rPr>
                <w:rFonts w:hint="eastAsia" w:ascii="楷体" w:hAnsi="楷体" w:eastAsia="楷体"/>
                <w:b/>
                <w:color w:val="auto"/>
                <w:highlight w:val="none"/>
              </w:rPr>
              <w:t>注册类型及等级、证书编号等信息从全国建筑市场监管公共服务平台下行到“桂建云”即可，不需要核验注册证书扫描件</w:t>
            </w:r>
            <w:r>
              <w:rPr>
                <w:rFonts w:hint="eastAsia" w:eastAsia="楷体"/>
                <w:b/>
                <w:color w:val="auto"/>
                <w:szCs w:val="21"/>
                <w:highlight w:val="none"/>
              </w:rPr>
              <w:t>）</w:t>
            </w:r>
            <w:r>
              <w:rPr>
                <w:rFonts w:hint="eastAsia" w:ascii="楷体" w:hAnsi="楷体" w:eastAsia="楷体"/>
                <w:b/>
                <w:color w:val="auto"/>
                <w:szCs w:val="21"/>
                <w:highlight w:val="none"/>
              </w:rPr>
              <w:t>等相关证明材料未通过“桂建云”的，在评审时不予承认，项目组人员应附社保缴费证明原件扫描件。</w:t>
            </w:r>
            <w:r>
              <w:rPr>
                <w:rFonts w:hint="eastAsia" w:ascii="楷体" w:hAnsi="楷体" w:eastAsia="楷体" w:cs="宋体"/>
                <w:b/>
                <w:color w:val="auto"/>
                <w:highlight w:val="none"/>
              </w:rPr>
              <w:t>注册城乡规划师，咨询工程师，注册土木工程师（道路）等未在住建部注册或者未实施注册制度的资格证书，可在投标人认为的其他材料内补充上传电子证书，</w:t>
            </w:r>
            <w:r>
              <w:rPr>
                <w:rFonts w:ascii="楷体" w:hAnsi="楷体" w:eastAsia="楷体" w:cs="宋体"/>
                <w:b/>
                <w:color w:val="auto"/>
                <w:highlight w:val="none"/>
                <w:lang w:val="en"/>
              </w:rPr>
              <w:t>非电子证书，均不予以认可。</w:t>
            </w:r>
            <w:r>
              <w:rPr>
                <w:rFonts w:hint="eastAsia" w:ascii="楷体" w:hAnsi="楷体" w:eastAsia="楷体"/>
                <w:b/>
                <w:color w:val="auto"/>
                <w:szCs w:val="21"/>
                <w:highlight w:val="none"/>
              </w:rPr>
              <w:t>】</w:t>
            </w:r>
          </w:p>
          <w:p w14:paraId="1ADF2E34">
            <w:pPr>
              <w:pStyle w:val="21"/>
              <w:spacing w:line="360" w:lineRule="auto"/>
              <w:ind w:firstLine="632" w:firstLineChars="300"/>
              <w:rPr>
                <w:rFonts w:hint="eastAsia"/>
                <w:color w:val="auto"/>
                <w:highlight w:val="none"/>
              </w:rPr>
            </w:pPr>
            <w:r>
              <w:rPr>
                <w:rFonts w:hint="eastAsia"/>
                <w:b/>
                <w:color w:val="auto"/>
                <w:highlight w:val="none"/>
                <w:lang w:eastAsia="zh-CN"/>
              </w:rPr>
              <w:t>☑</w:t>
            </w:r>
            <w:r>
              <w:rPr>
                <w:rFonts w:hint="eastAsia"/>
                <w:color w:val="auto"/>
                <w:highlight w:val="none"/>
              </w:rPr>
              <w:t>其他要求：</w:t>
            </w:r>
            <w:r>
              <w:rPr>
                <w:rFonts w:hint="eastAsia" w:cs="宋体"/>
                <w:color w:val="auto"/>
                <w:kern w:val="0"/>
                <w:highlight w:val="none"/>
                <w:u w:val="single"/>
              </w:rPr>
              <w:t>项目组人员</w:t>
            </w:r>
            <w:r>
              <w:rPr>
                <w:rFonts w:hint="eastAsia" w:cs="宋体"/>
                <w:color w:val="auto"/>
                <w:kern w:val="0"/>
                <w:highlight w:val="none"/>
                <w:u w:val="single"/>
                <w:lang w:val="en-US" w:eastAsia="zh-CN"/>
              </w:rPr>
              <w:t>中</w:t>
            </w:r>
            <w:r>
              <w:rPr>
                <w:rFonts w:hint="eastAsia" w:cs="宋体"/>
                <w:color w:val="auto"/>
                <w:kern w:val="0"/>
                <w:highlight w:val="none"/>
                <w:u w:val="single"/>
              </w:rPr>
              <w:t>其他设</w:t>
            </w:r>
            <w:r>
              <w:rPr>
                <w:rFonts w:hint="eastAsia" w:ascii="Times New Roman" w:hAnsi="Times New Roman" w:eastAsia="宋体" w:cs="宋体"/>
                <w:color w:val="auto"/>
                <w:kern w:val="0"/>
                <w:highlight w:val="none"/>
                <w:u w:val="single"/>
              </w:rPr>
              <w:t>计师</w:t>
            </w:r>
            <w:r>
              <w:rPr>
                <w:rFonts w:hint="eastAsia" w:cs="宋体"/>
                <w:color w:val="auto"/>
                <w:kern w:val="0"/>
                <w:highlight w:val="none"/>
                <w:u w:val="single"/>
                <w:lang w:eastAsia="zh-CN"/>
              </w:rPr>
              <w:t>（</w:t>
            </w:r>
            <w:r>
              <w:rPr>
                <w:rFonts w:hint="eastAsia" w:cs="宋体"/>
                <w:color w:val="auto"/>
                <w:kern w:val="0"/>
                <w:highlight w:val="none"/>
                <w:u w:val="single"/>
                <w:lang w:val="en-US" w:eastAsia="zh-CN"/>
              </w:rPr>
              <w:t>除项目负责人及</w:t>
            </w:r>
            <w:r>
              <w:rPr>
                <w:rFonts w:hint="eastAsia" w:cs="宋体"/>
                <w:color w:val="auto"/>
                <w:kern w:val="0"/>
                <w:highlight w:val="none"/>
                <w:u w:val="single"/>
              </w:rPr>
              <w:t>设计</w:t>
            </w:r>
            <w:r>
              <w:rPr>
                <w:rFonts w:hint="eastAsia" w:cs="宋体"/>
                <w:color w:val="auto"/>
                <w:kern w:val="0"/>
                <w:highlight w:val="none"/>
                <w:u w:val="single"/>
                <w:lang w:eastAsia="zh-CN"/>
              </w:rPr>
              <w:t>专业</w:t>
            </w:r>
            <w:r>
              <w:rPr>
                <w:rFonts w:hint="eastAsia" w:cs="宋体"/>
                <w:color w:val="auto"/>
                <w:kern w:val="0"/>
                <w:highlight w:val="none"/>
                <w:u w:val="single"/>
              </w:rPr>
              <w:t>负责人</w:t>
            </w:r>
            <w:r>
              <w:rPr>
                <w:rFonts w:hint="eastAsia" w:cs="宋体"/>
                <w:color w:val="auto"/>
                <w:kern w:val="0"/>
                <w:highlight w:val="none"/>
                <w:u w:val="single"/>
                <w:lang w:val="en-US" w:eastAsia="zh-CN"/>
              </w:rPr>
              <w:t>外）</w:t>
            </w:r>
            <w:r>
              <w:rPr>
                <w:rFonts w:hint="eastAsia" w:ascii="Times New Roman" w:hAnsi="Times New Roman" w:eastAsia="宋体" w:cs="宋体"/>
                <w:color w:val="auto"/>
                <w:kern w:val="0"/>
                <w:highlight w:val="none"/>
                <w:u w:val="single"/>
              </w:rPr>
              <w:t>具备</w:t>
            </w:r>
            <w:r>
              <w:rPr>
                <w:rFonts w:hint="eastAsia" w:ascii="Times New Roman" w:hAnsi="Times New Roman" w:eastAsia="宋体" w:cs="宋体"/>
                <w:color w:val="auto"/>
                <w:kern w:val="0"/>
                <w:highlight w:val="none"/>
                <w:u w:val="single"/>
                <w:lang w:val="en-US" w:eastAsia="zh-CN"/>
              </w:rPr>
              <w:t>与本项目相关</w:t>
            </w:r>
            <w:r>
              <w:rPr>
                <w:rFonts w:hint="eastAsia" w:ascii="Times New Roman" w:hAnsi="Times New Roman" w:eastAsia="宋体" w:cs="宋体"/>
                <w:color w:val="auto"/>
                <w:kern w:val="0"/>
                <w:highlight w:val="none"/>
                <w:u w:val="single"/>
              </w:rPr>
              <w:t>设计专业</w:t>
            </w:r>
            <w:r>
              <w:rPr>
                <w:rFonts w:hint="eastAsia" w:ascii="Times New Roman" w:hAnsi="Times New Roman" w:eastAsia="宋体" w:cs="宋体"/>
                <w:color w:val="auto"/>
                <w:kern w:val="0"/>
                <w:highlight w:val="none"/>
                <w:u w:val="single"/>
                <w:lang w:val="en-US" w:eastAsia="zh-CN"/>
              </w:rPr>
              <w:t>注册执业资格证或工程类</w:t>
            </w:r>
            <w:r>
              <w:rPr>
                <w:rFonts w:hint="eastAsia" w:ascii="Times New Roman" w:hAnsi="Times New Roman" w:eastAsia="宋体" w:cs="宋体"/>
                <w:color w:val="auto"/>
                <w:kern w:val="0"/>
                <w:highlight w:val="none"/>
                <w:u w:val="single"/>
              </w:rPr>
              <w:t>中</w:t>
            </w:r>
            <w:r>
              <w:rPr>
                <w:rFonts w:hint="eastAsia" w:cs="宋体"/>
                <w:color w:val="auto"/>
                <w:kern w:val="0"/>
                <w:highlight w:val="none"/>
                <w:u w:val="single"/>
              </w:rPr>
              <w:t>级及以上职称</w:t>
            </w:r>
            <w:r>
              <w:rPr>
                <w:rFonts w:hint="eastAsia" w:cs="宋体"/>
                <w:color w:val="auto"/>
                <w:kern w:val="0"/>
                <w:highlight w:val="none"/>
                <w:u w:val="single"/>
                <w:lang w:val="en-US" w:eastAsia="zh-CN"/>
              </w:rPr>
              <w:t>证等相关证明材料</w:t>
            </w:r>
            <w:r>
              <w:rPr>
                <w:rFonts w:hint="eastAsia" w:asciiTheme="minorEastAsia" w:hAnsiTheme="minorEastAsia" w:eastAsiaTheme="minorEastAsia" w:cstheme="minorEastAsia"/>
                <w:color w:val="auto"/>
                <w:highlight w:val="none"/>
                <w:u w:val="single"/>
                <w:lang w:val="en-US" w:eastAsia="zh-CN"/>
              </w:rPr>
              <w:t>【具体详见“</w:t>
            </w:r>
            <w:r>
              <w:rPr>
                <w:rFonts w:hint="eastAsia" w:asciiTheme="minorEastAsia" w:hAnsiTheme="minorEastAsia" w:eastAsiaTheme="minorEastAsia" w:cstheme="minorEastAsia"/>
                <w:color w:val="auto"/>
                <w:highlight w:val="none"/>
                <w:u w:val="single"/>
              </w:rPr>
              <w:t>第三章  评标办法综合评估法（设计团队招标）</w:t>
            </w:r>
            <w:r>
              <w:rPr>
                <w:rFonts w:hint="eastAsia" w:asciiTheme="minorEastAsia" w:hAnsiTheme="minorEastAsia" w:eastAsiaTheme="minorEastAsia" w:cstheme="minorEastAsia"/>
                <w:color w:val="auto"/>
                <w:highlight w:val="none"/>
                <w:u w:val="single"/>
                <w:lang w:val="en-US" w:eastAsia="zh-CN"/>
              </w:rPr>
              <w:t>”“</w:t>
            </w:r>
            <w:r>
              <w:rPr>
                <w:rFonts w:hint="eastAsia" w:asciiTheme="minorEastAsia" w:hAnsiTheme="minorEastAsia" w:eastAsiaTheme="minorEastAsia" w:cstheme="minorEastAsia"/>
                <w:color w:val="auto"/>
                <w:highlight w:val="none"/>
                <w:u w:val="single"/>
              </w:rPr>
              <w:t>评标办法前附表</w:t>
            </w:r>
            <w:r>
              <w:rPr>
                <w:rFonts w:hint="eastAsia" w:asciiTheme="minorEastAsia" w:hAnsiTheme="minorEastAsia" w:eastAsiaTheme="minorEastAsia" w:cstheme="minorEastAsia"/>
                <w:color w:val="auto"/>
                <w:highlight w:val="none"/>
                <w:u w:val="single"/>
                <w:lang w:eastAsia="zh-CN"/>
              </w:rPr>
              <w:t>”</w:t>
            </w:r>
            <w:r>
              <w:rPr>
                <w:rFonts w:hint="eastAsia" w:asciiTheme="minorEastAsia" w:hAnsiTheme="minorEastAsia" w:eastAsiaTheme="minorEastAsia" w:cstheme="minorEastAsia"/>
                <w:color w:val="auto"/>
                <w:highlight w:val="none"/>
                <w:u w:val="single"/>
                <w:lang w:val="en-US" w:eastAsia="zh-CN"/>
              </w:rPr>
              <w:t>第</w:t>
            </w:r>
            <w:r>
              <w:rPr>
                <w:rFonts w:hint="eastAsia" w:asciiTheme="minorEastAsia" w:hAnsiTheme="minorEastAsia" w:eastAsiaTheme="minorEastAsia" w:cstheme="minorEastAsia"/>
                <w:color w:val="auto"/>
                <w:highlight w:val="none"/>
                <w:u w:val="single"/>
              </w:rPr>
              <w:t>2.2.2（3）</w:t>
            </w:r>
            <w:r>
              <w:rPr>
                <w:rFonts w:hint="eastAsia" w:asciiTheme="minorEastAsia" w:hAnsiTheme="minorEastAsia" w:eastAsiaTheme="minorEastAsia" w:cstheme="minorEastAsia"/>
                <w:color w:val="auto"/>
                <w:highlight w:val="none"/>
                <w:u w:val="single"/>
                <w:lang w:val="en-US" w:eastAsia="zh-CN"/>
              </w:rPr>
              <w:t>项</w:t>
            </w:r>
            <w:r>
              <w:rPr>
                <w:rFonts w:hint="eastAsia" w:asciiTheme="minorEastAsia" w:hAnsiTheme="minorEastAsia" w:eastAsiaTheme="minorEastAsia" w:cstheme="minorEastAsia"/>
                <w:color w:val="auto"/>
                <w:highlight w:val="none"/>
                <w:u w:val="single"/>
                <w:lang w:eastAsia="zh-CN"/>
              </w:rPr>
              <w:t>“</w:t>
            </w:r>
            <w:r>
              <w:rPr>
                <w:rFonts w:hint="eastAsia" w:asciiTheme="minorEastAsia" w:hAnsiTheme="minorEastAsia" w:eastAsiaTheme="minorEastAsia" w:cstheme="minorEastAsia"/>
                <w:color w:val="auto"/>
                <w:highlight w:val="none"/>
                <w:u w:val="single"/>
              </w:rPr>
              <w:t>设计团队评分标准</w:t>
            </w:r>
            <w:r>
              <w:rPr>
                <w:rFonts w:hint="eastAsia" w:asciiTheme="minorEastAsia" w:hAnsiTheme="minorEastAsia" w:eastAsiaTheme="minorEastAsia" w:cstheme="minorEastAsia"/>
                <w:color w:val="auto"/>
                <w:highlight w:val="none"/>
                <w:u w:val="single"/>
                <w:lang w:eastAsia="zh-CN"/>
              </w:rPr>
              <w:t>”</w:t>
            </w:r>
            <w:r>
              <w:rPr>
                <w:rFonts w:hint="eastAsia" w:asciiTheme="minorEastAsia" w:hAnsiTheme="minorEastAsia" w:eastAsiaTheme="minorEastAsia" w:cstheme="minorEastAsia"/>
                <w:color w:val="auto"/>
                <w:highlight w:val="none"/>
                <w:u w:val="single"/>
                <w:lang w:val="en-US" w:eastAsia="zh-CN"/>
              </w:rPr>
              <w:t>】</w:t>
            </w:r>
            <w:r>
              <w:rPr>
                <w:rFonts w:hint="eastAsia" w:cs="宋体"/>
                <w:color w:val="auto"/>
                <w:kern w:val="0"/>
                <w:highlight w:val="none"/>
                <w:lang w:eastAsia="zh-CN"/>
              </w:rPr>
              <w:t>。</w:t>
            </w:r>
            <w:r>
              <w:rPr>
                <w:rFonts w:hint="eastAsia"/>
                <w:color w:val="auto"/>
                <w:highlight w:val="none"/>
              </w:rPr>
              <w:t xml:space="preserve"> </w:t>
            </w:r>
          </w:p>
          <w:p w14:paraId="258E0308">
            <w:pPr>
              <w:pStyle w:val="21"/>
              <w:spacing w:line="360" w:lineRule="auto"/>
              <w:ind w:firstLine="632" w:firstLineChars="300"/>
              <w:rPr>
                <w:color w:val="auto"/>
                <w:highlight w:val="none"/>
                <w:u w:val="single"/>
              </w:rPr>
            </w:pPr>
            <w:r>
              <w:rPr>
                <w:rFonts w:hint="eastAsia" w:ascii="楷体" w:hAnsi="楷体" w:eastAsia="楷体"/>
                <w:b/>
                <w:color w:val="auto"/>
                <w:szCs w:val="21"/>
                <w:highlight w:val="none"/>
              </w:rPr>
              <w:t>【备注：项目组人员身份证、学历证、职称证、执业注册信息</w:t>
            </w:r>
            <w:r>
              <w:rPr>
                <w:rFonts w:hint="eastAsia" w:eastAsia="楷体"/>
                <w:b/>
                <w:color w:val="auto"/>
                <w:szCs w:val="21"/>
                <w:highlight w:val="none"/>
              </w:rPr>
              <w:t>（</w:t>
            </w:r>
            <w:r>
              <w:rPr>
                <w:rFonts w:hint="eastAsia" w:ascii="楷体" w:hAnsi="楷体" w:eastAsia="楷体"/>
                <w:b/>
                <w:color w:val="auto"/>
                <w:highlight w:val="none"/>
              </w:rPr>
              <w:t>注册类型及等级、证书编号等信息从全国建筑市场监管公共服务平台下行到“桂建云”即可，不需要核验注册证书扫描件</w:t>
            </w:r>
            <w:r>
              <w:rPr>
                <w:rFonts w:hint="eastAsia" w:eastAsia="楷体"/>
                <w:b/>
                <w:color w:val="auto"/>
                <w:szCs w:val="21"/>
                <w:highlight w:val="none"/>
              </w:rPr>
              <w:t>）</w:t>
            </w:r>
            <w:r>
              <w:rPr>
                <w:rFonts w:hint="eastAsia" w:ascii="楷体" w:hAnsi="楷体" w:eastAsia="楷体"/>
                <w:b/>
                <w:color w:val="auto"/>
                <w:szCs w:val="21"/>
                <w:highlight w:val="none"/>
              </w:rPr>
              <w:t>等相关证明材料未通过“桂建云”的，在评审时不予承认，项目组人员应附社保缴费证明原件扫描件。</w:t>
            </w:r>
            <w:r>
              <w:rPr>
                <w:rFonts w:hint="eastAsia" w:ascii="楷体" w:hAnsi="楷体" w:eastAsia="楷体" w:cs="宋体"/>
                <w:b/>
                <w:color w:val="auto"/>
                <w:highlight w:val="none"/>
              </w:rPr>
              <w:t>注册城乡规划师，咨询工程师，注册土木工程师（道路）等未在住建部注册或者未实施注册制度的资格证书，可在投标人认为的其他材料内补充上传电子证书，</w:t>
            </w:r>
            <w:r>
              <w:rPr>
                <w:rFonts w:ascii="楷体" w:hAnsi="楷体" w:eastAsia="楷体" w:cs="宋体"/>
                <w:b/>
                <w:color w:val="auto"/>
                <w:highlight w:val="none"/>
                <w:lang w:val="en"/>
              </w:rPr>
              <w:t>非电子证书，均不予以认可。</w:t>
            </w:r>
            <w:r>
              <w:rPr>
                <w:rFonts w:hint="eastAsia" w:ascii="楷体" w:hAnsi="楷体" w:eastAsia="楷体"/>
                <w:b/>
                <w:color w:val="auto"/>
                <w:szCs w:val="21"/>
                <w:highlight w:val="none"/>
              </w:rPr>
              <w:t>】</w:t>
            </w:r>
          </w:p>
          <w:p w14:paraId="3649672A">
            <w:pPr>
              <w:pStyle w:val="21"/>
              <w:spacing w:line="360" w:lineRule="auto"/>
              <w:ind w:firstLine="630" w:firstLineChars="300"/>
              <w:rPr>
                <w:color w:val="auto"/>
                <w:highlight w:val="none"/>
              </w:rPr>
            </w:pPr>
            <w:r>
              <w:rPr>
                <w:rFonts w:hint="eastAsia"/>
                <w:color w:val="auto"/>
                <w:highlight w:val="none"/>
              </w:rPr>
              <w:t xml:space="preserve">                   </w:t>
            </w:r>
          </w:p>
        </w:tc>
      </w:tr>
      <w:tr w14:paraId="63A0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4E04A02B">
            <w:pPr>
              <w:spacing w:line="360" w:lineRule="auto"/>
              <w:jc w:val="center"/>
              <w:rPr>
                <w:color w:val="auto"/>
                <w:highlight w:val="none"/>
              </w:rPr>
            </w:pPr>
            <w:r>
              <w:rPr>
                <w:rFonts w:hint="eastAsia"/>
                <w:color w:val="auto"/>
                <w:highlight w:val="none"/>
              </w:rPr>
              <w:t>3.2.2</w:t>
            </w:r>
          </w:p>
        </w:tc>
        <w:tc>
          <w:tcPr>
            <w:tcW w:w="1843" w:type="dxa"/>
            <w:vAlign w:val="center"/>
          </w:tcPr>
          <w:p w14:paraId="6EA718FD">
            <w:pPr>
              <w:spacing w:line="360" w:lineRule="auto"/>
              <w:jc w:val="center"/>
              <w:rPr>
                <w:color w:val="auto"/>
                <w:highlight w:val="none"/>
              </w:rPr>
            </w:pPr>
            <w:r>
              <w:rPr>
                <w:rFonts w:hint="eastAsia"/>
                <w:color w:val="auto"/>
                <w:highlight w:val="none"/>
              </w:rPr>
              <w:t>报价方式</w:t>
            </w:r>
          </w:p>
        </w:tc>
        <w:tc>
          <w:tcPr>
            <w:tcW w:w="5800" w:type="dxa"/>
            <w:vAlign w:val="center"/>
          </w:tcPr>
          <w:p w14:paraId="6F516395">
            <w:pPr>
              <w:spacing w:line="360" w:lineRule="auto"/>
              <w:rPr>
                <w:rFonts w:hAnsi="宋体"/>
                <w:b/>
                <w:color w:val="auto"/>
                <w:highlight w:val="none"/>
              </w:rPr>
            </w:pPr>
            <w:r>
              <w:rPr>
                <w:rFonts w:hint="eastAsia" w:hAnsi="宋体"/>
                <w:b/>
                <w:color w:val="auto"/>
                <w:highlight w:val="none"/>
              </w:rPr>
              <w:t>本项目投标报价方式选择：（在方框内打“√”）</w:t>
            </w:r>
          </w:p>
          <w:p w14:paraId="0EAADE61">
            <w:pPr>
              <w:spacing w:line="360" w:lineRule="auto"/>
              <w:ind w:firstLine="422" w:firstLineChars="200"/>
              <w:rPr>
                <w:b/>
                <w:color w:val="auto"/>
                <w:highlight w:val="none"/>
              </w:rPr>
            </w:pPr>
            <w:r>
              <w:rPr>
                <w:rFonts w:hint="eastAsia"/>
                <w:b/>
                <w:color w:val="auto"/>
                <w:highlight w:val="none"/>
                <w:lang w:eastAsia="zh-CN"/>
              </w:rPr>
              <w:t>□</w:t>
            </w:r>
            <w:r>
              <w:rPr>
                <w:rFonts w:hint="eastAsia"/>
                <w:b/>
                <w:color w:val="auto"/>
                <w:highlight w:val="none"/>
              </w:rPr>
              <w:t>固定数报价</w:t>
            </w:r>
          </w:p>
          <w:p w14:paraId="76DA8156">
            <w:pPr>
              <w:spacing w:line="360" w:lineRule="auto"/>
              <w:ind w:firstLine="420" w:firstLineChars="200"/>
              <w:rPr>
                <w:color w:val="auto"/>
                <w:highlight w:val="none"/>
              </w:rPr>
            </w:pPr>
            <w:r>
              <w:rPr>
                <w:rFonts w:hint="eastAsia"/>
                <w:color w:val="auto"/>
                <w:highlight w:val="none"/>
              </w:rPr>
              <w:t>即固定总价报价方式。</w:t>
            </w:r>
          </w:p>
          <w:p w14:paraId="0A0597DA">
            <w:pPr>
              <w:spacing w:line="360" w:lineRule="auto"/>
              <w:ind w:firstLine="420" w:firstLineChars="200"/>
              <w:rPr>
                <w:color w:val="auto"/>
                <w:highlight w:val="none"/>
              </w:rPr>
            </w:pPr>
            <w:r>
              <w:rPr>
                <w:rFonts w:hint="eastAsia"/>
                <w:color w:val="auto"/>
                <w:highlight w:val="none"/>
              </w:rPr>
              <w:t>固定单价：每平方米报价：</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元/㎡，根据建筑物的建筑面积每平方米报价，设计费＝总建筑面积（㎡）×中标单价（元／㎡）。</w:t>
            </w:r>
          </w:p>
          <w:p w14:paraId="269BED95">
            <w:pPr>
              <w:spacing w:line="360" w:lineRule="auto"/>
              <w:ind w:firstLine="420" w:firstLineChars="200"/>
              <w:rPr>
                <w:rFonts w:hAnsi="宋体"/>
                <w:color w:val="auto"/>
                <w:highlight w:val="none"/>
              </w:rPr>
            </w:pPr>
            <w:r>
              <w:rPr>
                <w:rFonts w:hint="eastAsia"/>
                <w:color w:val="auto"/>
                <w:highlight w:val="none"/>
              </w:rPr>
              <w:t>固定总价：</w:t>
            </w:r>
            <w:r>
              <w:rPr>
                <w:rFonts w:hint="eastAsia"/>
                <w:color w:val="auto"/>
                <w:highlight w:val="none"/>
                <w:u w:val="single"/>
              </w:rPr>
              <w:t xml:space="preserve">       </w:t>
            </w:r>
            <w:r>
              <w:rPr>
                <w:rFonts w:hint="eastAsia"/>
                <w:color w:val="auto"/>
                <w:highlight w:val="none"/>
              </w:rPr>
              <w:t>元。</w:t>
            </w:r>
            <w:r>
              <w:rPr>
                <w:rFonts w:hint="eastAsia" w:hAnsi="宋体"/>
                <w:color w:val="auto"/>
                <w:highlight w:val="none"/>
              </w:rPr>
              <w:t>设计费＝中标价。</w:t>
            </w:r>
          </w:p>
          <w:p w14:paraId="7914B1AB">
            <w:pPr>
              <w:spacing w:line="360" w:lineRule="auto"/>
              <w:ind w:firstLine="422" w:firstLineChars="200"/>
              <w:rPr>
                <w:b/>
                <w:color w:val="auto"/>
                <w:highlight w:val="none"/>
              </w:rPr>
            </w:pPr>
            <w:r>
              <w:rPr>
                <w:rFonts w:hint="eastAsia"/>
                <w:b/>
                <w:color w:val="auto"/>
                <w:highlight w:val="none"/>
              </w:rPr>
              <w:t>□费率报价</w:t>
            </w:r>
          </w:p>
          <w:p w14:paraId="1AEA61CD">
            <w:pPr>
              <w:spacing w:line="360" w:lineRule="auto"/>
              <w:ind w:firstLine="420" w:firstLineChars="200"/>
              <w:rPr>
                <w:color w:val="auto"/>
                <w:highlight w:val="none"/>
              </w:rPr>
            </w:pPr>
            <w:r>
              <w:rPr>
                <w:rFonts w:hint="eastAsia"/>
                <w:color w:val="auto"/>
                <w:highlight w:val="none"/>
              </w:rPr>
              <w:t>投标费率</w:t>
            </w:r>
            <w:r>
              <w:rPr>
                <w:rFonts w:hint="eastAsia"/>
                <w:color w:val="auto"/>
                <w:highlight w:val="none"/>
                <w:u w:val="single"/>
              </w:rPr>
              <w:t xml:space="preserve">    </w:t>
            </w:r>
            <w:r>
              <w:rPr>
                <w:rFonts w:hint="eastAsia"/>
                <w:color w:val="auto"/>
                <w:highlight w:val="none"/>
              </w:rPr>
              <w:t>%。设计费=实际批复的投资总额×中标费率。</w:t>
            </w:r>
          </w:p>
          <w:p w14:paraId="6F4B8383">
            <w:pPr>
              <w:spacing w:line="360" w:lineRule="auto"/>
              <w:ind w:firstLine="422" w:firstLineChars="200"/>
              <w:rPr>
                <w:rFonts w:hint="default" w:eastAsia="宋体"/>
                <w:color w:val="auto"/>
                <w:highlight w:val="none"/>
                <w:lang w:val="en-US" w:eastAsia="zh-CN"/>
              </w:rPr>
            </w:pPr>
            <w:r>
              <w:rPr>
                <w:rFonts w:hint="eastAsia"/>
                <w:b/>
                <w:color w:val="auto"/>
                <w:highlight w:val="none"/>
                <w:lang w:eastAsia="zh-CN"/>
              </w:rPr>
              <w:t>☑</w:t>
            </w:r>
            <w:r>
              <w:rPr>
                <w:rFonts w:hint="eastAsia"/>
                <w:b/>
                <w:color w:val="auto"/>
                <w:highlight w:val="none"/>
              </w:rPr>
              <w:t>其他方式报价：</w:t>
            </w:r>
            <w:r>
              <w:rPr>
                <w:rFonts w:hint="eastAsia"/>
                <w:b/>
                <w:color w:val="auto"/>
                <w:highlight w:val="none"/>
                <w:lang w:val="en-US" w:eastAsia="zh-CN"/>
              </w:rPr>
              <w:t>按折扣率报价，</w:t>
            </w:r>
            <w:r>
              <w:rPr>
                <w:rFonts w:hint="eastAsia"/>
                <w:b/>
                <w:color w:val="auto"/>
                <w:highlight w:val="none"/>
              </w:rPr>
              <w:t>有效报价范围为：0%≤折扣率≤70%；设</w:t>
            </w:r>
            <w:r>
              <w:rPr>
                <w:rFonts w:hint="eastAsia" w:eastAsia="宋体"/>
                <w:b/>
                <w:color w:val="auto"/>
                <w:highlight w:val="none"/>
              </w:rPr>
              <w:t>计费以经评审的招标控制价作为计费</w:t>
            </w:r>
            <w:r>
              <w:rPr>
                <w:rFonts w:hint="eastAsia" w:eastAsia="宋体"/>
                <w:b/>
                <w:color w:val="auto"/>
                <w:highlight w:val="none"/>
                <w:lang w:val="en-US" w:eastAsia="zh-CN"/>
              </w:rPr>
              <w:t>额</w:t>
            </w:r>
            <w:r>
              <w:rPr>
                <w:rFonts w:hint="eastAsia" w:eastAsia="宋体"/>
                <w:b/>
                <w:color w:val="auto"/>
                <w:highlight w:val="none"/>
                <w:lang w:eastAsia="zh-CN"/>
              </w:rPr>
              <w:t>，</w:t>
            </w:r>
            <w:r>
              <w:rPr>
                <w:rFonts w:hint="eastAsia" w:eastAsia="宋体"/>
                <w:b/>
                <w:color w:val="auto"/>
                <w:highlight w:val="none"/>
                <w:lang w:val="en-US" w:eastAsia="zh-CN"/>
              </w:rPr>
              <w:t>参照</w:t>
            </w:r>
            <w:r>
              <w:rPr>
                <w:rFonts w:hint="eastAsia" w:eastAsia="宋体"/>
                <w:b/>
                <w:color w:val="auto"/>
                <w:highlight w:val="none"/>
              </w:rPr>
              <w:t>《工程勘察设计收费管理规定》（计价格</w:t>
            </w:r>
            <w:r>
              <w:rPr>
                <w:rFonts w:hint="eastAsia" w:eastAsia="宋体"/>
                <w:b/>
                <w:color w:val="auto"/>
                <w:highlight w:val="none"/>
                <w:lang w:eastAsia="zh-CN"/>
              </w:rPr>
              <w:t>【</w:t>
            </w:r>
            <w:r>
              <w:rPr>
                <w:rFonts w:hint="eastAsia" w:eastAsia="宋体"/>
                <w:b/>
                <w:color w:val="auto"/>
                <w:highlight w:val="none"/>
              </w:rPr>
              <w:t>2002</w:t>
            </w:r>
            <w:r>
              <w:rPr>
                <w:rFonts w:hint="eastAsia" w:eastAsia="宋体"/>
                <w:b/>
                <w:color w:val="auto"/>
                <w:highlight w:val="none"/>
                <w:lang w:eastAsia="zh-CN"/>
              </w:rPr>
              <w:t>】</w:t>
            </w:r>
            <w:r>
              <w:rPr>
                <w:rFonts w:hint="eastAsia" w:eastAsia="宋体"/>
                <w:b/>
                <w:color w:val="auto"/>
                <w:highlight w:val="none"/>
              </w:rPr>
              <w:t>10号）</w:t>
            </w:r>
            <w:r>
              <w:rPr>
                <w:rFonts w:hint="eastAsia" w:eastAsia="宋体"/>
                <w:b/>
                <w:color w:val="auto"/>
                <w:highlight w:val="none"/>
                <w:lang w:val="en-US" w:eastAsia="zh-CN"/>
              </w:rPr>
              <w:t>文的计算标准进行结算。</w:t>
            </w:r>
            <w:r>
              <w:rPr>
                <w:rFonts w:hint="eastAsia" w:ascii="Times New Roman" w:hAnsi="Times New Roman" w:eastAsia="宋体" w:cs="Times New Roman"/>
                <w:b/>
                <w:color w:val="auto"/>
                <w:highlight w:val="none"/>
              </w:rPr>
              <w:t>本项目</w:t>
            </w:r>
            <w:r>
              <w:rPr>
                <w:rFonts w:hint="eastAsia" w:ascii="Times New Roman" w:hAnsi="Times New Roman" w:eastAsia="宋体" w:cs="Times New Roman"/>
                <w:b/>
                <w:color w:val="auto"/>
                <w:highlight w:val="none"/>
                <w:lang w:val="en-US" w:eastAsia="zh-CN"/>
              </w:rPr>
              <w:t>招标</w:t>
            </w:r>
            <w:r>
              <w:rPr>
                <w:rFonts w:hint="eastAsia" w:ascii="Times New Roman" w:hAnsi="Times New Roman" w:eastAsia="宋体" w:cs="Times New Roman"/>
                <w:b/>
                <w:color w:val="auto"/>
                <w:highlight w:val="none"/>
              </w:rPr>
              <w:t>内容为本工程项目初步设计（含概算编制）、施工图设计及施工配合，不</w:t>
            </w:r>
            <w:r>
              <w:rPr>
                <w:rFonts w:hint="eastAsia" w:ascii="Times New Roman" w:hAnsi="Times New Roman" w:eastAsia="宋体" w:cs="Times New Roman"/>
                <w:b/>
                <w:color w:val="auto"/>
                <w:highlight w:val="none"/>
                <w:lang w:val="en-US" w:eastAsia="zh-CN"/>
              </w:rPr>
              <w:t>包</w:t>
            </w:r>
            <w:r>
              <w:rPr>
                <w:rFonts w:hint="eastAsia" w:ascii="Times New Roman" w:hAnsi="Times New Roman" w:eastAsia="宋体" w:cs="Times New Roman"/>
                <w:b/>
                <w:color w:val="auto"/>
                <w:highlight w:val="none"/>
              </w:rPr>
              <w:t>含方案设计，工作量</w:t>
            </w:r>
            <w:r>
              <w:rPr>
                <w:rFonts w:hint="eastAsia" w:ascii="Times New Roman" w:hAnsi="Times New Roman" w:eastAsia="宋体" w:cs="Times New Roman"/>
                <w:b/>
                <w:color w:val="auto"/>
                <w:highlight w:val="none"/>
                <w:lang w:val="en-US" w:eastAsia="zh-CN"/>
              </w:rPr>
              <w:t>比例</w:t>
            </w:r>
            <w:r>
              <w:rPr>
                <w:rFonts w:hint="eastAsia" w:ascii="Times New Roman" w:hAnsi="Times New Roman" w:eastAsia="宋体" w:cs="Times New Roman"/>
                <w:b/>
                <w:color w:val="auto"/>
                <w:highlight w:val="none"/>
              </w:rPr>
              <w:t>取</w:t>
            </w:r>
            <w:r>
              <w:rPr>
                <w:rFonts w:hint="eastAsia" w:ascii="Times New Roman" w:hAnsi="Times New Roman" w:eastAsia="宋体" w:cs="Times New Roman"/>
                <w:b/>
                <w:color w:val="auto"/>
                <w:highlight w:val="none"/>
                <w:lang w:val="en-US" w:eastAsia="zh-CN"/>
              </w:rPr>
              <w:t>85%</w:t>
            </w:r>
            <w:r>
              <w:rPr>
                <w:rFonts w:hint="eastAsia" w:ascii="Times New Roman" w:hAnsi="Times New Roman" w:eastAsia="宋体" w:cs="Times New Roman"/>
                <w:b/>
                <w:color w:val="auto"/>
                <w:highlight w:val="none"/>
              </w:rPr>
              <w:t>。</w:t>
            </w:r>
            <w:r>
              <w:rPr>
                <w:rFonts w:hint="eastAsia" w:eastAsia="宋体"/>
                <w:b/>
                <w:color w:val="auto"/>
                <w:highlight w:val="none"/>
                <w:lang w:val="en-US" w:eastAsia="zh-CN"/>
              </w:rPr>
              <w:t>具体计算公式如下：设计费=</w:t>
            </w:r>
            <w:r>
              <w:rPr>
                <w:rFonts w:hint="eastAsia" w:eastAsia="宋体"/>
                <w:b/>
                <w:color w:val="auto"/>
                <w:highlight w:val="none"/>
              </w:rPr>
              <w:t>《工程勘察设计收费管理规定》（计价格</w:t>
            </w:r>
            <w:r>
              <w:rPr>
                <w:rFonts w:hint="eastAsia" w:eastAsia="宋体"/>
                <w:b/>
                <w:color w:val="auto"/>
                <w:highlight w:val="none"/>
                <w:lang w:eastAsia="zh-CN"/>
              </w:rPr>
              <w:t>【</w:t>
            </w:r>
            <w:r>
              <w:rPr>
                <w:rFonts w:hint="eastAsia" w:eastAsia="宋体"/>
                <w:b/>
                <w:color w:val="auto"/>
                <w:highlight w:val="none"/>
              </w:rPr>
              <w:t>2002</w:t>
            </w:r>
            <w:r>
              <w:rPr>
                <w:rFonts w:hint="eastAsia" w:eastAsia="宋体"/>
                <w:b/>
                <w:color w:val="auto"/>
                <w:highlight w:val="none"/>
                <w:lang w:eastAsia="zh-CN"/>
              </w:rPr>
              <w:t>】</w:t>
            </w:r>
            <w:r>
              <w:rPr>
                <w:rFonts w:hint="eastAsia" w:eastAsia="宋体"/>
                <w:b/>
                <w:color w:val="auto"/>
                <w:highlight w:val="none"/>
              </w:rPr>
              <w:t>10号）</w:t>
            </w:r>
            <w:r>
              <w:rPr>
                <w:rFonts w:hint="eastAsia" w:eastAsia="宋体"/>
                <w:b/>
                <w:color w:val="auto"/>
                <w:highlight w:val="none"/>
                <w:lang w:val="en-US" w:eastAsia="zh-CN"/>
              </w:rPr>
              <w:t xml:space="preserve">工程设计收费基价×专业调整系数（1.0）×工程复杂程度调整系数（1.0）×附加调整系数（1.0）×工作量比例（85%）×中标折扣率。 </w:t>
            </w:r>
          </w:p>
        </w:tc>
      </w:tr>
      <w:tr w14:paraId="38AE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7A53A6FA">
            <w:pPr>
              <w:spacing w:line="360" w:lineRule="auto"/>
              <w:jc w:val="center"/>
              <w:rPr>
                <w:color w:val="auto"/>
                <w:highlight w:val="none"/>
              </w:rPr>
            </w:pPr>
            <w:r>
              <w:rPr>
                <w:rFonts w:hint="eastAsia"/>
                <w:color w:val="auto"/>
                <w:highlight w:val="none"/>
              </w:rPr>
              <w:t>3.2.3</w:t>
            </w:r>
          </w:p>
        </w:tc>
        <w:tc>
          <w:tcPr>
            <w:tcW w:w="1843" w:type="dxa"/>
            <w:vAlign w:val="center"/>
          </w:tcPr>
          <w:p w14:paraId="2AB395F5">
            <w:pPr>
              <w:spacing w:line="360" w:lineRule="auto"/>
              <w:rPr>
                <w:color w:val="auto"/>
                <w:highlight w:val="none"/>
              </w:rPr>
            </w:pPr>
            <w:r>
              <w:rPr>
                <w:rFonts w:hint="eastAsia"/>
                <w:color w:val="auto"/>
                <w:highlight w:val="none"/>
              </w:rPr>
              <w:t>最高投标限价</w:t>
            </w:r>
          </w:p>
          <w:p w14:paraId="6AD57745">
            <w:pPr>
              <w:spacing w:line="360" w:lineRule="auto"/>
              <w:rPr>
                <w:color w:val="auto"/>
                <w:highlight w:val="none"/>
              </w:rPr>
            </w:pPr>
            <w:r>
              <w:rPr>
                <w:rFonts w:hint="eastAsia"/>
                <w:color w:val="auto"/>
                <w:szCs w:val="21"/>
                <w:highlight w:val="none"/>
              </w:rPr>
              <w:t>（</w:t>
            </w:r>
            <w:r>
              <w:rPr>
                <w:rFonts w:hint="eastAsia"/>
                <w:color w:val="auto"/>
                <w:highlight w:val="none"/>
              </w:rPr>
              <w:t>招标控制价）</w:t>
            </w:r>
          </w:p>
        </w:tc>
        <w:tc>
          <w:tcPr>
            <w:tcW w:w="5800" w:type="dxa"/>
            <w:vAlign w:val="center"/>
          </w:tcPr>
          <w:p w14:paraId="64168F94">
            <w:pPr>
              <w:spacing w:line="360" w:lineRule="auto"/>
              <w:rPr>
                <w:color w:val="auto"/>
                <w:highlight w:val="none"/>
              </w:rPr>
            </w:pPr>
            <w:r>
              <w:rPr>
                <w:rFonts w:hint="eastAsia"/>
                <w:color w:val="auto"/>
                <w:highlight w:val="none"/>
              </w:rPr>
              <w:t>□无</w:t>
            </w:r>
          </w:p>
          <w:p w14:paraId="11F0E9FD">
            <w:pPr>
              <w:spacing w:line="360" w:lineRule="auto"/>
              <w:rPr>
                <w:rFonts w:hint="default" w:eastAsia="宋体"/>
                <w:color w:val="auto"/>
                <w:highlight w:val="none"/>
                <w:lang w:val="en-US" w:eastAsia="zh-CN"/>
              </w:rPr>
            </w:pPr>
            <w:r>
              <w:rPr>
                <w:rFonts w:hint="eastAsia"/>
                <w:color w:val="auto"/>
                <w:highlight w:val="none"/>
              </w:rPr>
              <w:t>☑有，最高投标限价（或招标控制价）：</w:t>
            </w:r>
            <w:r>
              <w:rPr>
                <w:rFonts w:hint="eastAsia"/>
                <w:b w:val="0"/>
                <w:bCs w:val="0"/>
                <w:color w:val="auto"/>
                <w:highlight w:val="none"/>
                <w:u w:val="single"/>
                <w:lang w:val="en-US" w:eastAsia="zh-CN"/>
              </w:rPr>
              <w:t>最高投标</w:t>
            </w:r>
            <w:r>
              <w:rPr>
                <w:rFonts w:hint="eastAsia" w:eastAsia="宋体"/>
                <w:b w:val="0"/>
                <w:bCs w:val="0"/>
                <w:color w:val="auto"/>
                <w:highlight w:val="none"/>
                <w:u w:val="single"/>
                <w:lang w:val="en-US" w:eastAsia="zh-CN"/>
              </w:rPr>
              <w:t>折</w:t>
            </w:r>
            <w:r>
              <w:rPr>
                <w:rFonts w:hint="eastAsia" w:eastAsia="宋体"/>
                <w:b w:val="0"/>
                <w:bCs/>
                <w:color w:val="auto"/>
                <w:highlight w:val="none"/>
                <w:u w:val="single"/>
                <w:lang w:val="en-US" w:eastAsia="zh-CN"/>
              </w:rPr>
              <w:t>扣率</w:t>
            </w:r>
            <w:r>
              <w:rPr>
                <w:rFonts w:hint="eastAsia"/>
                <w:b w:val="0"/>
                <w:bCs/>
                <w:color w:val="auto"/>
                <w:highlight w:val="none"/>
                <w:u w:val="single"/>
                <w:lang w:val="en-US" w:eastAsia="zh-CN"/>
              </w:rPr>
              <w:t>70%。</w:t>
            </w:r>
          </w:p>
          <w:p w14:paraId="3A4222FC">
            <w:pPr>
              <w:spacing w:line="360" w:lineRule="auto"/>
              <w:rPr>
                <w:rFonts w:eastAsia="楷体"/>
                <w:b/>
                <w:color w:val="auto"/>
                <w:szCs w:val="21"/>
                <w:highlight w:val="none"/>
              </w:rPr>
            </w:pPr>
            <w:r>
              <w:rPr>
                <w:rFonts w:hint="eastAsia"/>
                <w:color w:val="auto"/>
                <w:szCs w:val="21"/>
                <w:highlight w:val="none"/>
              </w:rPr>
              <w:t>投标人应该</w:t>
            </w:r>
            <w:r>
              <w:rPr>
                <w:color w:val="auto"/>
                <w:szCs w:val="21"/>
                <w:highlight w:val="none"/>
              </w:rPr>
              <w:t>结合自身设计成本</w:t>
            </w:r>
            <w:r>
              <w:rPr>
                <w:rFonts w:hint="eastAsia"/>
                <w:color w:val="auto"/>
                <w:szCs w:val="21"/>
                <w:highlight w:val="none"/>
              </w:rPr>
              <w:t>、</w:t>
            </w:r>
            <w:r>
              <w:rPr>
                <w:color w:val="auto"/>
                <w:szCs w:val="21"/>
                <w:highlight w:val="none"/>
              </w:rPr>
              <w:t>费用水平</w:t>
            </w:r>
            <w:r>
              <w:rPr>
                <w:rFonts w:hint="eastAsia"/>
                <w:color w:val="auto"/>
                <w:szCs w:val="21"/>
                <w:highlight w:val="none"/>
              </w:rPr>
              <w:t>、市场行情进行</w:t>
            </w:r>
            <w:r>
              <w:rPr>
                <w:rFonts w:hAnsi="宋体"/>
                <w:color w:val="auto"/>
                <w:highlight w:val="none"/>
              </w:rPr>
              <w:t>竞争性报价</w:t>
            </w:r>
            <w:r>
              <w:rPr>
                <w:rFonts w:hint="eastAsia" w:hAnsi="宋体"/>
                <w:color w:val="auto"/>
                <w:highlight w:val="none"/>
              </w:rPr>
              <w:t>，但不得超出</w:t>
            </w:r>
            <w:r>
              <w:rPr>
                <w:rFonts w:hint="eastAsia" w:hAnsi="宋体"/>
                <w:color w:val="auto"/>
                <w:highlight w:val="none"/>
                <w:u w:val="single"/>
              </w:rPr>
              <w:t xml:space="preserve">  </w:t>
            </w:r>
            <w:r>
              <w:rPr>
                <w:rFonts w:hint="eastAsia"/>
                <w:color w:val="auto"/>
                <w:szCs w:val="21"/>
                <w:highlight w:val="none"/>
                <w:u w:val="single"/>
              </w:rPr>
              <w:t>最高投标限价（或</w:t>
            </w:r>
            <w:r>
              <w:rPr>
                <w:rFonts w:hint="eastAsia" w:hAnsi="宋体"/>
                <w:color w:val="auto"/>
                <w:highlight w:val="none"/>
                <w:u w:val="single"/>
              </w:rPr>
              <w:t xml:space="preserve">招标控制价）  </w:t>
            </w:r>
            <w:r>
              <w:rPr>
                <w:rFonts w:hint="eastAsia" w:hAnsi="宋体"/>
                <w:color w:val="auto"/>
                <w:highlight w:val="none"/>
              </w:rPr>
              <w:t>，否则报价无效，做否决投标处理。</w:t>
            </w:r>
            <w:r>
              <w:rPr>
                <w:rFonts w:hint="eastAsia" w:ascii="楷体" w:hAnsi="楷体" w:eastAsia="楷体"/>
                <w:b/>
                <w:color w:val="auto"/>
                <w:szCs w:val="21"/>
                <w:highlight w:val="none"/>
              </w:rPr>
              <w:t>【备注：若由中标人支付设计补偿费时，本项目的投标报价上限值中已含设计补偿费用。】</w:t>
            </w:r>
          </w:p>
        </w:tc>
      </w:tr>
      <w:tr w14:paraId="00E0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242" w:type="dxa"/>
            <w:vAlign w:val="center"/>
          </w:tcPr>
          <w:p w14:paraId="55FB2D2F">
            <w:pPr>
              <w:spacing w:line="360" w:lineRule="auto"/>
              <w:jc w:val="center"/>
              <w:rPr>
                <w:color w:val="auto"/>
                <w:highlight w:val="none"/>
              </w:rPr>
            </w:pPr>
            <w:r>
              <w:rPr>
                <w:rFonts w:hint="eastAsia"/>
                <w:color w:val="auto"/>
                <w:highlight w:val="none"/>
              </w:rPr>
              <w:t>3.2.4</w:t>
            </w:r>
          </w:p>
        </w:tc>
        <w:tc>
          <w:tcPr>
            <w:tcW w:w="1843" w:type="dxa"/>
            <w:vAlign w:val="center"/>
          </w:tcPr>
          <w:p w14:paraId="3A544641">
            <w:pPr>
              <w:spacing w:line="360" w:lineRule="auto"/>
              <w:rPr>
                <w:color w:val="auto"/>
                <w:highlight w:val="none"/>
              </w:rPr>
            </w:pPr>
            <w:r>
              <w:rPr>
                <w:rFonts w:hint="eastAsia"/>
                <w:color w:val="auto"/>
                <w:highlight w:val="none"/>
              </w:rPr>
              <w:t>投标报价的其他要求</w:t>
            </w:r>
          </w:p>
        </w:tc>
        <w:tc>
          <w:tcPr>
            <w:tcW w:w="5800" w:type="dxa"/>
            <w:vAlign w:val="center"/>
          </w:tcPr>
          <w:p w14:paraId="094C5AAE">
            <w:pPr>
              <w:spacing w:line="360" w:lineRule="auto"/>
              <w:rPr>
                <w:color w:val="auto"/>
                <w:highlight w:val="none"/>
              </w:rPr>
            </w:pPr>
            <w:r>
              <w:rPr>
                <w:rFonts w:hint="eastAsia"/>
                <w:color w:val="auto"/>
                <w:highlight w:val="none"/>
              </w:rPr>
              <w:t>投标人的投标报价应包括完成本次招标范围内全部工作的所有费用【包含但不限于技术工作费、人工费、设计费、材料费、出图费（在合同中明确具体数量）、设备、维护、保险、利润及税金、管理政策性规定费用等】。投标人所填报的价格在合同实施期间不因市场价格变化等因素而变动，投标人在报价时应考虑各种风险因素和承受能力。</w:t>
            </w:r>
          </w:p>
        </w:tc>
      </w:tr>
      <w:tr w14:paraId="34D2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43BFE393">
            <w:pPr>
              <w:spacing w:line="360" w:lineRule="auto"/>
              <w:jc w:val="center"/>
              <w:rPr>
                <w:color w:val="auto"/>
                <w:highlight w:val="none"/>
              </w:rPr>
            </w:pPr>
            <w:r>
              <w:rPr>
                <w:color w:val="auto"/>
                <w:highlight w:val="none"/>
              </w:rPr>
              <w:t>3.3.1</w:t>
            </w:r>
          </w:p>
        </w:tc>
        <w:tc>
          <w:tcPr>
            <w:tcW w:w="1843" w:type="dxa"/>
            <w:vAlign w:val="center"/>
          </w:tcPr>
          <w:p w14:paraId="544904DD">
            <w:pPr>
              <w:spacing w:line="360" w:lineRule="auto"/>
              <w:rPr>
                <w:color w:val="auto"/>
                <w:highlight w:val="none"/>
              </w:rPr>
            </w:pPr>
            <w:r>
              <w:rPr>
                <w:color w:val="auto"/>
                <w:highlight w:val="none"/>
              </w:rPr>
              <w:t>投标有效期</w:t>
            </w:r>
          </w:p>
        </w:tc>
        <w:tc>
          <w:tcPr>
            <w:tcW w:w="5800" w:type="dxa"/>
            <w:vAlign w:val="center"/>
          </w:tcPr>
          <w:p w14:paraId="2F70FEA7">
            <w:pPr>
              <w:spacing w:line="360" w:lineRule="auto"/>
              <w:rPr>
                <w:color w:val="auto"/>
                <w:highlight w:val="none"/>
              </w:rPr>
            </w:pPr>
            <w:r>
              <w:rPr>
                <w:rFonts w:hint="eastAsia"/>
                <w:color w:val="auto"/>
                <w:highlight w:val="none"/>
              </w:rPr>
              <w:t>□</w:t>
            </w:r>
            <w:r>
              <w:rPr>
                <w:color w:val="auto"/>
                <w:highlight w:val="none"/>
              </w:rPr>
              <w:t xml:space="preserve">45天    </w:t>
            </w:r>
            <w:r>
              <w:rPr>
                <w:rFonts w:hint="eastAsia"/>
                <w:color w:val="auto"/>
                <w:highlight w:val="none"/>
              </w:rPr>
              <w:t>□</w:t>
            </w:r>
            <w:r>
              <w:rPr>
                <w:color w:val="auto"/>
                <w:highlight w:val="none"/>
              </w:rPr>
              <w:t xml:space="preserve">60天    </w:t>
            </w:r>
            <w:r>
              <w:rPr>
                <w:rFonts w:hint="eastAsia"/>
                <w:color w:val="auto"/>
                <w:highlight w:val="none"/>
              </w:rPr>
              <w:sym w:font="Wingdings 2" w:char="0052"/>
            </w:r>
            <w:r>
              <w:rPr>
                <w:color w:val="auto"/>
                <w:highlight w:val="none"/>
              </w:rPr>
              <w:t>90天</w:t>
            </w:r>
            <w:r>
              <w:rPr>
                <w:rFonts w:hint="eastAsia"/>
                <w:color w:val="auto"/>
                <w:highlight w:val="none"/>
              </w:rPr>
              <w:t xml:space="preserve">    </w:t>
            </w:r>
            <w:r>
              <w:rPr>
                <w:color w:val="auto"/>
                <w:highlight w:val="none"/>
              </w:rPr>
              <w:t xml:space="preserve"> </w:t>
            </w:r>
            <w:r>
              <w:rPr>
                <w:rFonts w:hint="eastAsia"/>
                <w:color w:val="auto"/>
                <w:highlight w:val="none"/>
              </w:rPr>
              <w:sym w:font="Wingdings 2" w:char="00A3"/>
            </w:r>
            <w:r>
              <w:rPr>
                <w:rFonts w:hint="eastAsia"/>
                <w:color w:val="auto"/>
                <w:highlight w:val="none"/>
              </w:rPr>
              <w:t xml:space="preserve"> </w:t>
            </w:r>
            <w:r>
              <w:rPr>
                <w:rFonts w:hint="eastAsia"/>
                <w:color w:val="auto"/>
                <w:highlight w:val="none"/>
                <w:u w:val="single"/>
              </w:rPr>
              <w:t xml:space="preserve">      </w:t>
            </w:r>
            <w:r>
              <w:rPr>
                <w:color w:val="auto"/>
                <w:highlight w:val="none"/>
              </w:rPr>
              <w:t>天</w:t>
            </w:r>
          </w:p>
        </w:tc>
      </w:tr>
      <w:tr w14:paraId="45E0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07ABB375">
            <w:pPr>
              <w:spacing w:line="360" w:lineRule="auto"/>
              <w:jc w:val="center"/>
              <w:rPr>
                <w:color w:val="auto"/>
                <w:highlight w:val="none"/>
              </w:rPr>
            </w:pPr>
            <w:r>
              <w:rPr>
                <w:color w:val="auto"/>
                <w:highlight w:val="none"/>
              </w:rPr>
              <w:t>3.4.1</w:t>
            </w:r>
          </w:p>
        </w:tc>
        <w:tc>
          <w:tcPr>
            <w:tcW w:w="1843" w:type="dxa"/>
            <w:vAlign w:val="center"/>
          </w:tcPr>
          <w:p w14:paraId="6DB151E3">
            <w:pPr>
              <w:spacing w:line="360" w:lineRule="auto"/>
              <w:jc w:val="center"/>
              <w:rPr>
                <w:color w:val="auto"/>
                <w:highlight w:val="none"/>
              </w:rPr>
            </w:pPr>
            <w:r>
              <w:rPr>
                <w:color w:val="auto"/>
                <w:highlight w:val="none"/>
              </w:rPr>
              <w:t>投标保证金</w:t>
            </w:r>
          </w:p>
        </w:tc>
        <w:tc>
          <w:tcPr>
            <w:tcW w:w="5800" w:type="dxa"/>
            <w:vAlign w:val="center"/>
          </w:tcPr>
          <w:p w14:paraId="76F9B7FA">
            <w:pPr>
              <w:spacing w:line="360" w:lineRule="auto"/>
              <w:rPr>
                <w:color w:val="auto"/>
                <w:szCs w:val="21"/>
                <w:highlight w:val="none"/>
              </w:rPr>
            </w:pPr>
            <w:r>
              <w:rPr>
                <w:rFonts w:hint="eastAsia"/>
                <w:color w:val="auto"/>
                <w:szCs w:val="21"/>
                <w:highlight w:val="none"/>
              </w:rPr>
              <w:t>☑不要求提交</w:t>
            </w:r>
          </w:p>
          <w:p w14:paraId="30538401">
            <w:pPr>
              <w:spacing w:line="360" w:lineRule="auto"/>
              <w:rPr>
                <w:color w:val="auto"/>
                <w:szCs w:val="21"/>
                <w:highlight w:val="none"/>
              </w:rPr>
            </w:pPr>
            <w:r>
              <w:rPr>
                <w:rFonts w:hint="eastAsia"/>
                <w:color w:val="auto"/>
                <w:szCs w:val="21"/>
                <w:highlight w:val="none"/>
              </w:rPr>
              <w:t>□要求提交：</w:t>
            </w:r>
          </w:p>
          <w:p w14:paraId="252C5132">
            <w:pPr>
              <w:spacing w:line="360" w:lineRule="auto"/>
              <w:rPr>
                <w:color w:val="auto"/>
                <w:szCs w:val="21"/>
                <w:highlight w:val="none"/>
              </w:rPr>
            </w:pPr>
            <w:r>
              <w:rPr>
                <w:color w:val="auto"/>
                <w:szCs w:val="21"/>
                <w:highlight w:val="none"/>
              </w:rPr>
              <w:t>投标保证金的</w:t>
            </w:r>
            <w:r>
              <w:rPr>
                <w:rFonts w:hint="eastAsia"/>
                <w:color w:val="auto"/>
                <w:szCs w:val="21"/>
                <w:highlight w:val="none"/>
              </w:rPr>
              <w:t>提交方式：</w:t>
            </w:r>
            <w:r>
              <w:rPr>
                <w:rFonts w:hint="eastAsia" w:hAnsi="宋体" w:cs="宋体"/>
                <w:color w:val="auto"/>
                <w:highlight w:val="none"/>
              </w:rPr>
              <w:t>银行转账、电汇或网上支付、保函（银行保函、电子</w:t>
            </w:r>
            <w:r>
              <w:rPr>
                <w:rFonts w:hAnsi="宋体" w:cs="宋体"/>
                <w:color w:val="auto"/>
                <w:highlight w:val="none"/>
              </w:rPr>
              <w:t>保函</w:t>
            </w:r>
            <w:r>
              <w:rPr>
                <w:rFonts w:hint="eastAsia" w:hAnsi="宋体" w:cs="宋体"/>
                <w:color w:val="auto"/>
                <w:highlight w:val="none"/>
              </w:rPr>
              <w:t>、保证保险保函、工程担保保函）</w:t>
            </w:r>
            <w:r>
              <w:rPr>
                <w:rFonts w:hint="eastAsia" w:hAnsi="宋体"/>
                <w:color w:val="auto"/>
                <w:szCs w:val="21"/>
                <w:highlight w:val="none"/>
              </w:rPr>
              <w:t>等方式提交</w:t>
            </w:r>
            <w:r>
              <w:rPr>
                <w:color w:val="auto"/>
                <w:szCs w:val="21"/>
                <w:highlight w:val="none"/>
              </w:rPr>
              <w:t>。</w:t>
            </w:r>
            <w:r>
              <w:rPr>
                <w:rFonts w:hint="eastAsia" w:ascii="楷体" w:hAnsi="楷体" w:eastAsia="楷体"/>
                <w:b/>
                <w:color w:val="auto"/>
                <w:szCs w:val="21"/>
                <w:highlight w:val="none"/>
              </w:rPr>
              <w:t>【备注：严禁要求投标人以现金方式提交保证金的行为；采用银行保函、工程担保或工程保证保险方式的，保函有效期不得低于投标有效期；工程担保保证人应将出具的保函相关信息录入“广西建筑市场监管云”平台。鼓励采用电子保函等形式；满足免缴资格的投标人不需要提交。】</w:t>
            </w:r>
          </w:p>
          <w:p w14:paraId="70F1F6DD">
            <w:pPr>
              <w:spacing w:line="360" w:lineRule="auto"/>
              <w:rPr>
                <w:rFonts w:ascii="楷体" w:hAnsi="楷体" w:eastAsia="楷体"/>
                <w:b/>
                <w:color w:val="auto"/>
                <w:szCs w:val="21"/>
                <w:highlight w:val="none"/>
              </w:rPr>
            </w:pPr>
            <w:r>
              <w:rPr>
                <w:color w:val="auto"/>
                <w:szCs w:val="21"/>
                <w:highlight w:val="none"/>
              </w:rPr>
              <w:t>投标保证金的金额：</w:t>
            </w:r>
            <w:r>
              <w:rPr>
                <w:color w:val="auto"/>
                <w:szCs w:val="21"/>
                <w:highlight w:val="none"/>
                <w:u w:val="single"/>
              </w:rPr>
              <w:t xml:space="preserve">       </w:t>
            </w:r>
            <w:r>
              <w:rPr>
                <w:color w:val="auto"/>
                <w:szCs w:val="21"/>
                <w:highlight w:val="none"/>
              </w:rPr>
              <w:t>元</w:t>
            </w:r>
            <w:r>
              <w:rPr>
                <w:rFonts w:hint="eastAsia"/>
                <w:color w:val="auto"/>
                <w:szCs w:val="21"/>
                <w:highlight w:val="none"/>
              </w:rPr>
              <w:t>。</w:t>
            </w:r>
            <w:r>
              <w:rPr>
                <w:rFonts w:hint="eastAsia" w:ascii="楷体" w:hAnsi="楷体" w:eastAsia="楷体"/>
                <w:b/>
                <w:color w:val="auto"/>
                <w:szCs w:val="21"/>
                <w:highlight w:val="none"/>
              </w:rPr>
              <w:t>【</w:t>
            </w:r>
            <w:r>
              <w:rPr>
                <w:rFonts w:ascii="楷体" w:hAnsi="楷体" w:eastAsia="楷体"/>
                <w:b/>
                <w:color w:val="auto"/>
                <w:szCs w:val="21"/>
                <w:highlight w:val="none"/>
              </w:rPr>
              <w:t>备注：</w:t>
            </w:r>
            <w:r>
              <w:rPr>
                <w:rFonts w:hint="eastAsia" w:ascii="楷体" w:hAnsi="楷体" w:eastAsia="楷体"/>
                <w:b/>
                <w:color w:val="auto"/>
                <w:szCs w:val="21"/>
                <w:highlight w:val="none"/>
              </w:rPr>
              <w:t>不得超过</w:t>
            </w:r>
            <w:r>
              <w:rPr>
                <w:rFonts w:hint="eastAsia" w:ascii="楷体" w:hAnsi="楷体" w:eastAsia="楷体"/>
                <w:b/>
                <w:color w:val="auto"/>
                <w:kern w:val="0"/>
                <w:szCs w:val="21"/>
                <w:highlight w:val="none"/>
              </w:rPr>
              <w:t>设计</w:t>
            </w:r>
            <w:r>
              <w:rPr>
                <w:rFonts w:ascii="楷体" w:hAnsi="楷体" w:eastAsia="楷体"/>
                <w:b/>
                <w:color w:val="auto"/>
                <w:kern w:val="0"/>
                <w:szCs w:val="21"/>
                <w:highlight w:val="none"/>
              </w:rPr>
              <w:t>估算</w:t>
            </w:r>
            <w:r>
              <w:rPr>
                <w:rFonts w:hint="eastAsia" w:ascii="楷体" w:hAnsi="楷体" w:eastAsia="楷体"/>
                <w:b/>
                <w:color w:val="auto"/>
                <w:kern w:val="0"/>
                <w:szCs w:val="21"/>
                <w:highlight w:val="none"/>
              </w:rPr>
              <w:t>费用</w:t>
            </w:r>
            <w:r>
              <w:rPr>
                <w:rFonts w:ascii="楷体" w:hAnsi="楷体" w:eastAsia="楷体"/>
                <w:b/>
                <w:color w:val="auto"/>
                <w:kern w:val="0"/>
                <w:szCs w:val="21"/>
                <w:highlight w:val="none"/>
              </w:rPr>
              <w:t>的</w:t>
            </w:r>
            <w:r>
              <w:rPr>
                <w:rFonts w:hint="eastAsia" w:ascii="楷体" w:hAnsi="楷体" w:eastAsia="楷体"/>
                <w:b/>
                <w:color w:val="auto"/>
                <w:kern w:val="0"/>
                <w:szCs w:val="21"/>
                <w:highlight w:val="none"/>
              </w:rPr>
              <w:t>1</w:t>
            </w:r>
            <w:r>
              <w:rPr>
                <w:rFonts w:ascii="楷体" w:hAnsi="楷体" w:eastAsia="楷体"/>
                <w:b/>
                <w:color w:val="auto"/>
                <w:kern w:val="0"/>
                <w:szCs w:val="21"/>
                <w:highlight w:val="none"/>
              </w:rPr>
              <w:t>%</w:t>
            </w:r>
            <w:r>
              <w:rPr>
                <w:rFonts w:hint="eastAsia" w:ascii="楷体" w:hAnsi="楷体" w:eastAsia="楷体"/>
                <w:b/>
                <w:color w:val="auto"/>
                <w:kern w:val="0"/>
                <w:szCs w:val="21"/>
                <w:highlight w:val="none"/>
              </w:rPr>
              <w:t>，最高额度不应超过30万元。】</w:t>
            </w:r>
          </w:p>
          <w:p w14:paraId="7C7D6A6F">
            <w:pPr>
              <w:spacing w:line="360" w:lineRule="auto"/>
              <w:ind w:firstLine="420" w:firstLineChars="200"/>
              <w:rPr>
                <w:rFonts w:ascii="楷体" w:hAnsi="楷体" w:eastAsia="楷体" w:cs="宋体"/>
                <w:b/>
                <w:color w:val="auto"/>
                <w:highlight w:val="none"/>
              </w:rPr>
            </w:pPr>
            <w:r>
              <w:rPr>
                <w:rFonts w:hint="eastAsia" w:cs="宋体"/>
                <w:color w:val="auto"/>
                <w:highlight w:val="none"/>
              </w:rPr>
              <w:t>递交方式</w:t>
            </w:r>
            <w:r>
              <w:rPr>
                <w:rFonts w:hint="eastAsia" w:ascii="楷体" w:hAnsi="楷体" w:eastAsia="楷体" w:cs="宋体"/>
                <w:b/>
                <w:color w:val="auto"/>
                <w:highlight w:val="none"/>
              </w:rPr>
              <w:t>：</w:t>
            </w:r>
          </w:p>
          <w:p w14:paraId="325DE7D5">
            <w:pPr>
              <w:spacing w:line="360" w:lineRule="auto"/>
              <w:ind w:firstLine="420" w:firstLineChars="200"/>
              <w:rPr>
                <w:rFonts w:hAnsi="宋体"/>
                <w:color w:val="auto"/>
                <w:highlight w:val="none"/>
              </w:rPr>
            </w:pPr>
            <w:r>
              <w:rPr>
                <w:rFonts w:hint="eastAsia" w:hAnsi="宋体"/>
                <w:color w:val="auto"/>
                <w:highlight w:val="none"/>
              </w:rPr>
              <w:t>1、使用银行转账时投标保证金必须从投标人的企业基本账户汇到以下指定的投标保证金专用账户，否则投标无效。</w:t>
            </w:r>
          </w:p>
          <w:p w14:paraId="481269EC">
            <w:pPr>
              <w:spacing w:line="360" w:lineRule="auto"/>
              <w:rPr>
                <w:rFonts w:hAnsi="宋体"/>
                <w:color w:val="auto"/>
                <w:highlight w:val="none"/>
              </w:rPr>
            </w:pPr>
            <w:r>
              <w:rPr>
                <w:rFonts w:hint="eastAsia" w:hAnsi="宋体"/>
                <w:color w:val="auto"/>
                <w:highlight w:val="none"/>
              </w:rPr>
              <w:t xml:space="preserve">    账户名称： </w:t>
            </w:r>
          </w:p>
          <w:p w14:paraId="2133D451">
            <w:pPr>
              <w:spacing w:line="360" w:lineRule="auto"/>
              <w:rPr>
                <w:rFonts w:hint="eastAsia" w:hAnsi="宋体" w:eastAsia="宋体"/>
                <w:color w:val="auto"/>
                <w:highlight w:val="none"/>
                <w:lang w:eastAsia="zh-CN"/>
              </w:rPr>
            </w:pPr>
            <w:r>
              <w:rPr>
                <w:rFonts w:hint="eastAsia" w:hAnsi="宋体"/>
                <w:color w:val="auto"/>
                <w:highlight w:val="none"/>
              </w:rPr>
              <w:t xml:space="preserve">    开户银行：</w:t>
            </w:r>
          </w:p>
          <w:p w14:paraId="5BE18236">
            <w:pPr>
              <w:spacing w:line="360" w:lineRule="auto"/>
              <w:ind w:firstLine="420" w:firstLineChars="200"/>
              <w:rPr>
                <w:rFonts w:hAnsi="宋体"/>
                <w:color w:val="auto"/>
                <w:highlight w:val="none"/>
              </w:rPr>
            </w:pPr>
            <w:r>
              <w:rPr>
                <w:rFonts w:hint="eastAsia" w:hAnsi="宋体"/>
                <w:color w:val="auto"/>
                <w:highlight w:val="none"/>
              </w:rPr>
              <w:t>银行账号：</w:t>
            </w:r>
          </w:p>
          <w:p w14:paraId="22F61CEE">
            <w:pPr>
              <w:spacing w:line="360" w:lineRule="auto"/>
              <w:rPr>
                <w:rFonts w:hAnsi="宋体"/>
                <w:color w:val="auto"/>
                <w:highlight w:val="none"/>
              </w:rPr>
            </w:pPr>
            <w:r>
              <w:rPr>
                <w:rFonts w:hint="eastAsia" w:hAnsi="宋体"/>
                <w:color w:val="auto"/>
                <w:highlight w:val="none"/>
              </w:rPr>
              <w:t xml:space="preserve">    2、投标人使用银行保函、保证保险保函、工程担保保函时，投标人将保函原件扫描件，电子保</w:t>
            </w:r>
            <w:r>
              <w:rPr>
                <w:rFonts w:hAnsi="宋体"/>
                <w:color w:val="auto"/>
                <w:highlight w:val="none"/>
              </w:rPr>
              <w:t>函</w:t>
            </w:r>
            <w:r>
              <w:rPr>
                <w:rFonts w:hint="eastAsia" w:hAnsi="宋体"/>
                <w:color w:val="auto"/>
                <w:highlight w:val="none"/>
              </w:rPr>
              <w:t>系统</w:t>
            </w:r>
            <w:r>
              <w:rPr>
                <w:rFonts w:hAnsi="宋体"/>
                <w:color w:val="auto"/>
                <w:highlight w:val="none"/>
              </w:rPr>
              <w:t>自动</w:t>
            </w:r>
            <w:r>
              <w:rPr>
                <w:rFonts w:hint="eastAsia" w:hAnsi="宋体"/>
                <w:color w:val="auto"/>
                <w:highlight w:val="none"/>
              </w:rPr>
              <w:t>认证作为投标文件的组成部分同步上传至</w:t>
            </w:r>
            <w:r>
              <w:rPr>
                <w:rFonts w:hint="eastAsia" w:ascii="宋体" w:hAnsi="宋体"/>
                <w:color w:val="auto"/>
                <w:highlight w:val="none"/>
              </w:rPr>
              <w:t>全国公共资源交易平台（广西壮族自治区）</w:t>
            </w:r>
            <w:r>
              <w:rPr>
                <w:rFonts w:hint="eastAsia" w:hAnsi="宋体"/>
                <w:color w:val="auto"/>
                <w:highlight w:val="none"/>
              </w:rPr>
              <w:t>；工程担保保证人应将出具的保函相关信息录入“广西建筑市场监管云”平台。</w:t>
            </w:r>
          </w:p>
          <w:p w14:paraId="5086707F">
            <w:pPr>
              <w:spacing w:line="360" w:lineRule="auto"/>
              <w:rPr>
                <w:rFonts w:hAnsi="宋体"/>
                <w:color w:val="auto"/>
                <w:highlight w:val="none"/>
              </w:rPr>
            </w:pPr>
            <w:r>
              <w:rPr>
                <w:rFonts w:hint="eastAsia" w:hAnsi="宋体"/>
                <w:color w:val="auto"/>
                <w:highlight w:val="none"/>
              </w:rPr>
              <w:t xml:space="preserve">    投标保证金不足额缴纳的，或保函（银行保函、保证保险保函、工程担保保函）额度不足的，其投标无效。</w:t>
            </w:r>
          </w:p>
          <w:p w14:paraId="6344D7D4">
            <w:pPr>
              <w:spacing w:line="360" w:lineRule="auto"/>
              <w:ind w:firstLine="315" w:firstLineChars="150"/>
              <w:rPr>
                <w:rFonts w:ascii="宋体" w:hAnsi="宋体"/>
                <w:color w:val="auto"/>
                <w:szCs w:val="21"/>
                <w:highlight w:val="none"/>
              </w:rPr>
            </w:pPr>
            <w:r>
              <w:rPr>
                <w:rFonts w:hint="eastAsia" w:hAnsi="宋体"/>
                <w:color w:val="auto"/>
                <w:highlight w:val="none"/>
              </w:rPr>
              <w:t xml:space="preserve"> </w:t>
            </w:r>
            <w:r>
              <w:rPr>
                <w:rFonts w:ascii="宋体" w:hAnsi="宋体"/>
                <w:color w:val="auto"/>
                <w:szCs w:val="21"/>
                <w:highlight w:val="none"/>
              </w:rPr>
              <w:t>投标保证金必须以投标人自身的名义提交，不得以分支机构等其他名义提交。</w:t>
            </w:r>
            <w:r>
              <w:rPr>
                <w:rFonts w:hint="eastAsia" w:ascii="宋体" w:hAnsi="宋体"/>
                <w:color w:val="auto"/>
                <w:szCs w:val="21"/>
                <w:highlight w:val="none"/>
              </w:rPr>
              <w:t>当投标人为联合体时，可由联合体中的任一方缴纳，并在联合体协议书中明确。</w:t>
            </w:r>
          </w:p>
          <w:p w14:paraId="3EF16681">
            <w:pPr>
              <w:spacing w:line="360" w:lineRule="auto"/>
              <w:ind w:firstLine="422" w:firstLineChars="200"/>
              <w:rPr>
                <w:rFonts w:ascii="宋体" w:hAnsi="宋体" w:eastAsia="楷体"/>
                <w:color w:val="auto"/>
                <w:szCs w:val="21"/>
                <w:highlight w:val="none"/>
              </w:rPr>
            </w:pPr>
            <w:r>
              <w:rPr>
                <w:rFonts w:hint="eastAsia" w:ascii="楷体" w:hAnsi="楷体" w:eastAsia="楷体"/>
                <w:b/>
                <w:color w:val="auto"/>
                <w:szCs w:val="21"/>
                <w:highlight w:val="none"/>
              </w:rPr>
              <w:t>【备注</w:t>
            </w:r>
            <w:r>
              <w:rPr>
                <w:rFonts w:ascii="楷体" w:hAnsi="楷体" w:eastAsia="楷体"/>
                <w:b/>
                <w:color w:val="auto"/>
                <w:szCs w:val="21"/>
                <w:highlight w:val="none"/>
              </w:rPr>
              <w:t>：</w:t>
            </w:r>
            <w:r>
              <w:rPr>
                <w:rFonts w:hint="eastAsia" w:ascii="楷体" w:hAnsi="楷体" w:eastAsia="楷体"/>
                <w:b/>
                <w:color w:val="auto"/>
                <w:szCs w:val="21"/>
                <w:highlight w:val="none"/>
              </w:rPr>
              <w:t>对投标截止日期前一日</w:t>
            </w:r>
            <w:r>
              <w:rPr>
                <w:rFonts w:ascii="楷体" w:hAnsi="楷体" w:eastAsia="楷体"/>
                <w:b/>
                <w:color w:val="auto"/>
                <w:szCs w:val="21"/>
                <w:highlight w:val="none"/>
              </w:rPr>
              <w:t>，</w:t>
            </w:r>
            <w:r>
              <w:rPr>
                <w:rFonts w:hint="eastAsia" w:ascii="楷体" w:hAnsi="楷体" w:eastAsia="楷体"/>
                <w:b/>
                <w:color w:val="auto"/>
                <w:szCs w:val="21"/>
                <w:highlight w:val="none"/>
              </w:rPr>
              <w:t>信用管理评价为A级的设计企业，可免收投标保证金，联合体投标的，需联合体各方均满足免收的条件方可免收。上述企业发生在投标有效期内随意撤回、撤销投标，或无正当理由不与招标人订立合同等行为的，取消其免缴资格，并扣减建筑业企业诚信分。】</w:t>
            </w:r>
          </w:p>
        </w:tc>
      </w:tr>
      <w:tr w14:paraId="2795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15957C36">
            <w:pPr>
              <w:spacing w:line="360" w:lineRule="auto"/>
              <w:jc w:val="center"/>
              <w:rPr>
                <w:color w:val="auto"/>
                <w:highlight w:val="none"/>
              </w:rPr>
            </w:pPr>
            <w:r>
              <w:rPr>
                <w:rFonts w:hint="eastAsia"/>
                <w:color w:val="auto"/>
                <w:highlight w:val="none"/>
              </w:rPr>
              <w:t>3.6.1</w:t>
            </w:r>
          </w:p>
        </w:tc>
        <w:tc>
          <w:tcPr>
            <w:tcW w:w="1843" w:type="dxa"/>
            <w:vAlign w:val="center"/>
          </w:tcPr>
          <w:p w14:paraId="14DF1105">
            <w:pPr>
              <w:spacing w:line="360" w:lineRule="auto"/>
              <w:rPr>
                <w:color w:val="auto"/>
                <w:highlight w:val="none"/>
              </w:rPr>
            </w:pPr>
            <w:r>
              <w:rPr>
                <w:rFonts w:hint="eastAsia"/>
                <w:color w:val="auto"/>
                <w:highlight w:val="none"/>
              </w:rPr>
              <w:t>是否允许递交备选投标方案</w:t>
            </w:r>
          </w:p>
        </w:tc>
        <w:tc>
          <w:tcPr>
            <w:tcW w:w="5800" w:type="dxa"/>
            <w:vAlign w:val="center"/>
          </w:tcPr>
          <w:p w14:paraId="43CA4A5D">
            <w:pPr>
              <w:spacing w:line="360" w:lineRule="auto"/>
              <w:rPr>
                <w:color w:val="auto"/>
                <w:highlight w:val="none"/>
                <w:u w:val="single"/>
              </w:rPr>
            </w:pPr>
            <w:r>
              <w:rPr>
                <w:rFonts w:hint="eastAsia"/>
                <w:color w:val="auto"/>
                <w:highlight w:val="none"/>
              </w:rPr>
              <w:t>不允许</w:t>
            </w:r>
          </w:p>
        </w:tc>
      </w:tr>
      <w:tr w14:paraId="7E77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5C68B2B0">
            <w:pPr>
              <w:spacing w:line="360" w:lineRule="auto"/>
              <w:jc w:val="center"/>
              <w:rPr>
                <w:color w:val="auto"/>
                <w:highlight w:val="none"/>
              </w:rPr>
            </w:pPr>
            <w:r>
              <w:rPr>
                <w:color w:val="auto"/>
                <w:highlight w:val="none"/>
              </w:rPr>
              <w:t>3.</w:t>
            </w:r>
            <w:r>
              <w:rPr>
                <w:rFonts w:hint="eastAsia"/>
                <w:color w:val="auto"/>
                <w:highlight w:val="none"/>
              </w:rPr>
              <w:t>7</w:t>
            </w:r>
            <w:r>
              <w:rPr>
                <w:color w:val="auto"/>
                <w:highlight w:val="none"/>
              </w:rPr>
              <w:t>.3</w:t>
            </w:r>
          </w:p>
        </w:tc>
        <w:tc>
          <w:tcPr>
            <w:tcW w:w="1843" w:type="dxa"/>
            <w:vAlign w:val="center"/>
          </w:tcPr>
          <w:p w14:paraId="13857040">
            <w:pPr>
              <w:spacing w:line="360" w:lineRule="auto"/>
              <w:jc w:val="center"/>
              <w:rPr>
                <w:color w:val="auto"/>
                <w:highlight w:val="none"/>
              </w:rPr>
            </w:pPr>
            <w:r>
              <w:rPr>
                <w:rFonts w:hint="eastAsia" w:cs="宋体"/>
                <w:color w:val="auto"/>
                <w:highlight w:val="none"/>
              </w:rPr>
              <w:t>盖章要求</w:t>
            </w:r>
          </w:p>
        </w:tc>
        <w:tc>
          <w:tcPr>
            <w:tcW w:w="5800" w:type="dxa"/>
            <w:vAlign w:val="center"/>
          </w:tcPr>
          <w:p w14:paraId="2F9813F2">
            <w:pPr>
              <w:spacing w:line="360" w:lineRule="auto"/>
              <w:rPr>
                <w:color w:val="auto"/>
                <w:highlight w:val="none"/>
              </w:rPr>
            </w:pPr>
            <w:r>
              <w:rPr>
                <w:rFonts w:hint="eastAsia" w:cs="宋体"/>
                <w:color w:val="auto"/>
                <w:highlight w:val="none"/>
              </w:rPr>
              <w:t>电子投标文件由投标人在招标文件规定的投标文件相关位置加盖投标人单位电子印章。投标文件未盖投标人单位电子印章的，均作否决投标处理。联合体投标的，除联合体协议书需要双方盖章，其他只需盖联合体任一单位的电子印章。</w:t>
            </w:r>
          </w:p>
        </w:tc>
      </w:tr>
      <w:tr w14:paraId="2298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0162088D">
            <w:pPr>
              <w:spacing w:line="360" w:lineRule="auto"/>
              <w:jc w:val="center"/>
              <w:rPr>
                <w:color w:val="auto"/>
                <w:highlight w:val="none"/>
              </w:rPr>
            </w:pPr>
            <w:r>
              <w:rPr>
                <w:color w:val="auto"/>
                <w:highlight w:val="none"/>
              </w:rPr>
              <w:t>3.</w:t>
            </w:r>
            <w:r>
              <w:rPr>
                <w:rFonts w:hint="eastAsia"/>
                <w:color w:val="auto"/>
                <w:highlight w:val="none"/>
              </w:rPr>
              <w:t>7</w:t>
            </w:r>
            <w:r>
              <w:rPr>
                <w:color w:val="auto"/>
                <w:highlight w:val="none"/>
              </w:rPr>
              <w:t>.4</w:t>
            </w:r>
          </w:p>
        </w:tc>
        <w:tc>
          <w:tcPr>
            <w:tcW w:w="1843" w:type="dxa"/>
            <w:vAlign w:val="center"/>
          </w:tcPr>
          <w:p w14:paraId="21A0FB15">
            <w:pPr>
              <w:spacing w:line="360" w:lineRule="auto"/>
              <w:rPr>
                <w:color w:val="auto"/>
                <w:highlight w:val="none"/>
              </w:rPr>
            </w:pPr>
            <w:r>
              <w:rPr>
                <w:rFonts w:hAnsi="宋体" w:cs="宋体"/>
                <w:color w:val="auto"/>
                <w:highlight w:val="none"/>
              </w:rPr>
              <w:t>投标文件份数</w:t>
            </w:r>
          </w:p>
        </w:tc>
        <w:tc>
          <w:tcPr>
            <w:tcW w:w="5800" w:type="dxa"/>
            <w:vAlign w:val="center"/>
          </w:tcPr>
          <w:p w14:paraId="2A388F1F">
            <w:pPr>
              <w:spacing w:line="360" w:lineRule="auto"/>
              <w:rPr>
                <w:color w:val="auto"/>
                <w:highlight w:val="none"/>
                <w:u w:val="single"/>
              </w:rPr>
            </w:pPr>
            <w:r>
              <w:rPr>
                <w:rFonts w:hint="eastAsia" w:hAnsi="宋体" w:cs="宋体"/>
                <w:color w:val="auto"/>
                <w:highlight w:val="none"/>
              </w:rPr>
              <w:t>电子投标文件一份</w:t>
            </w:r>
          </w:p>
        </w:tc>
      </w:tr>
      <w:tr w14:paraId="2E05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5669B9F7">
            <w:pPr>
              <w:spacing w:line="360" w:lineRule="auto"/>
              <w:jc w:val="center"/>
              <w:rPr>
                <w:color w:val="auto"/>
                <w:highlight w:val="none"/>
              </w:rPr>
            </w:pPr>
            <w:r>
              <w:rPr>
                <w:color w:val="auto"/>
                <w:highlight w:val="none"/>
              </w:rPr>
              <w:t>3</w:t>
            </w:r>
            <w:r>
              <w:rPr>
                <w:rFonts w:hint="eastAsia"/>
                <w:color w:val="auto"/>
                <w:highlight w:val="none"/>
              </w:rPr>
              <w:t>.7.5</w:t>
            </w:r>
          </w:p>
        </w:tc>
        <w:tc>
          <w:tcPr>
            <w:tcW w:w="1843" w:type="dxa"/>
            <w:vAlign w:val="center"/>
          </w:tcPr>
          <w:p w14:paraId="4E99F050">
            <w:pPr>
              <w:spacing w:line="360" w:lineRule="auto"/>
              <w:rPr>
                <w:color w:val="auto"/>
                <w:highlight w:val="none"/>
              </w:rPr>
            </w:pPr>
            <w:r>
              <w:rPr>
                <w:rFonts w:hint="eastAsia" w:cs="宋体"/>
                <w:color w:val="auto"/>
                <w:highlight w:val="none"/>
              </w:rPr>
              <w:t>投标文件编制的其它要求</w:t>
            </w:r>
          </w:p>
        </w:tc>
        <w:tc>
          <w:tcPr>
            <w:tcW w:w="5800" w:type="dxa"/>
            <w:vAlign w:val="center"/>
          </w:tcPr>
          <w:p w14:paraId="362D376B">
            <w:pPr>
              <w:spacing w:line="360" w:lineRule="auto"/>
              <w:rPr>
                <w:color w:val="auto"/>
                <w:highlight w:val="none"/>
              </w:rPr>
            </w:pPr>
            <w:r>
              <w:rPr>
                <w:rFonts w:hint="eastAsia"/>
                <w:color w:val="auto"/>
                <w:highlight w:val="none"/>
              </w:rPr>
              <w:t>无</w:t>
            </w:r>
          </w:p>
        </w:tc>
      </w:tr>
      <w:tr w14:paraId="14C8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6DFF2B98">
            <w:pPr>
              <w:spacing w:line="360" w:lineRule="auto"/>
              <w:jc w:val="center"/>
              <w:rPr>
                <w:color w:val="auto"/>
                <w:highlight w:val="none"/>
              </w:rPr>
            </w:pPr>
            <w:r>
              <w:rPr>
                <w:rFonts w:hint="eastAsia"/>
                <w:color w:val="auto"/>
                <w:highlight w:val="none"/>
              </w:rPr>
              <w:t>4</w:t>
            </w:r>
            <w:r>
              <w:rPr>
                <w:color w:val="auto"/>
                <w:highlight w:val="none"/>
              </w:rPr>
              <w:t>.1</w:t>
            </w:r>
          </w:p>
        </w:tc>
        <w:tc>
          <w:tcPr>
            <w:tcW w:w="1843" w:type="dxa"/>
            <w:vAlign w:val="center"/>
          </w:tcPr>
          <w:p w14:paraId="09A22EE6">
            <w:pPr>
              <w:spacing w:line="360" w:lineRule="auto"/>
              <w:rPr>
                <w:rFonts w:cs="宋体"/>
                <w:color w:val="auto"/>
                <w:highlight w:val="none"/>
              </w:rPr>
            </w:pPr>
            <w:r>
              <w:rPr>
                <w:rFonts w:hint="eastAsia" w:cs="宋体"/>
                <w:color w:val="auto"/>
                <w:highlight w:val="none"/>
              </w:rPr>
              <w:t>投标文件的加密和数字证书认证</w:t>
            </w:r>
          </w:p>
        </w:tc>
        <w:tc>
          <w:tcPr>
            <w:tcW w:w="5800" w:type="dxa"/>
            <w:vAlign w:val="center"/>
          </w:tcPr>
          <w:p w14:paraId="2A259EBD">
            <w:pPr>
              <w:spacing w:line="360" w:lineRule="auto"/>
              <w:rPr>
                <w:color w:val="auto"/>
                <w:highlight w:val="none"/>
              </w:rPr>
            </w:pPr>
            <w:r>
              <w:rPr>
                <w:rFonts w:hint="eastAsia" w:cs="宋体"/>
                <w:color w:val="auto"/>
                <w:highlight w:val="none"/>
              </w:rPr>
              <w:t>见正文</w:t>
            </w:r>
            <w:r>
              <w:rPr>
                <w:rFonts w:cs="宋体"/>
                <w:color w:val="auto"/>
                <w:highlight w:val="none"/>
              </w:rPr>
              <w:t>4. 1</w:t>
            </w:r>
            <w:r>
              <w:rPr>
                <w:rFonts w:hint="eastAsia" w:cs="宋体"/>
                <w:color w:val="auto"/>
                <w:highlight w:val="none"/>
              </w:rPr>
              <w:t>条</w:t>
            </w:r>
          </w:p>
        </w:tc>
      </w:tr>
      <w:tr w14:paraId="3496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5AB6E533">
            <w:pPr>
              <w:spacing w:line="360" w:lineRule="auto"/>
              <w:jc w:val="center"/>
              <w:rPr>
                <w:color w:val="auto"/>
                <w:highlight w:val="none"/>
              </w:rPr>
            </w:pPr>
            <w:r>
              <w:rPr>
                <w:rFonts w:hint="eastAsia"/>
                <w:color w:val="auto"/>
                <w:highlight w:val="none"/>
              </w:rPr>
              <w:t>4</w:t>
            </w:r>
            <w:r>
              <w:rPr>
                <w:color w:val="auto"/>
                <w:highlight w:val="none"/>
              </w:rPr>
              <w:t>.2</w:t>
            </w:r>
          </w:p>
        </w:tc>
        <w:tc>
          <w:tcPr>
            <w:tcW w:w="1843" w:type="dxa"/>
            <w:vAlign w:val="center"/>
          </w:tcPr>
          <w:p w14:paraId="3077E1F3">
            <w:pPr>
              <w:spacing w:line="360" w:lineRule="auto"/>
              <w:rPr>
                <w:color w:val="auto"/>
                <w:highlight w:val="none"/>
              </w:rPr>
            </w:pPr>
            <w:r>
              <w:rPr>
                <w:rFonts w:hint="eastAsia" w:cs="宋体"/>
                <w:color w:val="auto"/>
                <w:highlight w:val="none"/>
              </w:rPr>
              <w:t>未加密的电子投标文件U盘密封封套上写明</w:t>
            </w:r>
          </w:p>
        </w:tc>
        <w:tc>
          <w:tcPr>
            <w:tcW w:w="5800" w:type="dxa"/>
            <w:vAlign w:val="center"/>
          </w:tcPr>
          <w:p w14:paraId="3F3CC73A">
            <w:pPr>
              <w:spacing w:line="360" w:lineRule="auto"/>
              <w:rPr>
                <w:color w:val="auto"/>
                <w:highlight w:val="none"/>
              </w:rPr>
            </w:pPr>
            <w:r>
              <w:rPr>
                <w:rFonts w:hint="eastAsia" w:cs="宋体"/>
                <w:color w:val="auto"/>
                <w:highlight w:val="none"/>
              </w:rPr>
              <w:t>不需要</w:t>
            </w:r>
            <w:r>
              <w:rPr>
                <w:rFonts w:cs="宋体"/>
                <w:color w:val="auto"/>
                <w:highlight w:val="none"/>
              </w:rPr>
              <w:t>提交</w:t>
            </w:r>
            <w:r>
              <w:rPr>
                <w:rFonts w:hint="eastAsia" w:eastAsia="楷体_GB2312" w:cs="楷体_GB2312"/>
                <w:b/>
                <w:bCs/>
                <w:color w:val="auto"/>
                <w:highlight w:val="none"/>
              </w:rPr>
              <w:t>【备注：招标人可根据项目实际情况需要增减】</w:t>
            </w:r>
          </w:p>
        </w:tc>
      </w:tr>
      <w:tr w14:paraId="5403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3A92CE09">
            <w:pPr>
              <w:spacing w:line="360" w:lineRule="auto"/>
              <w:jc w:val="center"/>
              <w:rPr>
                <w:color w:val="auto"/>
                <w:highlight w:val="none"/>
              </w:rPr>
            </w:pPr>
            <w:r>
              <w:rPr>
                <w:color w:val="auto"/>
                <w:highlight w:val="none"/>
              </w:rPr>
              <w:t>4.</w:t>
            </w:r>
            <w:r>
              <w:rPr>
                <w:rFonts w:hint="eastAsia"/>
                <w:color w:val="auto"/>
                <w:highlight w:val="none"/>
              </w:rPr>
              <w:t>3</w:t>
            </w:r>
            <w:r>
              <w:rPr>
                <w:color w:val="auto"/>
                <w:highlight w:val="none"/>
              </w:rPr>
              <w:t>.2</w:t>
            </w:r>
          </w:p>
        </w:tc>
        <w:tc>
          <w:tcPr>
            <w:tcW w:w="1843" w:type="dxa"/>
            <w:vAlign w:val="center"/>
          </w:tcPr>
          <w:p w14:paraId="358BFD06">
            <w:pPr>
              <w:spacing w:line="360" w:lineRule="auto"/>
              <w:jc w:val="center"/>
              <w:rPr>
                <w:rFonts w:cs="宋体"/>
                <w:color w:val="auto"/>
                <w:highlight w:val="none"/>
              </w:rPr>
            </w:pPr>
            <w:r>
              <w:rPr>
                <w:rFonts w:hint="eastAsia" w:cs="宋体"/>
                <w:color w:val="auto"/>
                <w:highlight w:val="none"/>
              </w:rPr>
              <w:t>递交投标文件</w:t>
            </w:r>
          </w:p>
          <w:p w14:paraId="09DDA6D9">
            <w:pPr>
              <w:spacing w:line="360" w:lineRule="auto"/>
              <w:jc w:val="center"/>
              <w:rPr>
                <w:color w:val="auto"/>
                <w:highlight w:val="none"/>
              </w:rPr>
            </w:pPr>
            <w:r>
              <w:rPr>
                <w:rFonts w:hint="eastAsia" w:cs="宋体"/>
                <w:color w:val="auto"/>
                <w:highlight w:val="none"/>
              </w:rPr>
              <w:t>地点</w:t>
            </w:r>
          </w:p>
        </w:tc>
        <w:tc>
          <w:tcPr>
            <w:tcW w:w="5800" w:type="dxa"/>
            <w:vAlign w:val="center"/>
          </w:tcPr>
          <w:p w14:paraId="4F58C1B5">
            <w:pPr>
              <w:spacing w:line="360" w:lineRule="auto"/>
              <w:rPr>
                <w:color w:val="auto"/>
                <w:highlight w:val="none"/>
              </w:rPr>
            </w:pPr>
            <w:r>
              <w:rPr>
                <w:rFonts w:hint="eastAsia" w:cs="宋体"/>
                <w:color w:val="auto"/>
                <w:highlight w:val="none"/>
              </w:rPr>
              <w:t>加密电子投标文件由各投标人在投标时间截止前自行在</w:t>
            </w:r>
            <w:r>
              <w:rPr>
                <w:rFonts w:hint="eastAsia" w:ascii="宋体" w:hAnsi="宋体"/>
                <w:color w:val="auto"/>
                <w:highlight w:val="none"/>
              </w:rPr>
              <w:t>全国公共资源交易平台（广西壮族自治区）</w:t>
            </w:r>
            <w:r>
              <w:rPr>
                <w:rFonts w:hint="eastAsia" w:cs="宋体"/>
                <w:color w:val="auto"/>
                <w:highlight w:val="none"/>
              </w:rPr>
              <w:t>上传。</w:t>
            </w:r>
          </w:p>
        </w:tc>
      </w:tr>
      <w:tr w14:paraId="261E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242" w:type="dxa"/>
            <w:vAlign w:val="center"/>
          </w:tcPr>
          <w:p w14:paraId="3C8C1A00">
            <w:pPr>
              <w:spacing w:line="360" w:lineRule="auto"/>
              <w:jc w:val="center"/>
              <w:rPr>
                <w:color w:val="auto"/>
                <w:highlight w:val="none"/>
              </w:rPr>
            </w:pPr>
            <w:r>
              <w:rPr>
                <w:color w:val="auto"/>
                <w:highlight w:val="none"/>
              </w:rPr>
              <w:t>4.</w:t>
            </w:r>
            <w:r>
              <w:rPr>
                <w:rFonts w:hint="eastAsia"/>
                <w:color w:val="auto"/>
                <w:highlight w:val="none"/>
              </w:rPr>
              <w:t>3</w:t>
            </w:r>
            <w:r>
              <w:rPr>
                <w:color w:val="auto"/>
                <w:highlight w:val="none"/>
              </w:rPr>
              <w:t>.3</w:t>
            </w:r>
          </w:p>
        </w:tc>
        <w:tc>
          <w:tcPr>
            <w:tcW w:w="1843" w:type="dxa"/>
            <w:vAlign w:val="center"/>
          </w:tcPr>
          <w:p w14:paraId="4FF602CF">
            <w:pPr>
              <w:spacing w:line="360" w:lineRule="auto"/>
              <w:jc w:val="center"/>
              <w:rPr>
                <w:rFonts w:cs="宋体"/>
                <w:color w:val="auto"/>
                <w:highlight w:val="none"/>
              </w:rPr>
            </w:pPr>
            <w:r>
              <w:rPr>
                <w:rFonts w:hint="eastAsia" w:cs="宋体"/>
                <w:color w:val="auto"/>
                <w:highlight w:val="none"/>
              </w:rPr>
              <w:t>是否退还</w:t>
            </w:r>
          </w:p>
          <w:p w14:paraId="5DD81AB4">
            <w:pPr>
              <w:spacing w:line="360" w:lineRule="auto"/>
              <w:jc w:val="center"/>
              <w:rPr>
                <w:rFonts w:cs="宋体"/>
                <w:color w:val="auto"/>
                <w:highlight w:val="none"/>
              </w:rPr>
            </w:pPr>
            <w:r>
              <w:rPr>
                <w:rFonts w:hint="eastAsia" w:cs="宋体"/>
                <w:color w:val="auto"/>
                <w:highlight w:val="none"/>
              </w:rPr>
              <w:t>投标文件</w:t>
            </w:r>
          </w:p>
        </w:tc>
        <w:tc>
          <w:tcPr>
            <w:tcW w:w="5800" w:type="dxa"/>
            <w:vAlign w:val="center"/>
          </w:tcPr>
          <w:p w14:paraId="1D8CEB95">
            <w:pPr>
              <w:spacing w:line="360" w:lineRule="auto"/>
              <w:jc w:val="center"/>
              <w:rPr>
                <w:rFonts w:cs="宋体"/>
                <w:color w:val="auto"/>
                <w:highlight w:val="none"/>
              </w:rPr>
            </w:pPr>
            <w:r>
              <w:rPr>
                <w:rFonts w:hint="eastAsia" w:cs="宋体"/>
                <w:color w:val="auto"/>
                <w:highlight w:val="none"/>
              </w:rPr>
              <w:t>否</w:t>
            </w:r>
          </w:p>
        </w:tc>
      </w:tr>
      <w:tr w14:paraId="237A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242" w:type="dxa"/>
            <w:vAlign w:val="center"/>
          </w:tcPr>
          <w:p w14:paraId="2A44B8DF">
            <w:pPr>
              <w:spacing w:line="360" w:lineRule="auto"/>
              <w:jc w:val="center"/>
              <w:rPr>
                <w:color w:val="auto"/>
                <w:highlight w:val="none"/>
              </w:rPr>
            </w:pPr>
            <w:r>
              <w:rPr>
                <w:rFonts w:hint="eastAsia"/>
                <w:color w:val="auto"/>
                <w:highlight w:val="none"/>
              </w:rPr>
              <w:t>5</w:t>
            </w:r>
            <w:r>
              <w:rPr>
                <w:color w:val="auto"/>
                <w:highlight w:val="none"/>
              </w:rPr>
              <w:t>.1</w:t>
            </w:r>
          </w:p>
        </w:tc>
        <w:tc>
          <w:tcPr>
            <w:tcW w:w="1843" w:type="dxa"/>
            <w:vAlign w:val="center"/>
          </w:tcPr>
          <w:p w14:paraId="2499BF83">
            <w:pPr>
              <w:spacing w:line="360" w:lineRule="auto"/>
              <w:rPr>
                <w:color w:val="auto"/>
                <w:highlight w:val="none"/>
              </w:rPr>
            </w:pPr>
            <w:r>
              <w:rPr>
                <w:rFonts w:hint="eastAsia" w:cs="宋体"/>
                <w:color w:val="auto"/>
                <w:highlight w:val="none"/>
              </w:rPr>
              <w:t>开标时间和地点</w:t>
            </w:r>
          </w:p>
        </w:tc>
        <w:tc>
          <w:tcPr>
            <w:tcW w:w="5800" w:type="dxa"/>
            <w:vAlign w:val="center"/>
          </w:tcPr>
          <w:p w14:paraId="0455C4F8">
            <w:pPr>
              <w:spacing w:line="360" w:lineRule="auto"/>
              <w:rPr>
                <w:color w:val="auto"/>
                <w:highlight w:val="none"/>
              </w:rPr>
            </w:pPr>
            <w:r>
              <w:rPr>
                <w:rFonts w:hint="eastAsia" w:cs="宋体"/>
                <w:color w:val="auto"/>
                <w:highlight w:val="none"/>
              </w:rPr>
              <w:t>开标时间：同投标截止时间</w:t>
            </w:r>
          </w:p>
          <w:p w14:paraId="752B039A">
            <w:pPr>
              <w:spacing w:line="360" w:lineRule="auto"/>
              <w:rPr>
                <w:rFonts w:cs="宋体"/>
                <w:color w:val="auto"/>
                <w:highlight w:val="none"/>
              </w:rPr>
            </w:pPr>
            <w:r>
              <w:rPr>
                <w:rFonts w:hint="eastAsia" w:cs="宋体"/>
                <w:color w:val="auto"/>
                <w:highlight w:val="none"/>
              </w:rPr>
              <w:t>开标地点：</w:t>
            </w:r>
          </w:p>
          <w:p w14:paraId="2985FC6B">
            <w:pPr>
              <w:spacing w:line="360" w:lineRule="auto"/>
              <w:rPr>
                <w:color w:val="auto"/>
                <w:highlight w:val="none"/>
              </w:rPr>
            </w:pPr>
            <w:r>
              <w:rPr>
                <w:rFonts w:hint="eastAsia" w:cs="宋体"/>
                <w:color w:val="auto"/>
                <w:highlight w:val="none"/>
              </w:rPr>
              <w:t>当地交易中心或网上开标室，无论是参与现场开标或网上开标的，企业投标人代表均需通过 CA 锁登录广西壮族自治区网上开标子系统。</w:t>
            </w:r>
            <w:r>
              <w:rPr>
                <w:rFonts w:hint="eastAsia"/>
                <w:color w:val="auto"/>
                <w:highlight w:val="none"/>
              </w:rPr>
              <w:t>投标人代表采用个人CA进行开标签到及开标记录表签章，不再支持企业CA进行代替签章。</w:t>
            </w:r>
          </w:p>
        </w:tc>
      </w:tr>
      <w:tr w14:paraId="7897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242" w:type="dxa"/>
            <w:vAlign w:val="center"/>
          </w:tcPr>
          <w:p w14:paraId="3B0BB88E">
            <w:pPr>
              <w:spacing w:line="360" w:lineRule="auto"/>
              <w:jc w:val="center"/>
              <w:rPr>
                <w:color w:val="auto"/>
                <w:highlight w:val="none"/>
              </w:rPr>
            </w:pPr>
            <w:r>
              <w:rPr>
                <w:color w:val="auto"/>
                <w:highlight w:val="none"/>
              </w:rPr>
              <w:t>5.2</w:t>
            </w:r>
          </w:p>
        </w:tc>
        <w:tc>
          <w:tcPr>
            <w:tcW w:w="1843" w:type="dxa"/>
            <w:vAlign w:val="center"/>
          </w:tcPr>
          <w:p w14:paraId="5100CC06">
            <w:pPr>
              <w:spacing w:line="360" w:lineRule="auto"/>
              <w:rPr>
                <w:color w:val="auto"/>
                <w:highlight w:val="none"/>
              </w:rPr>
            </w:pPr>
            <w:r>
              <w:rPr>
                <w:color w:val="auto"/>
                <w:highlight w:val="none"/>
              </w:rPr>
              <w:t>开标程序</w:t>
            </w:r>
          </w:p>
        </w:tc>
        <w:tc>
          <w:tcPr>
            <w:tcW w:w="5800" w:type="dxa"/>
            <w:vAlign w:val="center"/>
          </w:tcPr>
          <w:p w14:paraId="7B393233">
            <w:pPr>
              <w:spacing w:line="360" w:lineRule="auto"/>
              <w:rPr>
                <w:rFonts w:hAnsi="宋体"/>
                <w:color w:val="auto"/>
                <w:highlight w:val="none"/>
              </w:rPr>
            </w:pPr>
            <w:r>
              <w:rPr>
                <w:rFonts w:hint="eastAsia" w:cs="宋体"/>
                <w:color w:val="auto"/>
                <w:highlight w:val="none"/>
              </w:rPr>
              <w:t>见正文</w:t>
            </w:r>
            <w:r>
              <w:rPr>
                <w:color w:val="auto"/>
                <w:highlight w:val="none"/>
              </w:rPr>
              <w:t>5.2</w:t>
            </w:r>
            <w:r>
              <w:rPr>
                <w:rFonts w:hint="eastAsia" w:cs="宋体"/>
                <w:color w:val="auto"/>
                <w:highlight w:val="none"/>
              </w:rPr>
              <w:t>条</w:t>
            </w:r>
          </w:p>
        </w:tc>
      </w:tr>
      <w:tr w14:paraId="41E6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42" w:type="dxa"/>
            <w:vAlign w:val="center"/>
          </w:tcPr>
          <w:p w14:paraId="50520ABA">
            <w:pPr>
              <w:spacing w:line="360" w:lineRule="auto"/>
              <w:jc w:val="center"/>
              <w:rPr>
                <w:color w:val="auto"/>
                <w:highlight w:val="none"/>
              </w:rPr>
            </w:pPr>
            <w:r>
              <w:rPr>
                <w:color w:val="auto"/>
                <w:highlight w:val="none"/>
              </w:rPr>
              <w:t>6.</w:t>
            </w:r>
            <w:r>
              <w:rPr>
                <w:rFonts w:hint="eastAsia"/>
                <w:color w:val="auto"/>
                <w:highlight w:val="none"/>
              </w:rPr>
              <w:t>1.1</w:t>
            </w:r>
          </w:p>
        </w:tc>
        <w:tc>
          <w:tcPr>
            <w:tcW w:w="1843" w:type="dxa"/>
            <w:vAlign w:val="center"/>
          </w:tcPr>
          <w:p w14:paraId="515958E0">
            <w:pPr>
              <w:spacing w:line="360" w:lineRule="auto"/>
              <w:rPr>
                <w:color w:val="auto"/>
                <w:highlight w:val="none"/>
              </w:rPr>
            </w:pPr>
            <w:r>
              <w:rPr>
                <w:color w:val="auto"/>
                <w:highlight w:val="none"/>
              </w:rPr>
              <w:t>评标委员会的组建</w:t>
            </w:r>
          </w:p>
        </w:tc>
        <w:tc>
          <w:tcPr>
            <w:tcW w:w="5800" w:type="dxa"/>
            <w:vAlign w:val="center"/>
          </w:tcPr>
          <w:p w14:paraId="4D870E99">
            <w:pPr>
              <w:spacing w:line="360" w:lineRule="auto"/>
              <w:rPr>
                <w:color w:val="auto"/>
                <w:highlight w:val="none"/>
              </w:rPr>
            </w:pPr>
            <w:r>
              <w:rPr>
                <w:color w:val="auto"/>
                <w:highlight w:val="none"/>
              </w:rPr>
              <w:t>评标委员会构成：</w:t>
            </w:r>
            <w:r>
              <w:rPr>
                <w:color w:val="auto"/>
                <w:highlight w:val="none"/>
                <w:u w:val="single"/>
              </w:rPr>
              <w:t xml:space="preserve">  </w:t>
            </w:r>
            <w:r>
              <w:rPr>
                <w:rFonts w:hint="eastAsia"/>
                <w:color w:val="auto"/>
                <w:highlight w:val="none"/>
                <w:u w:val="single"/>
              </w:rPr>
              <w:t xml:space="preserve"> 5   </w:t>
            </w:r>
            <w:r>
              <w:rPr>
                <w:color w:val="auto"/>
                <w:highlight w:val="none"/>
              </w:rPr>
              <w:t>人，其中招标人代表</w:t>
            </w:r>
            <w:r>
              <w:rPr>
                <w:color w:val="auto"/>
                <w:highlight w:val="none"/>
                <w:u w:val="single"/>
              </w:rPr>
              <w:t xml:space="preserve">  </w:t>
            </w:r>
            <w:r>
              <w:rPr>
                <w:rFonts w:hint="eastAsia"/>
                <w:color w:val="auto"/>
                <w:highlight w:val="none"/>
                <w:u w:val="single"/>
              </w:rPr>
              <w:t>1</w:t>
            </w:r>
            <w:r>
              <w:rPr>
                <w:color w:val="auto"/>
                <w:highlight w:val="none"/>
                <w:u w:val="single"/>
              </w:rPr>
              <w:t xml:space="preserve">  </w:t>
            </w:r>
            <w:r>
              <w:rPr>
                <w:color w:val="auto"/>
                <w:highlight w:val="none"/>
              </w:rPr>
              <w:t>人</w:t>
            </w:r>
            <w:r>
              <w:rPr>
                <w:rFonts w:hint="eastAsia" w:eastAsia="楷体_GB2312" w:cs="楷体_GB2312"/>
                <w:b/>
                <w:bCs/>
                <w:color w:val="auto"/>
                <w:highlight w:val="none"/>
              </w:rPr>
              <w:t>【要求详见本表后的备注】</w:t>
            </w:r>
            <w:r>
              <w:rPr>
                <w:color w:val="auto"/>
                <w:highlight w:val="none"/>
              </w:rPr>
              <w:t>，专家</w:t>
            </w:r>
            <w:r>
              <w:rPr>
                <w:color w:val="auto"/>
                <w:highlight w:val="none"/>
                <w:u w:val="single"/>
              </w:rPr>
              <w:t xml:space="preserve">   </w:t>
            </w:r>
            <w:r>
              <w:rPr>
                <w:rFonts w:hint="eastAsia"/>
                <w:color w:val="auto"/>
                <w:highlight w:val="none"/>
                <w:u w:val="single"/>
              </w:rPr>
              <w:t xml:space="preserve"> 4  </w:t>
            </w:r>
            <w:r>
              <w:rPr>
                <w:color w:val="auto"/>
                <w:highlight w:val="none"/>
              </w:rPr>
              <w:t>人。</w:t>
            </w:r>
          </w:p>
          <w:p w14:paraId="313E0BFF">
            <w:pPr>
              <w:spacing w:line="360" w:lineRule="auto"/>
              <w:rPr>
                <w:rFonts w:eastAsia="楷体_GB2312"/>
                <w:b/>
                <w:bCs/>
                <w:color w:val="auto"/>
                <w:highlight w:val="none"/>
              </w:rPr>
            </w:pPr>
            <w:r>
              <w:rPr>
                <w:rFonts w:hint="eastAsia"/>
                <w:b/>
                <w:bCs/>
                <w:color w:val="auto"/>
                <w:highlight w:val="none"/>
              </w:rPr>
              <w:t>【</w:t>
            </w:r>
            <w:r>
              <w:rPr>
                <w:rFonts w:hint="eastAsia" w:eastAsia="楷体_GB2312"/>
                <w:b/>
                <w:bCs/>
                <w:color w:val="auto"/>
                <w:highlight w:val="none"/>
              </w:rPr>
              <w:t>备注：评标委员会人数为5人以上单数组成，其中大型公共建筑工程或大型市政公用工程项目进行设计方案招标时评标委员会人数不应少于9人（其中技术、经济专家人数应占评委总数的2/3以上）。评标委员会的组成应包括招标人以及与建筑工程项目方案设计有关的建筑、规划、结构、经济、设备等专业专家。大型公共建筑工程或市政公用工程项目应增加环境保护、节能、消防专家。房屋建筑工程设计项目的评委应以建筑专业专家为主，建筑专业专家不得少于技术和经济方面专家总数的2/3。】</w:t>
            </w:r>
          </w:p>
          <w:p w14:paraId="0C732A1A">
            <w:pPr>
              <w:spacing w:line="360" w:lineRule="auto"/>
              <w:ind w:firstLine="210" w:firstLineChars="100"/>
              <w:rPr>
                <w:color w:val="auto"/>
                <w:szCs w:val="21"/>
                <w:highlight w:val="none"/>
              </w:rPr>
            </w:pPr>
            <w:r>
              <w:rPr>
                <w:rFonts w:hint="eastAsia"/>
                <w:color w:val="auto"/>
                <w:szCs w:val="21"/>
                <w:highlight w:val="none"/>
              </w:rPr>
              <w:t>抽取的评审专业类别为（根据项目具体情况确定）：</w:t>
            </w:r>
          </w:p>
          <w:p w14:paraId="39348643">
            <w:pPr>
              <w:spacing w:line="360" w:lineRule="auto"/>
              <w:ind w:firstLine="211" w:firstLineChars="100"/>
              <w:rPr>
                <w:rFonts w:ascii="宋体" w:hAnsi="宋体"/>
                <w:color w:val="auto"/>
                <w:szCs w:val="21"/>
                <w:highlight w:val="none"/>
              </w:rPr>
            </w:pPr>
            <w:r>
              <w:rPr>
                <w:rFonts w:hint="eastAsia" w:hAnsi="宋体"/>
                <w:b/>
                <w:color w:val="auto"/>
                <w:highlight w:val="none"/>
              </w:rPr>
              <w:t>☑</w:t>
            </w:r>
            <w:r>
              <w:rPr>
                <w:rFonts w:hint="eastAsia" w:ascii="宋体" w:hAnsi="宋体"/>
                <w:color w:val="auto"/>
                <w:szCs w:val="21"/>
                <w:highlight w:val="none"/>
              </w:rPr>
              <w:t>经济：</w:t>
            </w:r>
            <w:r>
              <w:rPr>
                <w:rFonts w:hint="eastAsia" w:ascii="宋体" w:hAnsi="宋体"/>
                <w:color w:val="auto"/>
                <w:szCs w:val="21"/>
                <w:highlight w:val="none"/>
                <w:u w:val="single"/>
              </w:rPr>
              <w:t xml:space="preserve">  1   </w:t>
            </w:r>
            <w:r>
              <w:rPr>
                <w:rFonts w:hint="eastAsia" w:ascii="宋体" w:hAnsi="宋体"/>
                <w:color w:val="auto"/>
                <w:szCs w:val="21"/>
                <w:highlight w:val="none"/>
              </w:rPr>
              <w:t xml:space="preserve">人；   </w:t>
            </w:r>
            <w:r>
              <w:rPr>
                <w:rFonts w:hint="eastAsia" w:hAnsi="宋体"/>
                <w:b/>
                <w:color w:val="auto"/>
                <w:highlight w:val="none"/>
                <w:lang w:eastAsia="zh-CN"/>
              </w:rPr>
              <w:t>☑</w:t>
            </w:r>
            <w:r>
              <w:rPr>
                <w:rFonts w:hint="eastAsia" w:ascii="宋体" w:hAnsi="宋体"/>
                <w:color w:val="auto"/>
                <w:szCs w:val="21"/>
                <w:highlight w:val="none"/>
              </w:rPr>
              <w:t>建筑：</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2</w:t>
            </w:r>
            <w:r>
              <w:rPr>
                <w:rFonts w:hint="eastAsia" w:ascii="宋体" w:hAnsi="宋体"/>
                <w:color w:val="auto"/>
                <w:szCs w:val="21"/>
                <w:highlight w:val="none"/>
                <w:u w:val="single"/>
              </w:rPr>
              <w:t xml:space="preserve">   </w:t>
            </w:r>
            <w:r>
              <w:rPr>
                <w:rFonts w:hint="eastAsia" w:ascii="宋体" w:hAnsi="宋体"/>
                <w:color w:val="auto"/>
                <w:szCs w:val="21"/>
                <w:highlight w:val="none"/>
              </w:rPr>
              <w:t>人；</w:t>
            </w:r>
          </w:p>
          <w:p w14:paraId="3ED18D51">
            <w:pPr>
              <w:spacing w:line="360" w:lineRule="auto"/>
              <w:ind w:firstLine="211" w:firstLineChars="100"/>
              <w:rPr>
                <w:rFonts w:ascii="宋体" w:hAnsi="宋体"/>
                <w:color w:val="auto"/>
                <w:szCs w:val="21"/>
                <w:highlight w:val="none"/>
              </w:rPr>
            </w:pPr>
            <w:r>
              <w:rPr>
                <w:rFonts w:hint="eastAsia" w:hAnsi="宋体"/>
                <w:b/>
                <w:color w:val="auto"/>
                <w:highlight w:val="none"/>
              </w:rPr>
              <w:t>□</w:t>
            </w:r>
            <w:r>
              <w:rPr>
                <w:rFonts w:hint="eastAsia" w:ascii="宋体" w:hAnsi="宋体"/>
                <w:color w:val="auto"/>
                <w:szCs w:val="21"/>
                <w:highlight w:val="none"/>
              </w:rPr>
              <w:t>规划：</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人；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w:t>
            </w:r>
            <w:r>
              <w:rPr>
                <w:rFonts w:hint="eastAsia" w:hAnsi="宋体"/>
                <w:b/>
                <w:color w:val="auto"/>
                <w:highlight w:val="none"/>
                <w:lang w:eastAsia="zh-CN"/>
              </w:rPr>
              <w:t>☑</w:t>
            </w:r>
            <w:r>
              <w:rPr>
                <w:rFonts w:hint="eastAsia" w:ascii="宋体" w:hAnsi="宋体"/>
                <w:color w:val="auto"/>
                <w:szCs w:val="21"/>
                <w:highlight w:val="none"/>
              </w:rPr>
              <w:t>结构：</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w:t>
            </w:r>
            <w:r>
              <w:rPr>
                <w:rFonts w:hint="eastAsia" w:ascii="宋体" w:hAnsi="宋体"/>
                <w:color w:val="auto"/>
                <w:szCs w:val="21"/>
                <w:highlight w:val="none"/>
                <w:u w:val="single"/>
              </w:rPr>
              <w:t xml:space="preserve">   </w:t>
            </w:r>
            <w:r>
              <w:rPr>
                <w:rFonts w:hint="eastAsia" w:ascii="宋体" w:hAnsi="宋体"/>
                <w:color w:val="auto"/>
                <w:szCs w:val="21"/>
                <w:highlight w:val="none"/>
              </w:rPr>
              <w:t>人；</w:t>
            </w:r>
          </w:p>
          <w:p w14:paraId="7F97A8DE">
            <w:pPr>
              <w:spacing w:line="360" w:lineRule="auto"/>
              <w:ind w:firstLine="211" w:firstLineChars="100"/>
              <w:rPr>
                <w:rFonts w:ascii="宋体" w:hAnsi="宋体"/>
                <w:color w:val="auto"/>
                <w:szCs w:val="21"/>
                <w:highlight w:val="none"/>
              </w:rPr>
            </w:pPr>
            <w:r>
              <w:rPr>
                <w:rFonts w:hint="eastAsia" w:hAnsi="宋体"/>
                <w:b/>
                <w:color w:val="auto"/>
                <w:highlight w:val="none"/>
              </w:rPr>
              <w:t>□</w:t>
            </w:r>
            <w:r>
              <w:rPr>
                <w:rFonts w:hint="eastAsia" w:ascii="宋体" w:hAnsi="宋体"/>
                <w:color w:val="auto"/>
                <w:szCs w:val="21"/>
                <w:highlight w:val="none"/>
              </w:rPr>
              <w:t>设备：</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人；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w:t>
            </w:r>
            <w:r>
              <w:rPr>
                <w:rFonts w:hint="eastAsia" w:hAnsi="宋体"/>
                <w:b/>
                <w:color w:val="auto"/>
                <w:highlight w:val="none"/>
              </w:rPr>
              <w:t>□</w:t>
            </w:r>
            <w:r>
              <w:rPr>
                <w:rFonts w:hint="eastAsia" w:ascii="宋体" w:hAnsi="宋体"/>
                <w:color w:val="auto"/>
                <w:szCs w:val="21"/>
                <w:highlight w:val="none"/>
              </w:rPr>
              <w:t>道路：</w:t>
            </w:r>
            <w:r>
              <w:rPr>
                <w:rFonts w:hint="eastAsia" w:ascii="宋体" w:hAnsi="宋体"/>
                <w:color w:val="auto"/>
                <w:szCs w:val="21"/>
                <w:highlight w:val="none"/>
                <w:u w:val="single"/>
              </w:rPr>
              <w:t xml:space="preserve">     </w:t>
            </w:r>
            <w:r>
              <w:rPr>
                <w:rFonts w:hint="eastAsia" w:ascii="宋体" w:hAnsi="宋体"/>
                <w:color w:val="auto"/>
                <w:szCs w:val="21"/>
                <w:highlight w:val="none"/>
              </w:rPr>
              <w:t>人；</w:t>
            </w:r>
          </w:p>
          <w:p w14:paraId="7970CBF1">
            <w:pPr>
              <w:spacing w:line="360" w:lineRule="auto"/>
              <w:ind w:firstLine="211" w:firstLineChars="100"/>
              <w:rPr>
                <w:rFonts w:ascii="宋体" w:hAnsi="宋体"/>
                <w:color w:val="auto"/>
                <w:szCs w:val="21"/>
                <w:highlight w:val="none"/>
              </w:rPr>
            </w:pPr>
            <w:r>
              <w:rPr>
                <w:rFonts w:hint="eastAsia" w:hAnsi="宋体"/>
                <w:b/>
                <w:color w:val="auto"/>
                <w:highlight w:val="none"/>
              </w:rPr>
              <w:t>□</w:t>
            </w:r>
            <w:r>
              <w:rPr>
                <w:rFonts w:hint="eastAsia" w:ascii="宋体" w:hAnsi="宋体"/>
                <w:color w:val="auto"/>
                <w:szCs w:val="21"/>
                <w:highlight w:val="none"/>
              </w:rPr>
              <w:t>桥梁：</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人；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w:t>
            </w:r>
            <w:r>
              <w:rPr>
                <w:rFonts w:hint="eastAsia" w:hAnsi="宋体"/>
                <w:b/>
                <w:color w:val="auto"/>
                <w:highlight w:val="none"/>
              </w:rPr>
              <w:t>□</w:t>
            </w:r>
            <w:r>
              <w:rPr>
                <w:rFonts w:hint="eastAsia" w:ascii="宋体" w:hAnsi="宋体"/>
                <w:color w:val="auto"/>
                <w:szCs w:val="21"/>
                <w:highlight w:val="none"/>
              </w:rPr>
              <w:t>给排水：</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人； </w:t>
            </w:r>
          </w:p>
          <w:p w14:paraId="3676D320">
            <w:pPr>
              <w:spacing w:line="360" w:lineRule="auto"/>
              <w:ind w:firstLine="211" w:firstLineChars="100"/>
              <w:rPr>
                <w:color w:val="auto"/>
                <w:highlight w:val="none"/>
              </w:rPr>
            </w:pPr>
            <w:r>
              <w:rPr>
                <w:rFonts w:hint="eastAsia" w:hAnsi="宋体"/>
                <w:b/>
                <w:color w:val="auto"/>
                <w:highlight w:val="none"/>
                <w:lang w:eastAsia="zh-CN"/>
              </w:rPr>
              <w:t>□</w:t>
            </w:r>
            <w:r>
              <w:rPr>
                <w:rFonts w:hint="eastAsia" w:hAnsi="宋体"/>
                <w:color w:val="auto"/>
                <w:highlight w:val="none"/>
              </w:rPr>
              <w:t>其他专业</w:t>
            </w:r>
            <w:r>
              <w:rPr>
                <w:rFonts w:hint="eastAsia" w:hAnsi="宋体"/>
                <w:color w:val="auto"/>
                <w:highlight w:val="none"/>
                <w:u w:val="single"/>
                <w:lang w:val="en-US" w:eastAsia="zh-CN"/>
              </w:rPr>
              <w:t xml:space="preserve">  </w:t>
            </w:r>
            <w:r>
              <w:rPr>
                <w:rFonts w:hint="eastAsia" w:hAnsi="宋体"/>
                <w:color w:val="auto"/>
                <w:highlight w:val="none"/>
                <w:u w:val="single"/>
              </w:rPr>
              <w:t xml:space="preserve"> </w:t>
            </w:r>
            <w:r>
              <w:rPr>
                <w:rFonts w:hint="eastAsia" w:hAnsi="宋体"/>
                <w:color w:val="auto"/>
                <w:highlight w:val="none"/>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人。</w:t>
            </w:r>
          </w:p>
          <w:p w14:paraId="5F9ECD0D">
            <w:pPr>
              <w:spacing w:line="360" w:lineRule="auto"/>
              <w:rPr>
                <w:color w:val="auto"/>
                <w:szCs w:val="21"/>
                <w:highlight w:val="none"/>
              </w:rPr>
            </w:pPr>
            <w:r>
              <w:rPr>
                <w:color w:val="auto"/>
                <w:szCs w:val="21"/>
                <w:highlight w:val="none"/>
              </w:rPr>
              <w:t>评标专家确定方式：</w:t>
            </w:r>
            <w:r>
              <w:rPr>
                <w:rFonts w:hint="eastAsia"/>
                <w:color w:val="auto"/>
                <w:highlight w:val="none"/>
              </w:rPr>
              <w:t>☑</w:t>
            </w:r>
            <w:r>
              <w:rPr>
                <w:color w:val="auto"/>
                <w:szCs w:val="21"/>
                <w:highlight w:val="none"/>
              </w:rPr>
              <w:t xml:space="preserve"> 随机抽取 </w:t>
            </w:r>
            <w:r>
              <w:rPr>
                <w:rFonts w:hint="eastAsia"/>
                <w:color w:val="auto"/>
                <w:highlight w:val="none"/>
              </w:rPr>
              <w:t>□特邀</w:t>
            </w:r>
            <w:r>
              <w:rPr>
                <w:color w:val="auto"/>
                <w:szCs w:val="21"/>
                <w:highlight w:val="none"/>
              </w:rPr>
              <w:t xml:space="preserve"> 。</w:t>
            </w:r>
          </w:p>
          <w:p w14:paraId="2B882537">
            <w:pPr>
              <w:spacing w:line="360" w:lineRule="auto"/>
              <w:rPr>
                <w:color w:val="auto"/>
                <w:szCs w:val="21"/>
                <w:highlight w:val="none"/>
              </w:rPr>
            </w:pPr>
            <w:r>
              <w:rPr>
                <w:rFonts w:hint="eastAsia"/>
                <w:color w:val="auto"/>
                <w:szCs w:val="21"/>
                <w:highlight w:val="none"/>
              </w:rPr>
              <w:t>是</w:t>
            </w:r>
            <w:r>
              <w:rPr>
                <w:color w:val="auto"/>
                <w:szCs w:val="21"/>
                <w:highlight w:val="none"/>
              </w:rPr>
              <w:t>否远程抽取：</w:t>
            </w:r>
            <w:r>
              <w:rPr>
                <w:rFonts w:hint="eastAsia"/>
                <w:color w:val="auto"/>
                <w:szCs w:val="21"/>
                <w:highlight w:val="none"/>
              </w:rPr>
              <w:t>□是   ☑否</w:t>
            </w:r>
          </w:p>
        </w:tc>
      </w:tr>
      <w:tr w14:paraId="669D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242" w:type="dxa"/>
            <w:vAlign w:val="center"/>
          </w:tcPr>
          <w:p w14:paraId="15B29278">
            <w:pPr>
              <w:spacing w:line="360" w:lineRule="auto"/>
              <w:jc w:val="center"/>
              <w:rPr>
                <w:color w:val="auto"/>
                <w:highlight w:val="none"/>
              </w:rPr>
            </w:pPr>
            <w:r>
              <w:rPr>
                <w:color w:val="auto"/>
                <w:highlight w:val="none"/>
              </w:rPr>
              <w:t>6.</w:t>
            </w:r>
            <w:r>
              <w:rPr>
                <w:rFonts w:hint="eastAsia"/>
                <w:color w:val="auto"/>
                <w:highlight w:val="none"/>
              </w:rPr>
              <w:t>3</w:t>
            </w:r>
          </w:p>
        </w:tc>
        <w:tc>
          <w:tcPr>
            <w:tcW w:w="1843" w:type="dxa"/>
            <w:vAlign w:val="center"/>
          </w:tcPr>
          <w:p w14:paraId="6EF5DF96">
            <w:pPr>
              <w:spacing w:line="360" w:lineRule="auto"/>
              <w:rPr>
                <w:color w:val="auto"/>
                <w:highlight w:val="none"/>
              </w:rPr>
            </w:pPr>
            <w:r>
              <w:rPr>
                <w:color w:val="auto"/>
                <w:highlight w:val="none"/>
              </w:rPr>
              <w:t>评标方式</w:t>
            </w:r>
          </w:p>
        </w:tc>
        <w:tc>
          <w:tcPr>
            <w:tcW w:w="5800" w:type="dxa"/>
            <w:vAlign w:val="center"/>
          </w:tcPr>
          <w:p w14:paraId="0D89B3D9">
            <w:pPr>
              <w:spacing w:line="360" w:lineRule="auto"/>
              <w:rPr>
                <w:color w:val="auto"/>
                <w:highlight w:val="none"/>
              </w:rPr>
            </w:pPr>
            <w:r>
              <w:rPr>
                <w:rFonts w:hint="eastAsia" w:cs="宋体"/>
                <w:color w:val="auto"/>
                <w:highlight w:val="none"/>
                <w:lang w:eastAsia="zh-CN"/>
              </w:rPr>
              <w:t>□</w:t>
            </w:r>
            <w:r>
              <w:rPr>
                <w:rFonts w:hint="eastAsia"/>
                <w:color w:val="auto"/>
                <w:highlight w:val="none"/>
              </w:rPr>
              <w:t>综合评估</w:t>
            </w:r>
            <w:r>
              <w:rPr>
                <w:color w:val="auto"/>
                <w:highlight w:val="none"/>
              </w:rPr>
              <w:t>法</w:t>
            </w:r>
            <w:r>
              <w:rPr>
                <w:rFonts w:hint="eastAsia"/>
                <w:color w:val="auto"/>
                <w:highlight w:val="none"/>
              </w:rPr>
              <w:t>（设计方案招标）</w:t>
            </w:r>
          </w:p>
          <w:p w14:paraId="23207328">
            <w:pPr>
              <w:spacing w:line="360" w:lineRule="auto"/>
              <w:rPr>
                <w:color w:val="auto"/>
                <w:highlight w:val="none"/>
              </w:rPr>
            </w:pPr>
            <w:r>
              <w:rPr>
                <w:rFonts w:hint="eastAsia" w:cs="宋体"/>
                <w:color w:val="auto"/>
                <w:highlight w:val="none"/>
                <w:lang w:eastAsia="zh-CN"/>
              </w:rPr>
              <w:t>☑</w:t>
            </w:r>
            <w:r>
              <w:rPr>
                <w:color w:val="auto"/>
                <w:highlight w:val="none"/>
              </w:rPr>
              <w:t>综合评估法</w:t>
            </w:r>
            <w:r>
              <w:rPr>
                <w:rFonts w:hint="eastAsia"/>
                <w:color w:val="auto"/>
                <w:highlight w:val="none"/>
              </w:rPr>
              <w:t>（设计团队招标）</w:t>
            </w:r>
          </w:p>
        </w:tc>
      </w:tr>
      <w:tr w14:paraId="52C8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242" w:type="dxa"/>
            <w:vAlign w:val="center"/>
          </w:tcPr>
          <w:p w14:paraId="34C9E786">
            <w:pPr>
              <w:spacing w:line="360" w:lineRule="auto"/>
              <w:jc w:val="center"/>
              <w:rPr>
                <w:color w:val="auto"/>
                <w:highlight w:val="none"/>
              </w:rPr>
            </w:pPr>
            <w:r>
              <w:rPr>
                <w:rFonts w:hint="eastAsia"/>
                <w:color w:val="auto"/>
                <w:highlight w:val="none"/>
              </w:rPr>
              <w:t>6.4</w:t>
            </w:r>
          </w:p>
        </w:tc>
        <w:tc>
          <w:tcPr>
            <w:tcW w:w="1843" w:type="dxa"/>
            <w:vAlign w:val="center"/>
          </w:tcPr>
          <w:p w14:paraId="0EC9190F">
            <w:pPr>
              <w:spacing w:line="360" w:lineRule="auto"/>
              <w:rPr>
                <w:color w:val="auto"/>
                <w:highlight w:val="none"/>
              </w:rPr>
            </w:pPr>
            <w:r>
              <w:rPr>
                <w:rFonts w:hint="eastAsia"/>
                <w:color w:val="auto"/>
                <w:highlight w:val="none"/>
              </w:rPr>
              <w:t>评标委员会推荐中标候选人的数量</w:t>
            </w:r>
          </w:p>
        </w:tc>
        <w:tc>
          <w:tcPr>
            <w:tcW w:w="5800" w:type="dxa"/>
            <w:vAlign w:val="center"/>
          </w:tcPr>
          <w:p w14:paraId="76694666">
            <w:pPr>
              <w:spacing w:line="360" w:lineRule="auto"/>
              <w:rPr>
                <w:color w:val="auto"/>
                <w:highlight w:val="none"/>
              </w:rPr>
            </w:pPr>
            <w:r>
              <w:rPr>
                <w:rFonts w:hint="eastAsia"/>
                <w:color w:val="auto"/>
                <w:highlight w:val="none"/>
              </w:rPr>
              <w:t>3人</w:t>
            </w:r>
            <w:r>
              <w:rPr>
                <w:rFonts w:hint="eastAsia" w:eastAsia="楷体_GB2312"/>
                <w:b/>
                <w:bCs/>
                <w:color w:val="auto"/>
                <w:highlight w:val="none"/>
              </w:rPr>
              <w:t>【备注：推荐不超过3个中标候选人。】</w:t>
            </w:r>
          </w:p>
        </w:tc>
      </w:tr>
      <w:tr w14:paraId="6956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242" w:type="dxa"/>
            <w:vAlign w:val="center"/>
          </w:tcPr>
          <w:p w14:paraId="7447181B">
            <w:pPr>
              <w:spacing w:line="360" w:lineRule="auto"/>
              <w:jc w:val="center"/>
              <w:rPr>
                <w:color w:val="auto"/>
                <w:highlight w:val="none"/>
              </w:rPr>
            </w:pPr>
            <w:r>
              <w:rPr>
                <w:color w:val="auto"/>
                <w:highlight w:val="none"/>
              </w:rPr>
              <w:t>6.5</w:t>
            </w:r>
          </w:p>
        </w:tc>
        <w:tc>
          <w:tcPr>
            <w:tcW w:w="1843" w:type="dxa"/>
            <w:vAlign w:val="center"/>
          </w:tcPr>
          <w:p w14:paraId="309C36DA">
            <w:pPr>
              <w:spacing w:line="360" w:lineRule="auto"/>
              <w:rPr>
                <w:color w:val="auto"/>
                <w:highlight w:val="none"/>
              </w:rPr>
            </w:pPr>
            <w:r>
              <w:rPr>
                <w:color w:val="auto"/>
                <w:highlight w:val="none"/>
              </w:rPr>
              <w:t>评标资料封存方式</w:t>
            </w:r>
            <w:r>
              <w:rPr>
                <w:rFonts w:eastAsia="楷体_GB2312"/>
                <w:b/>
                <w:bCs/>
                <w:color w:val="auto"/>
                <w:szCs w:val="21"/>
                <w:highlight w:val="none"/>
              </w:rPr>
              <w:t>【</w:t>
            </w:r>
            <w:r>
              <w:rPr>
                <w:rFonts w:eastAsia="楷体_GB2312"/>
                <w:b/>
                <w:bCs/>
                <w:color w:val="auto"/>
                <w:highlight w:val="none"/>
              </w:rPr>
              <w:t>备注：由当地招投标监督管理部门确定</w:t>
            </w:r>
            <w:r>
              <w:rPr>
                <w:rFonts w:eastAsia="楷体_GB2312"/>
                <w:b/>
                <w:bCs/>
                <w:color w:val="auto"/>
                <w:szCs w:val="21"/>
                <w:highlight w:val="none"/>
              </w:rPr>
              <w:t>】</w:t>
            </w:r>
          </w:p>
        </w:tc>
        <w:tc>
          <w:tcPr>
            <w:tcW w:w="5800" w:type="dxa"/>
            <w:vAlign w:val="center"/>
          </w:tcPr>
          <w:p w14:paraId="35A97CDA">
            <w:pPr>
              <w:spacing w:line="360" w:lineRule="auto"/>
              <w:rPr>
                <w:color w:val="auto"/>
                <w:highlight w:val="none"/>
              </w:rPr>
            </w:pPr>
            <w:r>
              <w:rPr>
                <w:rFonts w:hint="eastAsia"/>
                <w:color w:val="auto"/>
                <w:highlight w:val="none"/>
              </w:rPr>
              <w:t>☑</w:t>
            </w:r>
            <w:r>
              <w:rPr>
                <w:color w:val="auto"/>
                <w:highlight w:val="none"/>
              </w:rPr>
              <w:t>在</w:t>
            </w:r>
            <w:r>
              <w:rPr>
                <w:rFonts w:hint="eastAsia"/>
                <w:color w:val="auto"/>
                <w:highlight w:val="none"/>
              </w:rPr>
              <w:t>交易中心</w:t>
            </w:r>
            <w:r>
              <w:rPr>
                <w:color w:val="auto"/>
                <w:highlight w:val="none"/>
              </w:rPr>
              <w:t>封存</w:t>
            </w:r>
          </w:p>
          <w:p w14:paraId="0C9C7A17">
            <w:pPr>
              <w:spacing w:line="360" w:lineRule="auto"/>
              <w:rPr>
                <w:color w:val="auto"/>
                <w:highlight w:val="none"/>
              </w:rPr>
            </w:pPr>
            <w:r>
              <w:rPr>
                <w:rFonts w:hint="eastAsia"/>
                <w:color w:val="auto"/>
                <w:highlight w:val="none"/>
              </w:rPr>
              <w:t>□当地招投标监督管理部门封存</w:t>
            </w:r>
          </w:p>
        </w:tc>
      </w:tr>
      <w:tr w14:paraId="44990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242" w:type="dxa"/>
            <w:vAlign w:val="center"/>
          </w:tcPr>
          <w:p w14:paraId="7AB0E7D0">
            <w:pPr>
              <w:spacing w:line="360" w:lineRule="auto"/>
              <w:jc w:val="center"/>
              <w:rPr>
                <w:color w:val="auto"/>
                <w:highlight w:val="none"/>
              </w:rPr>
            </w:pPr>
            <w:r>
              <w:rPr>
                <w:color w:val="auto"/>
                <w:highlight w:val="none"/>
              </w:rPr>
              <w:t>6.5</w:t>
            </w:r>
            <w:r>
              <w:rPr>
                <w:rFonts w:hint="eastAsia"/>
                <w:color w:val="auto"/>
                <w:highlight w:val="none"/>
              </w:rPr>
              <w:t>.1</w:t>
            </w:r>
          </w:p>
        </w:tc>
        <w:tc>
          <w:tcPr>
            <w:tcW w:w="1843" w:type="dxa"/>
            <w:vAlign w:val="center"/>
          </w:tcPr>
          <w:p w14:paraId="2B153345">
            <w:pPr>
              <w:spacing w:line="360" w:lineRule="auto"/>
              <w:rPr>
                <w:color w:val="auto"/>
                <w:highlight w:val="none"/>
              </w:rPr>
            </w:pPr>
            <w:r>
              <w:rPr>
                <w:color w:val="auto"/>
                <w:highlight w:val="none"/>
              </w:rPr>
              <w:t>封存的其它材料</w:t>
            </w:r>
          </w:p>
        </w:tc>
        <w:tc>
          <w:tcPr>
            <w:tcW w:w="5800" w:type="dxa"/>
            <w:vAlign w:val="center"/>
          </w:tcPr>
          <w:p w14:paraId="157C4E97">
            <w:pPr>
              <w:spacing w:line="360" w:lineRule="auto"/>
              <w:jc w:val="left"/>
              <w:rPr>
                <w:color w:val="auto"/>
                <w:highlight w:val="none"/>
              </w:rPr>
            </w:pPr>
            <w:r>
              <w:rPr>
                <w:rFonts w:hint="eastAsia"/>
                <w:color w:val="auto"/>
                <w:highlight w:val="none"/>
              </w:rPr>
              <w:t>/</w:t>
            </w:r>
          </w:p>
        </w:tc>
      </w:tr>
      <w:tr w14:paraId="2BB7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242" w:type="dxa"/>
            <w:vAlign w:val="center"/>
          </w:tcPr>
          <w:p w14:paraId="6DFCD342">
            <w:pPr>
              <w:spacing w:line="360" w:lineRule="auto"/>
              <w:jc w:val="center"/>
              <w:rPr>
                <w:color w:val="auto"/>
                <w:highlight w:val="none"/>
              </w:rPr>
            </w:pPr>
            <w:r>
              <w:rPr>
                <w:color w:val="auto"/>
                <w:highlight w:val="none"/>
              </w:rPr>
              <w:t>6.6.1</w:t>
            </w:r>
          </w:p>
        </w:tc>
        <w:tc>
          <w:tcPr>
            <w:tcW w:w="1843" w:type="dxa"/>
            <w:vAlign w:val="center"/>
          </w:tcPr>
          <w:p w14:paraId="327F844D">
            <w:pPr>
              <w:spacing w:line="360" w:lineRule="auto"/>
              <w:rPr>
                <w:color w:val="auto"/>
                <w:highlight w:val="none"/>
              </w:rPr>
            </w:pPr>
            <w:r>
              <w:rPr>
                <w:color w:val="auto"/>
                <w:szCs w:val="21"/>
                <w:highlight w:val="none"/>
              </w:rPr>
              <w:t>中标候选人公示媒介</w:t>
            </w:r>
          </w:p>
        </w:tc>
        <w:tc>
          <w:tcPr>
            <w:tcW w:w="5800" w:type="dxa"/>
            <w:vAlign w:val="center"/>
          </w:tcPr>
          <w:p w14:paraId="1F126F07">
            <w:pPr>
              <w:spacing w:line="360" w:lineRule="auto"/>
              <w:rPr>
                <w:color w:val="auto"/>
                <w:highlight w:val="none"/>
              </w:rPr>
            </w:pPr>
            <w:r>
              <w:rPr>
                <w:color w:val="auto"/>
                <w:highlight w:val="none"/>
              </w:rPr>
              <w:t>在招标公告发布的同一媒介上公示</w:t>
            </w:r>
          </w:p>
        </w:tc>
      </w:tr>
      <w:tr w14:paraId="6590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242" w:type="dxa"/>
            <w:vAlign w:val="center"/>
          </w:tcPr>
          <w:p w14:paraId="04014FBC">
            <w:pPr>
              <w:spacing w:line="360" w:lineRule="auto"/>
              <w:jc w:val="center"/>
              <w:rPr>
                <w:color w:val="auto"/>
                <w:highlight w:val="none"/>
              </w:rPr>
            </w:pPr>
            <w:r>
              <w:rPr>
                <w:rFonts w:hint="eastAsia"/>
                <w:color w:val="auto"/>
                <w:highlight w:val="none"/>
              </w:rPr>
              <w:t>7.3</w:t>
            </w:r>
          </w:p>
        </w:tc>
        <w:tc>
          <w:tcPr>
            <w:tcW w:w="1843" w:type="dxa"/>
            <w:vAlign w:val="center"/>
          </w:tcPr>
          <w:p w14:paraId="11F098B1">
            <w:pPr>
              <w:spacing w:line="360" w:lineRule="auto"/>
              <w:rPr>
                <w:color w:val="auto"/>
                <w:szCs w:val="21"/>
                <w:highlight w:val="none"/>
              </w:rPr>
            </w:pPr>
            <w:r>
              <w:rPr>
                <w:rFonts w:hint="eastAsia" w:cs="宋体"/>
                <w:color w:val="auto"/>
                <w:highlight w:val="none"/>
              </w:rPr>
              <w:t>履约能力审查的标准和方法</w:t>
            </w:r>
          </w:p>
        </w:tc>
        <w:tc>
          <w:tcPr>
            <w:tcW w:w="5800" w:type="dxa"/>
            <w:vAlign w:val="center"/>
          </w:tcPr>
          <w:p w14:paraId="087B4664">
            <w:pPr>
              <w:spacing w:line="360" w:lineRule="auto"/>
              <w:rPr>
                <w:color w:val="auto"/>
                <w:highlight w:val="none"/>
              </w:rPr>
            </w:pPr>
            <w:r>
              <w:rPr>
                <w:rFonts w:hint="eastAsia"/>
                <w:color w:val="auto"/>
                <w:highlight w:val="none"/>
              </w:rPr>
              <w:t>在中标通知书发出前，中标候选人不得有以下情形：</w:t>
            </w:r>
          </w:p>
          <w:p w14:paraId="616B77F1">
            <w:pPr>
              <w:spacing w:line="360" w:lineRule="auto"/>
              <w:rPr>
                <w:color w:val="auto"/>
                <w:highlight w:val="none"/>
              </w:rPr>
            </w:pPr>
            <w:r>
              <w:rPr>
                <w:rFonts w:hint="eastAsia"/>
                <w:color w:val="auto"/>
                <w:highlight w:val="none"/>
              </w:rPr>
              <w:t>1、</w:t>
            </w:r>
            <w:r>
              <w:rPr>
                <w:color w:val="auto"/>
                <w:highlight w:val="none"/>
              </w:rPr>
              <w:t>被</w:t>
            </w:r>
            <w:r>
              <w:rPr>
                <w:rFonts w:hint="eastAsia"/>
                <w:color w:val="auto"/>
                <w:highlight w:val="none"/>
              </w:rPr>
              <w:t>吊销</w:t>
            </w:r>
            <w:r>
              <w:rPr>
                <w:color w:val="auto"/>
                <w:highlight w:val="none"/>
              </w:rPr>
              <w:t>营业执照</w:t>
            </w:r>
          </w:p>
          <w:p w14:paraId="4BD90279">
            <w:pPr>
              <w:spacing w:line="360" w:lineRule="auto"/>
              <w:rPr>
                <w:color w:val="auto"/>
                <w:highlight w:val="none"/>
              </w:rPr>
            </w:pPr>
            <w:r>
              <w:rPr>
                <w:rFonts w:hint="eastAsia"/>
                <w:color w:val="auto"/>
                <w:highlight w:val="none"/>
              </w:rPr>
              <w:t>2、</w:t>
            </w:r>
            <w:r>
              <w:rPr>
                <w:color w:val="auto"/>
                <w:highlight w:val="none"/>
              </w:rPr>
              <w:t>进入破产程序</w:t>
            </w:r>
          </w:p>
          <w:p w14:paraId="6B0F231E">
            <w:pPr>
              <w:spacing w:line="360" w:lineRule="auto"/>
              <w:rPr>
                <w:color w:val="auto"/>
                <w:highlight w:val="none"/>
              </w:rPr>
            </w:pPr>
            <w:r>
              <w:rPr>
                <w:rFonts w:hint="eastAsia"/>
                <w:color w:val="auto"/>
                <w:highlight w:val="none"/>
              </w:rPr>
              <w:t xml:space="preserve">3、其他: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w:t>
            </w:r>
            <w:r>
              <w:rPr>
                <w:color w:val="auto"/>
                <w:highlight w:val="none"/>
                <w:u w:val="single"/>
              </w:rPr>
              <w:t xml:space="preserve">     </w:t>
            </w:r>
          </w:p>
        </w:tc>
      </w:tr>
      <w:tr w14:paraId="7421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242" w:type="dxa"/>
            <w:vAlign w:val="center"/>
          </w:tcPr>
          <w:p w14:paraId="7113FED6">
            <w:pPr>
              <w:spacing w:line="360" w:lineRule="auto"/>
              <w:jc w:val="center"/>
              <w:rPr>
                <w:color w:val="auto"/>
                <w:highlight w:val="none"/>
              </w:rPr>
            </w:pPr>
            <w:r>
              <w:rPr>
                <w:color w:val="auto"/>
                <w:highlight w:val="none"/>
              </w:rPr>
              <w:t>7.</w:t>
            </w:r>
            <w:r>
              <w:rPr>
                <w:rFonts w:hint="eastAsia"/>
                <w:color w:val="auto"/>
                <w:highlight w:val="none"/>
              </w:rPr>
              <w:t>4</w:t>
            </w:r>
          </w:p>
        </w:tc>
        <w:tc>
          <w:tcPr>
            <w:tcW w:w="1843" w:type="dxa"/>
            <w:vAlign w:val="center"/>
          </w:tcPr>
          <w:p w14:paraId="0DBBA29F">
            <w:pPr>
              <w:spacing w:line="360" w:lineRule="auto"/>
              <w:rPr>
                <w:color w:val="auto"/>
                <w:highlight w:val="none"/>
              </w:rPr>
            </w:pPr>
            <w:r>
              <w:rPr>
                <w:color w:val="auto"/>
                <w:highlight w:val="none"/>
              </w:rPr>
              <w:t>是否授权评标委员会确定中标人</w:t>
            </w:r>
          </w:p>
        </w:tc>
        <w:tc>
          <w:tcPr>
            <w:tcW w:w="5800" w:type="dxa"/>
            <w:vAlign w:val="center"/>
          </w:tcPr>
          <w:p w14:paraId="5C15DFF7">
            <w:pPr>
              <w:spacing w:line="360" w:lineRule="auto"/>
              <w:rPr>
                <w:color w:val="auto"/>
                <w:highlight w:val="none"/>
              </w:rPr>
            </w:pPr>
            <w:r>
              <w:rPr>
                <w:rFonts w:hint="eastAsia"/>
                <w:color w:val="auto"/>
                <w:highlight w:val="none"/>
              </w:rPr>
              <w:t>□</w:t>
            </w:r>
            <w:r>
              <w:rPr>
                <w:color w:val="auto"/>
                <w:highlight w:val="none"/>
              </w:rPr>
              <w:t>是</w:t>
            </w:r>
          </w:p>
          <w:p w14:paraId="5FABAE47">
            <w:pPr>
              <w:spacing w:line="360" w:lineRule="auto"/>
              <w:rPr>
                <w:rFonts w:eastAsia="楷体_GB2312"/>
                <w:color w:val="auto"/>
                <w:highlight w:val="none"/>
              </w:rPr>
            </w:pPr>
            <w:r>
              <w:rPr>
                <w:rFonts w:hint="eastAsia"/>
                <w:color w:val="auto"/>
                <w:highlight w:val="none"/>
              </w:rPr>
              <w:t>☑</w:t>
            </w:r>
            <w:r>
              <w:rPr>
                <w:color w:val="auto"/>
                <w:highlight w:val="none"/>
              </w:rPr>
              <w:t>否，推荐的中标候选人数：</w:t>
            </w:r>
            <w:r>
              <w:rPr>
                <w:color w:val="auto"/>
                <w:highlight w:val="none"/>
                <w:u w:val="single"/>
              </w:rPr>
              <w:t xml:space="preserve">   </w:t>
            </w:r>
            <w:r>
              <w:rPr>
                <w:rFonts w:hint="eastAsia"/>
                <w:color w:val="auto"/>
                <w:highlight w:val="none"/>
                <w:u w:val="single"/>
              </w:rPr>
              <w:t>3</w:t>
            </w:r>
            <w:r>
              <w:rPr>
                <w:color w:val="auto"/>
                <w:highlight w:val="none"/>
                <w:u w:val="single"/>
              </w:rPr>
              <w:t xml:space="preserve">    </w:t>
            </w:r>
            <w:r>
              <w:rPr>
                <w:rFonts w:eastAsia="楷体_GB2312"/>
                <w:b/>
                <w:bCs/>
                <w:color w:val="auto"/>
                <w:highlight w:val="none"/>
              </w:rPr>
              <w:t>【备注：</w:t>
            </w:r>
            <w:r>
              <w:rPr>
                <w:rFonts w:hint="eastAsia" w:eastAsia="楷体_GB2312"/>
                <w:b/>
                <w:bCs/>
                <w:color w:val="auto"/>
                <w:highlight w:val="none"/>
              </w:rPr>
              <w:t>1~3名，如未出现投标人须知正文8.1（3）情况，招标人确定评标委员会推荐的排名第一的中标候选人为中标人。排名第一的中标候选人放弃中标、因不可抗力提出不能履行合同、招标文件规定应当提交履约保证金而在规定的期限内未提交的，或者存在违法行为被有关部门依法查处，且其违法行为影响中标结果的，招标人可以确定排名第二的中标候选人为中标人或重新招标。如排名第二的中标候选人也发生上述问题，依次可确定排名第三的中标候选人为中标人或重新招标。城市</w:t>
            </w:r>
            <w:r>
              <w:rPr>
                <w:rFonts w:eastAsia="楷体_GB2312"/>
                <w:b/>
                <w:color w:val="auto"/>
                <w:szCs w:val="21"/>
                <w:highlight w:val="none"/>
                <w:lang w:val="en"/>
              </w:rPr>
              <w:t>轨道</w:t>
            </w:r>
            <w:r>
              <w:rPr>
                <w:rFonts w:hint="eastAsia" w:eastAsia="楷体_GB2312"/>
                <w:b/>
                <w:color w:val="auto"/>
                <w:szCs w:val="21"/>
                <w:highlight w:val="none"/>
                <w:lang w:val="en"/>
              </w:rPr>
              <w:t>交通工程项目和铁路综合交通枢纽站城一体化项目</w:t>
            </w:r>
            <w:r>
              <w:rPr>
                <w:rFonts w:hint="eastAsia" w:eastAsia="楷体_GB2312"/>
                <w:b/>
                <w:bCs/>
                <w:color w:val="auto"/>
                <w:highlight w:val="none"/>
              </w:rPr>
              <w:t>可根据项目特点，确定中标候选人，但确定中标候选人的规则应在招标文件中规定。</w:t>
            </w:r>
            <w:r>
              <w:rPr>
                <w:rFonts w:eastAsia="楷体_GB2312"/>
                <w:b/>
                <w:bCs/>
                <w:color w:val="auto"/>
                <w:highlight w:val="none"/>
              </w:rPr>
              <w:t>】</w:t>
            </w:r>
          </w:p>
        </w:tc>
      </w:tr>
      <w:tr w14:paraId="29BD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242" w:type="dxa"/>
            <w:vAlign w:val="center"/>
          </w:tcPr>
          <w:p w14:paraId="0D6F83AF">
            <w:pPr>
              <w:spacing w:line="360" w:lineRule="auto"/>
              <w:jc w:val="center"/>
              <w:rPr>
                <w:color w:val="auto"/>
                <w:highlight w:val="none"/>
              </w:rPr>
            </w:pPr>
            <w:r>
              <w:rPr>
                <w:rFonts w:hint="eastAsia"/>
                <w:color w:val="auto"/>
                <w:highlight w:val="none"/>
              </w:rPr>
              <w:t>7.6</w:t>
            </w:r>
          </w:p>
        </w:tc>
        <w:tc>
          <w:tcPr>
            <w:tcW w:w="1843" w:type="dxa"/>
            <w:vAlign w:val="center"/>
          </w:tcPr>
          <w:p w14:paraId="19B8A424">
            <w:pPr>
              <w:spacing w:line="360" w:lineRule="auto"/>
              <w:rPr>
                <w:color w:val="auto"/>
                <w:highlight w:val="none"/>
              </w:rPr>
            </w:pPr>
            <w:r>
              <w:rPr>
                <w:rFonts w:hint="eastAsia"/>
                <w:color w:val="auto"/>
                <w:highlight w:val="none"/>
              </w:rPr>
              <w:t>技术成果经济补偿</w:t>
            </w:r>
          </w:p>
        </w:tc>
        <w:tc>
          <w:tcPr>
            <w:tcW w:w="5800" w:type="dxa"/>
            <w:vAlign w:val="center"/>
          </w:tcPr>
          <w:p w14:paraId="23338E94">
            <w:pPr>
              <w:spacing w:line="360" w:lineRule="auto"/>
              <w:rPr>
                <w:color w:val="auto"/>
                <w:highlight w:val="none"/>
              </w:rPr>
            </w:pPr>
            <w:r>
              <w:rPr>
                <w:rFonts w:hint="eastAsia"/>
                <w:color w:val="auto"/>
                <w:highlight w:val="none"/>
              </w:rPr>
              <w:t>☑不补偿</w:t>
            </w:r>
          </w:p>
          <w:p w14:paraId="0EFC0DF9">
            <w:pPr>
              <w:spacing w:line="360" w:lineRule="auto"/>
              <w:rPr>
                <w:rFonts w:hAnsi="宋体"/>
                <w:color w:val="auto"/>
                <w:highlight w:val="none"/>
              </w:rPr>
            </w:pPr>
            <w:r>
              <w:rPr>
                <w:rFonts w:hint="eastAsia"/>
                <w:color w:val="auto"/>
                <w:highlight w:val="none"/>
              </w:rPr>
              <w:t>□补偿，补偿标准</w:t>
            </w:r>
            <w:r>
              <w:rPr>
                <w:rFonts w:hint="eastAsia" w:hAnsi="宋体"/>
                <w:color w:val="auto"/>
                <w:highlight w:val="none"/>
              </w:rPr>
              <w:t>、支付时间及补偿后设计成果的权属</w:t>
            </w:r>
            <w:r>
              <w:rPr>
                <w:rFonts w:hint="eastAsia" w:hAnsi="宋体"/>
                <w:color w:val="auto"/>
                <w:highlight w:val="none"/>
                <w:u w:val="single"/>
              </w:rPr>
              <w:t xml:space="preserve">          </w:t>
            </w:r>
            <w:r>
              <w:rPr>
                <w:rFonts w:hint="eastAsia" w:hAnsi="宋体"/>
                <w:color w:val="auto"/>
                <w:highlight w:val="none"/>
              </w:rPr>
              <w:t>。</w:t>
            </w:r>
          </w:p>
          <w:p w14:paraId="789FC58A">
            <w:pPr>
              <w:spacing w:line="360" w:lineRule="auto"/>
              <w:rPr>
                <w:rFonts w:ascii="楷体" w:hAnsi="楷体" w:eastAsia="楷体"/>
                <w:b/>
                <w:color w:val="auto"/>
                <w:highlight w:val="none"/>
              </w:rPr>
            </w:pPr>
            <w:r>
              <w:rPr>
                <w:rFonts w:hint="eastAsia" w:ascii="楷体" w:hAnsi="楷体" w:eastAsia="楷体"/>
                <w:b/>
                <w:color w:val="auto"/>
                <w:highlight w:val="none"/>
              </w:rPr>
              <w:t>【备注：补偿仅适用于设计方案招标项目。】</w:t>
            </w:r>
          </w:p>
          <w:p w14:paraId="3760BD7C">
            <w:pPr>
              <w:spacing w:line="360" w:lineRule="auto"/>
              <w:rPr>
                <w:color w:val="auto"/>
                <w:highlight w:val="none"/>
              </w:rPr>
            </w:pPr>
            <w:r>
              <w:rPr>
                <w:rFonts w:hint="eastAsia"/>
                <w:color w:val="auto"/>
                <w:highlight w:val="none"/>
              </w:rPr>
              <w:t>□补偿方式1：本项目对中标候选人进行设计补偿，其中设计方案分第一名设计补偿</w:t>
            </w:r>
            <w:r>
              <w:rPr>
                <w:rFonts w:hint="eastAsia"/>
                <w:color w:val="auto"/>
                <w:highlight w:val="none"/>
                <w:u w:val="single"/>
              </w:rPr>
              <w:t xml:space="preserve">        </w:t>
            </w:r>
            <w:r>
              <w:rPr>
                <w:rFonts w:hint="eastAsia"/>
                <w:color w:val="auto"/>
                <w:highlight w:val="none"/>
              </w:rPr>
              <w:t>元，设计方案分第二名补偿          元，设计方案分第三名补偿</w:t>
            </w:r>
            <w:r>
              <w:rPr>
                <w:rFonts w:hint="eastAsia"/>
                <w:color w:val="auto"/>
                <w:highlight w:val="none"/>
                <w:u w:val="single"/>
              </w:rPr>
              <w:t xml:space="preserve">      </w:t>
            </w:r>
            <w:r>
              <w:rPr>
                <w:rFonts w:hint="eastAsia"/>
                <w:color w:val="auto"/>
                <w:highlight w:val="none"/>
              </w:rPr>
              <w:t>元。其中与招标人签定合同的设计单位，按照合同向招标人收取设计费，不再获得设计补偿费；对其余在补偿范围内的投标人，给予设计补偿费（设计费税金由投标人自理）。其余未在补偿范围内的投标人不予补偿。</w:t>
            </w:r>
          </w:p>
          <w:p w14:paraId="6948833A">
            <w:pPr>
              <w:spacing w:line="360" w:lineRule="auto"/>
              <w:rPr>
                <w:color w:val="auto"/>
                <w:highlight w:val="none"/>
              </w:rPr>
            </w:pPr>
            <w:r>
              <w:rPr>
                <w:rFonts w:hint="eastAsia"/>
                <w:color w:val="auto"/>
                <w:highlight w:val="none"/>
              </w:rPr>
              <w:t>□补偿方式2：本项目对以下投标人进行设计补偿，其中设计方案分第一名设计补偿</w:t>
            </w:r>
            <w:r>
              <w:rPr>
                <w:rFonts w:hint="eastAsia"/>
                <w:color w:val="auto"/>
                <w:highlight w:val="none"/>
                <w:u w:val="single"/>
              </w:rPr>
              <w:t xml:space="preserve">    </w:t>
            </w:r>
            <w:r>
              <w:rPr>
                <w:rFonts w:hint="eastAsia"/>
                <w:color w:val="auto"/>
                <w:highlight w:val="none"/>
              </w:rPr>
              <w:t>元，设计方案分第二名补偿    元，设计方案分第三名补偿</w:t>
            </w:r>
            <w:r>
              <w:rPr>
                <w:rFonts w:hint="eastAsia"/>
                <w:color w:val="auto"/>
                <w:highlight w:val="none"/>
                <w:u w:val="single"/>
              </w:rPr>
              <w:t xml:space="preserve">    </w:t>
            </w:r>
            <w:r>
              <w:rPr>
                <w:rFonts w:hint="eastAsia"/>
                <w:color w:val="auto"/>
                <w:highlight w:val="none"/>
              </w:rPr>
              <w:t>元；设计方案分第四名补偿    元......；其中与招标人签定合同的设计单位，按照合同向招标人收取设计费，不再获得设计补偿费；对其余在补偿范围内的投标人， 给予设计补偿费（设计费税金由投标人自理）。其余未在补偿范围内的投标人不予补偿。</w:t>
            </w:r>
          </w:p>
          <w:p w14:paraId="09559AC7">
            <w:pPr>
              <w:spacing w:line="360" w:lineRule="auto"/>
              <w:rPr>
                <w:color w:val="auto"/>
                <w:highlight w:val="none"/>
              </w:rPr>
            </w:pPr>
            <w:r>
              <w:rPr>
                <w:rFonts w:hint="eastAsia"/>
                <w:color w:val="auto"/>
                <w:highlight w:val="none"/>
              </w:rPr>
              <w:t>□补偿方式3：</w:t>
            </w:r>
          </w:p>
          <w:p w14:paraId="23F8235D">
            <w:pPr>
              <w:spacing w:line="360" w:lineRule="auto"/>
              <w:rPr>
                <w:color w:val="auto"/>
                <w:highlight w:val="none"/>
              </w:rPr>
            </w:pPr>
            <w:r>
              <w:rPr>
                <w:rFonts w:hint="eastAsia"/>
                <w:color w:val="auto"/>
                <w:highlight w:val="none"/>
              </w:rPr>
              <w:t>……</w:t>
            </w:r>
          </w:p>
          <w:p w14:paraId="592B2F68">
            <w:pPr>
              <w:spacing w:line="360" w:lineRule="auto"/>
              <w:rPr>
                <w:color w:val="auto"/>
                <w:highlight w:val="none"/>
              </w:rPr>
            </w:pPr>
            <w:r>
              <w:rPr>
                <w:rFonts w:hint="eastAsia"/>
                <w:color w:val="auto"/>
                <w:highlight w:val="none"/>
              </w:rPr>
              <w:t>设计补偿费的支付主体：□招标人   □中标人</w:t>
            </w:r>
          </w:p>
          <w:p w14:paraId="72F2384A">
            <w:pPr>
              <w:spacing w:line="360" w:lineRule="auto"/>
              <w:rPr>
                <w:b/>
                <w:color w:val="auto"/>
                <w:highlight w:val="none"/>
              </w:rPr>
            </w:pPr>
            <w:r>
              <w:rPr>
                <w:rFonts w:hint="eastAsia" w:ascii="楷体" w:hAnsi="楷体" w:eastAsia="楷体"/>
                <w:b/>
                <w:color w:val="auto"/>
                <w:highlight w:val="none"/>
              </w:rPr>
              <w:t>【备注：鼓励由招标人进行补偿。】</w:t>
            </w:r>
          </w:p>
        </w:tc>
      </w:tr>
      <w:tr w14:paraId="6C16A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242" w:type="dxa"/>
            <w:vAlign w:val="center"/>
          </w:tcPr>
          <w:p w14:paraId="62468434">
            <w:pPr>
              <w:spacing w:line="360" w:lineRule="auto"/>
              <w:jc w:val="center"/>
              <w:rPr>
                <w:color w:val="auto"/>
                <w:highlight w:val="none"/>
              </w:rPr>
            </w:pPr>
            <w:r>
              <w:rPr>
                <w:color w:val="auto"/>
                <w:highlight w:val="none"/>
              </w:rPr>
              <w:t>7.</w:t>
            </w:r>
            <w:r>
              <w:rPr>
                <w:rFonts w:hint="eastAsia"/>
                <w:color w:val="auto"/>
                <w:highlight w:val="none"/>
              </w:rPr>
              <w:t>7</w:t>
            </w:r>
            <w:r>
              <w:rPr>
                <w:color w:val="auto"/>
                <w:highlight w:val="none"/>
              </w:rPr>
              <w:t>.1</w:t>
            </w:r>
          </w:p>
        </w:tc>
        <w:tc>
          <w:tcPr>
            <w:tcW w:w="1843" w:type="dxa"/>
            <w:vAlign w:val="center"/>
          </w:tcPr>
          <w:p w14:paraId="05D324A5">
            <w:pPr>
              <w:spacing w:line="360" w:lineRule="auto"/>
              <w:rPr>
                <w:color w:val="auto"/>
                <w:highlight w:val="none"/>
              </w:rPr>
            </w:pPr>
            <w:r>
              <w:rPr>
                <w:color w:val="auto"/>
                <w:highlight w:val="none"/>
              </w:rPr>
              <w:t>履约</w:t>
            </w:r>
            <w:r>
              <w:rPr>
                <w:rFonts w:hint="eastAsia"/>
                <w:color w:val="auto"/>
                <w:highlight w:val="none"/>
              </w:rPr>
              <w:t>保证金</w:t>
            </w:r>
          </w:p>
        </w:tc>
        <w:tc>
          <w:tcPr>
            <w:tcW w:w="5800" w:type="dxa"/>
            <w:vAlign w:val="center"/>
          </w:tcPr>
          <w:p w14:paraId="1D5C4257">
            <w:pPr>
              <w:spacing w:line="360" w:lineRule="auto"/>
              <w:rPr>
                <w:color w:val="auto"/>
                <w:highlight w:val="none"/>
              </w:rPr>
            </w:pPr>
            <w:r>
              <w:rPr>
                <w:rFonts w:hint="eastAsia" w:cs="宋体"/>
                <w:color w:val="auto"/>
                <w:highlight w:val="none"/>
                <w:lang w:eastAsia="zh-CN"/>
              </w:rPr>
              <w:t>□</w:t>
            </w:r>
            <w:r>
              <w:rPr>
                <w:rFonts w:hint="eastAsia"/>
                <w:color w:val="auto"/>
                <w:highlight w:val="none"/>
              </w:rPr>
              <w:t>不要求</w:t>
            </w:r>
          </w:p>
          <w:p w14:paraId="4D0BA9AD">
            <w:pPr>
              <w:spacing w:line="360" w:lineRule="auto"/>
              <w:rPr>
                <w:color w:val="auto"/>
                <w:highlight w:val="none"/>
              </w:rPr>
            </w:pPr>
            <w:r>
              <w:rPr>
                <w:rFonts w:hint="eastAsia"/>
                <w:color w:val="auto"/>
                <w:highlight w:val="none"/>
                <w:lang w:eastAsia="zh-CN"/>
              </w:rPr>
              <w:t>☑</w:t>
            </w:r>
            <w:r>
              <w:rPr>
                <w:rFonts w:hint="eastAsia"/>
                <w:color w:val="auto"/>
                <w:highlight w:val="none"/>
              </w:rPr>
              <w:t>要求</w:t>
            </w:r>
            <w:r>
              <w:rPr>
                <w:rFonts w:hint="eastAsia" w:ascii="楷体" w:hAnsi="楷体" w:eastAsia="楷体"/>
                <w:b/>
                <w:color w:val="auto"/>
                <w:highlight w:val="none"/>
              </w:rPr>
              <w:t>【备注：①招标人根据投标人的信誉实力决定是否收取；②</w:t>
            </w:r>
            <w:r>
              <w:rPr>
                <w:rFonts w:ascii="楷体" w:hAnsi="楷体" w:eastAsia="楷体" w:cs="宋体"/>
                <w:b/>
                <w:color w:val="auto"/>
                <w:highlight w:val="none"/>
              </w:rPr>
              <w:t>鼓励</w:t>
            </w:r>
            <w:r>
              <w:rPr>
                <w:rFonts w:hint="eastAsia" w:ascii="楷体" w:hAnsi="楷体" w:eastAsia="楷体" w:cs="宋体"/>
                <w:b/>
                <w:color w:val="auto"/>
                <w:highlight w:val="none"/>
              </w:rPr>
              <w:t>采</w:t>
            </w:r>
            <w:r>
              <w:rPr>
                <w:rFonts w:ascii="楷体" w:hAnsi="楷体" w:eastAsia="楷体" w:cs="宋体"/>
                <w:b/>
                <w:color w:val="auto"/>
                <w:highlight w:val="none"/>
              </w:rPr>
              <w:t>用电子保函形式</w:t>
            </w:r>
            <w:r>
              <w:rPr>
                <w:rFonts w:hint="eastAsia" w:ascii="楷体" w:hAnsi="楷体" w:eastAsia="楷体" w:cs="宋体"/>
                <w:b/>
                <w:color w:val="auto"/>
                <w:highlight w:val="none"/>
              </w:rPr>
              <w:t>。</w:t>
            </w:r>
            <w:r>
              <w:rPr>
                <w:rFonts w:hint="eastAsia" w:ascii="楷体" w:hAnsi="楷体" w:eastAsia="楷体"/>
                <w:b/>
                <w:color w:val="auto"/>
                <w:highlight w:val="none"/>
              </w:rPr>
              <w:t>】</w:t>
            </w:r>
            <w:r>
              <w:rPr>
                <w:color w:val="auto"/>
                <w:highlight w:val="none"/>
              </w:rPr>
              <w:t xml:space="preserve">  </w:t>
            </w:r>
          </w:p>
          <w:p w14:paraId="2AA17908">
            <w:pPr>
              <w:spacing w:line="360" w:lineRule="auto"/>
              <w:rPr>
                <w:rFonts w:eastAsia="楷体_GB2312"/>
                <w:b/>
                <w:color w:val="auto"/>
                <w:highlight w:val="none"/>
              </w:rPr>
            </w:pPr>
            <w:r>
              <w:rPr>
                <w:color w:val="auto"/>
                <w:highlight w:val="none"/>
              </w:rPr>
              <w:t>履约</w:t>
            </w:r>
            <w:r>
              <w:rPr>
                <w:rFonts w:hint="eastAsia"/>
                <w:color w:val="auto"/>
                <w:highlight w:val="none"/>
              </w:rPr>
              <w:t>保证金</w:t>
            </w:r>
            <w:r>
              <w:rPr>
                <w:color w:val="auto"/>
                <w:highlight w:val="none"/>
              </w:rPr>
              <w:t>的形式：</w:t>
            </w:r>
            <w:r>
              <w:rPr>
                <w:rFonts w:hint="eastAsia"/>
                <w:color w:val="auto"/>
                <w:highlight w:val="none"/>
              </w:rPr>
              <w:t>可以采用现金、银行保函、工程担保、电子</w:t>
            </w:r>
            <w:r>
              <w:rPr>
                <w:color w:val="auto"/>
                <w:highlight w:val="none"/>
              </w:rPr>
              <w:t>保函</w:t>
            </w:r>
            <w:r>
              <w:rPr>
                <w:rFonts w:hint="eastAsia"/>
                <w:color w:val="auto"/>
                <w:highlight w:val="none"/>
              </w:rPr>
              <w:t>或保证保险等形式</w:t>
            </w:r>
            <w:r>
              <w:rPr>
                <w:rFonts w:hint="eastAsia" w:eastAsia="楷体_GB2312"/>
                <w:b/>
                <w:color w:val="auto"/>
                <w:szCs w:val="21"/>
                <w:highlight w:val="none"/>
              </w:rPr>
              <w:t>【</w:t>
            </w:r>
            <w:r>
              <w:rPr>
                <w:rFonts w:eastAsia="楷体_GB2312"/>
                <w:b/>
                <w:color w:val="auto"/>
                <w:highlight w:val="none"/>
              </w:rPr>
              <w:t>备注：</w:t>
            </w:r>
            <w:r>
              <w:rPr>
                <w:rFonts w:hint="eastAsia" w:eastAsia="楷体_GB2312" w:cs="楷体_GB2312"/>
                <w:b/>
                <w:color w:val="auto"/>
                <w:highlight w:val="none"/>
              </w:rPr>
              <w:t>严禁要求中标人只能以现金方式提交保证金的行为，严禁现金形式缴纳的额度与其他形式不一致。</w:t>
            </w:r>
            <w:r>
              <w:rPr>
                <w:rFonts w:hint="eastAsia" w:eastAsia="楷体_GB2312"/>
                <w:b/>
                <w:color w:val="auto"/>
                <w:szCs w:val="21"/>
                <w:highlight w:val="none"/>
              </w:rPr>
              <w:t>】</w:t>
            </w:r>
          </w:p>
          <w:p w14:paraId="7B6CC078">
            <w:pPr>
              <w:spacing w:line="360" w:lineRule="auto"/>
              <w:rPr>
                <w:rFonts w:ascii="楷体" w:hAnsi="楷体" w:eastAsia="楷体"/>
                <w:b/>
                <w:color w:val="auto"/>
                <w:highlight w:val="none"/>
              </w:rPr>
            </w:pPr>
            <w:r>
              <w:rPr>
                <w:color w:val="auto"/>
                <w:highlight w:val="none"/>
              </w:rPr>
              <w:t>履约</w:t>
            </w:r>
            <w:r>
              <w:rPr>
                <w:rFonts w:hint="eastAsia"/>
                <w:color w:val="auto"/>
                <w:highlight w:val="none"/>
              </w:rPr>
              <w:t>保证金</w:t>
            </w:r>
            <w:r>
              <w:rPr>
                <w:color w:val="auto"/>
                <w:highlight w:val="none"/>
              </w:rPr>
              <w:t>的金额：</w:t>
            </w:r>
            <w:r>
              <w:rPr>
                <w:rFonts w:hint="eastAsia" w:ascii="宋体" w:hAnsi="宋体" w:cs="宋体"/>
                <w:color w:val="auto"/>
                <w:highlight w:val="none"/>
                <w:u w:val="single"/>
              </w:rPr>
              <w:t xml:space="preserve">设计估算费用的5% </w:t>
            </w:r>
            <w:r>
              <w:rPr>
                <w:color w:val="auto"/>
                <w:highlight w:val="none"/>
              </w:rPr>
              <w:t>（如</w:t>
            </w:r>
            <w:r>
              <w:rPr>
                <w:rFonts w:hint="eastAsia"/>
                <w:color w:val="auto"/>
                <w:highlight w:val="none"/>
                <w:lang w:val="en-US" w:eastAsia="zh-CN"/>
              </w:rPr>
              <w:t>中标人为中小微企业的，按设计估算费用的2%收取）</w:t>
            </w:r>
            <w:r>
              <w:rPr>
                <w:rFonts w:hint="eastAsia" w:ascii="楷体" w:hAnsi="楷体" w:eastAsia="楷体"/>
                <w:b/>
                <w:color w:val="auto"/>
                <w:szCs w:val="21"/>
                <w:highlight w:val="none"/>
              </w:rPr>
              <w:t>【</w:t>
            </w:r>
            <w:r>
              <w:rPr>
                <w:rFonts w:ascii="楷体" w:hAnsi="楷体" w:eastAsia="楷体"/>
                <w:b/>
                <w:color w:val="auto"/>
                <w:highlight w:val="none"/>
              </w:rPr>
              <w:t>备注：</w:t>
            </w:r>
            <w:r>
              <w:rPr>
                <w:rFonts w:hint="eastAsia" w:ascii="楷体" w:hAnsi="楷体" w:eastAsia="楷体"/>
                <w:b/>
                <w:color w:val="auto"/>
                <w:highlight w:val="none"/>
              </w:rPr>
              <w:t>上限为设计估算费用</w:t>
            </w:r>
            <w:r>
              <w:rPr>
                <w:rFonts w:ascii="楷体" w:hAnsi="楷体" w:eastAsia="楷体"/>
                <w:b/>
                <w:color w:val="auto"/>
                <w:highlight w:val="none"/>
              </w:rPr>
              <w:t>的</w:t>
            </w:r>
            <w:r>
              <w:rPr>
                <w:rFonts w:hint="eastAsia" w:ascii="楷体" w:hAnsi="楷体" w:eastAsia="楷体"/>
                <w:b/>
                <w:color w:val="auto"/>
                <w:highlight w:val="none"/>
              </w:rPr>
              <w:t>5%。】</w:t>
            </w:r>
          </w:p>
          <w:p w14:paraId="713EBB58">
            <w:pPr>
              <w:spacing w:line="360" w:lineRule="auto"/>
              <w:ind w:firstLine="420" w:firstLineChars="200"/>
              <w:rPr>
                <w:color w:val="auto"/>
                <w:szCs w:val="21"/>
                <w:highlight w:val="none"/>
              </w:rPr>
            </w:pPr>
            <w:r>
              <w:rPr>
                <w:rFonts w:hint="eastAsia"/>
                <w:color w:val="auto"/>
                <w:highlight w:val="none"/>
              </w:rPr>
              <w:t>投标</w:t>
            </w:r>
            <w:r>
              <w:rPr>
                <w:color w:val="auto"/>
                <w:highlight w:val="none"/>
              </w:rPr>
              <w:t>人在收到中标通知书后，须在</w:t>
            </w:r>
            <w:r>
              <w:rPr>
                <w:color w:val="auto"/>
                <w:highlight w:val="none"/>
                <w:u w:val="single"/>
              </w:rPr>
              <w:t xml:space="preserve"> </w:t>
            </w:r>
            <w:r>
              <w:rPr>
                <w:rFonts w:hint="eastAsia"/>
                <w:color w:val="auto"/>
                <w:highlight w:val="none"/>
                <w:u w:val="single"/>
                <w:lang w:val="en-US" w:eastAsia="zh-CN"/>
              </w:rPr>
              <w:t>10</w:t>
            </w:r>
            <w:r>
              <w:rPr>
                <w:color w:val="auto"/>
                <w:highlight w:val="none"/>
                <w:u w:val="single"/>
              </w:rPr>
              <w:t xml:space="preserve"> </w:t>
            </w:r>
            <w:r>
              <w:rPr>
                <w:color w:val="auto"/>
                <w:highlight w:val="none"/>
              </w:rPr>
              <w:t>日内向</w:t>
            </w:r>
            <w:r>
              <w:rPr>
                <w:rFonts w:hint="eastAsia"/>
                <w:color w:val="auto"/>
                <w:highlight w:val="none"/>
              </w:rPr>
              <w:t>招标人足额</w:t>
            </w:r>
            <w:r>
              <w:rPr>
                <w:color w:val="auto"/>
                <w:highlight w:val="none"/>
              </w:rPr>
              <w:t>提交履约</w:t>
            </w:r>
            <w:r>
              <w:rPr>
                <w:rFonts w:hint="eastAsia"/>
                <w:color w:val="auto"/>
                <w:highlight w:val="none"/>
              </w:rPr>
              <w:t>保证金，否则招标人可以取消其中标资格</w:t>
            </w:r>
            <w:r>
              <w:rPr>
                <w:rFonts w:hint="eastAsia" w:ascii="楷体" w:hAnsi="楷体" w:eastAsia="楷体"/>
                <w:b/>
                <w:color w:val="auto"/>
                <w:szCs w:val="21"/>
                <w:highlight w:val="none"/>
              </w:rPr>
              <w:t>【</w:t>
            </w:r>
            <w:r>
              <w:rPr>
                <w:rFonts w:ascii="楷体" w:hAnsi="楷体" w:eastAsia="楷体"/>
                <w:b/>
                <w:color w:val="auto"/>
                <w:highlight w:val="none"/>
              </w:rPr>
              <w:t>备注：此处约定</w:t>
            </w:r>
            <w:r>
              <w:rPr>
                <w:rFonts w:hint="eastAsia" w:ascii="楷体" w:hAnsi="楷体" w:eastAsia="楷体"/>
                <w:b/>
                <w:color w:val="auto"/>
                <w:highlight w:val="none"/>
              </w:rPr>
              <w:t>应与</w:t>
            </w:r>
            <w:r>
              <w:rPr>
                <w:rFonts w:ascii="楷体" w:hAnsi="楷体" w:eastAsia="楷体"/>
                <w:b/>
                <w:color w:val="auto"/>
                <w:highlight w:val="none"/>
              </w:rPr>
              <w:t>合同专用条款</w:t>
            </w:r>
            <w:r>
              <w:rPr>
                <w:rFonts w:hint="eastAsia" w:ascii="楷体" w:hAnsi="楷体" w:eastAsia="楷体"/>
                <w:b/>
                <w:color w:val="auto"/>
                <w:highlight w:val="none"/>
              </w:rPr>
              <w:t>一致</w:t>
            </w:r>
            <w:r>
              <w:rPr>
                <w:rFonts w:hint="eastAsia" w:ascii="楷体" w:hAnsi="楷体" w:eastAsia="楷体"/>
                <w:b/>
                <w:color w:val="auto"/>
                <w:szCs w:val="21"/>
                <w:highlight w:val="none"/>
              </w:rPr>
              <w:t>】</w:t>
            </w:r>
            <w:r>
              <w:rPr>
                <w:rFonts w:hint="eastAsia" w:ascii="楷体" w:hAnsi="楷体" w:eastAsia="楷体"/>
                <w:b/>
                <w:color w:val="auto"/>
                <w:highlight w:val="none"/>
              </w:rPr>
              <w:t>。</w:t>
            </w:r>
            <w:r>
              <w:rPr>
                <w:rFonts w:hint="eastAsia"/>
                <w:color w:val="auto"/>
                <w:szCs w:val="21"/>
                <w:highlight w:val="none"/>
              </w:rPr>
              <w:t>联合体中标的，其履约保证金由联合体任一方提交。</w:t>
            </w:r>
          </w:p>
          <w:p w14:paraId="2BD09FDB">
            <w:pPr>
              <w:spacing w:line="360" w:lineRule="auto"/>
              <w:ind w:firstLine="420" w:firstLineChars="200"/>
              <w:rPr>
                <w:color w:val="auto"/>
                <w:highlight w:val="none"/>
              </w:rPr>
            </w:pPr>
          </w:p>
        </w:tc>
      </w:tr>
      <w:tr w14:paraId="443A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242" w:type="dxa"/>
            <w:vAlign w:val="center"/>
          </w:tcPr>
          <w:p w14:paraId="095587A1">
            <w:pPr>
              <w:spacing w:line="360" w:lineRule="auto"/>
              <w:jc w:val="center"/>
              <w:rPr>
                <w:color w:val="auto"/>
                <w:highlight w:val="none"/>
              </w:rPr>
            </w:pPr>
            <w:r>
              <w:rPr>
                <w:rFonts w:hint="eastAsia"/>
                <w:color w:val="auto"/>
                <w:highlight w:val="none"/>
              </w:rPr>
              <w:t>8</w:t>
            </w:r>
          </w:p>
        </w:tc>
        <w:tc>
          <w:tcPr>
            <w:tcW w:w="1843" w:type="dxa"/>
            <w:vAlign w:val="center"/>
          </w:tcPr>
          <w:p w14:paraId="7A672D89">
            <w:pPr>
              <w:spacing w:line="360" w:lineRule="auto"/>
              <w:rPr>
                <w:color w:val="auto"/>
                <w:highlight w:val="none"/>
              </w:rPr>
            </w:pPr>
            <w:r>
              <w:rPr>
                <w:rFonts w:hAnsi="宋体"/>
                <w:color w:val="auto"/>
                <w:highlight w:val="none"/>
              </w:rPr>
              <w:t>重新招标</w:t>
            </w:r>
            <w:r>
              <w:rPr>
                <w:rFonts w:hint="eastAsia" w:hAnsi="宋体"/>
                <w:color w:val="auto"/>
                <w:highlight w:val="none"/>
              </w:rPr>
              <w:t>和不再招标</w:t>
            </w:r>
          </w:p>
        </w:tc>
        <w:tc>
          <w:tcPr>
            <w:tcW w:w="5800" w:type="dxa"/>
            <w:vAlign w:val="center"/>
          </w:tcPr>
          <w:p w14:paraId="713AD77C">
            <w:pPr>
              <w:spacing w:line="360" w:lineRule="auto"/>
              <w:ind w:firstLine="420" w:firstLineChars="200"/>
              <w:rPr>
                <w:color w:val="auto"/>
                <w:highlight w:val="none"/>
              </w:rPr>
            </w:pPr>
            <w:r>
              <w:rPr>
                <w:rFonts w:hint="eastAsia" w:hAnsi="宋体"/>
                <w:color w:val="auto"/>
                <w:highlight w:val="none"/>
              </w:rPr>
              <w:t>见正文第8条</w:t>
            </w:r>
          </w:p>
        </w:tc>
      </w:tr>
      <w:tr w14:paraId="7C64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885" w:type="dxa"/>
            <w:gridSpan w:val="3"/>
            <w:vAlign w:val="center"/>
          </w:tcPr>
          <w:p w14:paraId="7E890431">
            <w:pPr>
              <w:spacing w:line="360" w:lineRule="auto"/>
              <w:rPr>
                <w:color w:val="auto"/>
                <w:highlight w:val="none"/>
              </w:rPr>
            </w:pPr>
            <w:r>
              <w:rPr>
                <w:color w:val="auto"/>
                <w:szCs w:val="21"/>
                <w:highlight w:val="none"/>
              </w:rPr>
              <w:t>1</w:t>
            </w:r>
            <w:r>
              <w:rPr>
                <w:rFonts w:hint="eastAsia"/>
                <w:color w:val="auto"/>
                <w:szCs w:val="21"/>
                <w:highlight w:val="none"/>
              </w:rPr>
              <w:t>0</w:t>
            </w:r>
            <w:r>
              <w:rPr>
                <w:color w:val="auto"/>
                <w:szCs w:val="21"/>
                <w:highlight w:val="none"/>
              </w:rPr>
              <w:t>. 需要补充的其他内容</w:t>
            </w:r>
          </w:p>
        </w:tc>
      </w:tr>
      <w:tr w14:paraId="5A25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885" w:type="dxa"/>
            <w:gridSpan w:val="3"/>
            <w:vAlign w:val="center"/>
          </w:tcPr>
          <w:p w14:paraId="6FE0B2B9">
            <w:pPr>
              <w:spacing w:line="360" w:lineRule="auto"/>
              <w:rPr>
                <w:color w:val="auto"/>
                <w:szCs w:val="21"/>
                <w:highlight w:val="none"/>
              </w:rPr>
            </w:pPr>
            <w:r>
              <w:rPr>
                <w:color w:val="auto"/>
                <w:highlight w:val="none"/>
              </w:rPr>
              <w:t>1</w:t>
            </w:r>
            <w:r>
              <w:rPr>
                <w:rFonts w:hint="eastAsia"/>
                <w:color w:val="auto"/>
                <w:highlight w:val="none"/>
              </w:rPr>
              <w:t>0</w:t>
            </w:r>
            <w:r>
              <w:rPr>
                <w:color w:val="auto"/>
                <w:highlight w:val="none"/>
              </w:rPr>
              <w:t>.1 词语定义</w:t>
            </w:r>
          </w:p>
        </w:tc>
      </w:tr>
      <w:tr w14:paraId="7E56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2" w:type="dxa"/>
            <w:vAlign w:val="center"/>
          </w:tcPr>
          <w:p w14:paraId="65859F0D">
            <w:pPr>
              <w:spacing w:line="360" w:lineRule="auto"/>
              <w:rPr>
                <w:color w:val="auto"/>
                <w:highlight w:val="none"/>
              </w:rPr>
            </w:pPr>
            <w:r>
              <w:rPr>
                <w:color w:val="auto"/>
                <w:highlight w:val="none"/>
              </w:rPr>
              <w:t>1</w:t>
            </w:r>
            <w:r>
              <w:rPr>
                <w:rFonts w:hint="eastAsia"/>
                <w:color w:val="auto"/>
                <w:highlight w:val="none"/>
              </w:rPr>
              <w:t>0</w:t>
            </w:r>
            <w:r>
              <w:rPr>
                <w:color w:val="auto"/>
                <w:highlight w:val="none"/>
              </w:rPr>
              <w:t>.1.1</w:t>
            </w:r>
          </w:p>
        </w:tc>
        <w:tc>
          <w:tcPr>
            <w:tcW w:w="1843" w:type="dxa"/>
            <w:vAlign w:val="center"/>
          </w:tcPr>
          <w:p w14:paraId="370B6EC6">
            <w:pPr>
              <w:spacing w:line="360" w:lineRule="auto"/>
              <w:jc w:val="center"/>
              <w:rPr>
                <w:color w:val="auto"/>
                <w:highlight w:val="none"/>
              </w:rPr>
            </w:pPr>
            <w:r>
              <w:rPr>
                <w:color w:val="auto"/>
                <w:highlight w:val="none"/>
              </w:rPr>
              <w:t>类似项目</w:t>
            </w:r>
          </w:p>
        </w:tc>
        <w:tc>
          <w:tcPr>
            <w:tcW w:w="5800" w:type="dxa"/>
            <w:vAlign w:val="center"/>
          </w:tcPr>
          <w:p w14:paraId="7475D13D">
            <w:pPr>
              <w:wordWrap w:val="0"/>
              <w:spacing w:line="360" w:lineRule="auto"/>
              <w:rPr>
                <w:color w:val="auto"/>
                <w:highlight w:val="none"/>
              </w:rPr>
            </w:pPr>
            <w:r>
              <w:rPr>
                <w:color w:val="auto"/>
                <w:highlight w:val="none"/>
              </w:rPr>
              <w:t>类似项目是指：</w:t>
            </w:r>
            <w:r>
              <w:rPr>
                <w:rFonts w:hint="eastAsia"/>
                <w:color w:val="auto"/>
                <w:highlight w:val="none"/>
              </w:rPr>
              <w:t>单项合同总建筑面积</w:t>
            </w:r>
            <w:r>
              <w:rPr>
                <w:rFonts w:hint="eastAsia"/>
                <w:color w:val="auto"/>
                <w:highlight w:val="none"/>
                <w:lang w:val="en-US" w:eastAsia="zh-CN"/>
              </w:rPr>
              <w:t>15000</w:t>
            </w:r>
            <w:r>
              <w:rPr>
                <w:rFonts w:hint="eastAsia"/>
                <w:color w:val="auto"/>
                <w:highlight w:val="none"/>
              </w:rPr>
              <w:t>平方米（含）以上或单个合同设计费</w:t>
            </w:r>
            <w:r>
              <w:rPr>
                <w:rFonts w:hint="eastAsia"/>
                <w:color w:val="auto"/>
                <w:highlight w:val="none"/>
                <w:lang w:val="en-US" w:eastAsia="zh-CN"/>
              </w:rPr>
              <w:t>110</w:t>
            </w:r>
            <w:r>
              <w:rPr>
                <w:rFonts w:hint="eastAsia"/>
                <w:color w:val="auto"/>
                <w:highlight w:val="none"/>
              </w:rPr>
              <w:t>万元（含）以上的公共建筑工程设计项目。</w:t>
            </w:r>
          </w:p>
        </w:tc>
      </w:tr>
      <w:tr w14:paraId="11FE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2" w:type="dxa"/>
            <w:vAlign w:val="center"/>
          </w:tcPr>
          <w:p w14:paraId="19476D43">
            <w:pPr>
              <w:spacing w:line="360" w:lineRule="auto"/>
              <w:rPr>
                <w:color w:val="auto"/>
                <w:highlight w:val="none"/>
              </w:rPr>
            </w:pPr>
            <w:r>
              <w:rPr>
                <w:color w:val="auto"/>
                <w:highlight w:val="none"/>
              </w:rPr>
              <w:t>1</w:t>
            </w:r>
            <w:r>
              <w:rPr>
                <w:rFonts w:hint="eastAsia"/>
                <w:color w:val="auto"/>
                <w:highlight w:val="none"/>
              </w:rPr>
              <w:t>0</w:t>
            </w:r>
            <w:r>
              <w:rPr>
                <w:color w:val="auto"/>
                <w:highlight w:val="none"/>
              </w:rPr>
              <w:t>.1.2</w:t>
            </w:r>
          </w:p>
        </w:tc>
        <w:tc>
          <w:tcPr>
            <w:tcW w:w="1843" w:type="dxa"/>
            <w:vAlign w:val="center"/>
          </w:tcPr>
          <w:p w14:paraId="447DD205">
            <w:pPr>
              <w:spacing w:line="360" w:lineRule="auto"/>
              <w:rPr>
                <w:color w:val="auto"/>
                <w:highlight w:val="none"/>
              </w:rPr>
            </w:pPr>
            <w:r>
              <w:rPr>
                <w:color w:val="auto"/>
                <w:highlight w:val="none"/>
              </w:rPr>
              <w:t>不良行为记录</w:t>
            </w:r>
          </w:p>
        </w:tc>
        <w:tc>
          <w:tcPr>
            <w:tcW w:w="5800" w:type="dxa"/>
            <w:vAlign w:val="center"/>
          </w:tcPr>
          <w:p w14:paraId="3721571B">
            <w:pPr>
              <w:spacing w:line="360" w:lineRule="auto"/>
              <w:rPr>
                <w:color w:val="auto"/>
                <w:highlight w:val="none"/>
              </w:rPr>
            </w:pPr>
            <w:r>
              <w:rPr>
                <w:color w:val="auto"/>
                <w:highlight w:val="none"/>
              </w:rPr>
              <w:t>不良行为记录是指：</w:t>
            </w:r>
            <w:r>
              <w:rPr>
                <w:rFonts w:hint="eastAsia"/>
                <w:color w:val="auto"/>
                <w:highlight w:val="none"/>
              </w:rPr>
              <w:t>/</w:t>
            </w:r>
          </w:p>
          <w:p w14:paraId="05FC9EAC">
            <w:pPr>
              <w:spacing w:line="360" w:lineRule="auto"/>
              <w:rPr>
                <w:color w:val="auto"/>
                <w:highlight w:val="none"/>
              </w:rPr>
            </w:pPr>
          </w:p>
        </w:tc>
      </w:tr>
      <w:tr w14:paraId="1194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2" w:type="dxa"/>
            <w:vAlign w:val="center"/>
          </w:tcPr>
          <w:p w14:paraId="4E19CE97">
            <w:pPr>
              <w:spacing w:line="360" w:lineRule="auto"/>
              <w:rPr>
                <w:color w:val="auto"/>
                <w:highlight w:val="none"/>
              </w:rPr>
            </w:pPr>
            <w:r>
              <w:rPr>
                <w:color w:val="auto"/>
                <w:highlight w:val="none"/>
              </w:rPr>
              <w:t>10.1.3</w:t>
            </w:r>
          </w:p>
        </w:tc>
        <w:tc>
          <w:tcPr>
            <w:tcW w:w="1843" w:type="dxa"/>
            <w:vAlign w:val="center"/>
          </w:tcPr>
          <w:p w14:paraId="586A1E44">
            <w:pPr>
              <w:spacing w:line="360" w:lineRule="auto"/>
              <w:rPr>
                <w:color w:val="auto"/>
                <w:highlight w:val="none"/>
              </w:rPr>
            </w:pPr>
            <w:r>
              <w:rPr>
                <w:rFonts w:hint="eastAsia" w:cs="宋体"/>
                <w:color w:val="auto"/>
                <w:highlight w:val="none"/>
              </w:rPr>
              <w:t>发布媒介</w:t>
            </w:r>
          </w:p>
        </w:tc>
        <w:tc>
          <w:tcPr>
            <w:tcW w:w="5800" w:type="dxa"/>
            <w:vAlign w:val="center"/>
          </w:tcPr>
          <w:p w14:paraId="08893B89">
            <w:pPr>
              <w:spacing w:line="360" w:lineRule="auto"/>
              <w:rPr>
                <w:rFonts w:eastAsia="楷体"/>
                <w:color w:val="auto"/>
                <w:highlight w:val="none"/>
              </w:rPr>
            </w:pPr>
            <w:r>
              <w:rPr>
                <w:rFonts w:hint="eastAsia" w:cs="宋体"/>
                <w:color w:val="auto"/>
                <w:highlight w:val="none"/>
              </w:rPr>
              <w:t>发布媒介是指招标公告规定的发布招标公告、招标文件澄清、评标结果公示、中标公告等信息的媒（体）介。按照招标公告规定还需在其它媒介上公示的，发布内容、发布期限应以法规指定媒介发布的为准。</w:t>
            </w:r>
            <w:r>
              <w:rPr>
                <w:rFonts w:hint="eastAsia" w:ascii="楷体" w:hAnsi="楷体" w:eastAsia="楷体" w:cs="楷体"/>
                <w:b/>
                <w:bCs/>
                <w:color w:val="auto"/>
                <w:highlight w:val="none"/>
              </w:rPr>
              <w:t>【备注：对于依法必须招标的项目和公共资源配置领域工程建设项目招标投标领域的中标候选人公示的指定媒介即优先公开载体均为广西壮族自治区招标投标公共服务平台，属于政府采购项目的还应按政府采购法信息发布的要求执行。】</w:t>
            </w:r>
          </w:p>
        </w:tc>
      </w:tr>
      <w:tr w14:paraId="7228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2" w:type="dxa"/>
            <w:vAlign w:val="center"/>
          </w:tcPr>
          <w:p w14:paraId="1A1D932E">
            <w:pPr>
              <w:spacing w:line="360" w:lineRule="auto"/>
              <w:rPr>
                <w:color w:val="auto"/>
                <w:highlight w:val="none"/>
              </w:rPr>
            </w:pPr>
            <w:r>
              <w:rPr>
                <w:rFonts w:hint="eastAsia"/>
                <w:color w:val="auto"/>
                <w:highlight w:val="none"/>
              </w:rPr>
              <w:t>10.1.4</w:t>
            </w:r>
          </w:p>
        </w:tc>
        <w:tc>
          <w:tcPr>
            <w:tcW w:w="1843" w:type="dxa"/>
            <w:vAlign w:val="center"/>
          </w:tcPr>
          <w:p w14:paraId="32967439">
            <w:pPr>
              <w:spacing w:line="360" w:lineRule="auto"/>
              <w:rPr>
                <w:rFonts w:cs="宋体"/>
                <w:color w:val="auto"/>
                <w:highlight w:val="none"/>
              </w:rPr>
            </w:pPr>
            <w:r>
              <w:rPr>
                <w:rFonts w:hint="eastAsia" w:cs="宋体"/>
                <w:color w:val="auto"/>
                <w:highlight w:val="none"/>
              </w:rPr>
              <w:t>中小企业</w:t>
            </w:r>
          </w:p>
        </w:tc>
        <w:tc>
          <w:tcPr>
            <w:tcW w:w="5800" w:type="dxa"/>
            <w:vAlign w:val="center"/>
          </w:tcPr>
          <w:p w14:paraId="438A07BB">
            <w:pPr>
              <w:spacing w:line="360" w:lineRule="auto"/>
              <w:ind w:firstLine="420" w:firstLineChars="200"/>
              <w:rPr>
                <w:rFonts w:cs="宋体"/>
                <w:color w:val="auto"/>
                <w:highlight w:val="none"/>
              </w:rPr>
            </w:pPr>
            <w:r>
              <w:rPr>
                <w:rFonts w:hint="eastAsia" w:cs="宋体"/>
                <w:color w:val="auto"/>
                <w:highlight w:val="none"/>
              </w:rPr>
              <w:t>1. 根据</w:t>
            </w:r>
            <w:r>
              <w:rPr>
                <w:rFonts w:hint="eastAsia"/>
                <w:color w:val="auto"/>
                <w:highlight w:val="none"/>
              </w:rPr>
              <w:t>《政府采购促进中小企业发展管理办法》（财库〔2020〕46号）的规定，本</w:t>
            </w:r>
            <w:r>
              <w:rPr>
                <w:rFonts w:hint="eastAsia" w:cs="宋体"/>
                <w:color w:val="auto"/>
                <w:highlight w:val="none"/>
              </w:rPr>
              <w:t>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793BE6EC">
            <w:pPr>
              <w:spacing w:line="360" w:lineRule="auto"/>
              <w:ind w:firstLine="420" w:firstLineChars="200"/>
              <w:rPr>
                <w:rFonts w:cs="宋体"/>
                <w:color w:val="auto"/>
                <w:highlight w:val="none"/>
              </w:rPr>
            </w:pPr>
            <w:r>
              <w:rPr>
                <w:rFonts w:hint="eastAsia" w:cs="宋体"/>
                <w:color w:val="auto"/>
                <w:highlight w:val="none"/>
              </w:rPr>
              <w:t>2. 在服务采购项目中，服务由中小企业承接，即提供服务的人员为中小企业依照《中华人民共和国劳动合同法》订立劳动合同的从业人员，享受招标文件规定的中小企业扶持政策，不对其中涉及的货物的制造商和工程承建商作出要求。以联合体形式参加，联合体各方均为中小企业的，联合体视同中小企业。其中，联合体各方均为小微企业的，联合体视同小微企业。</w:t>
            </w:r>
          </w:p>
          <w:p w14:paraId="2354F026">
            <w:pPr>
              <w:spacing w:line="360" w:lineRule="auto"/>
              <w:ind w:firstLine="420" w:firstLineChars="200"/>
              <w:rPr>
                <w:rFonts w:cs="宋体"/>
                <w:color w:val="auto"/>
                <w:highlight w:val="none"/>
              </w:rPr>
            </w:pPr>
            <w:r>
              <w:rPr>
                <w:rFonts w:hint="eastAsia" w:cs="宋体"/>
                <w:color w:val="auto"/>
                <w:highlight w:val="none"/>
              </w:rPr>
              <w:t>3. 本项目的项目设计服务均为其他未列明行业。</w:t>
            </w:r>
          </w:p>
          <w:p w14:paraId="3E9588AC">
            <w:pPr>
              <w:spacing w:line="360" w:lineRule="auto"/>
              <w:ind w:firstLine="420" w:firstLineChars="200"/>
              <w:rPr>
                <w:rFonts w:cs="宋体"/>
                <w:color w:val="auto"/>
                <w:highlight w:val="none"/>
              </w:rPr>
            </w:pPr>
            <w:r>
              <w:rPr>
                <w:rFonts w:hint="eastAsia" w:cs="宋体"/>
                <w:color w:val="auto"/>
                <w:highlight w:val="none"/>
              </w:rPr>
              <w:t>根据《关于印发中小企业划型标准规定的通知》（工信部联企业〔2011〕300号）的规定，其他未列明行业中小企业划型标准：从业人员300人以下的为中小微型企业。其中，从业人员100人及以上的为中型企业；从业人员10人及以上的为小型企业；从业人员10人以下的为微型企业。</w:t>
            </w:r>
          </w:p>
          <w:p w14:paraId="4997C7A0">
            <w:pPr>
              <w:spacing w:line="360" w:lineRule="auto"/>
              <w:ind w:firstLine="420" w:firstLineChars="200"/>
              <w:rPr>
                <w:rFonts w:cs="宋体"/>
                <w:color w:val="auto"/>
                <w:highlight w:val="none"/>
              </w:rPr>
            </w:pPr>
            <w:r>
              <w:rPr>
                <w:rFonts w:hint="eastAsia" w:cs="宋体"/>
                <w:color w:val="auto"/>
                <w:highlight w:val="none"/>
              </w:rPr>
              <w:t>4.投标人判断是否为中小企业可以使用工业和信息化部中小企业局开发的“中小企业规模类型自测小程序”。</w:t>
            </w:r>
          </w:p>
          <w:p w14:paraId="1F69E20A">
            <w:pPr>
              <w:spacing w:line="360" w:lineRule="auto"/>
              <w:ind w:firstLine="315" w:firstLineChars="150"/>
              <w:rPr>
                <w:rFonts w:cs="宋体"/>
                <w:color w:val="auto"/>
                <w:highlight w:val="none"/>
              </w:rPr>
            </w:pPr>
            <w:r>
              <w:rPr>
                <w:rFonts w:hint="eastAsia" w:cs="宋体"/>
                <w:color w:val="auto"/>
                <w:highlight w:val="none"/>
              </w:rPr>
              <w:t>5.投标人确定自身属于上述定义的中小企业时，应按第六章“投标文件格式“提供相应的《中小企业声明函》，否则评标时不予认定。任何单位和个人不得要求投标人提供《中小企业声明函》之外的中小企业身份证明文件。</w:t>
            </w:r>
          </w:p>
        </w:tc>
      </w:tr>
      <w:tr w14:paraId="5C34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2" w:type="dxa"/>
            <w:vAlign w:val="center"/>
          </w:tcPr>
          <w:p w14:paraId="076469B0">
            <w:pPr>
              <w:spacing w:line="360" w:lineRule="auto"/>
              <w:rPr>
                <w:color w:val="auto"/>
                <w:highlight w:val="none"/>
              </w:rPr>
            </w:pPr>
            <w:r>
              <w:rPr>
                <w:rFonts w:hint="eastAsia"/>
                <w:color w:val="auto"/>
                <w:highlight w:val="none"/>
              </w:rPr>
              <w:t>10.1.5</w:t>
            </w:r>
          </w:p>
        </w:tc>
        <w:tc>
          <w:tcPr>
            <w:tcW w:w="1843" w:type="dxa"/>
            <w:vAlign w:val="center"/>
          </w:tcPr>
          <w:p w14:paraId="169EF06A">
            <w:pPr>
              <w:spacing w:line="360" w:lineRule="auto"/>
              <w:rPr>
                <w:rFonts w:cs="宋体"/>
                <w:color w:val="auto"/>
                <w:highlight w:val="none"/>
              </w:rPr>
            </w:pPr>
            <w:r>
              <w:rPr>
                <w:rFonts w:hint="eastAsia" w:cs="宋体"/>
                <w:color w:val="auto"/>
                <w:highlight w:val="none"/>
              </w:rPr>
              <w:t>监狱企业</w:t>
            </w:r>
          </w:p>
        </w:tc>
        <w:tc>
          <w:tcPr>
            <w:tcW w:w="5800" w:type="dxa"/>
            <w:vAlign w:val="center"/>
          </w:tcPr>
          <w:p w14:paraId="77F8C139">
            <w:pPr>
              <w:spacing w:line="360" w:lineRule="auto"/>
              <w:ind w:firstLine="420" w:firstLineChars="200"/>
              <w:rPr>
                <w:rFonts w:cs="宋体"/>
                <w:color w:val="auto"/>
                <w:highlight w:val="none"/>
              </w:rPr>
            </w:pPr>
            <w:r>
              <w:rPr>
                <w:rFonts w:hint="eastAsia" w:cs="宋体"/>
                <w:color w:val="auto"/>
                <w:highlight w:val="none"/>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1D3A752">
            <w:pPr>
              <w:spacing w:line="360" w:lineRule="auto"/>
              <w:ind w:firstLine="420" w:firstLineChars="200"/>
              <w:rPr>
                <w:rFonts w:cs="宋体"/>
                <w:color w:val="auto"/>
                <w:highlight w:val="none"/>
              </w:rPr>
            </w:pPr>
            <w:r>
              <w:rPr>
                <w:rFonts w:hint="eastAsia" w:cs="宋体"/>
                <w:color w:val="auto"/>
                <w:highlight w:val="none"/>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0DA5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2" w:type="dxa"/>
            <w:vAlign w:val="center"/>
          </w:tcPr>
          <w:p w14:paraId="647A1F7D">
            <w:pPr>
              <w:spacing w:line="360" w:lineRule="auto"/>
              <w:rPr>
                <w:color w:val="auto"/>
                <w:highlight w:val="none"/>
              </w:rPr>
            </w:pPr>
            <w:r>
              <w:rPr>
                <w:rFonts w:hint="eastAsia"/>
                <w:color w:val="auto"/>
                <w:highlight w:val="none"/>
              </w:rPr>
              <w:t>10.1.6</w:t>
            </w:r>
          </w:p>
        </w:tc>
        <w:tc>
          <w:tcPr>
            <w:tcW w:w="1843" w:type="dxa"/>
            <w:vAlign w:val="center"/>
          </w:tcPr>
          <w:p w14:paraId="1BA4F694">
            <w:pPr>
              <w:spacing w:line="360" w:lineRule="auto"/>
              <w:rPr>
                <w:rFonts w:cs="宋体"/>
                <w:color w:val="auto"/>
                <w:highlight w:val="none"/>
              </w:rPr>
            </w:pPr>
            <w:r>
              <w:rPr>
                <w:rFonts w:hint="eastAsia" w:cs="宋体"/>
                <w:color w:val="auto"/>
                <w:highlight w:val="none"/>
              </w:rPr>
              <w:t>残疾人福利性单位</w:t>
            </w:r>
          </w:p>
        </w:tc>
        <w:tc>
          <w:tcPr>
            <w:tcW w:w="5800" w:type="dxa"/>
            <w:vAlign w:val="center"/>
          </w:tcPr>
          <w:p w14:paraId="226BB839">
            <w:pPr>
              <w:spacing w:line="360" w:lineRule="auto"/>
              <w:ind w:firstLine="420" w:firstLineChars="200"/>
              <w:rPr>
                <w:rFonts w:cs="宋体"/>
                <w:color w:val="auto"/>
                <w:highlight w:val="none"/>
              </w:rPr>
            </w:pPr>
            <w:r>
              <w:rPr>
                <w:rFonts w:hint="eastAsia" w:cs="宋体"/>
                <w:color w:val="auto"/>
                <w:highlight w:val="none"/>
              </w:rPr>
              <w:t>1. 根据《关于促进残疾人就业政府采购政策的通知》（财库〔2017〕141号）的规定，享受政府采购支持政策的残疾人福利性单位应当同时满足以下条件：</w:t>
            </w:r>
          </w:p>
          <w:p w14:paraId="11849F3A">
            <w:pPr>
              <w:spacing w:line="360" w:lineRule="auto"/>
              <w:ind w:firstLine="420" w:firstLineChars="200"/>
              <w:rPr>
                <w:rFonts w:cs="宋体"/>
                <w:color w:val="auto"/>
                <w:highlight w:val="none"/>
              </w:rPr>
            </w:pPr>
            <w:r>
              <w:rPr>
                <w:rFonts w:hint="eastAsia" w:cs="宋体"/>
                <w:color w:val="auto"/>
                <w:highlight w:val="none"/>
              </w:rPr>
              <w:t>（1）安置的残疾人占本单位在职职工人数的比例不低于25%（含25%），并且安置的残疾人人数不少于10人（含10人）；</w:t>
            </w:r>
          </w:p>
          <w:p w14:paraId="2D53CD6E">
            <w:pPr>
              <w:spacing w:line="360" w:lineRule="auto"/>
              <w:ind w:firstLine="420" w:firstLineChars="200"/>
              <w:rPr>
                <w:rFonts w:cs="宋体"/>
                <w:color w:val="auto"/>
                <w:highlight w:val="none"/>
              </w:rPr>
            </w:pPr>
            <w:r>
              <w:rPr>
                <w:rFonts w:hint="eastAsia" w:cs="宋体"/>
                <w:color w:val="auto"/>
                <w:highlight w:val="none"/>
              </w:rPr>
              <w:t>（2）依法与安置的每位残疾人签订了一年以上（含一年）的劳动合同或服务协议；</w:t>
            </w:r>
          </w:p>
          <w:p w14:paraId="32702370">
            <w:pPr>
              <w:spacing w:line="360" w:lineRule="auto"/>
              <w:ind w:firstLine="420" w:firstLineChars="200"/>
              <w:rPr>
                <w:rFonts w:cs="宋体"/>
                <w:color w:val="auto"/>
                <w:highlight w:val="none"/>
              </w:rPr>
            </w:pPr>
            <w:r>
              <w:rPr>
                <w:rFonts w:hint="eastAsia" w:cs="宋体"/>
                <w:color w:val="auto"/>
                <w:highlight w:val="none"/>
              </w:rPr>
              <w:t>（3）为安置的每位残疾人按月足额缴纳了基本养老保险、基本医疗保险、失业保险、工伤保险和生育保险等社会保险费；</w:t>
            </w:r>
          </w:p>
          <w:p w14:paraId="5BA94C8A">
            <w:pPr>
              <w:spacing w:line="360" w:lineRule="auto"/>
              <w:ind w:firstLine="420" w:firstLineChars="200"/>
              <w:rPr>
                <w:rFonts w:cs="宋体"/>
                <w:color w:val="auto"/>
                <w:highlight w:val="none"/>
              </w:rPr>
            </w:pPr>
            <w:r>
              <w:rPr>
                <w:rFonts w:hint="eastAsia" w:cs="宋体"/>
                <w:color w:val="auto"/>
                <w:highlight w:val="none"/>
              </w:rPr>
              <w:t>（4）通过银行等金融机构向安置的每位残疾人，按月支付了不低于单位所在区县适用的经省级人民政府批准的月最低工资标准的工资；</w:t>
            </w:r>
          </w:p>
          <w:p w14:paraId="4EA573FA">
            <w:pPr>
              <w:spacing w:line="360" w:lineRule="auto"/>
              <w:ind w:firstLine="420" w:firstLineChars="200"/>
              <w:rPr>
                <w:rFonts w:cs="宋体"/>
                <w:color w:val="auto"/>
                <w:highlight w:val="none"/>
              </w:rPr>
            </w:pPr>
            <w:r>
              <w:rPr>
                <w:rFonts w:hint="eastAsia" w:cs="宋体"/>
                <w:color w:val="auto"/>
                <w:highlight w:val="none"/>
              </w:rPr>
              <w:t>（5）提供本单位制造的货物、承担的工程或者服务（以下简称产品），或者提供其他残疾人福利性单位制造的货物（不包括使用非残疾人福利性单位注册商标的货物）。</w:t>
            </w:r>
          </w:p>
          <w:p w14:paraId="4B17A88A">
            <w:pPr>
              <w:spacing w:line="360" w:lineRule="auto"/>
              <w:ind w:firstLine="420" w:firstLineChars="200"/>
              <w:rPr>
                <w:rFonts w:cs="宋体"/>
                <w:color w:val="auto"/>
                <w:highlight w:val="none"/>
              </w:rPr>
            </w:pPr>
            <w:r>
              <w:rPr>
                <w:rFonts w:hint="eastAsia" w:cs="宋体"/>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EE03854">
            <w:pPr>
              <w:spacing w:line="360" w:lineRule="auto"/>
              <w:rPr>
                <w:rFonts w:cs="宋体"/>
                <w:color w:val="auto"/>
                <w:highlight w:val="none"/>
              </w:rPr>
            </w:pPr>
            <w:r>
              <w:rPr>
                <w:rFonts w:hint="eastAsia" w:cs="宋体"/>
                <w:color w:val="auto"/>
                <w:highlight w:val="none"/>
              </w:rPr>
              <w:t>2.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r w14:paraId="0E70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85" w:type="dxa"/>
            <w:gridSpan w:val="2"/>
            <w:vAlign w:val="center"/>
          </w:tcPr>
          <w:p w14:paraId="367F5DE3">
            <w:pPr>
              <w:spacing w:line="360" w:lineRule="auto"/>
              <w:rPr>
                <w:color w:val="auto"/>
                <w:highlight w:val="none"/>
              </w:rPr>
            </w:pPr>
            <w:r>
              <w:rPr>
                <w:color w:val="auto"/>
                <w:highlight w:val="none"/>
              </w:rPr>
              <w:t>1</w:t>
            </w:r>
            <w:r>
              <w:rPr>
                <w:rFonts w:hint="eastAsia"/>
                <w:color w:val="auto"/>
                <w:highlight w:val="none"/>
              </w:rPr>
              <w:t>0</w:t>
            </w:r>
            <w:r>
              <w:rPr>
                <w:color w:val="auto"/>
                <w:highlight w:val="none"/>
              </w:rPr>
              <w:t>.</w:t>
            </w:r>
            <w:r>
              <w:rPr>
                <w:rFonts w:hint="eastAsia"/>
                <w:color w:val="auto"/>
                <w:highlight w:val="none"/>
              </w:rPr>
              <w:t>2</w:t>
            </w:r>
            <w:r>
              <w:rPr>
                <w:color w:val="auto"/>
                <w:highlight w:val="none"/>
              </w:rPr>
              <w:t xml:space="preserve"> 投标</w:t>
            </w:r>
            <w:r>
              <w:rPr>
                <w:rFonts w:hint="eastAsia"/>
                <w:color w:val="auto"/>
                <w:highlight w:val="none"/>
              </w:rPr>
              <w:t>控制价</w:t>
            </w:r>
          </w:p>
        </w:tc>
        <w:tc>
          <w:tcPr>
            <w:tcW w:w="5800" w:type="dxa"/>
            <w:vAlign w:val="center"/>
          </w:tcPr>
          <w:p w14:paraId="40F939A2">
            <w:pPr>
              <w:spacing w:line="360" w:lineRule="auto"/>
              <w:rPr>
                <w:color w:val="auto"/>
                <w:highlight w:val="none"/>
              </w:rPr>
            </w:pPr>
            <w:r>
              <w:rPr>
                <w:rFonts w:hint="eastAsia" w:cs="宋体"/>
                <w:color w:val="auto"/>
                <w:highlight w:val="none"/>
              </w:rPr>
              <w:t>☑设招标控制价</w:t>
            </w:r>
            <w:r>
              <w:rPr>
                <w:rFonts w:hint="eastAsia" w:eastAsia="楷体_GB2312" w:cs="楷体_GB2312"/>
                <w:b/>
                <w:bCs/>
                <w:color w:val="auto"/>
                <w:highlight w:val="none"/>
              </w:rPr>
              <w:t>【备注：政府及国有资金投资的工程建设项目招标，招标人必须勾选】</w:t>
            </w:r>
          </w:p>
          <w:p w14:paraId="3F4F6EAA">
            <w:pPr>
              <w:spacing w:line="360" w:lineRule="auto"/>
              <w:rPr>
                <w:color w:val="auto"/>
                <w:highlight w:val="none"/>
              </w:rPr>
            </w:pPr>
            <w:r>
              <w:rPr>
                <w:rFonts w:hint="eastAsia" w:cs="宋体"/>
                <w:color w:val="auto"/>
                <w:highlight w:val="none"/>
              </w:rPr>
              <w:t>□不设招标控制价</w:t>
            </w:r>
          </w:p>
        </w:tc>
      </w:tr>
      <w:tr w14:paraId="6E27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85" w:type="dxa"/>
            <w:gridSpan w:val="2"/>
            <w:vAlign w:val="center"/>
          </w:tcPr>
          <w:p w14:paraId="600C6067">
            <w:pPr>
              <w:spacing w:line="360" w:lineRule="auto"/>
              <w:rPr>
                <w:color w:val="auto"/>
                <w:highlight w:val="none"/>
              </w:rPr>
            </w:pPr>
            <w:r>
              <w:rPr>
                <w:color w:val="auto"/>
                <w:highlight w:val="none"/>
              </w:rPr>
              <w:t>1</w:t>
            </w:r>
            <w:r>
              <w:rPr>
                <w:rFonts w:hint="eastAsia"/>
                <w:color w:val="auto"/>
                <w:highlight w:val="none"/>
              </w:rPr>
              <w:t>0</w:t>
            </w:r>
            <w:r>
              <w:rPr>
                <w:color w:val="auto"/>
                <w:highlight w:val="none"/>
              </w:rPr>
              <w:t>.</w:t>
            </w:r>
            <w:r>
              <w:rPr>
                <w:rFonts w:hint="eastAsia"/>
                <w:color w:val="auto"/>
                <w:highlight w:val="none"/>
              </w:rPr>
              <w:t>3</w:t>
            </w:r>
            <w:r>
              <w:rPr>
                <w:color w:val="auto"/>
                <w:highlight w:val="none"/>
              </w:rPr>
              <w:t xml:space="preserve"> </w:t>
            </w:r>
            <w:r>
              <w:rPr>
                <w:rFonts w:hint="eastAsia"/>
                <w:color w:val="auto"/>
                <w:highlight w:val="none"/>
              </w:rPr>
              <w:t>技术</w:t>
            </w:r>
            <w:r>
              <w:rPr>
                <w:color w:val="auto"/>
                <w:highlight w:val="none"/>
              </w:rPr>
              <w:t>标评审方式</w:t>
            </w:r>
          </w:p>
        </w:tc>
        <w:tc>
          <w:tcPr>
            <w:tcW w:w="5800" w:type="dxa"/>
            <w:vAlign w:val="center"/>
          </w:tcPr>
          <w:p w14:paraId="08BC5D3E">
            <w:pPr>
              <w:spacing w:line="360" w:lineRule="auto"/>
              <w:rPr>
                <w:rFonts w:ascii="楷体" w:hAnsi="楷体" w:eastAsia="楷体"/>
                <w:b/>
                <w:bCs/>
                <w:color w:val="auto"/>
                <w:highlight w:val="none"/>
              </w:rPr>
            </w:pPr>
            <w:r>
              <w:rPr>
                <w:rFonts w:hint="eastAsia"/>
                <w:color w:val="auto"/>
                <w:highlight w:val="none"/>
              </w:rPr>
              <w:t>（1）技术标（设计组织实施）的设计实施方案，采用“</w:t>
            </w:r>
            <w:r>
              <w:rPr>
                <w:rFonts w:hint="eastAsia"/>
                <w:color w:val="auto"/>
                <w:highlight w:val="none"/>
                <w:u w:val="single"/>
              </w:rPr>
              <w:t>暗标</w:t>
            </w:r>
            <w:r>
              <w:rPr>
                <w:rFonts w:hint="eastAsia"/>
                <w:color w:val="auto"/>
                <w:highlight w:val="none"/>
              </w:rPr>
              <w:t>”评审方式，其他内容均采用“明标”评审方式。</w:t>
            </w:r>
            <w:r>
              <w:rPr>
                <w:rFonts w:hint="eastAsia" w:ascii="楷体" w:hAnsi="楷体" w:eastAsia="楷体" w:cs="楷体"/>
                <w:b/>
                <w:bCs/>
                <w:color w:val="auto"/>
                <w:highlight w:val="none"/>
              </w:rPr>
              <w:t>【备注：除有特殊需要的项目外（如</w:t>
            </w:r>
            <w:r>
              <w:rPr>
                <w:rFonts w:ascii="楷体" w:hAnsi="楷体" w:eastAsia="楷体" w:cs="楷体"/>
                <w:b/>
                <w:bCs/>
                <w:color w:val="auto"/>
                <w:highlight w:val="none"/>
                <w:lang w:val="en"/>
              </w:rPr>
              <w:t>城市</w:t>
            </w:r>
            <w:r>
              <w:rPr>
                <w:rFonts w:eastAsia="楷体_GB2312"/>
                <w:b/>
                <w:color w:val="auto"/>
                <w:szCs w:val="21"/>
                <w:highlight w:val="none"/>
                <w:lang w:val="en"/>
              </w:rPr>
              <w:t>轨道</w:t>
            </w:r>
            <w:r>
              <w:rPr>
                <w:rFonts w:hint="eastAsia" w:eastAsia="楷体_GB2312"/>
                <w:b/>
                <w:color w:val="auto"/>
                <w:szCs w:val="21"/>
                <w:highlight w:val="none"/>
                <w:lang w:val="en"/>
              </w:rPr>
              <w:t>交通工程项目和铁路综合交通枢纽站城一体化项目</w:t>
            </w:r>
            <w:r>
              <w:rPr>
                <w:rFonts w:hint="eastAsia" w:ascii="楷体" w:hAnsi="楷体" w:eastAsia="楷体" w:cs="楷体"/>
                <w:b/>
                <w:bCs/>
                <w:color w:val="auto"/>
                <w:highlight w:val="none"/>
              </w:rPr>
              <w:t>可以采用明标），均采用暗标。】</w:t>
            </w:r>
            <w:r>
              <w:rPr>
                <w:rFonts w:hint="eastAsia"/>
                <w:color w:val="auto"/>
                <w:highlight w:val="none"/>
              </w:rPr>
              <w:t>（2）设计方案标</w:t>
            </w:r>
            <w:r>
              <w:rPr>
                <w:rFonts w:hint="eastAsia" w:ascii="楷体" w:hAnsi="楷体" w:eastAsia="楷体"/>
                <w:b/>
                <w:color w:val="auto"/>
                <w:highlight w:val="none"/>
              </w:rPr>
              <w:t>【备注：当采用设计方案招标时提交】</w:t>
            </w:r>
            <w:r>
              <w:rPr>
                <w:rFonts w:hint="eastAsia"/>
                <w:color w:val="auto"/>
                <w:highlight w:val="none"/>
              </w:rPr>
              <w:t>采用“</w:t>
            </w:r>
            <w:r>
              <w:rPr>
                <w:rFonts w:hint="eastAsia"/>
                <w:color w:val="auto"/>
                <w:highlight w:val="none"/>
                <w:u w:val="single"/>
              </w:rPr>
              <w:t>暗标</w:t>
            </w:r>
            <w:r>
              <w:rPr>
                <w:rFonts w:hint="eastAsia"/>
                <w:color w:val="auto"/>
                <w:highlight w:val="none"/>
              </w:rPr>
              <w:t>”评审方式。</w:t>
            </w:r>
            <w:r>
              <w:rPr>
                <w:rFonts w:hint="eastAsia" w:ascii="楷体" w:hAnsi="楷体" w:eastAsia="楷体" w:cs="楷体"/>
                <w:b/>
                <w:bCs/>
                <w:color w:val="auto"/>
                <w:highlight w:val="none"/>
              </w:rPr>
              <w:t>【备注：除有特殊需要的项目外（如</w:t>
            </w:r>
            <w:r>
              <w:rPr>
                <w:rFonts w:ascii="楷体" w:hAnsi="楷体" w:eastAsia="楷体" w:cs="楷体"/>
                <w:b/>
                <w:bCs/>
                <w:color w:val="auto"/>
                <w:highlight w:val="none"/>
                <w:lang w:val="en"/>
              </w:rPr>
              <w:t>城市</w:t>
            </w:r>
            <w:r>
              <w:rPr>
                <w:rFonts w:eastAsia="楷体_GB2312"/>
                <w:b/>
                <w:color w:val="auto"/>
                <w:szCs w:val="21"/>
                <w:highlight w:val="none"/>
                <w:lang w:val="en"/>
              </w:rPr>
              <w:t>轨道</w:t>
            </w:r>
            <w:r>
              <w:rPr>
                <w:rFonts w:hint="eastAsia" w:eastAsia="楷体_GB2312"/>
                <w:b/>
                <w:color w:val="auto"/>
                <w:szCs w:val="21"/>
                <w:highlight w:val="none"/>
                <w:lang w:val="en"/>
              </w:rPr>
              <w:t>交通工程项目和铁路综合交通枢纽站城一体化项目</w:t>
            </w:r>
            <w:r>
              <w:rPr>
                <w:rFonts w:hint="eastAsia" w:ascii="楷体" w:hAnsi="楷体" w:eastAsia="楷体" w:cs="楷体"/>
                <w:b/>
                <w:bCs/>
                <w:color w:val="auto"/>
                <w:highlight w:val="none"/>
              </w:rPr>
              <w:t>可以采用明标），建议均采用暗标。暗标建议不要求现场阐述设计方案。】</w:t>
            </w:r>
          </w:p>
          <w:p w14:paraId="07BEA209">
            <w:pPr>
              <w:spacing w:line="360" w:lineRule="auto"/>
              <w:rPr>
                <w:color w:val="auto"/>
                <w:highlight w:val="none"/>
              </w:rPr>
            </w:pPr>
            <w:r>
              <w:rPr>
                <w:rFonts w:hint="eastAsia"/>
                <w:color w:val="auto"/>
                <w:highlight w:val="none"/>
              </w:rPr>
              <w:t>其他内容均采用“明标”评审方式。</w:t>
            </w:r>
          </w:p>
        </w:tc>
      </w:tr>
      <w:tr w14:paraId="0A21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885" w:type="dxa"/>
            <w:gridSpan w:val="3"/>
            <w:vAlign w:val="center"/>
          </w:tcPr>
          <w:p w14:paraId="7BE2E6F0">
            <w:pPr>
              <w:spacing w:line="360" w:lineRule="auto"/>
              <w:rPr>
                <w:color w:val="auto"/>
                <w:highlight w:val="none"/>
              </w:rPr>
            </w:pPr>
            <w:r>
              <w:rPr>
                <w:color w:val="auto"/>
                <w:highlight w:val="none"/>
              </w:rPr>
              <w:t>1</w:t>
            </w:r>
            <w:r>
              <w:rPr>
                <w:rFonts w:hint="eastAsia"/>
                <w:color w:val="auto"/>
                <w:highlight w:val="none"/>
              </w:rPr>
              <w:t>0</w:t>
            </w:r>
            <w:r>
              <w:rPr>
                <w:color w:val="auto"/>
                <w:highlight w:val="none"/>
              </w:rPr>
              <w:t>.</w:t>
            </w:r>
            <w:r>
              <w:rPr>
                <w:rFonts w:hint="eastAsia"/>
                <w:color w:val="auto"/>
                <w:highlight w:val="none"/>
              </w:rPr>
              <w:t>4</w:t>
            </w:r>
            <w:r>
              <w:rPr>
                <w:color w:val="auto"/>
                <w:highlight w:val="none"/>
              </w:rPr>
              <w:t xml:space="preserve"> </w:t>
            </w:r>
            <w:r>
              <w:rPr>
                <w:rFonts w:hint="eastAsia"/>
                <w:color w:val="auto"/>
                <w:highlight w:val="none"/>
              </w:rPr>
              <w:t>电子</w:t>
            </w:r>
            <w:r>
              <w:rPr>
                <w:color w:val="auto"/>
                <w:highlight w:val="none"/>
              </w:rPr>
              <w:t>投标文件</w:t>
            </w:r>
          </w:p>
        </w:tc>
      </w:tr>
      <w:tr w14:paraId="6BE1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85" w:type="dxa"/>
            <w:gridSpan w:val="2"/>
            <w:vAlign w:val="center"/>
          </w:tcPr>
          <w:p w14:paraId="6C024EC9">
            <w:pPr>
              <w:spacing w:line="360" w:lineRule="auto"/>
              <w:rPr>
                <w:color w:val="auto"/>
                <w:highlight w:val="none"/>
              </w:rPr>
            </w:pPr>
            <w:r>
              <w:rPr>
                <w:rFonts w:hint="eastAsia" w:hAnsi="宋体" w:cs="宋体"/>
                <w:color w:val="auto"/>
                <w:highlight w:val="none"/>
              </w:rPr>
              <w:t>投标人提交电子投标文件的要求</w:t>
            </w:r>
          </w:p>
        </w:tc>
        <w:tc>
          <w:tcPr>
            <w:tcW w:w="5800" w:type="dxa"/>
            <w:vAlign w:val="center"/>
          </w:tcPr>
          <w:p w14:paraId="7D5CD7E3">
            <w:pPr>
              <w:spacing w:line="360" w:lineRule="auto"/>
              <w:rPr>
                <w:color w:val="auto"/>
                <w:highlight w:val="none"/>
              </w:rPr>
            </w:pPr>
            <w:r>
              <w:rPr>
                <w:rFonts w:hint="eastAsia" w:hAnsi="宋体" w:cs="宋体"/>
                <w:color w:val="auto"/>
                <w:highlight w:val="none"/>
              </w:rPr>
              <w:t>电子投标文件格式：</w:t>
            </w:r>
          </w:p>
          <w:p w14:paraId="6419A2A7">
            <w:pPr>
              <w:spacing w:line="360" w:lineRule="auto"/>
              <w:ind w:firstLine="435"/>
              <w:jc w:val="left"/>
              <w:rPr>
                <w:rFonts w:hAnsi="宋体" w:cs="宋体"/>
                <w:color w:val="auto"/>
                <w:highlight w:val="none"/>
                <w:u w:val="single"/>
              </w:rPr>
            </w:pPr>
            <w:r>
              <w:rPr>
                <w:rFonts w:hint="eastAsia" w:hAnsi="宋体" w:cs="宋体"/>
                <w:color w:val="auto"/>
                <w:highlight w:val="none"/>
                <w:u w:val="single"/>
              </w:rPr>
              <w:t>加密格式（*.GXTF）</w:t>
            </w:r>
          </w:p>
          <w:p w14:paraId="4E4B2F05">
            <w:pPr>
              <w:spacing w:line="360" w:lineRule="auto"/>
              <w:ind w:firstLine="435"/>
              <w:jc w:val="left"/>
              <w:rPr>
                <w:rFonts w:hAnsi="宋体" w:cs="宋体"/>
                <w:color w:val="auto"/>
                <w:highlight w:val="none"/>
              </w:rPr>
            </w:pPr>
            <w:r>
              <w:rPr>
                <w:rFonts w:hint="eastAsia"/>
                <w:color w:val="auto"/>
                <w:highlight w:val="none"/>
              </w:rPr>
              <w:t>投标人在投标截止前登陆全国公共资源交易平台（广西壮族自治区）网站上传加密的电子投标文件。投标截止后招标代理公布投标人名单，投标人代表通过广西壮族自治区网上开标子系统（http://111.59.121.211:81/BidOpening/）使用个人CA锁进行开标签到，解密环节时间结束前均可签到；由招标代理机构点击进入投标文件解密环节，解密环节时间为60分钟，投标人使用加密投标文件的CA锁解密投标文件，签到完成后才可进行投标文件的解密。在规定时间内，投标人应通过广西壮族自治区网上开标子系统完成签到及解密，否则，视为投标人撤销其投标文件。如投标人代表需到现场参加开标的，需持本人身份证原件或公安系统生成的电子身份证和加盖公章的身份证复印件（法定代表人参加现场开标会时，</w:t>
            </w:r>
            <w:r>
              <w:rPr>
                <w:color w:val="auto"/>
                <w:highlight w:val="none"/>
                <w:lang w:val="en"/>
              </w:rPr>
              <w:t>只需提供法定代表人身份证明及法定代表人身份证原件）现场核验。如投标人需在现场进行网上开标室签到和投标文件解密的，须自行携带手提电脑、个人CA锁、企业CA锁进入开标现场。</w:t>
            </w:r>
            <w:r>
              <w:rPr>
                <w:rFonts w:hint="eastAsia"/>
                <w:color w:val="auto"/>
                <w:highlight w:val="none"/>
              </w:rPr>
              <w:t>由于投标人原因造成签到不成功或投标文件不能解密的后果由投标人自行承担。</w:t>
            </w:r>
          </w:p>
        </w:tc>
      </w:tr>
      <w:tr w14:paraId="6318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85" w:type="dxa"/>
            <w:gridSpan w:val="2"/>
            <w:vAlign w:val="center"/>
          </w:tcPr>
          <w:p w14:paraId="239DE3E4">
            <w:pPr>
              <w:spacing w:line="360" w:lineRule="auto"/>
              <w:rPr>
                <w:color w:val="auto"/>
                <w:highlight w:val="none"/>
              </w:rPr>
            </w:pPr>
            <w:r>
              <w:rPr>
                <w:color w:val="auto"/>
                <w:highlight w:val="none"/>
              </w:rPr>
              <w:t>1</w:t>
            </w:r>
            <w:r>
              <w:rPr>
                <w:rFonts w:hint="eastAsia"/>
                <w:color w:val="auto"/>
                <w:highlight w:val="none"/>
              </w:rPr>
              <w:t>0</w:t>
            </w:r>
            <w:r>
              <w:rPr>
                <w:color w:val="auto"/>
                <w:highlight w:val="none"/>
              </w:rPr>
              <w:t>.</w:t>
            </w:r>
            <w:r>
              <w:rPr>
                <w:rFonts w:hint="eastAsia"/>
                <w:color w:val="auto"/>
                <w:highlight w:val="none"/>
              </w:rPr>
              <w:t>5</w:t>
            </w:r>
            <w:r>
              <w:rPr>
                <w:rFonts w:hint="eastAsia" w:cs="宋体"/>
                <w:color w:val="auto"/>
                <w:highlight w:val="none"/>
              </w:rPr>
              <w:t>知识产权</w:t>
            </w:r>
          </w:p>
        </w:tc>
        <w:tc>
          <w:tcPr>
            <w:tcW w:w="5800" w:type="dxa"/>
            <w:vAlign w:val="center"/>
          </w:tcPr>
          <w:p w14:paraId="075AF971">
            <w:pPr>
              <w:spacing w:line="360" w:lineRule="auto"/>
              <w:rPr>
                <w:color w:val="auto"/>
                <w:highlight w:val="none"/>
              </w:rPr>
            </w:pPr>
            <w:r>
              <w:rPr>
                <w:rFonts w:hint="eastAsia" w:cs="宋体"/>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67ED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85" w:type="dxa"/>
            <w:gridSpan w:val="2"/>
            <w:vAlign w:val="center"/>
          </w:tcPr>
          <w:p w14:paraId="65EB7152">
            <w:pPr>
              <w:spacing w:line="360" w:lineRule="auto"/>
              <w:rPr>
                <w:color w:val="auto"/>
                <w:highlight w:val="none"/>
              </w:rPr>
            </w:pPr>
            <w:r>
              <w:rPr>
                <w:color w:val="auto"/>
                <w:highlight w:val="none"/>
              </w:rPr>
              <w:t>1</w:t>
            </w:r>
            <w:r>
              <w:rPr>
                <w:rFonts w:hint="eastAsia"/>
                <w:color w:val="auto"/>
                <w:highlight w:val="none"/>
              </w:rPr>
              <w:t>0</w:t>
            </w:r>
            <w:r>
              <w:rPr>
                <w:color w:val="auto"/>
                <w:highlight w:val="none"/>
              </w:rPr>
              <w:t>.</w:t>
            </w:r>
            <w:r>
              <w:rPr>
                <w:rFonts w:hint="eastAsia"/>
                <w:color w:val="auto"/>
                <w:highlight w:val="none"/>
              </w:rPr>
              <w:t>6</w:t>
            </w:r>
            <w:r>
              <w:rPr>
                <w:rFonts w:hint="eastAsia" w:cs="宋体"/>
                <w:color w:val="auto"/>
                <w:highlight w:val="none"/>
              </w:rPr>
              <w:t>重新招标的其他情形</w:t>
            </w:r>
          </w:p>
        </w:tc>
        <w:tc>
          <w:tcPr>
            <w:tcW w:w="5800" w:type="dxa"/>
            <w:vAlign w:val="center"/>
          </w:tcPr>
          <w:p w14:paraId="317B7E10">
            <w:pPr>
              <w:spacing w:line="360" w:lineRule="auto"/>
              <w:rPr>
                <w:color w:val="auto"/>
                <w:highlight w:val="none"/>
              </w:rPr>
            </w:pPr>
            <w:r>
              <w:rPr>
                <w:rFonts w:hint="eastAsia" w:cs="宋体"/>
                <w:color w:val="auto"/>
                <w:highlight w:val="none"/>
              </w:rPr>
              <w:t>除投标人须知正文第</w:t>
            </w:r>
            <w:r>
              <w:rPr>
                <w:color w:val="auto"/>
                <w:highlight w:val="none"/>
              </w:rPr>
              <w:t>8</w:t>
            </w:r>
            <w:r>
              <w:rPr>
                <w:rFonts w:hint="eastAsia" w:cs="宋体"/>
                <w:color w:val="auto"/>
                <w:highlight w:val="none"/>
              </w:rPr>
              <w:t>条规定的情形外，除非已经产生中标候选人，在投标有效期内同意延长投标有效期的投标人少于三个的，招标人在分析招标失败的原因并采取相应措施后，应当依法重新招标。</w:t>
            </w:r>
          </w:p>
        </w:tc>
      </w:tr>
      <w:tr w14:paraId="73C2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85" w:type="dxa"/>
            <w:gridSpan w:val="2"/>
            <w:vAlign w:val="center"/>
          </w:tcPr>
          <w:p w14:paraId="39503A59">
            <w:pPr>
              <w:spacing w:line="360" w:lineRule="auto"/>
              <w:rPr>
                <w:color w:val="auto"/>
                <w:highlight w:val="none"/>
              </w:rPr>
            </w:pPr>
            <w:r>
              <w:rPr>
                <w:rFonts w:hint="eastAsia"/>
                <w:color w:val="auto"/>
                <w:highlight w:val="none"/>
              </w:rPr>
              <w:t>1</w:t>
            </w:r>
            <w:r>
              <w:rPr>
                <w:color w:val="auto"/>
                <w:highlight w:val="none"/>
              </w:rPr>
              <w:t>0.7</w:t>
            </w:r>
            <w:r>
              <w:rPr>
                <w:rFonts w:hint="eastAsia" w:cs="宋体"/>
                <w:color w:val="auto"/>
                <w:highlight w:val="none"/>
              </w:rPr>
              <w:t>同义词语</w:t>
            </w:r>
          </w:p>
        </w:tc>
        <w:tc>
          <w:tcPr>
            <w:tcW w:w="5800" w:type="dxa"/>
            <w:vAlign w:val="center"/>
          </w:tcPr>
          <w:p w14:paraId="29364F8C">
            <w:pPr>
              <w:spacing w:line="360" w:lineRule="auto"/>
              <w:rPr>
                <w:color w:val="auto"/>
                <w:highlight w:val="none"/>
              </w:rPr>
            </w:pPr>
            <w:r>
              <w:rPr>
                <w:rFonts w:hint="eastAsia" w:cs="宋体"/>
                <w:color w:val="auto"/>
                <w:highlight w:val="none"/>
              </w:rPr>
              <w:t>构成招标文件组成部分的</w:t>
            </w:r>
            <w:r>
              <w:rPr>
                <w:color w:val="auto"/>
                <w:highlight w:val="none"/>
              </w:rPr>
              <w:t>“</w:t>
            </w:r>
            <w:r>
              <w:rPr>
                <w:rFonts w:hint="eastAsia" w:cs="宋体"/>
                <w:color w:val="auto"/>
                <w:highlight w:val="none"/>
              </w:rPr>
              <w:t>通用合同条款</w:t>
            </w:r>
            <w:r>
              <w:rPr>
                <w:color w:val="auto"/>
                <w:highlight w:val="none"/>
              </w:rPr>
              <w:t>”</w:t>
            </w:r>
            <w:r>
              <w:rPr>
                <w:rFonts w:hint="eastAsia" w:cs="宋体"/>
                <w:color w:val="auto"/>
                <w:highlight w:val="none"/>
              </w:rPr>
              <w:t>、</w:t>
            </w:r>
            <w:r>
              <w:rPr>
                <w:color w:val="auto"/>
                <w:highlight w:val="none"/>
              </w:rPr>
              <w:t>“</w:t>
            </w:r>
            <w:r>
              <w:rPr>
                <w:rFonts w:hint="eastAsia" w:cs="宋体"/>
                <w:color w:val="auto"/>
                <w:highlight w:val="none"/>
              </w:rPr>
              <w:t>专用合同条款</w:t>
            </w:r>
            <w:r>
              <w:rPr>
                <w:color w:val="auto"/>
                <w:highlight w:val="none"/>
              </w:rPr>
              <w:t>”</w:t>
            </w:r>
            <w:r>
              <w:rPr>
                <w:rFonts w:hint="eastAsia" w:cs="宋体"/>
                <w:color w:val="auto"/>
                <w:highlight w:val="none"/>
              </w:rPr>
              <w:t>、</w:t>
            </w:r>
            <w:r>
              <w:rPr>
                <w:color w:val="auto"/>
                <w:highlight w:val="none"/>
              </w:rPr>
              <w:t>“</w:t>
            </w:r>
            <w:r>
              <w:rPr>
                <w:rFonts w:hint="eastAsia" w:cs="宋体"/>
                <w:color w:val="auto"/>
                <w:highlight w:val="none"/>
              </w:rPr>
              <w:t>技术标准和要求</w:t>
            </w:r>
            <w:r>
              <w:rPr>
                <w:color w:val="auto"/>
                <w:highlight w:val="none"/>
              </w:rPr>
              <w:t>”</w:t>
            </w:r>
            <w:r>
              <w:rPr>
                <w:rFonts w:hint="eastAsia" w:cs="宋体"/>
                <w:color w:val="auto"/>
                <w:highlight w:val="none"/>
              </w:rPr>
              <w:t>和</w:t>
            </w:r>
            <w:r>
              <w:rPr>
                <w:color w:val="auto"/>
                <w:highlight w:val="none"/>
              </w:rPr>
              <w:t>“</w:t>
            </w:r>
            <w:r>
              <w:rPr>
                <w:rFonts w:hint="eastAsia" w:cs="宋体"/>
                <w:color w:val="auto"/>
                <w:highlight w:val="none"/>
              </w:rPr>
              <w:t>工程量清单</w:t>
            </w:r>
            <w:r>
              <w:rPr>
                <w:color w:val="auto"/>
                <w:highlight w:val="none"/>
              </w:rPr>
              <w:t>”</w:t>
            </w:r>
            <w:r>
              <w:rPr>
                <w:rFonts w:hint="eastAsia" w:cs="宋体"/>
                <w:color w:val="auto"/>
                <w:highlight w:val="none"/>
              </w:rPr>
              <w:t>等章节中出现的措辞</w:t>
            </w:r>
            <w:r>
              <w:rPr>
                <w:color w:val="auto"/>
                <w:highlight w:val="none"/>
              </w:rPr>
              <w:t>“</w:t>
            </w:r>
            <w:r>
              <w:rPr>
                <w:rFonts w:hint="eastAsia" w:cs="宋体"/>
                <w:color w:val="auto"/>
                <w:highlight w:val="none"/>
              </w:rPr>
              <w:t>发包人</w:t>
            </w:r>
            <w:r>
              <w:rPr>
                <w:color w:val="auto"/>
                <w:highlight w:val="none"/>
              </w:rPr>
              <w:t>”</w:t>
            </w:r>
            <w:r>
              <w:rPr>
                <w:rFonts w:hint="eastAsia" w:cs="宋体"/>
                <w:color w:val="auto"/>
                <w:highlight w:val="none"/>
              </w:rPr>
              <w:t>和</w:t>
            </w:r>
            <w:r>
              <w:rPr>
                <w:color w:val="auto"/>
                <w:highlight w:val="none"/>
              </w:rPr>
              <w:t>“</w:t>
            </w:r>
            <w:r>
              <w:rPr>
                <w:rFonts w:hint="eastAsia" w:cs="宋体"/>
                <w:color w:val="auto"/>
                <w:highlight w:val="none"/>
              </w:rPr>
              <w:t>承包人</w:t>
            </w:r>
            <w:r>
              <w:rPr>
                <w:color w:val="auto"/>
                <w:highlight w:val="none"/>
              </w:rPr>
              <w:t>”</w:t>
            </w:r>
            <w:r>
              <w:rPr>
                <w:rFonts w:hint="eastAsia" w:cs="宋体"/>
                <w:color w:val="auto"/>
                <w:highlight w:val="none"/>
              </w:rPr>
              <w:t>，在招标投标阶段应当分别按</w:t>
            </w:r>
            <w:r>
              <w:rPr>
                <w:color w:val="auto"/>
                <w:highlight w:val="none"/>
              </w:rPr>
              <w:t>“</w:t>
            </w:r>
            <w:r>
              <w:rPr>
                <w:rFonts w:hint="eastAsia" w:cs="宋体"/>
                <w:color w:val="auto"/>
                <w:highlight w:val="none"/>
              </w:rPr>
              <w:t>招标人</w:t>
            </w:r>
            <w:r>
              <w:rPr>
                <w:color w:val="auto"/>
                <w:highlight w:val="none"/>
              </w:rPr>
              <w:t>”</w:t>
            </w:r>
            <w:r>
              <w:rPr>
                <w:rFonts w:hint="eastAsia" w:cs="宋体"/>
                <w:color w:val="auto"/>
                <w:highlight w:val="none"/>
              </w:rPr>
              <w:t>和</w:t>
            </w:r>
            <w:r>
              <w:rPr>
                <w:color w:val="auto"/>
                <w:highlight w:val="none"/>
              </w:rPr>
              <w:t>“</w:t>
            </w:r>
            <w:r>
              <w:rPr>
                <w:rFonts w:hint="eastAsia" w:cs="宋体"/>
                <w:color w:val="auto"/>
                <w:highlight w:val="none"/>
              </w:rPr>
              <w:t>投标人</w:t>
            </w:r>
            <w:r>
              <w:rPr>
                <w:color w:val="auto"/>
                <w:highlight w:val="none"/>
              </w:rPr>
              <w:t>”</w:t>
            </w:r>
            <w:r>
              <w:rPr>
                <w:rFonts w:hint="eastAsia" w:cs="宋体"/>
                <w:color w:val="auto"/>
                <w:highlight w:val="none"/>
              </w:rPr>
              <w:t>进行理解。</w:t>
            </w:r>
          </w:p>
        </w:tc>
      </w:tr>
      <w:tr w14:paraId="24DE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85" w:type="dxa"/>
            <w:gridSpan w:val="2"/>
            <w:vAlign w:val="center"/>
          </w:tcPr>
          <w:p w14:paraId="57CD561E">
            <w:pPr>
              <w:spacing w:line="360" w:lineRule="auto"/>
              <w:rPr>
                <w:color w:val="auto"/>
                <w:highlight w:val="none"/>
              </w:rPr>
            </w:pPr>
            <w:r>
              <w:rPr>
                <w:color w:val="auto"/>
                <w:highlight w:val="none"/>
              </w:rPr>
              <w:t>10.8</w:t>
            </w:r>
            <w:r>
              <w:rPr>
                <w:rFonts w:hint="eastAsia" w:cs="宋体"/>
                <w:color w:val="auto"/>
                <w:highlight w:val="none"/>
              </w:rPr>
              <w:t>监督</w:t>
            </w:r>
          </w:p>
        </w:tc>
        <w:tc>
          <w:tcPr>
            <w:tcW w:w="5800" w:type="dxa"/>
            <w:vAlign w:val="center"/>
          </w:tcPr>
          <w:p w14:paraId="5A37F741">
            <w:pPr>
              <w:spacing w:line="360" w:lineRule="auto"/>
              <w:rPr>
                <w:rFonts w:cs="宋体"/>
                <w:color w:val="auto"/>
                <w:highlight w:val="none"/>
              </w:rPr>
            </w:pPr>
            <w:r>
              <w:rPr>
                <w:rFonts w:hint="eastAsia" w:cs="宋体"/>
                <w:color w:val="auto"/>
                <w:highlight w:val="none"/>
              </w:rPr>
              <w:t>本项目的招标投标活动及其相关当事人应当接受有管辖权的建设工程招标投标行政监督部门依法实施的监督，如项目属于公共资源范围，应同时接受本级公共资源交易监督机构的监管。</w:t>
            </w:r>
          </w:p>
        </w:tc>
      </w:tr>
      <w:tr w14:paraId="221A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85" w:type="dxa"/>
            <w:gridSpan w:val="2"/>
            <w:vAlign w:val="center"/>
          </w:tcPr>
          <w:p w14:paraId="19D08989">
            <w:pPr>
              <w:spacing w:line="360" w:lineRule="auto"/>
              <w:rPr>
                <w:color w:val="auto"/>
                <w:highlight w:val="none"/>
              </w:rPr>
            </w:pPr>
            <w:r>
              <w:rPr>
                <w:color w:val="auto"/>
                <w:highlight w:val="none"/>
              </w:rPr>
              <w:t>10.9</w:t>
            </w:r>
            <w:r>
              <w:rPr>
                <w:rFonts w:hint="eastAsia" w:cs="宋体"/>
                <w:color w:val="auto"/>
                <w:highlight w:val="none"/>
              </w:rPr>
              <w:t>解释权</w:t>
            </w:r>
          </w:p>
        </w:tc>
        <w:tc>
          <w:tcPr>
            <w:tcW w:w="5800" w:type="dxa"/>
            <w:vAlign w:val="center"/>
          </w:tcPr>
          <w:p w14:paraId="0DBD911D">
            <w:pPr>
              <w:spacing w:line="360" w:lineRule="auto"/>
              <w:rPr>
                <w:color w:val="auto"/>
                <w:highlight w:val="none"/>
              </w:rPr>
            </w:pPr>
            <w:r>
              <w:rPr>
                <w:rFonts w:hint="eastAsia" w:cs="宋体"/>
                <w:color w:val="auto"/>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补遗或澄清文件、招标公告（投标邀请书）、投标人须知、评标办法、投标文件格式的先后顺序解释；同一组成文件中就同一事项的规定或约定不一致的，以编排顺序在后者为准；同一组成文件不同版本之间有不一致的，以形成时间在后者为准；补遗或澄清文件与同步更新的招标文件不一致时以补遗或澄清文件为准。按本款前述规定仍不能形成结论的，由招标人负责解释。</w:t>
            </w:r>
          </w:p>
        </w:tc>
      </w:tr>
      <w:tr w14:paraId="64F0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885" w:type="dxa"/>
            <w:gridSpan w:val="3"/>
            <w:vAlign w:val="center"/>
          </w:tcPr>
          <w:p w14:paraId="6AA27DF2">
            <w:pPr>
              <w:spacing w:line="360" w:lineRule="auto"/>
              <w:rPr>
                <w:rFonts w:cs="宋体"/>
                <w:color w:val="auto"/>
                <w:highlight w:val="none"/>
              </w:rPr>
            </w:pPr>
            <w:r>
              <w:rPr>
                <w:color w:val="auto"/>
                <w:highlight w:val="none"/>
              </w:rPr>
              <w:t xml:space="preserve">10.10 </w:t>
            </w:r>
            <w:r>
              <w:rPr>
                <w:rFonts w:hint="eastAsia"/>
                <w:color w:val="auto"/>
                <w:highlight w:val="none"/>
              </w:rPr>
              <w:t>招标人补充的其他内容</w:t>
            </w:r>
          </w:p>
        </w:tc>
      </w:tr>
      <w:tr w14:paraId="477F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2" w:type="dxa"/>
            <w:vAlign w:val="center"/>
          </w:tcPr>
          <w:p w14:paraId="542F191A">
            <w:pPr>
              <w:spacing w:line="360" w:lineRule="auto"/>
              <w:rPr>
                <w:color w:val="auto"/>
                <w:highlight w:val="none"/>
              </w:rPr>
            </w:pPr>
            <w:r>
              <w:rPr>
                <w:rFonts w:hint="eastAsia"/>
                <w:color w:val="auto"/>
                <w:highlight w:val="none"/>
              </w:rPr>
              <w:t>1</w:t>
            </w:r>
            <w:r>
              <w:rPr>
                <w:color w:val="auto"/>
                <w:highlight w:val="none"/>
              </w:rPr>
              <w:t>0.10.1</w:t>
            </w:r>
          </w:p>
        </w:tc>
        <w:tc>
          <w:tcPr>
            <w:tcW w:w="1843" w:type="dxa"/>
            <w:vAlign w:val="center"/>
          </w:tcPr>
          <w:p w14:paraId="161F6CB5">
            <w:pPr>
              <w:spacing w:line="360" w:lineRule="auto"/>
              <w:rPr>
                <w:color w:val="auto"/>
                <w:highlight w:val="none"/>
              </w:rPr>
            </w:pPr>
            <w:r>
              <w:rPr>
                <w:rFonts w:hint="eastAsia" w:cs="宋体"/>
                <w:color w:val="auto"/>
                <w:highlight w:val="none"/>
              </w:rPr>
              <w:t>招标代理服务费的计算与收取</w:t>
            </w:r>
          </w:p>
        </w:tc>
        <w:tc>
          <w:tcPr>
            <w:tcW w:w="5800" w:type="dxa"/>
            <w:vAlign w:val="center"/>
          </w:tcPr>
          <w:p w14:paraId="1351A728">
            <w:pPr>
              <w:spacing w:line="360" w:lineRule="auto"/>
              <w:rPr>
                <w:rFonts w:cs="宋体"/>
                <w:color w:val="auto"/>
                <w:highlight w:val="none"/>
              </w:rPr>
            </w:pPr>
            <w:r>
              <w:rPr>
                <w:rFonts w:hint="eastAsia" w:cs="宋体"/>
                <w:color w:val="auto"/>
                <w:highlight w:val="none"/>
                <w:lang w:eastAsia="zh-CN"/>
              </w:rPr>
              <w:t>☑</w:t>
            </w:r>
            <w:r>
              <w:rPr>
                <w:rFonts w:hint="eastAsia" w:cs="宋体"/>
                <w:color w:val="auto"/>
                <w:highlight w:val="none"/>
              </w:rPr>
              <w:t>招标人支付。</w:t>
            </w:r>
          </w:p>
          <w:p w14:paraId="4CF544FA">
            <w:pPr>
              <w:spacing w:line="360" w:lineRule="auto"/>
              <w:rPr>
                <w:rFonts w:cs="宋体"/>
                <w:color w:val="auto"/>
                <w:highlight w:val="none"/>
              </w:rPr>
            </w:pPr>
            <w:r>
              <w:rPr>
                <w:rFonts w:hint="eastAsia" w:cs="宋体"/>
                <w:color w:val="auto"/>
                <w:highlight w:val="none"/>
                <w:lang w:eastAsia="zh-CN"/>
              </w:rPr>
              <w:t>□</w:t>
            </w:r>
            <w:r>
              <w:rPr>
                <w:rFonts w:hint="eastAsia" w:cs="宋体"/>
                <w:color w:val="auto"/>
                <w:highlight w:val="none"/>
              </w:rPr>
              <w:t>中标人支付。具体为：</w:t>
            </w:r>
            <w:r>
              <w:rPr>
                <w:rFonts w:hint="eastAsia" w:cs="宋体"/>
                <w:color w:val="auto"/>
                <w:highlight w:val="none"/>
                <w:u w:val="single"/>
                <w:lang w:val="en-US" w:eastAsia="zh-CN"/>
              </w:rPr>
              <w:t xml:space="preserve">   /  </w:t>
            </w:r>
            <w:r>
              <w:rPr>
                <w:rFonts w:hint="eastAsia" w:cs="宋体"/>
                <w:color w:val="auto"/>
                <w:highlight w:val="none"/>
              </w:rPr>
              <w:t>。</w:t>
            </w:r>
            <w:r>
              <w:rPr>
                <w:rFonts w:hint="eastAsia" w:ascii="楷体" w:hAnsi="楷体" w:eastAsia="楷体" w:cs="楷体"/>
                <w:b/>
                <w:bCs/>
                <w:color w:val="auto"/>
                <w:highlight w:val="none"/>
              </w:rPr>
              <w:t>【备注：国有投资和使用国有资金的项目在建设费组成中已包含招标代理服务费的，该项费用由招标人支付。】</w:t>
            </w:r>
          </w:p>
        </w:tc>
      </w:tr>
      <w:tr w14:paraId="4BCE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2" w:type="dxa"/>
            <w:vAlign w:val="center"/>
          </w:tcPr>
          <w:p w14:paraId="478924E1">
            <w:pPr>
              <w:spacing w:line="360" w:lineRule="auto"/>
              <w:rPr>
                <w:color w:val="auto"/>
                <w:highlight w:val="none"/>
              </w:rPr>
            </w:pPr>
          </w:p>
          <w:p w14:paraId="281ADAFC">
            <w:pPr>
              <w:spacing w:line="360" w:lineRule="auto"/>
              <w:rPr>
                <w:color w:val="auto"/>
                <w:highlight w:val="none"/>
              </w:rPr>
            </w:pPr>
            <w:r>
              <w:rPr>
                <w:rFonts w:hint="eastAsia"/>
                <w:color w:val="auto"/>
                <w:highlight w:val="none"/>
              </w:rPr>
              <w:t>10.10.2</w:t>
            </w:r>
          </w:p>
        </w:tc>
        <w:tc>
          <w:tcPr>
            <w:tcW w:w="1843" w:type="dxa"/>
            <w:vAlign w:val="center"/>
          </w:tcPr>
          <w:p w14:paraId="2CAED617">
            <w:pPr>
              <w:spacing w:line="360" w:lineRule="auto"/>
              <w:rPr>
                <w:rFonts w:cs="宋体"/>
                <w:color w:val="auto"/>
                <w:highlight w:val="none"/>
              </w:rPr>
            </w:pPr>
            <w:r>
              <w:rPr>
                <w:rFonts w:hint="eastAsia" w:ascii="宋体" w:hAnsi="宋体"/>
                <w:color w:val="auto"/>
                <w:highlight w:val="none"/>
              </w:rPr>
              <w:t>设计方案现场阐述</w:t>
            </w:r>
          </w:p>
        </w:tc>
        <w:tc>
          <w:tcPr>
            <w:tcW w:w="5800" w:type="dxa"/>
            <w:vAlign w:val="center"/>
          </w:tcPr>
          <w:p w14:paraId="6F77A637">
            <w:pPr>
              <w:spacing w:line="360" w:lineRule="auto"/>
              <w:jc w:val="left"/>
              <w:rPr>
                <w:rFonts w:cs="宋体"/>
                <w:color w:val="auto"/>
                <w:highlight w:val="none"/>
              </w:rPr>
            </w:pPr>
            <w:r>
              <w:rPr>
                <w:rFonts w:hint="eastAsia" w:cs="宋体"/>
                <w:color w:val="auto"/>
                <w:highlight w:val="none"/>
              </w:rPr>
              <w:t>☑不要求</w:t>
            </w:r>
          </w:p>
          <w:p w14:paraId="4FA1C849">
            <w:pPr>
              <w:spacing w:line="360" w:lineRule="auto"/>
              <w:jc w:val="left"/>
              <w:rPr>
                <w:rFonts w:cs="宋体"/>
                <w:color w:val="auto"/>
                <w:highlight w:val="none"/>
              </w:rPr>
            </w:pPr>
            <w:r>
              <w:rPr>
                <w:rFonts w:hint="eastAsia" w:cs="宋体"/>
                <w:color w:val="auto"/>
                <w:highlight w:val="none"/>
              </w:rPr>
              <w:t>□要求</w:t>
            </w:r>
          </w:p>
          <w:p w14:paraId="617C3B52">
            <w:pPr>
              <w:spacing w:line="360" w:lineRule="auto"/>
              <w:rPr>
                <w:rFonts w:cs="宋体"/>
                <w:color w:val="auto"/>
                <w:highlight w:val="none"/>
              </w:rPr>
            </w:pPr>
            <w:r>
              <w:rPr>
                <w:rFonts w:hint="eastAsia" w:cs="宋体"/>
                <w:color w:val="auto"/>
                <w:highlight w:val="none"/>
              </w:rPr>
              <w:t>设计方案阐述按下列程序进行：按递交投标文件顺序，各投标人可借助</w:t>
            </w:r>
            <w:r>
              <w:rPr>
                <w:rFonts w:hint="eastAsia" w:cs="宋体"/>
                <w:color w:val="auto"/>
                <w:highlight w:val="none"/>
                <w:u w:val="single"/>
              </w:rPr>
              <w:t xml:space="preserve">  多媒体光盘/U盘/网络会议  </w:t>
            </w:r>
            <w:r>
              <w:rPr>
                <w:rFonts w:hint="eastAsia" w:cs="宋体"/>
                <w:color w:val="auto"/>
                <w:highlight w:val="none"/>
              </w:rPr>
              <w:t xml:space="preserve"> 阐述设计方案，时间不超过</w:t>
            </w:r>
            <w:r>
              <w:rPr>
                <w:rFonts w:hint="eastAsia" w:cs="宋体"/>
                <w:color w:val="auto"/>
                <w:highlight w:val="none"/>
                <w:u w:val="single"/>
              </w:rPr>
              <w:t xml:space="preserve">    </w:t>
            </w:r>
            <w:r>
              <w:rPr>
                <w:rFonts w:hint="eastAsia" w:cs="宋体"/>
                <w:color w:val="auto"/>
                <w:highlight w:val="none"/>
              </w:rPr>
              <w:t>分钟，阐述完毕后回答评标委员会提出的问题。</w:t>
            </w:r>
          </w:p>
          <w:p w14:paraId="2BB186CE">
            <w:pPr>
              <w:spacing w:line="360" w:lineRule="auto"/>
              <w:rPr>
                <w:rFonts w:cs="宋体"/>
                <w:color w:val="auto"/>
                <w:highlight w:val="none"/>
              </w:rPr>
            </w:pPr>
            <w:r>
              <w:rPr>
                <w:rFonts w:hint="eastAsia" w:ascii="楷体" w:hAnsi="楷体" w:eastAsia="楷体" w:cs="楷体"/>
                <w:b/>
                <w:bCs/>
                <w:color w:val="auto"/>
                <w:highlight w:val="none"/>
              </w:rPr>
              <w:t>【备注：除了以上阐述方式外，发包方可根据实际情况，采用其他方式进行设计方案阐述。】</w:t>
            </w:r>
          </w:p>
        </w:tc>
      </w:tr>
    </w:tbl>
    <w:p w14:paraId="6436A90A">
      <w:pPr>
        <w:keepNext w:val="0"/>
        <w:keepLines w:val="0"/>
        <w:pageBreakBefore w:val="0"/>
        <w:widowControl w:val="0"/>
        <w:kinsoku/>
        <w:wordWrap/>
        <w:overflowPunct/>
        <w:topLinePunct w:val="0"/>
        <w:autoSpaceDE/>
        <w:autoSpaceDN/>
        <w:bidi w:val="0"/>
        <w:adjustRightInd/>
        <w:snapToGrid/>
        <w:spacing w:line="360" w:lineRule="exact"/>
        <w:textAlignment w:val="auto"/>
        <w:rPr>
          <w:rFonts w:ascii="楷体" w:hAnsi="楷体" w:eastAsia="楷体"/>
          <w:b/>
          <w:bCs/>
          <w:color w:val="auto"/>
          <w:szCs w:val="21"/>
          <w:highlight w:val="none"/>
        </w:rPr>
      </w:pPr>
      <w:r>
        <w:rPr>
          <w:rFonts w:ascii="楷体" w:hAnsi="楷体" w:eastAsia="楷体"/>
          <w:b/>
          <w:bCs/>
          <w:color w:val="auto"/>
          <w:szCs w:val="21"/>
          <w:highlight w:val="none"/>
        </w:rPr>
        <w:t>备注：</w:t>
      </w:r>
    </w:p>
    <w:p w14:paraId="36507020">
      <w:pPr>
        <w:keepNext w:val="0"/>
        <w:keepLines w:val="0"/>
        <w:pageBreakBefore w:val="0"/>
        <w:widowControl w:val="0"/>
        <w:kinsoku/>
        <w:wordWrap/>
        <w:overflowPunct/>
        <w:topLinePunct w:val="0"/>
        <w:autoSpaceDE/>
        <w:autoSpaceDN/>
        <w:bidi w:val="0"/>
        <w:adjustRightInd/>
        <w:snapToGrid/>
        <w:spacing w:line="340" w:lineRule="exact"/>
        <w:ind w:firstLine="422" w:firstLineChars="200"/>
        <w:textAlignment w:val="auto"/>
        <w:rPr>
          <w:rFonts w:ascii="楷体" w:hAnsi="楷体" w:eastAsia="楷体"/>
          <w:b/>
          <w:bCs/>
          <w:color w:val="auto"/>
          <w:szCs w:val="21"/>
          <w:highlight w:val="none"/>
        </w:rPr>
      </w:pPr>
      <w:r>
        <w:rPr>
          <w:rFonts w:ascii="楷体" w:hAnsi="楷体" w:eastAsia="楷体"/>
          <w:b/>
          <w:bCs/>
          <w:color w:val="auto"/>
          <w:szCs w:val="21"/>
          <w:highlight w:val="none"/>
        </w:rPr>
        <w:t>1. “投标人须知前附表”中的条款名称、编列内容，招标人可根据项目实际需要进行适当</w:t>
      </w:r>
      <w:r>
        <w:rPr>
          <w:rFonts w:hint="eastAsia" w:ascii="楷体" w:hAnsi="楷体" w:eastAsia="楷体"/>
          <w:b/>
          <w:bCs/>
          <w:color w:val="auto"/>
          <w:szCs w:val="21"/>
          <w:highlight w:val="none"/>
        </w:rPr>
        <w:t>的</w:t>
      </w:r>
      <w:r>
        <w:rPr>
          <w:rFonts w:ascii="楷体" w:hAnsi="楷体" w:eastAsia="楷体"/>
          <w:b/>
          <w:bCs/>
          <w:color w:val="auto"/>
          <w:szCs w:val="21"/>
          <w:highlight w:val="none"/>
        </w:rPr>
        <w:t>增减。</w:t>
      </w:r>
    </w:p>
    <w:p w14:paraId="67E9F85F">
      <w:pPr>
        <w:keepNext w:val="0"/>
        <w:keepLines w:val="0"/>
        <w:pageBreakBefore w:val="0"/>
        <w:widowControl w:val="0"/>
        <w:tabs>
          <w:tab w:val="left" w:pos="720"/>
        </w:tabs>
        <w:kinsoku/>
        <w:wordWrap/>
        <w:overflowPunct/>
        <w:topLinePunct w:val="0"/>
        <w:autoSpaceDE/>
        <w:autoSpaceDN/>
        <w:bidi w:val="0"/>
        <w:adjustRightInd/>
        <w:snapToGrid/>
        <w:spacing w:line="340" w:lineRule="exact"/>
        <w:ind w:firstLine="422" w:firstLineChars="200"/>
        <w:textAlignment w:val="auto"/>
        <w:rPr>
          <w:rFonts w:ascii="楷体" w:hAnsi="楷体" w:eastAsia="楷体"/>
          <w:b/>
          <w:bCs/>
          <w:color w:val="auto"/>
          <w:szCs w:val="21"/>
          <w:highlight w:val="none"/>
        </w:rPr>
      </w:pPr>
      <w:r>
        <w:rPr>
          <w:rFonts w:ascii="楷体" w:hAnsi="楷体" w:eastAsia="楷体"/>
          <w:b/>
          <w:bCs/>
          <w:color w:val="auto"/>
          <w:szCs w:val="21"/>
          <w:highlight w:val="none"/>
        </w:rPr>
        <w:t>2. 招标人如需要对“投标人须知”正文条款进行细化调整的，应在“投标人须知前附表”中进行</w:t>
      </w:r>
      <w:r>
        <w:rPr>
          <w:rFonts w:hint="eastAsia" w:ascii="楷体" w:hAnsi="楷体" w:eastAsia="楷体"/>
          <w:b/>
          <w:bCs/>
          <w:color w:val="auto"/>
          <w:szCs w:val="21"/>
          <w:highlight w:val="none"/>
        </w:rPr>
        <w:t>相应修改</w:t>
      </w:r>
      <w:r>
        <w:rPr>
          <w:rFonts w:ascii="楷体" w:hAnsi="楷体" w:eastAsia="楷体"/>
          <w:b/>
          <w:bCs/>
          <w:color w:val="auto"/>
          <w:szCs w:val="21"/>
          <w:highlight w:val="none"/>
        </w:rPr>
        <w:t>。</w:t>
      </w:r>
    </w:p>
    <w:p w14:paraId="38966B5F">
      <w:pPr>
        <w:keepNext w:val="0"/>
        <w:keepLines w:val="0"/>
        <w:pageBreakBefore w:val="0"/>
        <w:widowControl w:val="0"/>
        <w:tabs>
          <w:tab w:val="left" w:pos="720"/>
        </w:tabs>
        <w:kinsoku/>
        <w:wordWrap/>
        <w:overflowPunct/>
        <w:topLinePunct w:val="0"/>
        <w:autoSpaceDE/>
        <w:autoSpaceDN/>
        <w:bidi w:val="0"/>
        <w:adjustRightInd/>
        <w:snapToGrid/>
        <w:spacing w:line="340" w:lineRule="exact"/>
        <w:ind w:firstLine="422" w:firstLineChars="200"/>
        <w:textAlignment w:val="auto"/>
        <w:rPr>
          <w:rFonts w:eastAsia="楷体_GB2312"/>
          <w:b/>
          <w:bCs/>
          <w:color w:val="auto"/>
          <w:highlight w:val="none"/>
          <w:u w:val="single"/>
        </w:rPr>
      </w:pPr>
      <w:r>
        <w:rPr>
          <w:rFonts w:hint="eastAsia" w:ascii="楷体" w:hAnsi="楷体" w:eastAsia="楷体"/>
          <w:b/>
          <w:bCs/>
          <w:color w:val="auto"/>
          <w:szCs w:val="21"/>
          <w:highlight w:val="none"/>
        </w:rPr>
        <w:t xml:space="preserve">3. </w:t>
      </w:r>
      <w:r>
        <w:rPr>
          <w:rFonts w:ascii="楷体" w:hAnsi="楷体" w:eastAsia="楷体"/>
          <w:b/>
          <w:bCs/>
          <w:color w:val="auto"/>
          <w:szCs w:val="21"/>
          <w:highlight w:val="none"/>
        </w:rPr>
        <w:t>招标人派出评委参加评标的，须符合以下条件之一：</w:t>
      </w:r>
      <w:r>
        <w:rPr>
          <w:rFonts w:hint="eastAsia" w:eastAsia="楷体_GB2312" w:cs="楷体_GB2312"/>
          <w:b/>
          <w:bCs/>
          <w:color w:val="auto"/>
          <w:highlight w:val="none"/>
        </w:rPr>
        <w:t>（1）必须是本单位或其上、下级部门（公司）（提供证明）具备与评标工程技术要求相当条件和能力水平的人员出任(被主管部门暂停评标资格期间的评标专家除外)，招标人需提交符合相当条件和能力承诺书，并提供近3个月（</w:t>
      </w:r>
      <w:r>
        <w:rPr>
          <w:rFonts w:hint="eastAsia" w:eastAsia="楷体_GB2312" w:cs="楷体_GB2312"/>
          <w:b/>
          <w:bCs/>
          <w:color w:val="auto"/>
          <w:highlight w:val="none"/>
          <w:u w:val="single"/>
        </w:rPr>
        <w:t>2025</w:t>
      </w:r>
      <w:r>
        <w:rPr>
          <w:rFonts w:hint="eastAsia" w:eastAsia="楷体_GB2312" w:cs="楷体_GB2312"/>
          <w:b/>
          <w:bCs/>
          <w:color w:val="auto"/>
          <w:highlight w:val="none"/>
        </w:rPr>
        <w:t>年</w:t>
      </w:r>
      <w:r>
        <w:rPr>
          <w:rFonts w:hint="eastAsia" w:eastAsia="楷体_GB2312" w:cs="楷体_GB2312"/>
          <w:b/>
          <w:bCs/>
          <w:color w:val="auto"/>
          <w:highlight w:val="none"/>
          <w:u w:val="single"/>
          <w:lang w:val="en-US" w:eastAsia="zh-CN"/>
        </w:rPr>
        <w:t>10</w:t>
      </w:r>
      <w:r>
        <w:rPr>
          <w:rFonts w:hint="eastAsia" w:eastAsia="楷体_GB2312" w:cs="楷体_GB2312"/>
          <w:b/>
          <w:bCs/>
          <w:color w:val="auto"/>
          <w:highlight w:val="none"/>
        </w:rPr>
        <w:t>月</w:t>
      </w:r>
      <w:r>
        <w:rPr>
          <w:rFonts w:eastAsia="楷体_GB2312" w:cs="楷体_GB2312"/>
          <w:b/>
          <w:bCs/>
          <w:color w:val="auto"/>
          <w:highlight w:val="none"/>
          <w:lang w:val="en"/>
        </w:rPr>
        <w:t>~</w:t>
      </w:r>
      <w:r>
        <w:rPr>
          <w:rFonts w:hint="eastAsia" w:eastAsia="楷体_GB2312" w:cs="楷体_GB2312"/>
          <w:b/>
          <w:bCs/>
          <w:color w:val="auto"/>
          <w:highlight w:val="none"/>
          <w:lang w:val="en"/>
        </w:rPr>
        <w:t xml:space="preserve"> </w:t>
      </w:r>
      <w:r>
        <w:rPr>
          <w:rFonts w:hint="eastAsia" w:eastAsia="楷体_GB2312" w:cs="楷体_GB2312"/>
          <w:b/>
          <w:bCs/>
          <w:color w:val="auto"/>
          <w:highlight w:val="none"/>
          <w:u w:val="single"/>
        </w:rPr>
        <w:t>2025</w:t>
      </w:r>
      <w:r>
        <w:rPr>
          <w:rFonts w:hint="eastAsia" w:eastAsia="楷体_GB2312" w:cs="楷体_GB2312"/>
          <w:b/>
          <w:bCs/>
          <w:color w:val="auto"/>
          <w:highlight w:val="none"/>
        </w:rPr>
        <w:t>年</w:t>
      </w:r>
      <w:r>
        <w:rPr>
          <w:rFonts w:hint="eastAsia" w:eastAsia="楷体_GB2312" w:cs="楷体_GB2312"/>
          <w:b/>
          <w:bCs/>
          <w:color w:val="auto"/>
          <w:highlight w:val="none"/>
          <w:u w:val="single"/>
          <w:lang w:val="en-US" w:eastAsia="zh-CN"/>
        </w:rPr>
        <w:t>12</w:t>
      </w:r>
      <w:r>
        <w:rPr>
          <w:rFonts w:hint="eastAsia" w:eastAsia="楷体_GB2312" w:cs="楷体_GB2312"/>
          <w:b/>
          <w:bCs/>
          <w:color w:val="auto"/>
          <w:highlight w:val="none"/>
        </w:rPr>
        <w:t>月）的社会保险证明原件或者工作编制证明文件原件扫描件等相关材料；（2）本单位无符合上述条件的人员时，可以委托持《广西壮族自治区建设工程招标投标评标专家资格证书》，同时有与项目评审内容对应专业的中级及以上职称的人员(被主管部门暂停评标资格期间的评标专家除外)出任。持证人员已退休的，应附退休证明文件原件扫描件；持证人员在职的，应附现任职单位为其缴纳的近</w:t>
      </w:r>
      <w:r>
        <w:rPr>
          <w:rFonts w:eastAsia="楷体_GB2312" w:cs="楷体_GB2312"/>
          <w:b/>
          <w:bCs/>
          <w:color w:val="auto"/>
          <w:highlight w:val="none"/>
          <w:lang w:val="en"/>
        </w:rPr>
        <w:t>3</w:t>
      </w:r>
      <w:r>
        <w:rPr>
          <w:rFonts w:hint="eastAsia" w:eastAsia="楷体_GB2312" w:cs="楷体_GB2312"/>
          <w:b/>
          <w:bCs/>
          <w:color w:val="auto"/>
          <w:highlight w:val="none"/>
        </w:rPr>
        <w:t>个月（</w:t>
      </w:r>
      <w:r>
        <w:rPr>
          <w:rFonts w:hint="eastAsia" w:eastAsia="楷体_GB2312" w:cs="楷体_GB2312"/>
          <w:b/>
          <w:bCs/>
          <w:color w:val="auto"/>
          <w:highlight w:val="none"/>
          <w:u w:val="single"/>
        </w:rPr>
        <w:t>2025</w:t>
      </w:r>
      <w:r>
        <w:rPr>
          <w:rFonts w:hint="eastAsia" w:eastAsia="楷体_GB2312" w:cs="楷体_GB2312"/>
          <w:b/>
          <w:bCs/>
          <w:color w:val="auto"/>
          <w:highlight w:val="none"/>
        </w:rPr>
        <w:t>年</w:t>
      </w:r>
      <w:r>
        <w:rPr>
          <w:rFonts w:hint="eastAsia" w:eastAsia="楷体_GB2312" w:cs="楷体_GB2312"/>
          <w:b/>
          <w:bCs/>
          <w:color w:val="auto"/>
          <w:highlight w:val="none"/>
          <w:u w:val="single"/>
          <w:lang w:val="en-US" w:eastAsia="zh-CN"/>
        </w:rPr>
        <w:t>10</w:t>
      </w:r>
      <w:r>
        <w:rPr>
          <w:rFonts w:hint="eastAsia" w:eastAsia="楷体_GB2312" w:cs="楷体_GB2312"/>
          <w:b/>
          <w:bCs/>
          <w:color w:val="auto"/>
          <w:highlight w:val="none"/>
        </w:rPr>
        <w:t>月</w:t>
      </w:r>
      <w:r>
        <w:rPr>
          <w:rFonts w:eastAsia="楷体_GB2312" w:cs="楷体_GB2312"/>
          <w:b/>
          <w:bCs/>
          <w:color w:val="auto"/>
          <w:highlight w:val="none"/>
          <w:lang w:val="en"/>
        </w:rPr>
        <w:t>~</w:t>
      </w:r>
      <w:r>
        <w:rPr>
          <w:rFonts w:hint="eastAsia" w:eastAsia="楷体_GB2312" w:cs="楷体_GB2312"/>
          <w:b/>
          <w:bCs/>
          <w:color w:val="auto"/>
          <w:highlight w:val="none"/>
          <w:lang w:val="en"/>
        </w:rPr>
        <w:t xml:space="preserve">  </w:t>
      </w:r>
      <w:r>
        <w:rPr>
          <w:rFonts w:hint="eastAsia" w:eastAsia="楷体_GB2312" w:cs="楷体_GB2312"/>
          <w:b/>
          <w:bCs/>
          <w:color w:val="auto"/>
          <w:highlight w:val="none"/>
          <w:u w:val="single"/>
        </w:rPr>
        <w:t>2025</w:t>
      </w:r>
      <w:r>
        <w:rPr>
          <w:rFonts w:hint="eastAsia" w:eastAsia="楷体_GB2312" w:cs="楷体_GB2312"/>
          <w:b/>
          <w:bCs/>
          <w:color w:val="auto"/>
          <w:highlight w:val="none"/>
        </w:rPr>
        <w:t>年</w:t>
      </w:r>
      <w:r>
        <w:rPr>
          <w:rFonts w:hint="eastAsia" w:eastAsia="楷体_GB2312" w:cs="楷体_GB2312"/>
          <w:b/>
          <w:bCs/>
          <w:color w:val="auto"/>
          <w:highlight w:val="none"/>
          <w:u w:val="single"/>
          <w:lang w:val="en-US" w:eastAsia="zh-CN"/>
        </w:rPr>
        <w:t>12</w:t>
      </w:r>
      <w:r>
        <w:rPr>
          <w:rFonts w:hint="eastAsia" w:eastAsia="楷体_GB2312" w:cs="楷体_GB2312"/>
          <w:b/>
          <w:bCs/>
          <w:color w:val="auto"/>
          <w:highlight w:val="none"/>
        </w:rPr>
        <w:t>月）的社会保险证明原件或者工作编制证明文件原件扫描件。（3）以上扫描件应在开标前通过全国公共资源交易平台（广西壮族自治区）成功提交并审核通过。(4)</w:t>
      </w:r>
      <w:r>
        <w:rPr>
          <w:rFonts w:hint="eastAsia" w:eastAsia="楷体_GB2312" w:cs="楷体_GB2312"/>
          <w:b/>
          <w:bCs/>
          <w:color w:val="auto"/>
          <w:highlight w:val="none"/>
          <w:u w:val="single"/>
        </w:rPr>
        <w:t xml:space="preserve">   /     </w:t>
      </w:r>
    </w:p>
    <w:p w14:paraId="129526F0">
      <w:pPr>
        <w:keepNext w:val="0"/>
        <w:keepLines w:val="0"/>
        <w:pageBreakBefore w:val="0"/>
        <w:widowControl w:val="0"/>
        <w:tabs>
          <w:tab w:val="left" w:pos="720"/>
        </w:tabs>
        <w:kinsoku/>
        <w:wordWrap/>
        <w:overflowPunct/>
        <w:topLinePunct w:val="0"/>
        <w:autoSpaceDE/>
        <w:autoSpaceDN/>
        <w:bidi w:val="0"/>
        <w:adjustRightInd/>
        <w:snapToGrid/>
        <w:spacing w:line="340" w:lineRule="exact"/>
        <w:ind w:firstLine="420" w:firstLineChars="200"/>
        <w:textAlignment w:val="auto"/>
        <w:rPr>
          <w:rFonts w:ascii="楷体" w:hAnsi="楷体" w:eastAsia="楷体"/>
          <w:color w:val="auto"/>
          <w:szCs w:val="21"/>
          <w:highlight w:val="none"/>
        </w:rPr>
        <w:sectPr>
          <w:pgSz w:w="11906" w:h="16838"/>
          <w:pgMar w:top="1440" w:right="1440" w:bottom="1440" w:left="1797" w:header="851" w:footer="851" w:gutter="0"/>
          <w:cols w:space="720" w:num="1"/>
          <w:docGrid w:linePitch="312" w:charSpace="0"/>
        </w:sectPr>
      </w:pPr>
    </w:p>
    <w:p w14:paraId="223EB188">
      <w:pPr>
        <w:pStyle w:val="2"/>
        <w:rPr>
          <w:color w:val="auto"/>
          <w:highlight w:val="none"/>
        </w:rPr>
      </w:pPr>
      <w:bookmarkStart w:id="18" w:name="_Toc21470"/>
      <w:r>
        <w:rPr>
          <w:color w:val="auto"/>
          <w:highlight w:val="none"/>
        </w:rPr>
        <w:t>投标人须知正文部分</w:t>
      </w:r>
      <w:bookmarkEnd w:id="18"/>
    </w:p>
    <w:p w14:paraId="39F27FA0">
      <w:pPr>
        <w:pStyle w:val="3"/>
        <w:rPr>
          <w:color w:val="auto"/>
          <w:highlight w:val="none"/>
        </w:rPr>
      </w:pPr>
      <w:bookmarkStart w:id="19" w:name="_Toc14186"/>
      <w:r>
        <w:rPr>
          <w:color w:val="auto"/>
          <w:highlight w:val="none"/>
        </w:rPr>
        <w:t>1 总则</w:t>
      </w:r>
      <w:bookmarkEnd w:id="19"/>
    </w:p>
    <w:p w14:paraId="2AA14FC8">
      <w:pPr>
        <w:pStyle w:val="4"/>
        <w:rPr>
          <w:color w:val="auto"/>
          <w:highlight w:val="none"/>
        </w:rPr>
      </w:pPr>
      <w:bookmarkStart w:id="20" w:name="_Toc17818"/>
      <w:r>
        <w:rPr>
          <w:color w:val="auto"/>
          <w:highlight w:val="none"/>
        </w:rPr>
        <w:t xml:space="preserve">1.1 </w:t>
      </w:r>
      <w:r>
        <w:rPr>
          <w:rFonts w:hint="eastAsia"/>
          <w:color w:val="auto"/>
          <w:highlight w:val="none"/>
        </w:rPr>
        <w:t>招标</w:t>
      </w:r>
      <w:r>
        <w:rPr>
          <w:color w:val="auto"/>
          <w:highlight w:val="none"/>
        </w:rPr>
        <w:t>项目概况</w:t>
      </w:r>
      <w:bookmarkEnd w:id="20"/>
    </w:p>
    <w:p w14:paraId="781232A3">
      <w:pPr>
        <w:spacing w:line="360" w:lineRule="auto"/>
        <w:ind w:firstLine="420" w:firstLineChars="200"/>
        <w:rPr>
          <w:color w:val="auto"/>
          <w:szCs w:val="21"/>
          <w:highlight w:val="none"/>
        </w:rPr>
      </w:pPr>
      <w:r>
        <w:rPr>
          <w:rFonts w:hint="eastAsia"/>
          <w:color w:val="auto"/>
          <w:szCs w:val="21"/>
          <w:highlight w:val="none"/>
        </w:rPr>
        <w:t>1.1.1 根据《中华人民共和国招标投标法》等有关法律、法规和规章的规定，本招标项目已具备招标条件，现对设计进行招标。</w:t>
      </w:r>
    </w:p>
    <w:p w14:paraId="6839E657">
      <w:pPr>
        <w:spacing w:line="360" w:lineRule="auto"/>
        <w:ind w:firstLine="420" w:firstLineChars="200"/>
        <w:rPr>
          <w:color w:val="auto"/>
          <w:szCs w:val="21"/>
          <w:highlight w:val="none"/>
        </w:rPr>
      </w:pPr>
      <w:r>
        <w:rPr>
          <w:rFonts w:hint="eastAsia"/>
          <w:color w:val="auto"/>
          <w:szCs w:val="21"/>
          <w:highlight w:val="none"/>
        </w:rPr>
        <w:t>1.1.2 招标人：见投标人须知前附表。</w:t>
      </w:r>
    </w:p>
    <w:p w14:paraId="69FC4AC5">
      <w:pPr>
        <w:spacing w:line="360" w:lineRule="auto"/>
        <w:ind w:firstLine="420" w:firstLineChars="200"/>
        <w:rPr>
          <w:color w:val="auto"/>
          <w:szCs w:val="21"/>
          <w:highlight w:val="none"/>
        </w:rPr>
      </w:pPr>
      <w:r>
        <w:rPr>
          <w:rFonts w:hint="eastAsia"/>
          <w:color w:val="auto"/>
          <w:szCs w:val="21"/>
          <w:highlight w:val="none"/>
        </w:rPr>
        <w:t>1.1.3 招标代理机构：见投标人须知前附表。</w:t>
      </w:r>
    </w:p>
    <w:p w14:paraId="60CE1A54">
      <w:pPr>
        <w:spacing w:line="360" w:lineRule="auto"/>
        <w:ind w:firstLine="420" w:firstLineChars="200"/>
        <w:rPr>
          <w:color w:val="auto"/>
          <w:szCs w:val="21"/>
          <w:highlight w:val="none"/>
        </w:rPr>
      </w:pPr>
      <w:r>
        <w:rPr>
          <w:rFonts w:hint="eastAsia"/>
          <w:color w:val="auto"/>
          <w:szCs w:val="21"/>
          <w:highlight w:val="none"/>
        </w:rPr>
        <w:t>1.1.4 招标项目名称及项目招标编号：见投标人须知前附表。</w:t>
      </w:r>
    </w:p>
    <w:p w14:paraId="0AB746E0">
      <w:pPr>
        <w:spacing w:line="360" w:lineRule="auto"/>
        <w:ind w:firstLine="420" w:firstLineChars="200"/>
        <w:rPr>
          <w:color w:val="auto"/>
          <w:szCs w:val="21"/>
          <w:highlight w:val="none"/>
        </w:rPr>
      </w:pPr>
      <w:r>
        <w:rPr>
          <w:rFonts w:hint="eastAsia"/>
          <w:color w:val="auto"/>
          <w:szCs w:val="21"/>
          <w:highlight w:val="none"/>
        </w:rPr>
        <w:t>1.1.5 项目建设地点：见投标人须知前附表。</w:t>
      </w:r>
    </w:p>
    <w:p w14:paraId="33F217B8">
      <w:pPr>
        <w:spacing w:line="360" w:lineRule="auto"/>
        <w:ind w:firstLine="420" w:firstLineChars="200"/>
        <w:rPr>
          <w:color w:val="auto"/>
          <w:szCs w:val="21"/>
          <w:highlight w:val="none"/>
        </w:rPr>
      </w:pPr>
      <w:r>
        <w:rPr>
          <w:rFonts w:hint="eastAsia"/>
          <w:color w:val="auto"/>
          <w:szCs w:val="21"/>
          <w:highlight w:val="none"/>
        </w:rPr>
        <w:t>1.1.6 项目建设规模：见投标人须知前附表。</w:t>
      </w:r>
    </w:p>
    <w:p w14:paraId="53DAA922">
      <w:pPr>
        <w:spacing w:line="360" w:lineRule="auto"/>
        <w:ind w:firstLine="420" w:firstLineChars="200"/>
        <w:rPr>
          <w:color w:val="auto"/>
          <w:szCs w:val="21"/>
          <w:highlight w:val="none"/>
        </w:rPr>
      </w:pPr>
      <w:r>
        <w:rPr>
          <w:rFonts w:hint="eastAsia"/>
          <w:color w:val="auto"/>
          <w:szCs w:val="21"/>
          <w:highlight w:val="none"/>
        </w:rPr>
        <w:t>1.1.7 项目投资估算：见投标人须知前附表。</w:t>
      </w:r>
    </w:p>
    <w:p w14:paraId="7953F358">
      <w:pPr>
        <w:spacing w:line="360" w:lineRule="auto"/>
        <w:ind w:firstLine="420" w:firstLineChars="200"/>
        <w:rPr>
          <w:color w:val="auto"/>
          <w:szCs w:val="21"/>
          <w:highlight w:val="none"/>
        </w:rPr>
      </w:pPr>
      <w:r>
        <w:rPr>
          <w:rFonts w:hint="eastAsia"/>
          <w:color w:val="auto"/>
          <w:szCs w:val="21"/>
          <w:highlight w:val="none"/>
        </w:rPr>
        <w:t>1.1.8 设计招标方式：见投标人须知前附表。</w:t>
      </w:r>
    </w:p>
    <w:p w14:paraId="42A30C68">
      <w:pPr>
        <w:pStyle w:val="4"/>
        <w:rPr>
          <w:color w:val="auto"/>
          <w:highlight w:val="none"/>
        </w:rPr>
      </w:pPr>
      <w:bookmarkStart w:id="21" w:name="_Toc17213"/>
      <w:r>
        <w:rPr>
          <w:color w:val="auto"/>
          <w:highlight w:val="none"/>
        </w:rPr>
        <w:t>1.2</w:t>
      </w:r>
      <w:r>
        <w:rPr>
          <w:rFonts w:hint="eastAsia"/>
          <w:color w:val="auto"/>
          <w:highlight w:val="none"/>
        </w:rPr>
        <w:t>招标项目的资金来源和落实</w:t>
      </w:r>
      <w:r>
        <w:rPr>
          <w:rFonts w:hint="eastAsia" w:cs="黑体"/>
          <w:color w:val="auto"/>
          <w:highlight w:val="none"/>
        </w:rPr>
        <w:t>及增值税计税方法</w:t>
      </w:r>
      <w:r>
        <w:rPr>
          <w:rFonts w:hint="eastAsia"/>
          <w:color w:val="auto"/>
          <w:highlight w:val="none"/>
        </w:rPr>
        <w:t>情况</w:t>
      </w:r>
      <w:bookmarkEnd w:id="21"/>
    </w:p>
    <w:p w14:paraId="0D061F1E">
      <w:pPr>
        <w:spacing w:line="360" w:lineRule="auto"/>
        <w:ind w:firstLine="420" w:firstLineChars="200"/>
        <w:rPr>
          <w:color w:val="auto"/>
          <w:highlight w:val="none"/>
        </w:rPr>
      </w:pPr>
      <w:r>
        <w:rPr>
          <w:color w:val="auto"/>
          <w:highlight w:val="none"/>
        </w:rPr>
        <w:t xml:space="preserve">1.2.1 </w:t>
      </w:r>
      <w:r>
        <w:rPr>
          <w:rFonts w:hint="eastAsia" w:cs="宋体"/>
          <w:color w:val="auto"/>
          <w:highlight w:val="none"/>
        </w:rPr>
        <w:t>本招标项目的资金来源：见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27ACA272">
      <w:pPr>
        <w:spacing w:line="360" w:lineRule="auto"/>
        <w:ind w:firstLine="420" w:firstLineChars="200"/>
        <w:rPr>
          <w:color w:val="auto"/>
          <w:highlight w:val="none"/>
        </w:rPr>
      </w:pPr>
      <w:r>
        <w:rPr>
          <w:color w:val="auto"/>
          <w:highlight w:val="none"/>
        </w:rPr>
        <w:t xml:space="preserve">1.2.2 </w:t>
      </w:r>
      <w:r>
        <w:rPr>
          <w:rFonts w:hint="eastAsia" w:cs="宋体"/>
          <w:color w:val="auto"/>
          <w:highlight w:val="none"/>
        </w:rPr>
        <w:t>本招标项目的出资比例：见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3179D647">
      <w:pPr>
        <w:spacing w:line="360" w:lineRule="auto"/>
        <w:ind w:firstLine="420" w:firstLineChars="200"/>
        <w:rPr>
          <w:rFonts w:cs="宋体"/>
          <w:color w:val="auto"/>
          <w:highlight w:val="none"/>
        </w:rPr>
      </w:pPr>
      <w:r>
        <w:rPr>
          <w:color w:val="auto"/>
          <w:highlight w:val="none"/>
        </w:rPr>
        <w:t xml:space="preserve">1.2.3 </w:t>
      </w:r>
      <w:r>
        <w:rPr>
          <w:rFonts w:hint="eastAsia" w:cs="宋体"/>
          <w:color w:val="auto"/>
          <w:highlight w:val="none"/>
        </w:rPr>
        <w:t>本招标项目的资金落实情况：见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64FFA5FC">
      <w:pPr>
        <w:spacing w:line="360" w:lineRule="auto"/>
        <w:ind w:firstLine="420" w:firstLineChars="200"/>
        <w:rPr>
          <w:color w:val="auto"/>
          <w:highlight w:val="none"/>
        </w:rPr>
      </w:pPr>
      <w:r>
        <w:rPr>
          <w:rFonts w:hint="eastAsia" w:cs="宋体"/>
          <w:color w:val="auto"/>
          <w:highlight w:val="none"/>
        </w:rPr>
        <w:t>1.2.4本招标项目的增值税计税方法：见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47F081D1">
      <w:pPr>
        <w:pStyle w:val="4"/>
        <w:rPr>
          <w:color w:val="auto"/>
          <w:highlight w:val="none"/>
        </w:rPr>
      </w:pPr>
      <w:bookmarkStart w:id="22" w:name="_Toc6577"/>
      <w:r>
        <w:rPr>
          <w:color w:val="auto"/>
          <w:highlight w:val="none"/>
        </w:rPr>
        <w:t>1.3 招标范围、</w:t>
      </w:r>
      <w:r>
        <w:rPr>
          <w:rFonts w:hint="eastAsia"/>
          <w:color w:val="auto"/>
          <w:highlight w:val="none"/>
        </w:rPr>
        <w:t>设计服务期限</w:t>
      </w:r>
      <w:r>
        <w:rPr>
          <w:color w:val="auto"/>
          <w:highlight w:val="none"/>
        </w:rPr>
        <w:t>和质量</w:t>
      </w:r>
      <w:r>
        <w:rPr>
          <w:rFonts w:hint="eastAsia"/>
          <w:color w:val="auto"/>
          <w:highlight w:val="none"/>
        </w:rPr>
        <w:t>等</w:t>
      </w:r>
      <w:r>
        <w:rPr>
          <w:color w:val="auto"/>
          <w:highlight w:val="none"/>
        </w:rPr>
        <w:t>要求</w:t>
      </w:r>
      <w:bookmarkEnd w:id="22"/>
    </w:p>
    <w:p w14:paraId="09D10E3A">
      <w:pPr>
        <w:spacing w:line="360" w:lineRule="auto"/>
        <w:ind w:firstLine="420" w:firstLineChars="200"/>
        <w:rPr>
          <w:rFonts w:cs="宋体"/>
          <w:color w:val="auto"/>
          <w:highlight w:val="none"/>
        </w:rPr>
      </w:pPr>
      <w:r>
        <w:rPr>
          <w:rFonts w:hint="eastAsia" w:cs="宋体"/>
          <w:color w:val="auto"/>
          <w:highlight w:val="none"/>
        </w:rPr>
        <w:t>1.3.1 本次招标范围：见“投标人须知前附表”。</w:t>
      </w:r>
    </w:p>
    <w:p w14:paraId="03AC300F">
      <w:pPr>
        <w:spacing w:line="360" w:lineRule="auto"/>
        <w:ind w:firstLine="420" w:firstLineChars="200"/>
        <w:rPr>
          <w:rFonts w:cs="宋体"/>
          <w:color w:val="auto"/>
          <w:highlight w:val="none"/>
        </w:rPr>
      </w:pPr>
      <w:r>
        <w:rPr>
          <w:rFonts w:hint="eastAsia" w:cs="宋体"/>
          <w:color w:val="auto"/>
          <w:highlight w:val="none"/>
        </w:rPr>
        <w:t>1.3.2 本项目要求的设计服务期限：见“投标人须知前附表”。</w:t>
      </w:r>
    </w:p>
    <w:p w14:paraId="2E8E08BB">
      <w:pPr>
        <w:spacing w:line="360" w:lineRule="auto"/>
        <w:ind w:firstLine="420" w:firstLineChars="200"/>
        <w:rPr>
          <w:rFonts w:cs="宋体"/>
          <w:color w:val="auto"/>
          <w:highlight w:val="none"/>
        </w:rPr>
      </w:pPr>
      <w:r>
        <w:rPr>
          <w:rFonts w:hint="eastAsia" w:cs="宋体"/>
          <w:color w:val="auto"/>
          <w:highlight w:val="none"/>
        </w:rPr>
        <w:t>1.3.3 本项目的质量要求：见“投标人须知前附表”。</w:t>
      </w:r>
    </w:p>
    <w:p w14:paraId="2968AC50">
      <w:pPr>
        <w:pStyle w:val="4"/>
        <w:rPr>
          <w:color w:val="auto"/>
          <w:highlight w:val="none"/>
        </w:rPr>
      </w:pPr>
      <w:bookmarkStart w:id="23" w:name="_Toc4207"/>
      <w:r>
        <w:rPr>
          <w:color w:val="auto"/>
          <w:highlight w:val="none"/>
        </w:rPr>
        <w:t>1.4 投标人资格要求</w:t>
      </w:r>
      <w:bookmarkEnd w:id="23"/>
    </w:p>
    <w:p w14:paraId="2236B9C0">
      <w:pPr>
        <w:spacing w:line="360" w:lineRule="auto"/>
        <w:ind w:firstLine="420" w:firstLineChars="200"/>
        <w:rPr>
          <w:color w:val="auto"/>
          <w:szCs w:val="21"/>
          <w:highlight w:val="none"/>
        </w:rPr>
      </w:pPr>
      <w:r>
        <w:rPr>
          <w:color w:val="auto"/>
          <w:szCs w:val="21"/>
          <w:highlight w:val="none"/>
        </w:rPr>
        <w:t>1.4.1 投标人应具备承担本</w:t>
      </w:r>
      <w:r>
        <w:rPr>
          <w:rFonts w:hint="eastAsia"/>
          <w:color w:val="auto"/>
          <w:szCs w:val="21"/>
          <w:highlight w:val="none"/>
        </w:rPr>
        <w:t>招标</w:t>
      </w:r>
      <w:r>
        <w:rPr>
          <w:color w:val="auto"/>
          <w:szCs w:val="21"/>
          <w:highlight w:val="none"/>
        </w:rPr>
        <w:t>项目的资质条件、能力、</w:t>
      </w:r>
      <w:r>
        <w:rPr>
          <w:rFonts w:hint="eastAsia"/>
          <w:color w:val="auto"/>
          <w:szCs w:val="21"/>
          <w:highlight w:val="none"/>
        </w:rPr>
        <w:t>诚信等要求</w:t>
      </w:r>
      <w:r>
        <w:rPr>
          <w:color w:val="auto"/>
          <w:szCs w:val="21"/>
          <w:highlight w:val="none"/>
        </w:rPr>
        <w:t>。</w:t>
      </w:r>
    </w:p>
    <w:p w14:paraId="2EBFDEF7">
      <w:pPr>
        <w:spacing w:line="360" w:lineRule="auto"/>
        <w:ind w:firstLine="420" w:firstLineChars="200"/>
        <w:rPr>
          <w:color w:val="auto"/>
          <w:szCs w:val="21"/>
          <w:highlight w:val="none"/>
        </w:rPr>
      </w:pPr>
      <w:r>
        <w:rPr>
          <w:color w:val="auto"/>
          <w:szCs w:val="21"/>
          <w:highlight w:val="none"/>
        </w:rPr>
        <w:t>（1）资质</w:t>
      </w:r>
      <w:r>
        <w:rPr>
          <w:rFonts w:hint="eastAsia"/>
          <w:color w:val="auto"/>
          <w:szCs w:val="21"/>
          <w:highlight w:val="none"/>
        </w:rPr>
        <w:t>要求</w:t>
      </w:r>
      <w:r>
        <w:rPr>
          <w:color w:val="auto"/>
          <w:szCs w:val="21"/>
          <w:highlight w:val="none"/>
        </w:rPr>
        <w:t>：见</w:t>
      </w:r>
      <w:r>
        <w:rPr>
          <w:rFonts w:hint="eastAsia"/>
          <w:color w:val="auto"/>
          <w:szCs w:val="21"/>
          <w:highlight w:val="none"/>
        </w:rPr>
        <w:t>投标人须知前附表</w:t>
      </w:r>
      <w:r>
        <w:rPr>
          <w:color w:val="auto"/>
          <w:szCs w:val="21"/>
          <w:highlight w:val="none"/>
        </w:rPr>
        <w:t>；</w:t>
      </w:r>
    </w:p>
    <w:p w14:paraId="73ED9408">
      <w:pPr>
        <w:spacing w:line="360" w:lineRule="auto"/>
        <w:ind w:firstLine="420" w:firstLineChars="200"/>
        <w:rPr>
          <w:color w:val="auto"/>
          <w:szCs w:val="21"/>
          <w:highlight w:val="none"/>
        </w:rPr>
      </w:pPr>
      <w:r>
        <w:rPr>
          <w:color w:val="auto"/>
          <w:szCs w:val="21"/>
          <w:highlight w:val="none"/>
        </w:rPr>
        <w:t>（2）财务要求：见</w:t>
      </w:r>
      <w:r>
        <w:rPr>
          <w:rFonts w:hint="eastAsia"/>
          <w:color w:val="auto"/>
          <w:szCs w:val="21"/>
          <w:highlight w:val="none"/>
        </w:rPr>
        <w:t>投标人须知前附表</w:t>
      </w:r>
      <w:r>
        <w:rPr>
          <w:color w:val="auto"/>
          <w:szCs w:val="21"/>
          <w:highlight w:val="none"/>
        </w:rPr>
        <w:t>；</w:t>
      </w:r>
    </w:p>
    <w:p w14:paraId="3BDCCB4C">
      <w:pPr>
        <w:spacing w:line="360" w:lineRule="auto"/>
        <w:ind w:firstLine="420" w:firstLineChars="200"/>
        <w:rPr>
          <w:color w:val="auto"/>
          <w:szCs w:val="21"/>
          <w:highlight w:val="none"/>
        </w:rPr>
      </w:pPr>
      <w:r>
        <w:rPr>
          <w:rFonts w:hint="eastAsia"/>
          <w:color w:val="auto"/>
          <w:szCs w:val="21"/>
          <w:highlight w:val="none"/>
          <w:lang w:val="en"/>
        </w:rPr>
        <w:t>（</w:t>
      </w:r>
      <w:r>
        <w:rPr>
          <w:rFonts w:hint="eastAsia"/>
          <w:color w:val="auto"/>
          <w:szCs w:val="21"/>
          <w:highlight w:val="none"/>
        </w:rPr>
        <w:t>3</w:t>
      </w:r>
      <w:r>
        <w:rPr>
          <w:rFonts w:hint="eastAsia"/>
          <w:color w:val="auto"/>
          <w:szCs w:val="21"/>
          <w:highlight w:val="none"/>
          <w:lang w:val="en"/>
        </w:rPr>
        <w:t>）</w:t>
      </w:r>
      <w:r>
        <w:rPr>
          <w:color w:val="auto"/>
          <w:szCs w:val="21"/>
          <w:highlight w:val="none"/>
          <w:lang w:val="en"/>
        </w:rPr>
        <w:t>业绩要求：</w:t>
      </w:r>
      <w:r>
        <w:rPr>
          <w:color w:val="auto"/>
          <w:szCs w:val="21"/>
          <w:highlight w:val="none"/>
        </w:rPr>
        <w:t>见投标人须知前附表；</w:t>
      </w:r>
    </w:p>
    <w:p w14:paraId="199B4B2B">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4</w:t>
      </w:r>
      <w:r>
        <w:rPr>
          <w:color w:val="auto"/>
          <w:szCs w:val="21"/>
          <w:highlight w:val="none"/>
        </w:rPr>
        <w:t>）</w:t>
      </w:r>
      <w:r>
        <w:rPr>
          <w:rFonts w:hint="eastAsia"/>
          <w:color w:val="auto"/>
          <w:szCs w:val="21"/>
          <w:highlight w:val="none"/>
        </w:rPr>
        <w:t>诚信</w:t>
      </w:r>
      <w:r>
        <w:rPr>
          <w:color w:val="auto"/>
          <w:szCs w:val="21"/>
          <w:highlight w:val="none"/>
        </w:rPr>
        <w:t>要求：见</w:t>
      </w:r>
      <w:r>
        <w:rPr>
          <w:rFonts w:hint="eastAsia"/>
          <w:color w:val="auto"/>
          <w:szCs w:val="21"/>
          <w:highlight w:val="none"/>
        </w:rPr>
        <w:t>投标人须知前附表</w:t>
      </w:r>
      <w:r>
        <w:rPr>
          <w:color w:val="auto"/>
          <w:szCs w:val="21"/>
          <w:highlight w:val="none"/>
        </w:rPr>
        <w:t>；</w:t>
      </w:r>
    </w:p>
    <w:p w14:paraId="712181C8">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5</w:t>
      </w:r>
      <w:r>
        <w:rPr>
          <w:color w:val="auto"/>
          <w:szCs w:val="21"/>
          <w:highlight w:val="none"/>
        </w:rPr>
        <w:t>）项目</w:t>
      </w:r>
      <w:r>
        <w:rPr>
          <w:rFonts w:hint="eastAsia"/>
          <w:color w:val="auto"/>
          <w:szCs w:val="21"/>
          <w:highlight w:val="none"/>
        </w:rPr>
        <w:t>负责人的资格要求</w:t>
      </w:r>
      <w:r>
        <w:rPr>
          <w:color w:val="auto"/>
          <w:szCs w:val="21"/>
          <w:highlight w:val="none"/>
        </w:rPr>
        <w:t>：</w:t>
      </w:r>
      <w:r>
        <w:rPr>
          <w:rFonts w:hint="eastAsia"/>
          <w:color w:val="auto"/>
          <w:szCs w:val="21"/>
          <w:highlight w:val="none"/>
        </w:rPr>
        <w:t>见投标人须知前附表</w:t>
      </w:r>
      <w:r>
        <w:rPr>
          <w:color w:val="auto"/>
          <w:szCs w:val="21"/>
          <w:highlight w:val="none"/>
        </w:rPr>
        <w:t>；</w:t>
      </w:r>
    </w:p>
    <w:p w14:paraId="4C3AE5E6">
      <w:pPr>
        <w:spacing w:line="360" w:lineRule="auto"/>
        <w:ind w:firstLine="420" w:firstLineChars="200"/>
        <w:rPr>
          <w:color w:val="auto"/>
          <w:szCs w:val="21"/>
          <w:highlight w:val="none"/>
        </w:rPr>
      </w:pPr>
      <w:r>
        <w:rPr>
          <w:rFonts w:hint="eastAsia" w:ascii="宋体" w:hAnsi="宋体"/>
          <w:color w:val="auto"/>
          <w:szCs w:val="21"/>
          <w:highlight w:val="none"/>
        </w:rPr>
        <w:t>（6）项目</w:t>
      </w:r>
      <w:r>
        <w:rPr>
          <w:rFonts w:ascii="宋体" w:hAnsi="宋体"/>
          <w:color w:val="auto"/>
          <w:szCs w:val="21"/>
          <w:highlight w:val="none"/>
        </w:rPr>
        <w:t>组人员要求</w:t>
      </w:r>
      <w:r>
        <w:rPr>
          <w:rFonts w:hint="eastAsia" w:ascii="宋体" w:hAnsi="宋体"/>
          <w:color w:val="auto"/>
          <w:szCs w:val="21"/>
          <w:highlight w:val="none"/>
        </w:rPr>
        <w:t>：</w:t>
      </w:r>
      <w:r>
        <w:rPr>
          <w:rFonts w:hint="eastAsia"/>
          <w:color w:val="auto"/>
          <w:szCs w:val="21"/>
          <w:highlight w:val="none"/>
        </w:rPr>
        <w:t>见投标人须知前附表</w:t>
      </w:r>
      <w:r>
        <w:rPr>
          <w:color w:val="auto"/>
          <w:szCs w:val="21"/>
          <w:highlight w:val="none"/>
        </w:rPr>
        <w:t>；</w:t>
      </w:r>
    </w:p>
    <w:p w14:paraId="4A2BF6CD">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7</w:t>
      </w:r>
      <w:r>
        <w:rPr>
          <w:color w:val="auto"/>
          <w:szCs w:val="21"/>
          <w:highlight w:val="none"/>
        </w:rPr>
        <w:t>）其他要求：见</w:t>
      </w:r>
      <w:r>
        <w:rPr>
          <w:rFonts w:hint="eastAsia"/>
          <w:color w:val="auto"/>
          <w:szCs w:val="21"/>
          <w:highlight w:val="none"/>
        </w:rPr>
        <w:t>投标人须知前附表</w:t>
      </w:r>
      <w:r>
        <w:rPr>
          <w:color w:val="auto"/>
          <w:szCs w:val="21"/>
          <w:highlight w:val="none"/>
        </w:rPr>
        <w:t>。</w:t>
      </w:r>
    </w:p>
    <w:p w14:paraId="25B2638D">
      <w:pPr>
        <w:spacing w:line="360" w:lineRule="auto"/>
        <w:ind w:firstLine="420" w:firstLineChars="200"/>
        <w:rPr>
          <w:color w:val="auto"/>
          <w:szCs w:val="21"/>
          <w:highlight w:val="none"/>
        </w:rPr>
      </w:pPr>
      <w:r>
        <w:rPr>
          <w:rFonts w:hint="eastAsia"/>
          <w:color w:val="auto"/>
          <w:szCs w:val="21"/>
          <w:highlight w:val="none"/>
        </w:rPr>
        <w:t>1.4.2 投标人须知前附表规定接受联合体投标的，联合体除应符合本章第1.4.1项和投标人须知前附表的要求外，还应遵守以下规定：</w:t>
      </w:r>
    </w:p>
    <w:p w14:paraId="3DFE75DE">
      <w:pPr>
        <w:spacing w:line="360" w:lineRule="auto"/>
        <w:ind w:firstLine="420" w:firstLineChars="200"/>
        <w:rPr>
          <w:color w:val="auto"/>
          <w:szCs w:val="21"/>
          <w:highlight w:val="none"/>
        </w:rPr>
      </w:pPr>
      <w:r>
        <w:rPr>
          <w:rFonts w:hint="eastAsia"/>
          <w:color w:val="auto"/>
          <w:szCs w:val="21"/>
          <w:highlight w:val="none"/>
        </w:rPr>
        <w:t>（1）联合体各方应按招标文件提供的格式签订联合体协议书，明确联合体牵头人和各方权利义务，并承诺就中标项目向招标人承担连带责任；</w:t>
      </w:r>
    </w:p>
    <w:p w14:paraId="5B40DD2E">
      <w:pPr>
        <w:spacing w:line="360" w:lineRule="auto"/>
        <w:ind w:firstLine="420" w:firstLineChars="200"/>
        <w:rPr>
          <w:color w:val="auto"/>
          <w:szCs w:val="21"/>
          <w:highlight w:val="none"/>
        </w:rPr>
      </w:pPr>
      <w:r>
        <w:rPr>
          <w:rFonts w:hint="eastAsia"/>
          <w:color w:val="auto"/>
          <w:szCs w:val="21"/>
          <w:highlight w:val="none"/>
        </w:rPr>
        <w:t>（2）由同一专业的单位组成的联合体，按照资质等级较低的单位确定资质等级；</w:t>
      </w:r>
    </w:p>
    <w:p w14:paraId="35439ABA">
      <w:pPr>
        <w:spacing w:line="360" w:lineRule="auto"/>
        <w:ind w:firstLine="420" w:firstLineChars="200"/>
        <w:rPr>
          <w:color w:val="auto"/>
          <w:szCs w:val="21"/>
          <w:highlight w:val="none"/>
        </w:rPr>
      </w:pPr>
      <w:r>
        <w:rPr>
          <w:rFonts w:hint="eastAsia"/>
          <w:color w:val="auto"/>
          <w:szCs w:val="21"/>
          <w:highlight w:val="none"/>
        </w:rPr>
        <w:t>（3）联合体各方不得再以自己名义单独或参加其他联合体在本招标项目中投标，否则各相关投标均无效。</w:t>
      </w:r>
    </w:p>
    <w:p w14:paraId="364799A4">
      <w:pPr>
        <w:spacing w:line="360" w:lineRule="auto"/>
        <w:ind w:firstLine="420" w:firstLineChars="200"/>
        <w:rPr>
          <w:color w:val="auto"/>
          <w:szCs w:val="21"/>
          <w:highlight w:val="none"/>
        </w:rPr>
      </w:pPr>
      <w:r>
        <w:rPr>
          <w:rFonts w:hint="eastAsia"/>
          <w:color w:val="auto"/>
          <w:szCs w:val="21"/>
          <w:highlight w:val="none"/>
        </w:rPr>
        <w:t>1.4.3 投标人不得存在下列情形之一：</w:t>
      </w:r>
    </w:p>
    <w:p w14:paraId="46DF431B">
      <w:pPr>
        <w:spacing w:line="360" w:lineRule="auto"/>
        <w:ind w:firstLine="420" w:firstLineChars="200"/>
        <w:rPr>
          <w:color w:val="auto"/>
          <w:szCs w:val="21"/>
          <w:highlight w:val="none"/>
        </w:rPr>
      </w:pPr>
      <w:r>
        <w:rPr>
          <w:rFonts w:hint="eastAsia"/>
          <w:color w:val="auto"/>
          <w:szCs w:val="21"/>
          <w:highlight w:val="none"/>
        </w:rPr>
        <w:t>（1）为招标人不具有独立法人资格的附属机构（单位）；</w:t>
      </w:r>
    </w:p>
    <w:p w14:paraId="67AED7DD">
      <w:pPr>
        <w:spacing w:line="360" w:lineRule="auto"/>
        <w:ind w:firstLine="420" w:firstLineChars="200"/>
        <w:rPr>
          <w:color w:val="auto"/>
          <w:szCs w:val="21"/>
          <w:highlight w:val="none"/>
        </w:rPr>
      </w:pPr>
      <w:r>
        <w:rPr>
          <w:rFonts w:hint="eastAsia"/>
          <w:color w:val="auto"/>
          <w:szCs w:val="21"/>
          <w:highlight w:val="none"/>
        </w:rPr>
        <w:t>（2）与招标人存在利害关系且可能影响招标公正性的法人、其他组织；</w:t>
      </w:r>
    </w:p>
    <w:p w14:paraId="3BAE1124">
      <w:pPr>
        <w:spacing w:line="360" w:lineRule="auto"/>
        <w:ind w:firstLine="420" w:firstLineChars="200"/>
        <w:rPr>
          <w:color w:val="auto"/>
          <w:szCs w:val="21"/>
          <w:highlight w:val="none"/>
        </w:rPr>
      </w:pPr>
      <w:r>
        <w:rPr>
          <w:rFonts w:hint="eastAsia"/>
          <w:color w:val="auto"/>
          <w:szCs w:val="21"/>
          <w:highlight w:val="none"/>
        </w:rPr>
        <w:t>（3）与本招标项目的其他投标人为同一个单位负责人；</w:t>
      </w:r>
    </w:p>
    <w:p w14:paraId="2E8B87E7">
      <w:pPr>
        <w:spacing w:line="360" w:lineRule="auto"/>
        <w:ind w:firstLine="420" w:firstLineChars="200"/>
        <w:rPr>
          <w:color w:val="auto"/>
          <w:szCs w:val="21"/>
          <w:highlight w:val="none"/>
        </w:rPr>
      </w:pPr>
      <w:r>
        <w:rPr>
          <w:rFonts w:hint="eastAsia"/>
          <w:color w:val="auto"/>
          <w:szCs w:val="21"/>
          <w:highlight w:val="none"/>
        </w:rPr>
        <w:t>（4）与本招标项目的其他投标人存在控股、参股、隶属或其他管理关系；</w:t>
      </w:r>
    </w:p>
    <w:p w14:paraId="1EE84A82">
      <w:pPr>
        <w:spacing w:line="360" w:lineRule="auto"/>
        <w:ind w:firstLine="420" w:firstLineChars="200"/>
        <w:rPr>
          <w:color w:val="auto"/>
          <w:szCs w:val="21"/>
          <w:highlight w:val="none"/>
        </w:rPr>
      </w:pPr>
      <w:r>
        <w:rPr>
          <w:rFonts w:hint="eastAsia"/>
          <w:color w:val="auto"/>
          <w:szCs w:val="21"/>
          <w:highlight w:val="none"/>
        </w:rPr>
        <w:t>（5）为本招标项目的代建人；</w:t>
      </w:r>
    </w:p>
    <w:p w14:paraId="6DA78E29">
      <w:pPr>
        <w:spacing w:line="360" w:lineRule="auto"/>
        <w:ind w:firstLine="420" w:firstLineChars="200"/>
        <w:rPr>
          <w:color w:val="auto"/>
          <w:szCs w:val="21"/>
          <w:highlight w:val="none"/>
        </w:rPr>
      </w:pPr>
      <w:r>
        <w:rPr>
          <w:rFonts w:hint="eastAsia"/>
          <w:color w:val="auto"/>
          <w:szCs w:val="21"/>
          <w:highlight w:val="none"/>
        </w:rPr>
        <w:t>（6）为本招标项目的招标代理机构；</w:t>
      </w:r>
    </w:p>
    <w:p w14:paraId="232AA765">
      <w:pPr>
        <w:spacing w:line="360" w:lineRule="auto"/>
        <w:ind w:firstLine="420" w:firstLineChars="200"/>
        <w:rPr>
          <w:color w:val="auto"/>
          <w:szCs w:val="21"/>
          <w:highlight w:val="none"/>
        </w:rPr>
      </w:pPr>
      <w:r>
        <w:rPr>
          <w:rFonts w:hint="eastAsia"/>
          <w:color w:val="auto"/>
          <w:szCs w:val="21"/>
          <w:highlight w:val="none"/>
        </w:rPr>
        <w:t>（7）与本招标项目的代建人或招标代理机构同为一个法定代表人，</w:t>
      </w:r>
      <w:r>
        <w:rPr>
          <w:rFonts w:hint="eastAsia" w:hAnsi="宋体"/>
          <w:color w:val="auto"/>
          <w:szCs w:val="21"/>
          <w:highlight w:val="none"/>
        </w:rPr>
        <w:t>或</w:t>
      </w:r>
      <w:r>
        <w:rPr>
          <w:rFonts w:hAnsi="宋体"/>
          <w:color w:val="auto"/>
          <w:szCs w:val="21"/>
          <w:highlight w:val="none"/>
        </w:rPr>
        <w:t>相互控股或参股的</w:t>
      </w:r>
      <w:r>
        <w:rPr>
          <w:rFonts w:hint="eastAsia"/>
          <w:color w:val="auto"/>
          <w:szCs w:val="21"/>
          <w:highlight w:val="none"/>
        </w:rPr>
        <w:t>；</w:t>
      </w:r>
    </w:p>
    <w:p w14:paraId="4AEDE45C">
      <w:pPr>
        <w:spacing w:line="360" w:lineRule="auto"/>
        <w:ind w:firstLine="420" w:firstLineChars="200"/>
        <w:rPr>
          <w:color w:val="auto"/>
          <w:szCs w:val="21"/>
          <w:highlight w:val="none"/>
        </w:rPr>
      </w:pPr>
      <w:r>
        <w:rPr>
          <w:rFonts w:hint="eastAsia"/>
          <w:color w:val="auto"/>
          <w:szCs w:val="21"/>
          <w:highlight w:val="none"/>
        </w:rPr>
        <w:t>（8）被依法暂停或者取消投标资格；</w:t>
      </w:r>
    </w:p>
    <w:p w14:paraId="68FE3790">
      <w:pPr>
        <w:spacing w:line="360" w:lineRule="auto"/>
        <w:ind w:firstLine="420" w:firstLineChars="200"/>
        <w:rPr>
          <w:color w:val="auto"/>
          <w:szCs w:val="21"/>
          <w:highlight w:val="none"/>
        </w:rPr>
      </w:pPr>
      <w:r>
        <w:rPr>
          <w:rFonts w:hint="eastAsia"/>
          <w:color w:val="auto"/>
          <w:szCs w:val="21"/>
          <w:highlight w:val="none"/>
        </w:rPr>
        <w:t>（9）被责令停产停业、暂扣或者吊销许可证、暂扣或者吊销执照；</w:t>
      </w:r>
    </w:p>
    <w:p w14:paraId="382222F6">
      <w:pPr>
        <w:spacing w:line="360" w:lineRule="auto"/>
        <w:ind w:firstLine="420" w:firstLineChars="200"/>
        <w:rPr>
          <w:color w:val="auto"/>
          <w:szCs w:val="21"/>
          <w:highlight w:val="none"/>
        </w:rPr>
      </w:pPr>
      <w:r>
        <w:rPr>
          <w:rFonts w:hint="eastAsia"/>
          <w:color w:val="auto"/>
          <w:szCs w:val="21"/>
          <w:highlight w:val="none"/>
        </w:rPr>
        <w:t>（10）进入清算程序，或被宣告破产，或其他丧失履约能力的情形；</w:t>
      </w:r>
    </w:p>
    <w:p w14:paraId="004EA7FC">
      <w:pPr>
        <w:spacing w:line="360" w:lineRule="auto"/>
        <w:ind w:firstLine="420" w:firstLineChars="200"/>
        <w:rPr>
          <w:color w:val="auto"/>
          <w:szCs w:val="21"/>
          <w:highlight w:val="none"/>
        </w:rPr>
      </w:pPr>
      <w:r>
        <w:rPr>
          <w:rFonts w:hint="eastAsia"/>
          <w:color w:val="auto"/>
          <w:szCs w:val="21"/>
          <w:highlight w:val="none"/>
        </w:rPr>
        <w:t>（11）</w:t>
      </w:r>
      <w:r>
        <w:rPr>
          <w:rFonts w:hint="eastAsia" w:cs="宋体"/>
          <w:color w:val="auto"/>
          <w:highlight w:val="none"/>
        </w:rPr>
        <w:t>在本行政区域被暂停或取消投标资格的</w:t>
      </w:r>
      <w:r>
        <w:rPr>
          <w:rFonts w:hint="eastAsia"/>
          <w:color w:val="auto"/>
          <w:szCs w:val="21"/>
          <w:highlight w:val="none"/>
        </w:rPr>
        <w:t>；</w:t>
      </w:r>
    </w:p>
    <w:p w14:paraId="423E048D">
      <w:pPr>
        <w:spacing w:line="360" w:lineRule="auto"/>
        <w:ind w:firstLine="420" w:firstLineChars="200"/>
        <w:rPr>
          <w:color w:val="auto"/>
          <w:szCs w:val="21"/>
          <w:highlight w:val="none"/>
        </w:rPr>
      </w:pPr>
      <w:r>
        <w:rPr>
          <w:rFonts w:hint="eastAsia"/>
          <w:color w:val="auto"/>
          <w:szCs w:val="21"/>
          <w:highlight w:val="none"/>
        </w:rPr>
        <w:t>（12）</w:t>
      </w:r>
      <w:r>
        <w:rPr>
          <w:rFonts w:hint="eastAsia" w:cs="宋体"/>
          <w:color w:val="auto"/>
          <w:highlight w:val="none"/>
        </w:rPr>
        <w:t>财产被接管或或基本账户被冻结的</w:t>
      </w:r>
      <w:r>
        <w:rPr>
          <w:rFonts w:hint="eastAsia"/>
          <w:color w:val="auto"/>
          <w:szCs w:val="21"/>
          <w:highlight w:val="none"/>
        </w:rPr>
        <w:t>；</w:t>
      </w:r>
    </w:p>
    <w:p w14:paraId="0B70CEEA">
      <w:pPr>
        <w:spacing w:line="360" w:lineRule="auto"/>
        <w:ind w:firstLine="420" w:firstLineChars="200"/>
        <w:rPr>
          <w:rFonts w:cs="宋体"/>
          <w:color w:val="auto"/>
          <w:highlight w:val="none"/>
        </w:rPr>
      </w:pPr>
      <w:r>
        <w:rPr>
          <w:rFonts w:hint="eastAsia"/>
          <w:color w:val="auto"/>
          <w:szCs w:val="21"/>
          <w:highlight w:val="none"/>
        </w:rPr>
        <w:t>（13）</w:t>
      </w:r>
      <w:r>
        <w:rPr>
          <w:rFonts w:hint="eastAsia" w:cs="宋体"/>
          <w:color w:val="auto"/>
          <w:highlight w:val="none"/>
        </w:rPr>
        <w:t>有骗取中标或严重违约或工程质量安全问题，在本行政区域正处在停业整顿或暂停投标期间的；</w:t>
      </w:r>
    </w:p>
    <w:p w14:paraId="1E0A6F31">
      <w:pPr>
        <w:spacing w:line="400" w:lineRule="exact"/>
        <w:ind w:firstLine="357" w:firstLineChars="170"/>
        <w:rPr>
          <w:rFonts w:ascii="宋体" w:hAnsi="宋体"/>
          <w:color w:val="auto"/>
          <w:szCs w:val="21"/>
          <w:highlight w:val="none"/>
        </w:rPr>
      </w:pPr>
      <w:r>
        <w:rPr>
          <w:rFonts w:hint="eastAsia" w:ascii="宋体" w:hAnsi="宋体"/>
          <w:color w:val="auto"/>
          <w:szCs w:val="21"/>
          <w:highlight w:val="none"/>
        </w:rPr>
        <w:t>（14）法定代表人或拟投入本项目管理人员与本标段的代建单位或招标代理机构相互任职或工作的；</w:t>
      </w:r>
    </w:p>
    <w:p w14:paraId="79592BC5">
      <w:pPr>
        <w:spacing w:line="360" w:lineRule="auto"/>
        <w:ind w:firstLine="420" w:firstLineChars="200"/>
        <w:rPr>
          <w:rFonts w:cs="宋体"/>
          <w:color w:val="auto"/>
          <w:highlight w:val="none"/>
        </w:rPr>
      </w:pPr>
    </w:p>
    <w:p w14:paraId="77B45F22">
      <w:pPr>
        <w:spacing w:line="360" w:lineRule="auto"/>
        <w:ind w:firstLine="420" w:firstLineChars="200"/>
        <w:rPr>
          <w:color w:val="auto"/>
          <w:szCs w:val="21"/>
          <w:highlight w:val="none"/>
        </w:rPr>
      </w:pPr>
      <w:r>
        <w:rPr>
          <w:color w:val="auto"/>
          <w:szCs w:val="21"/>
          <w:highlight w:val="none"/>
        </w:rPr>
        <w:t>1.4.4 单位负责人为同一人或者存在控股、管理关系的不同单位，不得参加同一招标项目投标，违反本规定的，相关投标均无效。</w:t>
      </w:r>
    </w:p>
    <w:p w14:paraId="5400096B">
      <w:pPr>
        <w:pStyle w:val="4"/>
        <w:rPr>
          <w:color w:val="auto"/>
          <w:highlight w:val="none"/>
        </w:rPr>
      </w:pPr>
      <w:bookmarkStart w:id="24" w:name="_Toc17747"/>
      <w:r>
        <w:rPr>
          <w:color w:val="auto"/>
          <w:highlight w:val="none"/>
        </w:rPr>
        <w:t>1.5 费用承担</w:t>
      </w:r>
      <w:bookmarkEnd w:id="24"/>
    </w:p>
    <w:p w14:paraId="7A1437E3">
      <w:pPr>
        <w:spacing w:line="360" w:lineRule="auto"/>
        <w:ind w:firstLine="420" w:firstLineChars="200"/>
        <w:rPr>
          <w:color w:val="auto"/>
          <w:szCs w:val="21"/>
          <w:highlight w:val="none"/>
        </w:rPr>
      </w:pPr>
      <w:r>
        <w:rPr>
          <w:color w:val="auto"/>
          <w:szCs w:val="21"/>
          <w:highlight w:val="none"/>
        </w:rPr>
        <w:t>投标人准备和参加投标活动发生的费用自理。</w:t>
      </w:r>
    </w:p>
    <w:p w14:paraId="1B5001B6">
      <w:pPr>
        <w:pStyle w:val="4"/>
        <w:rPr>
          <w:color w:val="auto"/>
          <w:highlight w:val="none"/>
        </w:rPr>
      </w:pPr>
      <w:bookmarkStart w:id="25" w:name="_Toc1277"/>
      <w:r>
        <w:rPr>
          <w:color w:val="auto"/>
          <w:highlight w:val="none"/>
        </w:rPr>
        <w:t>1.6 保密</w:t>
      </w:r>
      <w:bookmarkEnd w:id="25"/>
    </w:p>
    <w:p w14:paraId="439B00A8">
      <w:pPr>
        <w:spacing w:line="360" w:lineRule="auto"/>
        <w:ind w:firstLine="420" w:firstLineChars="200"/>
        <w:rPr>
          <w:color w:val="auto"/>
          <w:szCs w:val="21"/>
          <w:highlight w:val="none"/>
        </w:rPr>
      </w:pPr>
      <w:r>
        <w:rPr>
          <w:color w:val="auto"/>
          <w:szCs w:val="21"/>
          <w:highlight w:val="none"/>
        </w:rPr>
        <w:t>参与招标投标活动的各方应对招标文件和投标文件中的商业和技术等秘密保密，</w:t>
      </w:r>
      <w:r>
        <w:rPr>
          <w:rFonts w:hint="eastAsia"/>
          <w:color w:val="auto"/>
          <w:szCs w:val="21"/>
          <w:highlight w:val="none"/>
        </w:rPr>
        <w:t>否则应</w:t>
      </w:r>
      <w:r>
        <w:rPr>
          <w:color w:val="auto"/>
          <w:szCs w:val="21"/>
          <w:highlight w:val="none"/>
        </w:rPr>
        <w:t>承担</w:t>
      </w:r>
      <w:r>
        <w:rPr>
          <w:rFonts w:hint="eastAsia"/>
          <w:color w:val="auto"/>
          <w:szCs w:val="21"/>
          <w:highlight w:val="none"/>
        </w:rPr>
        <w:t>相应的</w:t>
      </w:r>
      <w:r>
        <w:rPr>
          <w:color w:val="auto"/>
          <w:szCs w:val="21"/>
          <w:highlight w:val="none"/>
        </w:rPr>
        <w:t>法律责任。</w:t>
      </w:r>
    </w:p>
    <w:p w14:paraId="41181746">
      <w:pPr>
        <w:pStyle w:val="4"/>
        <w:rPr>
          <w:color w:val="auto"/>
          <w:highlight w:val="none"/>
        </w:rPr>
      </w:pPr>
      <w:bookmarkStart w:id="26" w:name="_Toc28146"/>
      <w:r>
        <w:rPr>
          <w:color w:val="auto"/>
          <w:highlight w:val="none"/>
        </w:rPr>
        <w:t>1.7 语言文字</w:t>
      </w:r>
      <w:bookmarkEnd w:id="26"/>
    </w:p>
    <w:p w14:paraId="21A85171">
      <w:pPr>
        <w:spacing w:line="360" w:lineRule="auto"/>
        <w:ind w:firstLine="420" w:firstLineChars="200"/>
        <w:rPr>
          <w:color w:val="auto"/>
          <w:szCs w:val="21"/>
          <w:highlight w:val="none"/>
        </w:rPr>
      </w:pPr>
      <w:r>
        <w:rPr>
          <w:rFonts w:hint="eastAsia"/>
          <w:color w:val="auto"/>
          <w:szCs w:val="21"/>
          <w:highlight w:val="none"/>
        </w:rPr>
        <w:t>招标投标文件使用的语言文字为中文。专用术语使用外文的，应附有中文注释</w:t>
      </w:r>
      <w:r>
        <w:rPr>
          <w:color w:val="auto"/>
          <w:szCs w:val="21"/>
          <w:highlight w:val="none"/>
        </w:rPr>
        <w:t>。</w:t>
      </w:r>
    </w:p>
    <w:p w14:paraId="1BDAFFBB">
      <w:pPr>
        <w:pStyle w:val="4"/>
        <w:rPr>
          <w:color w:val="auto"/>
          <w:highlight w:val="none"/>
        </w:rPr>
      </w:pPr>
      <w:bookmarkStart w:id="27" w:name="_Toc12904"/>
      <w:r>
        <w:rPr>
          <w:color w:val="auto"/>
          <w:highlight w:val="none"/>
        </w:rPr>
        <w:t>1.8 计量单位</w:t>
      </w:r>
      <w:bookmarkEnd w:id="27"/>
    </w:p>
    <w:p w14:paraId="385F12F0">
      <w:pPr>
        <w:spacing w:line="360" w:lineRule="auto"/>
        <w:ind w:firstLine="420" w:firstLineChars="200"/>
        <w:rPr>
          <w:color w:val="auto"/>
          <w:szCs w:val="21"/>
          <w:highlight w:val="none"/>
        </w:rPr>
      </w:pPr>
      <w:r>
        <w:rPr>
          <w:color w:val="auto"/>
          <w:szCs w:val="21"/>
          <w:highlight w:val="none"/>
        </w:rPr>
        <w:t>所有计量均采用中华人民共和国法定计量单位。</w:t>
      </w:r>
    </w:p>
    <w:p w14:paraId="15403306">
      <w:pPr>
        <w:pStyle w:val="4"/>
        <w:rPr>
          <w:color w:val="auto"/>
          <w:highlight w:val="none"/>
        </w:rPr>
      </w:pPr>
      <w:bookmarkStart w:id="28" w:name="_Toc16762"/>
      <w:r>
        <w:rPr>
          <w:color w:val="auto"/>
          <w:highlight w:val="none"/>
        </w:rPr>
        <w:t>1.9 踏勘现场</w:t>
      </w:r>
      <w:bookmarkEnd w:id="28"/>
    </w:p>
    <w:p w14:paraId="5DF7A7DD">
      <w:pPr>
        <w:spacing w:line="360" w:lineRule="auto"/>
        <w:ind w:firstLine="420" w:firstLineChars="200"/>
        <w:rPr>
          <w:color w:val="auto"/>
          <w:szCs w:val="21"/>
          <w:highlight w:val="none"/>
        </w:rPr>
      </w:pPr>
      <w:r>
        <w:rPr>
          <w:rFonts w:hint="eastAsia"/>
          <w:color w:val="auto"/>
          <w:szCs w:val="21"/>
          <w:highlight w:val="none"/>
        </w:rPr>
        <w:t>1.9.1 投标人须知前附表规定组织踏勘现场的，招标人按投标人须知前附表规定的时间、地点组织投标人踏勘项目现场。部分投标人未按时参加踏勘现场的，不影响踏勘现场的正常进行。</w:t>
      </w:r>
    </w:p>
    <w:p w14:paraId="5A63CC47">
      <w:pPr>
        <w:spacing w:line="360" w:lineRule="auto"/>
        <w:ind w:firstLine="420" w:firstLineChars="200"/>
        <w:rPr>
          <w:color w:val="auto"/>
          <w:szCs w:val="21"/>
          <w:highlight w:val="none"/>
        </w:rPr>
      </w:pPr>
      <w:r>
        <w:rPr>
          <w:rFonts w:hint="eastAsia"/>
          <w:color w:val="auto"/>
          <w:szCs w:val="21"/>
          <w:highlight w:val="none"/>
        </w:rPr>
        <w:t>1.9.2 投标人踏勘现场发生的费用自理。</w:t>
      </w:r>
    </w:p>
    <w:p w14:paraId="6D58F62F">
      <w:pPr>
        <w:spacing w:line="360" w:lineRule="auto"/>
        <w:ind w:firstLine="420" w:firstLineChars="200"/>
        <w:rPr>
          <w:color w:val="auto"/>
          <w:szCs w:val="21"/>
          <w:highlight w:val="none"/>
        </w:rPr>
      </w:pPr>
      <w:r>
        <w:rPr>
          <w:rFonts w:hint="eastAsia"/>
          <w:color w:val="auto"/>
          <w:szCs w:val="21"/>
          <w:highlight w:val="none"/>
        </w:rPr>
        <w:t>1.9.3 除招标人的原因外，投标人自行负责在踏勘现场中所发生的人员伤亡和财产损失。</w:t>
      </w:r>
    </w:p>
    <w:p w14:paraId="09546087">
      <w:pPr>
        <w:spacing w:line="360" w:lineRule="auto"/>
        <w:ind w:firstLine="420" w:firstLineChars="200"/>
        <w:rPr>
          <w:color w:val="auto"/>
          <w:szCs w:val="21"/>
          <w:highlight w:val="none"/>
        </w:rPr>
      </w:pPr>
      <w:r>
        <w:rPr>
          <w:rFonts w:hint="eastAsia"/>
          <w:color w:val="auto"/>
          <w:szCs w:val="21"/>
          <w:highlight w:val="none"/>
        </w:rPr>
        <w:t>1.9.4 招标人在踏勘现场中介绍的工程场地和相关的周边环境情况，供投标人在编制投标文件时参考，招标人不对投标人据此作出的判断和决策负责。</w:t>
      </w:r>
    </w:p>
    <w:p w14:paraId="47A7DF31">
      <w:pPr>
        <w:pStyle w:val="4"/>
        <w:rPr>
          <w:color w:val="auto"/>
          <w:highlight w:val="none"/>
        </w:rPr>
      </w:pPr>
      <w:bookmarkStart w:id="29" w:name="_Toc12181"/>
      <w:r>
        <w:rPr>
          <w:color w:val="auto"/>
          <w:highlight w:val="none"/>
        </w:rPr>
        <w:t>1.10 投标预备会</w:t>
      </w:r>
      <w:bookmarkEnd w:id="29"/>
    </w:p>
    <w:p w14:paraId="5298ADE1">
      <w:pPr>
        <w:spacing w:line="360" w:lineRule="auto"/>
        <w:ind w:firstLine="420" w:firstLineChars="200"/>
        <w:rPr>
          <w:color w:val="auto"/>
          <w:szCs w:val="21"/>
          <w:highlight w:val="none"/>
        </w:rPr>
      </w:pPr>
      <w:r>
        <w:rPr>
          <w:rFonts w:hint="eastAsia"/>
          <w:color w:val="auto"/>
          <w:szCs w:val="21"/>
          <w:highlight w:val="none"/>
        </w:rPr>
        <w:t>不召开。</w:t>
      </w:r>
    </w:p>
    <w:p w14:paraId="2172C939">
      <w:pPr>
        <w:pStyle w:val="4"/>
        <w:rPr>
          <w:color w:val="auto"/>
          <w:highlight w:val="none"/>
        </w:rPr>
      </w:pPr>
      <w:bookmarkStart w:id="30" w:name="_Toc16702"/>
      <w:r>
        <w:rPr>
          <w:color w:val="auto"/>
          <w:highlight w:val="none"/>
        </w:rPr>
        <w:t>1.11 分包</w:t>
      </w:r>
      <w:bookmarkEnd w:id="30"/>
    </w:p>
    <w:p w14:paraId="45A4DDF3">
      <w:pPr>
        <w:spacing w:line="360" w:lineRule="auto"/>
        <w:ind w:firstLine="420" w:firstLineChars="200"/>
        <w:rPr>
          <w:color w:val="auto"/>
          <w:szCs w:val="21"/>
          <w:highlight w:val="none"/>
        </w:rPr>
      </w:pPr>
      <w:r>
        <w:rPr>
          <w:rFonts w:hint="eastAsia"/>
          <w:color w:val="auto"/>
          <w:szCs w:val="21"/>
          <w:highlight w:val="none"/>
        </w:rPr>
        <w:t>1.11.1 投标人拟在中标后将中标项目的非主体、非关键性设计工作进行分包的，应符合投标人须知前附表规定的分包内容和资质要求等限制性条件，除投标人须知前附表规定的非主体、非关键性设计工作外，其他工作不得分包。</w:t>
      </w:r>
    </w:p>
    <w:p w14:paraId="09B4005C">
      <w:pPr>
        <w:spacing w:line="360" w:lineRule="auto"/>
        <w:ind w:firstLine="420" w:firstLineChars="200"/>
        <w:rPr>
          <w:color w:val="auto"/>
          <w:szCs w:val="21"/>
          <w:highlight w:val="none"/>
        </w:rPr>
      </w:pPr>
      <w:r>
        <w:rPr>
          <w:rFonts w:hint="eastAsia"/>
          <w:color w:val="auto"/>
          <w:szCs w:val="21"/>
          <w:highlight w:val="none"/>
        </w:rPr>
        <w:t>1.11.2 中标人不得向他人转让中标项目，接受分包的人不得再次分包。中标人应当就分包项目向招标人负责，接受分包的人就分包项目承担连带责任。</w:t>
      </w:r>
    </w:p>
    <w:p w14:paraId="7D280C6B">
      <w:pPr>
        <w:pStyle w:val="4"/>
        <w:rPr>
          <w:color w:val="auto"/>
          <w:highlight w:val="none"/>
        </w:rPr>
      </w:pPr>
      <w:bookmarkStart w:id="31" w:name="_Toc11914"/>
      <w:r>
        <w:rPr>
          <w:color w:val="auto"/>
          <w:highlight w:val="none"/>
        </w:rPr>
        <w:t xml:space="preserve">1.12 </w:t>
      </w:r>
      <w:r>
        <w:rPr>
          <w:rFonts w:hint="eastAsia"/>
          <w:color w:val="auto"/>
          <w:highlight w:val="none"/>
        </w:rPr>
        <w:t>响应和</w:t>
      </w:r>
      <w:r>
        <w:rPr>
          <w:color w:val="auto"/>
          <w:highlight w:val="none"/>
        </w:rPr>
        <w:t>偏离</w:t>
      </w:r>
      <w:bookmarkEnd w:id="31"/>
    </w:p>
    <w:p w14:paraId="131D2873">
      <w:pPr>
        <w:spacing w:line="360" w:lineRule="auto"/>
        <w:ind w:firstLine="420" w:firstLineChars="200"/>
        <w:rPr>
          <w:color w:val="auto"/>
          <w:szCs w:val="21"/>
          <w:highlight w:val="none"/>
        </w:rPr>
      </w:pPr>
      <w:r>
        <w:rPr>
          <w:rFonts w:hint="eastAsia"/>
          <w:color w:val="auto"/>
          <w:szCs w:val="21"/>
          <w:highlight w:val="none"/>
        </w:rPr>
        <w:t>1.12.1 投标文件应当对招标文件的实质性要求和条件作出满足性或更有利于招标人的响应，否则，投标人的投标将被否决。实质性要求和条件见投标人须知前附表。</w:t>
      </w:r>
    </w:p>
    <w:p w14:paraId="4E767899">
      <w:pPr>
        <w:spacing w:line="360" w:lineRule="auto"/>
        <w:ind w:firstLine="420" w:firstLineChars="200"/>
        <w:rPr>
          <w:color w:val="auto"/>
          <w:szCs w:val="21"/>
          <w:highlight w:val="none"/>
        </w:rPr>
      </w:pPr>
      <w:r>
        <w:rPr>
          <w:rFonts w:hint="eastAsia"/>
          <w:color w:val="auto"/>
          <w:szCs w:val="21"/>
          <w:highlight w:val="none"/>
        </w:rPr>
        <w:t>1.12.2 投标人应根据招标文件的要求提供投标设计方案等内容以对招标文件作出响应。</w:t>
      </w:r>
    </w:p>
    <w:p w14:paraId="0809FA84">
      <w:pPr>
        <w:spacing w:line="360" w:lineRule="auto"/>
        <w:ind w:firstLine="420" w:firstLineChars="200"/>
        <w:rPr>
          <w:color w:val="auto"/>
          <w:highlight w:val="none"/>
        </w:rPr>
      </w:pPr>
      <w:r>
        <w:rPr>
          <w:rFonts w:hint="eastAsia"/>
          <w:color w:val="auto"/>
          <w:szCs w:val="21"/>
          <w:highlight w:val="none"/>
        </w:rPr>
        <w:t>1.12.3 投标人须知前附表允许投标文件偏离招标文件某些要求的，偏差应当符合招标文件规定的偏差范围和幅度。</w:t>
      </w:r>
    </w:p>
    <w:p w14:paraId="7F473D9F">
      <w:pPr>
        <w:pStyle w:val="3"/>
        <w:rPr>
          <w:color w:val="auto"/>
          <w:highlight w:val="none"/>
        </w:rPr>
      </w:pPr>
      <w:bookmarkStart w:id="32" w:name="_Toc7483"/>
      <w:r>
        <w:rPr>
          <w:color w:val="auto"/>
          <w:highlight w:val="none"/>
        </w:rPr>
        <w:t>2 招标文件</w:t>
      </w:r>
      <w:bookmarkEnd w:id="32"/>
    </w:p>
    <w:p w14:paraId="263200B3">
      <w:pPr>
        <w:pStyle w:val="4"/>
        <w:rPr>
          <w:color w:val="auto"/>
          <w:highlight w:val="none"/>
        </w:rPr>
      </w:pPr>
      <w:bookmarkStart w:id="33" w:name="_Toc5398"/>
      <w:r>
        <w:rPr>
          <w:color w:val="auto"/>
          <w:highlight w:val="none"/>
        </w:rPr>
        <w:t>2.1 招标文件的组成</w:t>
      </w:r>
      <w:bookmarkEnd w:id="33"/>
    </w:p>
    <w:p w14:paraId="22CED806">
      <w:pPr>
        <w:spacing w:line="360" w:lineRule="auto"/>
        <w:ind w:firstLine="420" w:firstLineChars="200"/>
        <w:rPr>
          <w:color w:val="auto"/>
          <w:szCs w:val="21"/>
          <w:highlight w:val="none"/>
        </w:rPr>
      </w:pPr>
      <w:r>
        <w:rPr>
          <w:color w:val="auto"/>
          <w:szCs w:val="21"/>
          <w:highlight w:val="none"/>
        </w:rPr>
        <w:t>2.1.1</w:t>
      </w:r>
      <w:r>
        <w:rPr>
          <w:rFonts w:hint="eastAsia"/>
          <w:color w:val="auto"/>
          <w:szCs w:val="21"/>
          <w:highlight w:val="none"/>
        </w:rPr>
        <w:t xml:space="preserve"> </w:t>
      </w:r>
      <w:r>
        <w:rPr>
          <w:color w:val="auto"/>
          <w:szCs w:val="21"/>
          <w:highlight w:val="none"/>
        </w:rPr>
        <w:t>本招标文件包括：</w:t>
      </w:r>
    </w:p>
    <w:p w14:paraId="38B7CB0C">
      <w:pPr>
        <w:spacing w:line="360" w:lineRule="auto"/>
        <w:ind w:firstLine="420" w:firstLineChars="200"/>
        <w:rPr>
          <w:color w:val="auto"/>
          <w:szCs w:val="21"/>
          <w:highlight w:val="none"/>
        </w:rPr>
      </w:pPr>
      <w:r>
        <w:rPr>
          <w:color w:val="auto"/>
          <w:szCs w:val="21"/>
          <w:highlight w:val="none"/>
        </w:rPr>
        <w:t>（1）招标公告（或投标邀请书）；</w:t>
      </w:r>
    </w:p>
    <w:p w14:paraId="5B1FD709">
      <w:pPr>
        <w:spacing w:line="360" w:lineRule="auto"/>
        <w:ind w:firstLine="420" w:firstLineChars="200"/>
        <w:rPr>
          <w:color w:val="auto"/>
          <w:szCs w:val="21"/>
          <w:highlight w:val="none"/>
        </w:rPr>
      </w:pPr>
      <w:r>
        <w:rPr>
          <w:color w:val="auto"/>
          <w:szCs w:val="21"/>
          <w:highlight w:val="none"/>
        </w:rPr>
        <w:t>（2）投标人须知；</w:t>
      </w:r>
    </w:p>
    <w:p w14:paraId="371C5C24">
      <w:pPr>
        <w:spacing w:line="360" w:lineRule="auto"/>
        <w:ind w:firstLine="420" w:firstLineChars="200"/>
        <w:rPr>
          <w:color w:val="auto"/>
          <w:szCs w:val="21"/>
          <w:highlight w:val="none"/>
        </w:rPr>
      </w:pPr>
      <w:r>
        <w:rPr>
          <w:color w:val="auto"/>
          <w:szCs w:val="21"/>
          <w:highlight w:val="none"/>
        </w:rPr>
        <w:t>（3）评标办法；</w:t>
      </w:r>
    </w:p>
    <w:p w14:paraId="2D833C53">
      <w:pPr>
        <w:spacing w:line="360" w:lineRule="auto"/>
        <w:ind w:firstLine="420" w:firstLineChars="200"/>
        <w:rPr>
          <w:color w:val="auto"/>
          <w:szCs w:val="21"/>
          <w:highlight w:val="none"/>
        </w:rPr>
      </w:pPr>
      <w:r>
        <w:rPr>
          <w:color w:val="auto"/>
          <w:szCs w:val="21"/>
          <w:highlight w:val="none"/>
        </w:rPr>
        <w:t>（4）合同条款及格式；</w:t>
      </w:r>
    </w:p>
    <w:p w14:paraId="30C47D74">
      <w:pPr>
        <w:spacing w:line="360" w:lineRule="auto"/>
        <w:ind w:firstLine="420" w:firstLineChars="200"/>
        <w:rPr>
          <w:color w:val="auto"/>
          <w:szCs w:val="21"/>
          <w:highlight w:val="none"/>
        </w:rPr>
      </w:pPr>
      <w:r>
        <w:rPr>
          <w:color w:val="auto"/>
          <w:szCs w:val="21"/>
          <w:highlight w:val="none"/>
        </w:rPr>
        <w:t>（5）</w:t>
      </w:r>
      <w:r>
        <w:rPr>
          <w:rFonts w:hint="eastAsia"/>
          <w:color w:val="auto"/>
          <w:szCs w:val="21"/>
          <w:highlight w:val="none"/>
        </w:rPr>
        <w:t>发包人要求</w:t>
      </w:r>
      <w:r>
        <w:rPr>
          <w:color w:val="auto"/>
          <w:szCs w:val="21"/>
          <w:highlight w:val="none"/>
        </w:rPr>
        <w:t>；</w:t>
      </w:r>
    </w:p>
    <w:p w14:paraId="01DDC8F6">
      <w:pPr>
        <w:spacing w:line="360" w:lineRule="auto"/>
        <w:ind w:firstLine="420" w:firstLineChars="200"/>
        <w:rPr>
          <w:color w:val="auto"/>
          <w:szCs w:val="21"/>
          <w:highlight w:val="none"/>
        </w:rPr>
      </w:pPr>
      <w:r>
        <w:rPr>
          <w:color w:val="auto"/>
          <w:szCs w:val="21"/>
          <w:highlight w:val="none"/>
        </w:rPr>
        <w:t>（6）投标文件格式；</w:t>
      </w:r>
    </w:p>
    <w:p w14:paraId="2116A3BD">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7</w:t>
      </w:r>
      <w:r>
        <w:rPr>
          <w:color w:val="auto"/>
          <w:szCs w:val="21"/>
          <w:highlight w:val="none"/>
        </w:rPr>
        <w:t>）</w:t>
      </w:r>
      <w:r>
        <w:rPr>
          <w:rFonts w:hint="eastAsia"/>
          <w:color w:val="auto"/>
          <w:szCs w:val="21"/>
          <w:highlight w:val="none"/>
        </w:rPr>
        <w:t>投标人须知前附表</w:t>
      </w:r>
      <w:r>
        <w:rPr>
          <w:color w:val="auto"/>
          <w:szCs w:val="21"/>
          <w:highlight w:val="none"/>
        </w:rPr>
        <w:t>规定的其他材料。</w:t>
      </w:r>
    </w:p>
    <w:p w14:paraId="66F3E9E3">
      <w:pPr>
        <w:spacing w:line="360" w:lineRule="auto"/>
        <w:ind w:firstLine="420" w:firstLineChars="200"/>
        <w:rPr>
          <w:color w:val="auto"/>
          <w:szCs w:val="21"/>
          <w:highlight w:val="none"/>
        </w:rPr>
      </w:pPr>
      <w:r>
        <w:rPr>
          <w:rFonts w:hint="eastAsia"/>
          <w:color w:val="auto"/>
          <w:szCs w:val="21"/>
          <w:highlight w:val="none"/>
        </w:rPr>
        <w:t xml:space="preserve">2.1.2 </w:t>
      </w:r>
      <w:r>
        <w:rPr>
          <w:color w:val="auto"/>
          <w:szCs w:val="21"/>
          <w:highlight w:val="none"/>
        </w:rPr>
        <w:t>根据本章第2.2款和第2.3款对招标文件所作的澄清、修改，构成招标文件的组成部分。</w:t>
      </w:r>
      <w:r>
        <w:rPr>
          <w:rFonts w:hAnsi="宋体"/>
          <w:color w:val="auto"/>
          <w:szCs w:val="21"/>
          <w:highlight w:val="none"/>
        </w:rPr>
        <w:t>当招标文件及其澄清、修改或补充文件对</w:t>
      </w:r>
      <w:r>
        <w:rPr>
          <w:rFonts w:hint="eastAsia" w:hAnsi="宋体"/>
          <w:color w:val="auto"/>
          <w:szCs w:val="21"/>
          <w:highlight w:val="none"/>
        </w:rPr>
        <w:t>于</w:t>
      </w:r>
      <w:r>
        <w:rPr>
          <w:rFonts w:hAnsi="宋体"/>
          <w:color w:val="auto"/>
          <w:szCs w:val="21"/>
          <w:highlight w:val="none"/>
        </w:rPr>
        <w:t>同一内容表述不一致时，以最后发出的书面文件为准。</w:t>
      </w:r>
    </w:p>
    <w:p w14:paraId="4BA93A34">
      <w:pPr>
        <w:pStyle w:val="4"/>
        <w:rPr>
          <w:color w:val="auto"/>
          <w:highlight w:val="none"/>
        </w:rPr>
      </w:pPr>
      <w:bookmarkStart w:id="34" w:name="_Toc27308"/>
      <w:r>
        <w:rPr>
          <w:color w:val="auto"/>
          <w:highlight w:val="none"/>
        </w:rPr>
        <w:t>2.2 招标文件的澄清</w:t>
      </w:r>
      <w:bookmarkEnd w:id="34"/>
    </w:p>
    <w:p w14:paraId="11C86286">
      <w:pPr>
        <w:spacing w:line="360" w:lineRule="auto"/>
        <w:ind w:firstLine="420" w:firstLineChars="200"/>
        <w:rPr>
          <w:color w:val="auto"/>
          <w:highlight w:val="none"/>
        </w:rPr>
      </w:pPr>
      <w:r>
        <w:rPr>
          <w:color w:val="auto"/>
          <w:highlight w:val="none"/>
        </w:rPr>
        <w:t xml:space="preserve">2.2.1 </w:t>
      </w:r>
      <w:r>
        <w:rPr>
          <w:rFonts w:hint="eastAsia" w:hAnsi="宋体" w:cs="宋体"/>
          <w:color w:val="auto"/>
          <w:highlight w:val="none"/>
        </w:rPr>
        <w:t>投标人应仔细阅读和检查招标文件的全部内容，如有疑问或异议，应在投标人须知前附表规定的时间前通过</w:t>
      </w:r>
      <w:r>
        <w:rPr>
          <w:rFonts w:hint="eastAsia" w:ascii="宋体" w:hAnsi="宋体"/>
          <w:color w:val="auto"/>
          <w:highlight w:val="none"/>
        </w:rPr>
        <w:t>全国公共资源交易平台（广西壮族自治区）</w:t>
      </w:r>
      <w:r>
        <w:rPr>
          <w:rFonts w:hint="eastAsia" w:cs="宋体"/>
          <w:color w:val="auto"/>
          <w:highlight w:val="none"/>
        </w:rPr>
        <w:t>进行网上投标询疑，也可以线下询疑，</w:t>
      </w:r>
      <w:r>
        <w:rPr>
          <w:rFonts w:hint="eastAsia" w:hAnsi="宋体" w:cs="宋体"/>
          <w:color w:val="auto"/>
          <w:highlight w:val="none"/>
        </w:rPr>
        <w:t>要求招标人（招标代理）对招标文件予以澄清。</w:t>
      </w:r>
    </w:p>
    <w:p w14:paraId="5EEF1DB7">
      <w:pPr>
        <w:spacing w:line="360" w:lineRule="auto"/>
        <w:ind w:firstLine="420" w:firstLineChars="200"/>
        <w:rPr>
          <w:rFonts w:hAnsi="宋体"/>
          <w:color w:val="auto"/>
          <w:highlight w:val="none"/>
        </w:rPr>
      </w:pPr>
      <w:r>
        <w:rPr>
          <w:color w:val="auto"/>
          <w:highlight w:val="none"/>
        </w:rPr>
        <w:t xml:space="preserve">2.2.2 </w:t>
      </w:r>
      <w:r>
        <w:rPr>
          <w:rFonts w:hint="eastAsia" w:cs="宋体"/>
          <w:color w:val="auto"/>
          <w:highlight w:val="none"/>
        </w:rPr>
        <w:t>招标人对</w:t>
      </w:r>
      <w:r>
        <w:rPr>
          <w:rFonts w:hint="eastAsia" w:hAnsi="宋体" w:cs="宋体"/>
          <w:color w:val="auto"/>
          <w:highlight w:val="none"/>
        </w:rPr>
        <w:t>招标文件的澄清将在“投标人须知前附表”规定的投标截止时间</w:t>
      </w:r>
      <w:r>
        <w:rPr>
          <w:color w:val="auto"/>
          <w:highlight w:val="none"/>
        </w:rPr>
        <w:t>15</w:t>
      </w:r>
      <w:r>
        <w:rPr>
          <w:rFonts w:hint="eastAsia" w:hAnsi="宋体" w:cs="宋体"/>
          <w:color w:val="auto"/>
          <w:highlight w:val="none"/>
        </w:rPr>
        <w:t>日前</w:t>
      </w:r>
      <w:r>
        <w:rPr>
          <w:rFonts w:hint="eastAsia" w:cs="宋体"/>
          <w:color w:val="auto"/>
          <w:highlight w:val="none"/>
        </w:rPr>
        <w:t>（不涉及招标文件实质性内容修改的除外）</w:t>
      </w:r>
      <w:r>
        <w:rPr>
          <w:rFonts w:hint="eastAsia" w:ascii="仿宋_GB2312" w:hAnsi="宋体"/>
          <w:color w:val="auto"/>
          <w:highlight w:val="none"/>
        </w:rPr>
        <w:t>以“投标人须知前附表”规定的方式发布，</w:t>
      </w:r>
      <w:r>
        <w:rPr>
          <w:rFonts w:hint="eastAsia" w:hAnsi="宋体" w:cs="宋体"/>
          <w:color w:val="auto"/>
          <w:highlight w:val="none"/>
        </w:rPr>
        <w:t>并提供给所有下载</w:t>
      </w:r>
      <w:r>
        <w:rPr>
          <w:rFonts w:hAnsi="宋体" w:cs="宋体"/>
          <w:color w:val="auto"/>
          <w:highlight w:val="none"/>
        </w:rPr>
        <w:t>了招标文件的</w:t>
      </w:r>
      <w:r>
        <w:rPr>
          <w:rFonts w:hint="eastAsia" w:hAnsi="宋体" w:cs="宋体"/>
          <w:color w:val="auto"/>
          <w:highlight w:val="none"/>
        </w:rPr>
        <w:t>投标人下载，但不得指明澄清问题的来源。如果澄清发出的时间距投标截止时间不足</w:t>
      </w:r>
      <w:r>
        <w:rPr>
          <w:color w:val="auto"/>
          <w:highlight w:val="none"/>
        </w:rPr>
        <w:t>15</w:t>
      </w:r>
      <w:r>
        <w:rPr>
          <w:rFonts w:hint="eastAsia" w:hAnsi="宋体" w:cs="宋体"/>
          <w:color w:val="auto"/>
          <w:highlight w:val="none"/>
        </w:rPr>
        <w:t>日，相应延长投标截止时间。</w:t>
      </w:r>
    </w:p>
    <w:p w14:paraId="19AA5EE5">
      <w:pPr>
        <w:spacing w:line="360" w:lineRule="auto"/>
        <w:ind w:firstLine="420" w:firstLineChars="200"/>
        <w:rPr>
          <w:color w:val="auto"/>
          <w:szCs w:val="21"/>
          <w:highlight w:val="none"/>
        </w:rPr>
      </w:pPr>
      <w:r>
        <w:rPr>
          <w:rFonts w:hint="eastAsia"/>
          <w:color w:val="auto"/>
          <w:szCs w:val="21"/>
          <w:highlight w:val="none"/>
        </w:rPr>
        <w:t>2.2.3 投标人在收到澄清后，应按投标人须知前附表规定的时间和形式通知招标人，确认已收到该澄清。</w:t>
      </w:r>
    </w:p>
    <w:p w14:paraId="29EF3232">
      <w:pPr>
        <w:pStyle w:val="4"/>
        <w:rPr>
          <w:color w:val="auto"/>
          <w:highlight w:val="none"/>
        </w:rPr>
      </w:pPr>
      <w:bookmarkStart w:id="35" w:name="_Toc22436"/>
      <w:r>
        <w:rPr>
          <w:color w:val="auto"/>
          <w:highlight w:val="none"/>
        </w:rPr>
        <w:t>2.3 招标文件的修改</w:t>
      </w:r>
      <w:bookmarkEnd w:id="35"/>
    </w:p>
    <w:p w14:paraId="760815BF">
      <w:pPr>
        <w:spacing w:line="360" w:lineRule="auto"/>
        <w:ind w:firstLine="420" w:firstLineChars="200"/>
        <w:rPr>
          <w:color w:val="auto"/>
          <w:highlight w:val="none"/>
        </w:rPr>
      </w:pPr>
      <w:r>
        <w:rPr>
          <w:color w:val="auto"/>
          <w:highlight w:val="none"/>
        </w:rPr>
        <w:t xml:space="preserve">2.3.1 </w:t>
      </w:r>
      <w:r>
        <w:rPr>
          <w:rFonts w:hint="eastAsia" w:hAnsi="宋体" w:cs="宋体"/>
          <w:color w:val="auto"/>
          <w:highlight w:val="none"/>
        </w:rPr>
        <w:t>在投标截止时间</w:t>
      </w:r>
      <w:r>
        <w:rPr>
          <w:color w:val="auto"/>
          <w:highlight w:val="none"/>
        </w:rPr>
        <w:t>15</w:t>
      </w:r>
      <w:r>
        <w:rPr>
          <w:rFonts w:hint="eastAsia" w:hAnsi="宋体" w:cs="宋体"/>
          <w:color w:val="auto"/>
          <w:highlight w:val="none"/>
        </w:rPr>
        <w:t>日前，招标人可以对招标文件进行修改，如修改</w:t>
      </w:r>
      <w:r>
        <w:rPr>
          <w:rFonts w:hint="eastAsia" w:cs="宋体"/>
          <w:color w:val="auto"/>
          <w:highlight w:val="none"/>
        </w:rPr>
        <w:t>涉及评标办法和投标文件格式的内容，</w:t>
      </w:r>
      <w:r>
        <w:rPr>
          <w:rFonts w:hint="eastAsia" w:hAnsi="宋体" w:cs="宋体"/>
          <w:color w:val="auto"/>
          <w:highlight w:val="none"/>
        </w:rPr>
        <w:t>招标人应将修改后的招标文件重新上传并通过</w:t>
      </w:r>
      <w:r>
        <w:rPr>
          <w:rFonts w:hint="eastAsia" w:ascii="宋体" w:hAnsi="宋体"/>
          <w:color w:val="auto"/>
          <w:highlight w:val="none"/>
        </w:rPr>
        <w:t>全国公共资源交易平台（广西壮族自治区）</w:t>
      </w:r>
      <w:r>
        <w:rPr>
          <w:rFonts w:hint="eastAsia" w:hAnsi="宋体" w:cs="宋体"/>
          <w:color w:val="auto"/>
          <w:highlight w:val="none"/>
        </w:rPr>
        <w:t>通知所有下载</w:t>
      </w:r>
      <w:r>
        <w:rPr>
          <w:rFonts w:hAnsi="宋体" w:cs="宋体"/>
          <w:color w:val="auto"/>
          <w:highlight w:val="none"/>
        </w:rPr>
        <w:t>了招标文件的</w:t>
      </w:r>
      <w:r>
        <w:rPr>
          <w:rFonts w:hint="eastAsia" w:hAnsi="宋体" w:cs="宋体"/>
          <w:color w:val="auto"/>
          <w:highlight w:val="none"/>
        </w:rPr>
        <w:t>投标人，投标人应按修改后的招标文件制作投标文件。如果修改招标文件的时间距投标截止时间不足</w:t>
      </w:r>
      <w:r>
        <w:rPr>
          <w:color w:val="auto"/>
          <w:highlight w:val="none"/>
        </w:rPr>
        <w:t>15</w:t>
      </w:r>
      <w:r>
        <w:rPr>
          <w:rFonts w:hint="eastAsia" w:hAnsi="宋体" w:cs="宋体"/>
          <w:color w:val="auto"/>
          <w:highlight w:val="none"/>
        </w:rPr>
        <w:t>日，相应延长投标截止时间。</w:t>
      </w:r>
    </w:p>
    <w:p w14:paraId="31DA1D97">
      <w:pPr>
        <w:spacing w:line="360" w:lineRule="auto"/>
        <w:ind w:firstLine="420" w:firstLineChars="200"/>
        <w:rPr>
          <w:color w:val="auto"/>
          <w:highlight w:val="none"/>
        </w:rPr>
      </w:pPr>
      <w:r>
        <w:rPr>
          <w:color w:val="auto"/>
          <w:highlight w:val="none"/>
        </w:rPr>
        <w:t>2.3.2 当招标文件、招标文件的修改、补充在同一内容表述不一致时，以最后的更正</w:t>
      </w:r>
      <w:r>
        <w:rPr>
          <w:rFonts w:hint="eastAsia"/>
          <w:color w:val="auto"/>
          <w:highlight w:val="none"/>
        </w:rPr>
        <w:t>、补遗</w:t>
      </w:r>
      <w:r>
        <w:rPr>
          <w:color w:val="auto"/>
          <w:highlight w:val="none"/>
        </w:rPr>
        <w:t>、澄清为准。未在系统发布的更正、</w:t>
      </w:r>
      <w:r>
        <w:rPr>
          <w:rFonts w:hint="eastAsia"/>
          <w:color w:val="auto"/>
          <w:highlight w:val="none"/>
        </w:rPr>
        <w:t>补遗</w:t>
      </w:r>
      <w:r>
        <w:rPr>
          <w:color w:val="auto"/>
          <w:highlight w:val="none"/>
        </w:rPr>
        <w:t>、澄清为无效更正、</w:t>
      </w:r>
      <w:r>
        <w:rPr>
          <w:rFonts w:hint="eastAsia"/>
          <w:color w:val="auto"/>
          <w:highlight w:val="none"/>
        </w:rPr>
        <w:t>补遗</w:t>
      </w:r>
      <w:r>
        <w:rPr>
          <w:color w:val="auto"/>
          <w:highlight w:val="none"/>
        </w:rPr>
        <w:t>、澄清。</w:t>
      </w:r>
    </w:p>
    <w:p w14:paraId="4F2EF944">
      <w:pPr>
        <w:spacing w:line="360" w:lineRule="auto"/>
        <w:ind w:firstLine="420" w:firstLineChars="200"/>
        <w:rPr>
          <w:color w:val="auto"/>
          <w:highlight w:val="none"/>
        </w:rPr>
      </w:pPr>
      <w:r>
        <w:rPr>
          <w:color w:val="auto"/>
          <w:highlight w:val="none"/>
        </w:rPr>
        <w:t>招标人应根据系统发布的更正、</w:t>
      </w:r>
      <w:r>
        <w:rPr>
          <w:rFonts w:hint="eastAsia"/>
          <w:color w:val="auto"/>
          <w:highlight w:val="none"/>
        </w:rPr>
        <w:t>补遗</w:t>
      </w:r>
      <w:r>
        <w:rPr>
          <w:color w:val="auto"/>
          <w:highlight w:val="none"/>
        </w:rPr>
        <w:t>、澄清重新生成招标文件。除更正、</w:t>
      </w:r>
      <w:r>
        <w:rPr>
          <w:rFonts w:hint="eastAsia"/>
          <w:color w:val="auto"/>
          <w:highlight w:val="none"/>
        </w:rPr>
        <w:t>补遗</w:t>
      </w:r>
      <w:r>
        <w:rPr>
          <w:color w:val="auto"/>
          <w:highlight w:val="none"/>
        </w:rPr>
        <w:t xml:space="preserve">、澄清内容外，其他内容以原招标文件为准。 </w:t>
      </w:r>
    </w:p>
    <w:p w14:paraId="1521849E">
      <w:pPr>
        <w:pStyle w:val="143"/>
        <w:snapToGrid w:val="0"/>
        <w:spacing w:line="360" w:lineRule="auto"/>
        <w:ind w:firstLine="420" w:firstLineChars="200"/>
        <w:rPr>
          <w:rFonts w:hAnsi="宋体"/>
          <w:color w:val="auto"/>
          <w:sz w:val="21"/>
          <w:szCs w:val="21"/>
          <w:highlight w:val="none"/>
        </w:rPr>
      </w:pPr>
      <w:r>
        <w:rPr>
          <w:color w:val="auto"/>
          <w:sz w:val="21"/>
          <w:szCs w:val="21"/>
          <w:highlight w:val="none"/>
        </w:rPr>
        <w:t xml:space="preserve">2.3.3 </w:t>
      </w:r>
      <w:r>
        <w:rPr>
          <w:rFonts w:hint="eastAsia" w:hAnsi="宋体" w:cs="宋体"/>
          <w:color w:val="auto"/>
          <w:sz w:val="21"/>
          <w:szCs w:val="21"/>
          <w:highlight w:val="none"/>
        </w:rPr>
        <w:t>为使投标人在编制投标文件时有充分的时间对招标文件的修改、补充等内容进行研究并做出响应，招标人可酌情延长提交投标文件的截止时间，具体时间在招标文件的修改、补充等通知中予以明确。</w:t>
      </w:r>
      <w:r>
        <w:rPr>
          <w:rFonts w:hAnsi="宋体"/>
          <w:color w:val="auto"/>
          <w:sz w:val="21"/>
          <w:szCs w:val="21"/>
          <w:highlight w:val="none"/>
        </w:rPr>
        <w:t xml:space="preserve"> </w:t>
      </w:r>
    </w:p>
    <w:p w14:paraId="39127DAC">
      <w:pPr>
        <w:pStyle w:val="143"/>
        <w:snapToGrid w:val="0"/>
        <w:spacing w:line="360" w:lineRule="auto"/>
        <w:ind w:firstLine="420" w:firstLineChars="200"/>
        <w:rPr>
          <w:rFonts w:hAnsi="宋体" w:cs="宋体"/>
          <w:color w:val="auto"/>
          <w:sz w:val="21"/>
          <w:szCs w:val="21"/>
          <w:highlight w:val="none"/>
        </w:rPr>
      </w:pPr>
      <w:r>
        <w:rPr>
          <w:rFonts w:hint="eastAsia"/>
          <w:color w:val="auto"/>
          <w:sz w:val="21"/>
          <w:szCs w:val="21"/>
          <w:highlight w:val="none"/>
        </w:rPr>
        <w:t xml:space="preserve">2.3.4 </w:t>
      </w:r>
      <w:r>
        <w:rPr>
          <w:color w:val="auto"/>
          <w:sz w:val="21"/>
          <w:szCs w:val="21"/>
          <w:highlight w:val="none"/>
        </w:rPr>
        <w:t>招标文件的修改或补充报招标管理机构备案后，在全国公共资源交易平台（广西壮族自治区）进行发布。招标文件的修改内容作为招标文件的组成部分，具有约束作用。</w:t>
      </w:r>
      <w:r>
        <w:rPr>
          <w:rFonts w:hint="eastAsia"/>
          <w:color w:val="auto"/>
          <w:sz w:val="21"/>
          <w:szCs w:val="21"/>
          <w:highlight w:val="none"/>
        </w:rPr>
        <w:t xml:space="preserve"> </w:t>
      </w:r>
    </w:p>
    <w:p w14:paraId="5288A54C">
      <w:pPr>
        <w:pStyle w:val="3"/>
        <w:rPr>
          <w:color w:val="auto"/>
          <w:highlight w:val="none"/>
        </w:rPr>
      </w:pPr>
      <w:bookmarkStart w:id="36" w:name="_Toc6146"/>
      <w:r>
        <w:rPr>
          <w:color w:val="auto"/>
          <w:highlight w:val="none"/>
        </w:rPr>
        <w:t>3 投标文件</w:t>
      </w:r>
      <w:bookmarkEnd w:id="36"/>
    </w:p>
    <w:p w14:paraId="1258E5C5">
      <w:pPr>
        <w:pStyle w:val="4"/>
        <w:rPr>
          <w:color w:val="auto"/>
          <w:highlight w:val="none"/>
        </w:rPr>
      </w:pPr>
      <w:bookmarkStart w:id="37" w:name="_Toc4044"/>
      <w:r>
        <w:rPr>
          <w:color w:val="auto"/>
          <w:highlight w:val="none"/>
        </w:rPr>
        <w:t>3.1 投标文件的组成</w:t>
      </w:r>
      <w:bookmarkEnd w:id="37"/>
    </w:p>
    <w:p w14:paraId="7C7EE302">
      <w:pPr>
        <w:spacing w:line="360" w:lineRule="auto"/>
        <w:ind w:firstLine="420" w:firstLineChars="200"/>
        <w:rPr>
          <w:color w:val="auto"/>
          <w:szCs w:val="21"/>
          <w:highlight w:val="none"/>
        </w:rPr>
      </w:pPr>
      <w:r>
        <w:rPr>
          <w:color w:val="auto"/>
          <w:szCs w:val="21"/>
          <w:highlight w:val="none"/>
        </w:rPr>
        <w:t>3.1.1 投标文件应包括下列内容：</w:t>
      </w:r>
    </w:p>
    <w:p w14:paraId="5F853F81">
      <w:pPr>
        <w:spacing w:line="360" w:lineRule="auto"/>
        <w:ind w:firstLine="420" w:firstLineChars="200"/>
        <w:rPr>
          <w:color w:val="auto"/>
          <w:szCs w:val="21"/>
          <w:highlight w:val="none"/>
        </w:rPr>
      </w:pPr>
      <w:r>
        <w:rPr>
          <w:rFonts w:hint="eastAsia"/>
          <w:color w:val="auto"/>
          <w:szCs w:val="21"/>
          <w:highlight w:val="none"/>
        </w:rPr>
        <w:t>（1）资格审查部分：具体材料见投标人须知前附表；</w:t>
      </w:r>
    </w:p>
    <w:p w14:paraId="2DF77437">
      <w:pPr>
        <w:spacing w:line="360" w:lineRule="auto"/>
        <w:ind w:firstLine="420" w:firstLineChars="200"/>
        <w:rPr>
          <w:color w:val="auto"/>
          <w:szCs w:val="21"/>
          <w:highlight w:val="none"/>
        </w:rPr>
      </w:pPr>
      <w:r>
        <w:rPr>
          <w:rFonts w:hint="eastAsia"/>
          <w:color w:val="auto"/>
          <w:szCs w:val="21"/>
          <w:highlight w:val="none"/>
        </w:rPr>
        <w:t>（2）商务标部分：具体材料见投标人须知前附表；</w:t>
      </w:r>
    </w:p>
    <w:p w14:paraId="61E83199">
      <w:pPr>
        <w:spacing w:line="360" w:lineRule="auto"/>
        <w:ind w:firstLine="420" w:firstLineChars="200"/>
        <w:rPr>
          <w:color w:val="auto"/>
          <w:szCs w:val="21"/>
          <w:highlight w:val="none"/>
        </w:rPr>
      </w:pPr>
      <w:r>
        <w:rPr>
          <w:rFonts w:hint="eastAsia"/>
          <w:color w:val="auto"/>
          <w:szCs w:val="21"/>
          <w:highlight w:val="none"/>
        </w:rPr>
        <w:t>（3）技术标部分（设计组织实施）：具体材料见投标人须知前附表；</w:t>
      </w:r>
    </w:p>
    <w:p w14:paraId="58C07869">
      <w:pPr>
        <w:spacing w:line="360" w:lineRule="auto"/>
        <w:ind w:firstLine="420" w:firstLineChars="200"/>
        <w:rPr>
          <w:color w:val="auto"/>
          <w:szCs w:val="21"/>
          <w:highlight w:val="none"/>
        </w:rPr>
      </w:pPr>
      <w:r>
        <w:rPr>
          <w:rFonts w:hint="eastAsia"/>
          <w:color w:val="auto"/>
          <w:szCs w:val="21"/>
          <w:highlight w:val="none"/>
        </w:rPr>
        <w:t>（4）设计方案标部分（如有）：具体材料见投标人须知前附表；</w:t>
      </w:r>
    </w:p>
    <w:p w14:paraId="3EE8960A">
      <w:pPr>
        <w:spacing w:line="360" w:lineRule="auto"/>
        <w:ind w:firstLine="420" w:firstLineChars="200"/>
        <w:rPr>
          <w:color w:val="auto"/>
          <w:szCs w:val="21"/>
          <w:highlight w:val="none"/>
        </w:rPr>
      </w:pPr>
      <w:r>
        <w:rPr>
          <w:rFonts w:hint="eastAsia"/>
          <w:color w:val="auto"/>
          <w:szCs w:val="21"/>
          <w:highlight w:val="none"/>
        </w:rPr>
        <w:t>投标人在评标过程中作出的符合法律法规和招标文件规定的澄清确认，构成投标文件的组成部分。</w:t>
      </w:r>
    </w:p>
    <w:p w14:paraId="37F94C21">
      <w:pPr>
        <w:spacing w:line="360" w:lineRule="auto"/>
        <w:ind w:firstLine="420" w:firstLineChars="200"/>
        <w:rPr>
          <w:color w:val="auto"/>
          <w:szCs w:val="21"/>
          <w:highlight w:val="none"/>
        </w:rPr>
      </w:pPr>
      <w:r>
        <w:rPr>
          <w:rFonts w:hint="eastAsia"/>
          <w:color w:val="auto"/>
          <w:szCs w:val="21"/>
          <w:highlight w:val="none"/>
        </w:rPr>
        <w:t>3.1.2 投标人须知前附表规定不接受联合体投标的，或投标人没有组成联合体的，投标文件不包括本章第 3.1.1（3）目所指的联合体协议书。</w:t>
      </w:r>
    </w:p>
    <w:p w14:paraId="69439401">
      <w:pPr>
        <w:spacing w:line="360" w:lineRule="auto"/>
        <w:ind w:firstLine="420" w:firstLineChars="200"/>
        <w:rPr>
          <w:color w:val="auto"/>
          <w:szCs w:val="21"/>
          <w:highlight w:val="none"/>
        </w:rPr>
      </w:pPr>
      <w:r>
        <w:rPr>
          <w:color w:val="auto"/>
          <w:szCs w:val="21"/>
          <w:highlight w:val="none"/>
        </w:rPr>
        <w:t>3.1.</w:t>
      </w:r>
      <w:r>
        <w:rPr>
          <w:rFonts w:hint="eastAsia"/>
          <w:color w:val="auto"/>
          <w:szCs w:val="21"/>
          <w:highlight w:val="none"/>
        </w:rPr>
        <w:t>3</w:t>
      </w:r>
      <w:r>
        <w:rPr>
          <w:color w:val="auto"/>
          <w:szCs w:val="21"/>
          <w:highlight w:val="none"/>
        </w:rPr>
        <w:t xml:space="preserve"> 招标文件“第</w:t>
      </w:r>
      <w:r>
        <w:rPr>
          <w:rFonts w:hint="eastAsia"/>
          <w:color w:val="auto"/>
          <w:szCs w:val="21"/>
          <w:highlight w:val="none"/>
        </w:rPr>
        <w:t>六</w:t>
      </w:r>
      <w:r>
        <w:rPr>
          <w:color w:val="auto"/>
          <w:szCs w:val="21"/>
          <w:highlight w:val="none"/>
        </w:rPr>
        <w:t>章 投标文件格式”有规定格式要求的，投标人应按规定的格式填写并按要求提交相关的证明材料。</w:t>
      </w:r>
    </w:p>
    <w:p w14:paraId="7EE97B06">
      <w:pPr>
        <w:pStyle w:val="4"/>
        <w:rPr>
          <w:color w:val="auto"/>
          <w:highlight w:val="none"/>
        </w:rPr>
      </w:pPr>
      <w:bookmarkStart w:id="38" w:name="_Toc20913"/>
      <w:r>
        <w:rPr>
          <w:color w:val="auto"/>
          <w:highlight w:val="none"/>
        </w:rPr>
        <w:t>3.2 投标报价</w:t>
      </w:r>
      <w:bookmarkEnd w:id="38"/>
    </w:p>
    <w:p w14:paraId="253F9286">
      <w:pPr>
        <w:spacing w:line="360" w:lineRule="auto"/>
        <w:ind w:firstLine="420" w:firstLineChars="200"/>
        <w:rPr>
          <w:color w:val="auto"/>
          <w:szCs w:val="21"/>
          <w:highlight w:val="none"/>
        </w:rPr>
      </w:pPr>
      <w:r>
        <w:rPr>
          <w:rFonts w:hint="eastAsia"/>
          <w:color w:val="auto"/>
          <w:szCs w:val="21"/>
          <w:highlight w:val="none"/>
        </w:rPr>
        <w:t>3.2.1 投标人应充分了解该项目的总体情况以及影响投标报价的其他要素。</w:t>
      </w:r>
    </w:p>
    <w:p w14:paraId="413D4F3E">
      <w:pPr>
        <w:spacing w:line="360" w:lineRule="auto"/>
        <w:ind w:firstLine="420" w:firstLineChars="200"/>
        <w:rPr>
          <w:color w:val="auto"/>
          <w:szCs w:val="21"/>
          <w:highlight w:val="none"/>
        </w:rPr>
      </w:pPr>
      <w:r>
        <w:rPr>
          <w:rFonts w:hint="eastAsia"/>
          <w:color w:val="auto"/>
          <w:szCs w:val="21"/>
          <w:highlight w:val="none"/>
        </w:rPr>
        <w:t>3.2.2 本项目的报价方式见投标人须知前附表。投标人在投标截止时间前修改投标函中的投标报价总额，应同时修改投标文件“设计费用清单”中的相应报价。此修改须符合本章第 4.3 款的有关要求。</w:t>
      </w:r>
    </w:p>
    <w:p w14:paraId="3D24CD9D">
      <w:pPr>
        <w:spacing w:line="360" w:lineRule="auto"/>
        <w:ind w:firstLine="420" w:firstLineChars="200"/>
        <w:rPr>
          <w:color w:val="auto"/>
          <w:szCs w:val="21"/>
          <w:highlight w:val="none"/>
        </w:rPr>
      </w:pPr>
      <w:r>
        <w:rPr>
          <w:rFonts w:hint="eastAsia"/>
          <w:color w:val="auto"/>
          <w:szCs w:val="21"/>
          <w:highlight w:val="none"/>
        </w:rPr>
        <w:t>3.2.3 招标人设有最高投标限价（</w:t>
      </w:r>
      <w:r>
        <w:rPr>
          <w:rFonts w:hint="eastAsia"/>
          <w:color w:val="auto"/>
          <w:highlight w:val="none"/>
        </w:rPr>
        <w:t>招标控制价）</w:t>
      </w:r>
      <w:r>
        <w:rPr>
          <w:rFonts w:hint="eastAsia"/>
          <w:color w:val="auto"/>
          <w:szCs w:val="21"/>
          <w:highlight w:val="none"/>
        </w:rPr>
        <w:t>的，投标人的投标报价不得超过最高投标限价（</w:t>
      </w:r>
      <w:r>
        <w:rPr>
          <w:rFonts w:hint="eastAsia"/>
          <w:color w:val="auto"/>
          <w:highlight w:val="none"/>
        </w:rPr>
        <w:t>招标控制价）</w:t>
      </w:r>
      <w:r>
        <w:rPr>
          <w:rFonts w:hint="eastAsia"/>
          <w:color w:val="auto"/>
          <w:szCs w:val="21"/>
          <w:highlight w:val="none"/>
        </w:rPr>
        <w:t>，最高投标限价在投标人须知前附表中载明。</w:t>
      </w:r>
    </w:p>
    <w:p w14:paraId="2D0EA63A">
      <w:pPr>
        <w:spacing w:line="360" w:lineRule="auto"/>
        <w:ind w:firstLine="420" w:firstLineChars="200"/>
        <w:rPr>
          <w:color w:val="auto"/>
          <w:szCs w:val="21"/>
          <w:highlight w:val="none"/>
        </w:rPr>
      </w:pPr>
      <w:r>
        <w:rPr>
          <w:rFonts w:hint="eastAsia"/>
          <w:color w:val="auto"/>
          <w:szCs w:val="21"/>
          <w:highlight w:val="none"/>
        </w:rPr>
        <w:t>原则上招标控制价应于投标截止时间前15日通过全国公共资源交易平台（广西壮族自治区）网站向所有投标人公布，并报送当地招投标监督管理部门。潜在投标人或者其他利害关系人对招标控制价有异议的，应当在投标截止时间10日前提出。招标人应当自收到异议之日起3日内作出答复。招标人需重新公布招标控制价的，其最终公布的时间到投标截止时间不足15天可能影响投标文件编制的，应顺延提交投标文件的截止时间。</w:t>
      </w:r>
    </w:p>
    <w:p w14:paraId="06F197E3">
      <w:pPr>
        <w:spacing w:line="360" w:lineRule="auto"/>
        <w:ind w:firstLine="420" w:firstLineChars="200"/>
        <w:rPr>
          <w:color w:val="auto"/>
          <w:szCs w:val="21"/>
          <w:highlight w:val="none"/>
        </w:rPr>
      </w:pPr>
      <w:r>
        <w:rPr>
          <w:rFonts w:hint="eastAsia"/>
          <w:color w:val="auto"/>
          <w:szCs w:val="21"/>
          <w:highlight w:val="none"/>
        </w:rPr>
        <w:t>3.2.4 投标报价的其他要求见投标人须知前附表。</w:t>
      </w:r>
    </w:p>
    <w:p w14:paraId="7BC75636">
      <w:pPr>
        <w:pStyle w:val="4"/>
        <w:rPr>
          <w:color w:val="auto"/>
          <w:highlight w:val="none"/>
        </w:rPr>
      </w:pPr>
      <w:bookmarkStart w:id="39" w:name="_Toc21607"/>
      <w:r>
        <w:rPr>
          <w:color w:val="auto"/>
          <w:highlight w:val="none"/>
        </w:rPr>
        <w:t>3.3 投标有效期</w:t>
      </w:r>
      <w:bookmarkEnd w:id="39"/>
    </w:p>
    <w:p w14:paraId="1EEFA1FA">
      <w:pPr>
        <w:spacing w:line="360" w:lineRule="auto"/>
        <w:ind w:firstLine="420" w:firstLineChars="200"/>
        <w:rPr>
          <w:color w:val="auto"/>
          <w:szCs w:val="21"/>
          <w:highlight w:val="none"/>
        </w:rPr>
      </w:pPr>
      <w:r>
        <w:rPr>
          <w:rFonts w:hint="eastAsia"/>
          <w:color w:val="auto"/>
          <w:szCs w:val="21"/>
          <w:highlight w:val="none"/>
        </w:rPr>
        <w:t>3.3.1 除投标人须知前附表另有规定外，投标有效期为 90 天。</w:t>
      </w:r>
    </w:p>
    <w:p w14:paraId="3C099526">
      <w:pPr>
        <w:spacing w:line="360" w:lineRule="auto"/>
        <w:ind w:firstLine="420" w:firstLineChars="200"/>
        <w:rPr>
          <w:color w:val="auto"/>
          <w:szCs w:val="21"/>
          <w:highlight w:val="none"/>
        </w:rPr>
      </w:pPr>
      <w:r>
        <w:rPr>
          <w:rFonts w:hint="eastAsia"/>
          <w:color w:val="auto"/>
          <w:szCs w:val="21"/>
          <w:highlight w:val="none"/>
        </w:rPr>
        <w:t>3.3.2 在投标有效期内，投标人撤销投标文件的，应承担招标文件和法律规定的责任。</w:t>
      </w:r>
    </w:p>
    <w:p w14:paraId="14E1C2E7">
      <w:pPr>
        <w:spacing w:line="360" w:lineRule="auto"/>
        <w:ind w:firstLine="420" w:firstLineChars="200"/>
        <w:rPr>
          <w:rFonts w:hAnsi="宋体" w:cs="宋体"/>
          <w:color w:val="auto"/>
          <w:highlight w:val="none"/>
        </w:rPr>
      </w:pPr>
      <w:r>
        <w:rPr>
          <w:rFonts w:hint="eastAsia"/>
          <w:color w:val="auto"/>
          <w:szCs w:val="21"/>
          <w:highlight w:val="none"/>
        </w:rPr>
        <w:t>3.3.3</w:t>
      </w:r>
      <w:r>
        <w:rPr>
          <w:rFonts w:hint="eastAsia" w:hAnsi="宋体" w:cs="宋体"/>
          <w:color w:val="auto"/>
          <w:highlight w:val="none"/>
        </w:rPr>
        <w:t>出现特殊情况需要延长投标有效期的，招标人通过</w:t>
      </w:r>
      <w:r>
        <w:rPr>
          <w:rFonts w:hint="eastAsia" w:ascii="宋体" w:hAnsi="宋体"/>
          <w:color w:val="auto"/>
          <w:highlight w:val="none"/>
        </w:rPr>
        <w:t>全国公共资源交易平台（广西壮族自治区）</w:t>
      </w:r>
      <w:r>
        <w:rPr>
          <w:rFonts w:hint="eastAsia" w:hAnsi="宋体" w:cs="宋体"/>
          <w:color w:val="auto"/>
          <w:highlight w:val="none"/>
        </w:rPr>
        <w:t>通知所有投标人延长投标有效期。投标人同意延长的，应相应延长其投标保证金的有效期，但不得要求或被允许修改或撤销其投标文件；投标人拒绝延长的，其投标失效，但投标人有权收回其投标保证金。</w:t>
      </w:r>
    </w:p>
    <w:p w14:paraId="4D395434">
      <w:pPr>
        <w:pStyle w:val="4"/>
        <w:rPr>
          <w:color w:val="auto"/>
          <w:highlight w:val="none"/>
        </w:rPr>
      </w:pPr>
      <w:bookmarkStart w:id="40" w:name="_Toc26242"/>
      <w:r>
        <w:rPr>
          <w:color w:val="auto"/>
          <w:highlight w:val="none"/>
        </w:rPr>
        <w:t>3.4 投标保证金</w:t>
      </w:r>
      <w:bookmarkEnd w:id="40"/>
    </w:p>
    <w:p w14:paraId="768560F4">
      <w:pPr>
        <w:spacing w:line="360" w:lineRule="auto"/>
        <w:ind w:firstLine="420" w:firstLineChars="200"/>
        <w:rPr>
          <w:rFonts w:cs="宋体"/>
          <w:color w:val="auto"/>
          <w:highlight w:val="none"/>
        </w:rPr>
      </w:pPr>
      <w:r>
        <w:rPr>
          <w:color w:val="auto"/>
          <w:szCs w:val="21"/>
          <w:highlight w:val="none"/>
        </w:rPr>
        <w:t>3.4.1</w:t>
      </w:r>
      <w:r>
        <w:rPr>
          <w:rFonts w:hint="eastAsia"/>
          <w:color w:val="auto"/>
          <w:szCs w:val="21"/>
          <w:highlight w:val="none"/>
        </w:rPr>
        <w:t>投标人在递交投标文件的同时，应按投标人须知前附表规定的金额、形式和第六章“投标文件格式”规定的投标保证金格式递交投标保证金，</w:t>
      </w:r>
      <w:r>
        <w:rPr>
          <w:rFonts w:hint="eastAsia" w:cs="宋体"/>
          <w:color w:val="auto"/>
          <w:highlight w:val="none"/>
        </w:rPr>
        <w:t>投标保证金的提交情况以</w:t>
      </w:r>
      <w:r>
        <w:rPr>
          <w:rFonts w:hint="eastAsia" w:ascii="宋体" w:hAnsi="宋体"/>
          <w:color w:val="auto"/>
          <w:highlight w:val="none"/>
        </w:rPr>
        <w:t>全国公共资源交易平台（广西壮族自治区）</w:t>
      </w:r>
      <w:r>
        <w:rPr>
          <w:rFonts w:hint="eastAsia" w:cs="宋体"/>
          <w:color w:val="auto"/>
          <w:highlight w:val="none"/>
        </w:rPr>
        <w:t>记录为准。联合体投标的，其投标保证金由牵头人提交，并应符合</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的规定。</w:t>
      </w:r>
    </w:p>
    <w:p w14:paraId="381006A6">
      <w:pPr>
        <w:spacing w:line="360" w:lineRule="auto"/>
        <w:ind w:firstLine="420" w:firstLineChars="200"/>
        <w:rPr>
          <w:color w:val="auto"/>
          <w:szCs w:val="21"/>
          <w:highlight w:val="none"/>
        </w:rPr>
      </w:pPr>
      <w:r>
        <w:rPr>
          <w:color w:val="auto"/>
          <w:szCs w:val="21"/>
          <w:highlight w:val="none"/>
        </w:rPr>
        <w:t>3.4.2 投标人不按本章第3.4.1项要求提交投标保证金</w:t>
      </w:r>
      <w:r>
        <w:rPr>
          <w:rFonts w:hint="eastAsia"/>
          <w:color w:val="auto"/>
          <w:szCs w:val="21"/>
          <w:highlight w:val="none"/>
        </w:rPr>
        <w:t>的</w:t>
      </w:r>
      <w:r>
        <w:rPr>
          <w:color w:val="auto"/>
          <w:szCs w:val="21"/>
          <w:highlight w:val="none"/>
        </w:rPr>
        <w:t>，</w:t>
      </w:r>
      <w:r>
        <w:rPr>
          <w:rFonts w:hint="eastAsia" w:cs="宋体"/>
          <w:color w:val="auto"/>
          <w:highlight w:val="none"/>
        </w:rPr>
        <w:t>其投标文件作否决投标处理</w:t>
      </w:r>
      <w:r>
        <w:rPr>
          <w:color w:val="auto"/>
          <w:szCs w:val="21"/>
          <w:highlight w:val="none"/>
        </w:rPr>
        <w:t>。</w:t>
      </w:r>
    </w:p>
    <w:p w14:paraId="71E07D6C">
      <w:pPr>
        <w:spacing w:line="360" w:lineRule="auto"/>
        <w:ind w:firstLine="420" w:firstLineChars="200"/>
        <w:rPr>
          <w:color w:val="auto"/>
          <w:szCs w:val="21"/>
          <w:highlight w:val="none"/>
        </w:rPr>
      </w:pPr>
      <w:r>
        <w:rPr>
          <w:rFonts w:hint="eastAsia"/>
          <w:color w:val="auto"/>
          <w:szCs w:val="21"/>
          <w:highlight w:val="none"/>
        </w:rPr>
        <w:t>3.4.3 对未中标人交纳的投标保证金（保函原件）应当于中标通知书发出之日起4日内自动退回；对中标人交纳的投标保证金（保函原件）应当于合同签订之日起日内自动退回。</w:t>
      </w:r>
    </w:p>
    <w:p w14:paraId="4D8F9DDD">
      <w:pPr>
        <w:spacing w:line="360" w:lineRule="auto"/>
        <w:ind w:firstLine="420" w:firstLineChars="200"/>
        <w:rPr>
          <w:color w:val="auto"/>
          <w:szCs w:val="21"/>
          <w:highlight w:val="none"/>
        </w:rPr>
      </w:pPr>
      <w:r>
        <w:rPr>
          <w:rFonts w:hint="eastAsia"/>
          <w:color w:val="auto"/>
          <w:szCs w:val="21"/>
          <w:highlight w:val="none"/>
        </w:rPr>
        <w:t>3.4.4 有下列情形之一的，投标保证金将不予退还：</w:t>
      </w:r>
    </w:p>
    <w:p w14:paraId="37AD5430">
      <w:pPr>
        <w:spacing w:line="360" w:lineRule="auto"/>
        <w:ind w:firstLine="420" w:firstLineChars="200"/>
        <w:rPr>
          <w:color w:val="auto"/>
          <w:szCs w:val="21"/>
          <w:highlight w:val="none"/>
        </w:rPr>
      </w:pPr>
      <w:r>
        <w:rPr>
          <w:rFonts w:hint="eastAsia"/>
          <w:color w:val="auto"/>
          <w:szCs w:val="21"/>
          <w:highlight w:val="none"/>
        </w:rPr>
        <w:t>（1）投标人在规定的投标有效期内撤销或修改其投标文件；</w:t>
      </w:r>
    </w:p>
    <w:p w14:paraId="014E2ADA">
      <w:pPr>
        <w:spacing w:line="360" w:lineRule="auto"/>
        <w:ind w:firstLine="420" w:firstLineChars="200"/>
        <w:rPr>
          <w:color w:val="auto"/>
          <w:szCs w:val="21"/>
          <w:highlight w:val="none"/>
        </w:rPr>
      </w:pPr>
      <w:r>
        <w:rPr>
          <w:rFonts w:hint="eastAsia"/>
          <w:color w:val="auto"/>
          <w:szCs w:val="21"/>
          <w:highlight w:val="none"/>
        </w:rPr>
        <w:t>（2）中标人在收到中标通知书后，无正当理由不与招标人订立合同，在签订合同时向招标人提出附加条件，或者不按照招标文件要求提交履约保证金。</w:t>
      </w:r>
    </w:p>
    <w:p w14:paraId="576D2617">
      <w:pPr>
        <w:pStyle w:val="4"/>
        <w:rPr>
          <w:color w:val="auto"/>
          <w:highlight w:val="none"/>
        </w:rPr>
      </w:pPr>
      <w:bookmarkStart w:id="41" w:name="_Toc18216"/>
      <w:r>
        <w:rPr>
          <w:rFonts w:hint="eastAsia"/>
          <w:color w:val="auto"/>
          <w:highlight w:val="none"/>
        </w:rPr>
        <w:t>3.</w:t>
      </w:r>
      <w:r>
        <w:rPr>
          <w:color w:val="auto"/>
          <w:highlight w:val="none"/>
        </w:rPr>
        <w:t>5</w:t>
      </w:r>
      <w:r>
        <w:rPr>
          <w:rFonts w:hint="eastAsia"/>
          <w:color w:val="auto"/>
          <w:highlight w:val="none"/>
        </w:rPr>
        <w:t xml:space="preserve"> 资格审查资料（适用于未进行资格预审的）</w:t>
      </w:r>
      <w:bookmarkEnd w:id="41"/>
    </w:p>
    <w:p w14:paraId="222E640A">
      <w:pPr>
        <w:spacing w:line="360" w:lineRule="auto"/>
        <w:ind w:firstLine="420" w:firstLineChars="200"/>
        <w:rPr>
          <w:color w:val="auto"/>
          <w:szCs w:val="21"/>
          <w:highlight w:val="none"/>
        </w:rPr>
      </w:pPr>
      <w:r>
        <w:rPr>
          <w:rFonts w:hint="eastAsia"/>
          <w:color w:val="auto"/>
          <w:szCs w:val="21"/>
          <w:highlight w:val="none"/>
        </w:rPr>
        <w:t>除投标人的资格审查文件应按“投标须知前附表”3</w:t>
      </w:r>
      <w:r>
        <w:rPr>
          <w:color w:val="auto"/>
          <w:szCs w:val="21"/>
          <w:highlight w:val="none"/>
        </w:rPr>
        <w:t>.1.1规定提交的文件资料顺序提供</w:t>
      </w:r>
      <w:r>
        <w:rPr>
          <w:rFonts w:hint="eastAsia"/>
          <w:color w:val="auto"/>
          <w:szCs w:val="21"/>
          <w:highlight w:val="none"/>
        </w:rPr>
        <w:t>，</w:t>
      </w:r>
      <w:r>
        <w:rPr>
          <w:color w:val="auto"/>
          <w:szCs w:val="21"/>
          <w:highlight w:val="none"/>
        </w:rPr>
        <w:t>资格审查文件有任何一项不合格或缺项者</w:t>
      </w:r>
      <w:r>
        <w:rPr>
          <w:rFonts w:hint="eastAsia"/>
          <w:color w:val="auto"/>
          <w:szCs w:val="21"/>
          <w:highlight w:val="none"/>
        </w:rPr>
        <w:t>，</w:t>
      </w:r>
      <w:r>
        <w:rPr>
          <w:color w:val="auto"/>
          <w:szCs w:val="21"/>
          <w:highlight w:val="none"/>
        </w:rPr>
        <w:t>其资格审查视为不通过</w:t>
      </w:r>
      <w:r>
        <w:rPr>
          <w:rFonts w:hint="eastAsia"/>
          <w:color w:val="auto"/>
          <w:szCs w:val="21"/>
          <w:highlight w:val="none"/>
        </w:rPr>
        <w:t>。</w:t>
      </w:r>
    </w:p>
    <w:p w14:paraId="121B2887">
      <w:pPr>
        <w:pStyle w:val="4"/>
        <w:rPr>
          <w:color w:val="auto"/>
          <w:highlight w:val="none"/>
        </w:rPr>
      </w:pPr>
      <w:bookmarkStart w:id="42" w:name="_Toc28481"/>
      <w:r>
        <w:rPr>
          <w:color w:val="auto"/>
          <w:highlight w:val="none"/>
        </w:rPr>
        <w:t>3.</w:t>
      </w:r>
      <w:r>
        <w:rPr>
          <w:rFonts w:hint="eastAsia"/>
          <w:color w:val="auto"/>
          <w:highlight w:val="none"/>
        </w:rPr>
        <w:t>6</w:t>
      </w:r>
      <w:r>
        <w:rPr>
          <w:color w:val="auto"/>
          <w:highlight w:val="none"/>
        </w:rPr>
        <w:t xml:space="preserve"> 备选投标方案</w:t>
      </w:r>
      <w:bookmarkEnd w:id="42"/>
    </w:p>
    <w:p w14:paraId="5AB6D36D">
      <w:pPr>
        <w:spacing w:line="360" w:lineRule="auto"/>
        <w:ind w:firstLine="420" w:firstLineChars="200"/>
        <w:rPr>
          <w:color w:val="auto"/>
          <w:szCs w:val="21"/>
          <w:highlight w:val="none"/>
        </w:rPr>
      </w:pPr>
      <w:r>
        <w:rPr>
          <w:rFonts w:hint="eastAsia"/>
          <w:color w:val="auto"/>
          <w:szCs w:val="21"/>
          <w:highlight w:val="none"/>
        </w:rPr>
        <w:t>3.6.1 除投标人须知前附表规定允许外，投标人不得递交备选投标方案，否则其投标将被否决。</w:t>
      </w:r>
    </w:p>
    <w:p w14:paraId="0E0499DF">
      <w:pPr>
        <w:spacing w:line="360" w:lineRule="auto"/>
        <w:ind w:firstLine="420" w:firstLineChars="200"/>
        <w:rPr>
          <w:color w:val="auto"/>
          <w:szCs w:val="21"/>
          <w:highlight w:val="none"/>
        </w:rPr>
      </w:pPr>
      <w:r>
        <w:rPr>
          <w:rFonts w:hint="eastAsia"/>
          <w:color w:val="auto"/>
          <w:szCs w:val="21"/>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708180C2">
      <w:pPr>
        <w:spacing w:line="360" w:lineRule="auto"/>
        <w:ind w:firstLine="420" w:firstLineChars="200"/>
        <w:rPr>
          <w:color w:val="auto"/>
          <w:highlight w:val="none"/>
        </w:rPr>
      </w:pPr>
      <w:r>
        <w:rPr>
          <w:rFonts w:hint="eastAsia"/>
          <w:color w:val="auto"/>
          <w:szCs w:val="21"/>
          <w:highlight w:val="none"/>
        </w:rPr>
        <w:t>3.6.3 投标人提供两个或两个以上投标报价，或者在投标文件中提供一个报价，但同时提供两个或两个以上设计方案的，视为提供备选方案。</w:t>
      </w:r>
    </w:p>
    <w:p w14:paraId="32C855B1">
      <w:pPr>
        <w:pStyle w:val="4"/>
        <w:rPr>
          <w:color w:val="auto"/>
          <w:highlight w:val="none"/>
        </w:rPr>
      </w:pPr>
      <w:bookmarkStart w:id="43" w:name="_Toc11269"/>
      <w:r>
        <w:rPr>
          <w:color w:val="auto"/>
          <w:highlight w:val="none"/>
        </w:rPr>
        <w:t>3.</w:t>
      </w:r>
      <w:r>
        <w:rPr>
          <w:rFonts w:hint="eastAsia"/>
          <w:color w:val="auto"/>
          <w:highlight w:val="none"/>
        </w:rPr>
        <w:t>7</w:t>
      </w:r>
      <w:r>
        <w:rPr>
          <w:color w:val="auto"/>
          <w:highlight w:val="none"/>
        </w:rPr>
        <w:t xml:space="preserve"> 投标文件的编制</w:t>
      </w:r>
      <w:bookmarkEnd w:id="43"/>
    </w:p>
    <w:p w14:paraId="147FF904">
      <w:pPr>
        <w:spacing w:line="360" w:lineRule="auto"/>
        <w:ind w:firstLine="420" w:firstLineChars="200"/>
        <w:rPr>
          <w:color w:val="auto"/>
          <w:szCs w:val="21"/>
          <w:highlight w:val="none"/>
        </w:rPr>
      </w:pPr>
      <w:r>
        <w:rPr>
          <w:rFonts w:hint="eastAsia"/>
          <w:color w:val="auto"/>
          <w:szCs w:val="21"/>
          <w:highlight w:val="none"/>
        </w:rPr>
        <w:t>3.7.1 投标文件应按第六章“投标文件格式”进行编写，如有必要，可以增加附页，作为投标文件的组成部分。其中，投标函附录在满足招标文件实质性要求的基础上，可以提出比招标文件要求更有利于招标人的承诺。</w:t>
      </w:r>
    </w:p>
    <w:p w14:paraId="0A3B21EE">
      <w:pPr>
        <w:spacing w:line="360" w:lineRule="auto"/>
        <w:ind w:firstLine="420" w:firstLineChars="200"/>
        <w:rPr>
          <w:color w:val="auto"/>
          <w:szCs w:val="21"/>
          <w:highlight w:val="none"/>
        </w:rPr>
      </w:pPr>
      <w:r>
        <w:rPr>
          <w:rFonts w:hint="eastAsia"/>
          <w:color w:val="auto"/>
          <w:szCs w:val="21"/>
          <w:highlight w:val="none"/>
        </w:rPr>
        <w:t>3.7.2 投标文件应当对招标文件有关设计服务期限、投标有效期、发包人要求、招标范围等实质性内容作出响应。</w:t>
      </w:r>
    </w:p>
    <w:p w14:paraId="359CE423">
      <w:pPr>
        <w:spacing w:line="360" w:lineRule="auto"/>
        <w:ind w:firstLine="420" w:firstLineChars="200"/>
        <w:rPr>
          <w:rFonts w:cs="宋体"/>
          <w:color w:val="auto"/>
          <w:highlight w:val="none"/>
        </w:rPr>
      </w:pPr>
      <w:r>
        <w:rPr>
          <w:rFonts w:hint="eastAsia"/>
          <w:color w:val="auto"/>
          <w:szCs w:val="21"/>
          <w:highlight w:val="none"/>
        </w:rPr>
        <w:t>3.7.3</w:t>
      </w:r>
      <w:r>
        <w:rPr>
          <w:rFonts w:hint="eastAsia" w:hAnsi="宋体" w:cs="宋体"/>
          <w:color w:val="auto"/>
          <w:highlight w:val="none"/>
        </w:rPr>
        <w:t>投标文件应采用</w:t>
      </w:r>
      <w:r>
        <w:rPr>
          <w:rFonts w:hint="eastAsia" w:ascii="宋体" w:hAnsi="宋体"/>
          <w:color w:val="auto"/>
          <w:highlight w:val="none"/>
        </w:rPr>
        <w:t>全国公共资源交易平台（广西壮族自治区）</w:t>
      </w:r>
      <w:r>
        <w:rPr>
          <w:rFonts w:hint="eastAsia" w:hAnsi="宋体" w:cs="宋体"/>
          <w:color w:val="auto"/>
          <w:highlight w:val="none"/>
        </w:rPr>
        <w:t>兼容的投标文件制作软件制作，</w:t>
      </w:r>
      <w:r>
        <w:rPr>
          <w:rFonts w:hint="eastAsia" w:cs="宋体"/>
          <w:color w:val="auto"/>
          <w:highlight w:val="none"/>
        </w:rPr>
        <w:t>电子投标文件由投标人在招标文件规定的投标文件相关位置加盖投标人单位电子印章。投标文件未加盖投标人单位电子印章的，均作否决投标处理。</w:t>
      </w:r>
    </w:p>
    <w:p w14:paraId="0DE8C322">
      <w:pPr>
        <w:spacing w:line="360" w:lineRule="auto"/>
        <w:ind w:firstLine="420" w:firstLineChars="200"/>
        <w:rPr>
          <w:color w:val="auto"/>
          <w:highlight w:val="none"/>
        </w:rPr>
      </w:pPr>
      <w:r>
        <w:rPr>
          <w:rFonts w:hint="eastAsia" w:cs="宋体"/>
          <w:color w:val="auto"/>
          <w:highlight w:val="none"/>
        </w:rPr>
        <w:t>3</w:t>
      </w:r>
      <w:r>
        <w:rPr>
          <w:rFonts w:cs="宋体"/>
          <w:color w:val="auto"/>
          <w:highlight w:val="none"/>
        </w:rPr>
        <w:t>.7.4</w:t>
      </w:r>
      <w:r>
        <w:rPr>
          <w:color w:val="auto"/>
          <w:highlight w:val="none"/>
        </w:rPr>
        <w:t xml:space="preserve"> </w:t>
      </w:r>
      <w:r>
        <w:rPr>
          <w:rFonts w:hint="eastAsia"/>
          <w:color w:val="auto"/>
          <w:highlight w:val="none"/>
        </w:rPr>
        <w:t>电子</w:t>
      </w:r>
      <w:r>
        <w:rPr>
          <w:rFonts w:hint="eastAsia" w:cs="宋体"/>
          <w:color w:val="auto"/>
          <w:highlight w:val="none"/>
        </w:rPr>
        <w:t>投标文件一份，</w:t>
      </w:r>
      <w:r>
        <w:rPr>
          <w:rFonts w:hint="eastAsia"/>
          <w:color w:val="auto"/>
          <w:highlight w:val="none"/>
        </w:rPr>
        <w:t>电子投标文件一份见“投标人须知前附表”。</w:t>
      </w:r>
    </w:p>
    <w:p w14:paraId="3300C056">
      <w:pPr>
        <w:spacing w:line="360" w:lineRule="auto"/>
        <w:ind w:firstLine="420" w:firstLineChars="200"/>
        <w:rPr>
          <w:color w:val="auto"/>
          <w:highlight w:val="none"/>
        </w:rPr>
      </w:pPr>
      <w:r>
        <w:rPr>
          <w:color w:val="auto"/>
          <w:highlight w:val="none"/>
        </w:rPr>
        <w:t>3.7.</w:t>
      </w:r>
      <w:r>
        <w:rPr>
          <w:rFonts w:hint="eastAsia"/>
          <w:color w:val="auto"/>
          <w:highlight w:val="none"/>
        </w:rPr>
        <w:t>5</w:t>
      </w:r>
      <w:r>
        <w:rPr>
          <w:color w:val="auto"/>
          <w:highlight w:val="none"/>
        </w:rPr>
        <w:t xml:space="preserve"> </w:t>
      </w:r>
      <w:r>
        <w:rPr>
          <w:rFonts w:hint="eastAsia" w:cs="宋体"/>
          <w:color w:val="auto"/>
          <w:highlight w:val="none"/>
        </w:rPr>
        <w:t>补充内容：投标文件编制的其它要求详见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2DE43FDD">
      <w:pPr>
        <w:pStyle w:val="3"/>
        <w:rPr>
          <w:color w:val="auto"/>
          <w:highlight w:val="none"/>
        </w:rPr>
      </w:pPr>
      <w:bookmarkStart w:id="44" w:name="_Toc23804"/>
      <w:r>
        <w:rPr>
          <w:color w:val="auto"/>
          <w:highlight w:val="none"/>
        </w:rPr>
        <w:t>4 投标</w:t>
      </w:r>
      <w:bookmarkEnd w:id="44"/>
    </w:p>
    <w:p w14:paraId="25EB28E5">
      <w:pPr>
        <w:pStyle w:val="4"/>
        <w:rPr>
          <w:color w:val="auto"/>
          <w:highlight w:val="none"/>
        </w:rPr>
      </w:pPr>
      <w:bookmarkStart w:id="45" w:name="_Toc16638"/>
      <w:r>
        <w:rPr>
          <w:color w:val="auto"/>
          <w:highlight w:val="none"/>
        </w:rPr>
        <w:t>4.1</w:t>
      </w:r>
      <w:r>
        <w:rPr>
          <w:rFonts w:hint="eastAsia"/>
          <w:color w:val="auto"/>
          <w:highlight w:val="none"/>
        </w:rPr>
        <w:t>投标文件的加密和数字证书认证</w:t>
      </w:r>
      <w:bookmarkEnd w:id="45"/>
    </w:p>
    <w:p w14:paraId="24408082">
      <w:pPr>
        <w:spacing w:line="360" w:lineRule="auto"/>
        <w:ind w:firstLine="420" w:firstLineChars="200"/>
        <w:rPr>
          <w:rFonts w:hAnsi="宋体" w:cs="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.1</w:t>
      </w:r>
      <w:r>
        <w:rPr>
          <w:rFonts w:hint="eastAsia" w:hAnsi="宋体" w:cs="宋体"/>
          <w:color w:val="auto"/>
          <w:highlight w:val="none"/>
        </w:rPr>
        <w:t>投标文件应通过投标文件制作软件进行制作，并通过数字证书认证和加密，最终生成一份加密格式（*.GXTF）的投标文件。</w:t>
      </w:r>
    </w:p>
    <w:p w14:paraId="6EB20ED5">
      <w:pPr>
        <w:spacing w:line="360" w:lineRule="auto"/>
        <w:ind w:firstLine="420" w:firstLineChars="200"/>
        <w:rPr>
          <w:rFonts w:hAnsi="宋体" w:cs="宋体"/>
          <w:color w:val="auto"/>
          <w:highlight w:val="none"/>
        </w:rPr>
      </w:pPr>
      <w:r>
        <w:rPr>
          <w:rFonts w:hint="eastAsia" w:hAnsi="宋体" w:cs="宋体"/>
          <w:color w:val="auto"/>
          <w:highlight w:val="none"/>
        </w:rPr>
        <w:t>4.1.2 未按本章第4.1.1项要求加密和数字证书认证的投标文件，为无效投标文件。</w:t>
      </w:r>
      <w:bookmarkStart w:id="46" w:name="_Toc12609256"/>
    </w:p>
    <w:p w14:paraId="1EF0C617">
      <w:pPr>
        <w:pStyle w:val="4"/>
        <w:rPr>
          <w:color w:val="auto"/>
          <w:highlight w:val="none"/>
        </w:rPr>
      </w:pPr>
      <w:bookmarkStart w:id="47" w:name="_Toc27191"/>
      <w:r>
        <w:rPr>
          <w:rFonts w:hint="eastAsia"/>
          <w:color w:val="auto"/>
          <w:highlight w:val="none"/>
        </w:rPr>
        <w:t>4.2 未加密的电子投标文件U盘的密封和标记</w:t>
      </w:r>
      <w:bookmarkEnd w:id="46"/>
      <w:bookmarkEnd w:id="47"/>
    </w:p>
    <w:p w14:paraId="72106513">
      <w:pPr>
        <w:spacing w:line="360" w:lineRule="auto"/>
        <w:ind w:firstLine="420" w:firstLineChars="200"/>
        <w:rPr>
          <w:color w:val="auto"/>
          <w:highlight w:val="none"/>
        </w:rPr>
      </w:pPr>
      <w:r>
        <w:rPr>
          <w:rFonts w:hint="eastAsia"/>
          <w:color w:val="auto"/>
          <w:highlight w:val="none"/>
        </w:rPr>
        <w:t>不需要</w:t>
      </w:r>
      <w:r>
        <w:rPr>
          <w:color w:val="auto"/>
          <w:highlight w:val="none"/>
        </w:rPr>
        <w:t>提供</w:t>
      </w:r>
    </w:p>
    <w:p w14:paraId="276BE96E">
      <w:pPr>
        <w:pStyle w:val="4"/>
        <w:rPr>
          <w:color w:val="auto"/>
          <w:highlight w:val="none"/>
        </w:rPr>
      </w:pPr>
      <w:bookmarkStart w:id="48" w:name="_Toc255"/>
      <w:r>
        <w:rPr>
          <w:rFonts w:hint="eastAsia"/>
          <w:color w:val="auto"/>
          <w:highlight w:val="none"/>
        </w:rPr>
        <w:t>4.3投标文件的递交</w:t>
      </w:r>
      <w:bookmarkEnd w:id="48"/>
    </w:p>
    <w:p w14:paraId="6F32B557">
      <w:pPr>
        <w:spacing w:line="360" w:lineRule="auto"/>
        <w:ind w:firstLine="420" w:firstLineChars="200"/>
        <w:rPr>
          <w:rFonts w:ascii="宋体" w:hAnsi="宋体" w:cs="宋体"/>
          <w:color w:val="auto"/>
          <w:highlight w:val="none"/>
        </w:rPr>
      </w:pPr>
      <w:r>
        <w:rPr>
          <w:rFonts w:ascii="宋体" w:hAnsi="宋体"/>
          <w:color w:val="auto"/>
          <w:highlight w:val="none"/>
        </w:rPr>
        <w:t>4.</w:t>
      </w:r>
      <w:r>
        <w:rPr>
          <w:rFonts w:hint="eastAsia" w:ascii="宋体" w:hAnsi="宋体"/>
          <w:color w:val="auto"/>
          <w:highlight w:val="none"/>
        </w:rPr>
        <w:t>3</w:t>
      </w:r>
      <w:r>
        <w:rPr>
          <w:rFonts w:ascii="宋体" w:hAnsi="宋体"/>
          <w:color w:val="auto"/>
          <w:highlight w:val="none"/>
        </w:rPr>
        <w:t>.1</w:t>
      </w:r>
      <w:r>
        <w:rPr>
          <w:rFonts w:hint="eastAsia" w:ascii="宋体" w:hAnsi="宋体" w:cs="宋体"/>
          <w:color w:val="auto"/>
          <w:highlight w:val="none"/>
        </w:rPr>
        <w:t>投标人应在投标人须知前附表第2.2.2项规定的投标截止时间前，在</w:t>
      </w:r>
      <w:r>
        <w:rPr>
          <w:rFonts w:hint="eastAsia" w:ascii="宋体" w:hAnsi="宋体"/>
          <w:color w:val="auto"/>
          <w:highlight w:val="none"/>
        </w:rPr>
        <w:t>全国公共资源交易平台（广西壮族自治区）</w:t>
      </w:r>
      <w:r>
        <w:rPr>
          <w:rFonts w:hint="eastAsia" w:ascii="宋体" w:hAnsi="宋体" w:cs="宋体"/>
          <w:color w:val="auto"/>
          <w:highlight w:val="none"/>
        </w:rPr>
        <w:t>提交加密后的电子投标文件</w:t>
      </w:r>
      <w:r>
        <w:rPr>
          <w:rFonts w:hint="eastAsia" w:ascii="宋体" w:hAnsi="宋体" w:cs="Therese"/>
          <w:color w:val="auto"/>
          <w:kern w:val="0"/>
          <w:szCs w:val="21"/>
          <w:highlight w:val="none"/>
        </w:rPr>
        <w:t>。</w:t>
      </w:r>
    </w:p>
    <w:p w14:paraId="5272981B">
      <w:pPr>
        <w:spacing w:line="360" w:lineRule="auto"/>
        <w:ind w:firstLine="420" w:firstLineChars="200"/>
        <w:rPr>
          <w:rFonts w:ascii="宋体" w:hAnsi="宋体"/>
          <w:color w:val="auto"/>
          <w:highlight w:val="none"/>
        </w:rPr>
      </w:pPr>
      <w:r>
        <w:rPr>
          <w:rFonts w:ascii="宋体" w:hAnsi="宋体"/>
          <w:color w:val="auto"/>
          <w:highlight w:val="none"/>
        </w:rPr>
        <w:t>4.</w:t>
      </w:r>
      <w:r>
        <w:rPr>
          <w:rFonts w:hint="eastAsia" w:ascii="宋体" w:hAnsi="宋体"/>
          <w:color w:val="auto"/>
          <w:highlight w:val="none"/>
        </w:rPr>
        <w:t>3</w:t>
      </w:r>
      <w:r>
        <w:rPr>
          <w:rFonts w:ascii="宋体" w:hAnsi="宋体"/>
          <w:color w:val="auto"/>
          <w:highlight w:val="none"/>
        </w:rPr>
        <w:t>.2</w:t>
      </w:r>
      <w:r>
        <w:rPr>
          <w:rFonts w:hint="eastAsia" w:ascii="宋体" w:hAnsi="宋体" w:cs="宋体"/>
          <w:color w:val="auto"/>
          <w:highlight w:val="none"/>
        </w:rPr>
        <w:t>递交投标文件地点：见投标人须知前附表，未在开标截止时间前通过网上招投标系统提交有效电子投标文件的，</w:t>
      </w:r>
      <w:r>
        <w:rPr>
          <w:rFonts w:hint="eastAsia" w:ascii="宋体" w:hAnsi="宋体"/>
          <w:color w:val="auto"/>
          <w:highlight w:val="none"/>
        </w:rPr>
        <w:t>全国公共资源交易平台（广西壮族自治区）</w:t>
      </w:r>
      <w:r>
        <w:rPr>
          <w:rFonts w:hint="eastAsia" w:ascii="宋体" w:hAnsi="宋体" w:cs="宋体"/>
          <w:color w:val="auto"/>
          <w:highlight w:val="none"/>
        </w:rPr>
        <w:t>不予接收。逾期上传的投标文件，为无效投标文件。</w:t>
      </w:r>
    </w:p>
    <w:p w14:paraId="4D0C397A">
      <w:pPr>
        <w:spacing w:line="360" w:lineRule="auto"/>
        <w:ind w:firstLine="420" w:firstLineChars="200"/>
        <w:rPr>
          <w:rFonts w:ascii="宋体" w:hAnsi="宋体" w:cs="宋体"/>
          <w:color w:val="auto"/>
          <w:highlight w:val="none"/>
        </w:rPr>
      </w:pPr>
      <w:r>
        <w:rPr>
          <w:rFonts w:ascii="宋体" w:hAnsi="宋体"/>
          <w:color w:val="auto"/>
          <w:highlight w:val="none"/>
        </w:rPr>
        <w:t>4.</w:t>
      </w:r>
      <w:r>
        <w:rPr>
          <w:rFonts w:hint="eastAsia" w:ascii="宋体" w:hAnsi="宋体"/>
          <w:color w:val="auto"/>
          <w:highlight w:val="none"/>
        </w:rPr>
        <w:t>3</w:t>
      </w:r>
      <w:r>
        <w:rPr>
          <w:rFonts w:ascii="宋体" w:hAnsi="宋体"/>
          <w:color w:val="auto"/>
          <w:highlight w:val="none"/>
        </w:rPr>
        <w:t xml:space="preserve">.3 </w:t>
      </w:r>
      <w:r>
        <w:rPr>
          <w:rFonts w:hint="eastAsia" w:ascii="宋体" w:hAnsi="宋体" w:cs="宋体"/>
          <w:color w:val="auto"/>
          <w:highlight w:val="none"/>
        </w:rPr>
        <w:t>是否退还投标文件：见投标人须知前附表。</w:t>
      </w:r>
    </w:p>
    <w:p w14:paraId="27E65C9D">
      <w:pPr>
        <w:pStyle w:val="4"/>
        <w:rPr>
          <w:color w:val="auto"/>
          <w:highlight w:val="none"/>
        </w:rPr>
      </w:pPr>
      <w:bookmarkStart w:id="49" w:name="_Toc3774"/>
      <w:r>
        <w:rPr>
          <w:color w:val="auto"/>
          <w:highlight w:val="none"/>
        </w:rPr>
        <w:t>4.</w:t>
      </w:r>
      <w:r>
        <w:rPr>
          <w:rFonts w:hint="eastAsia"/>
          <w:color w:val="auto"/>
          <w:highlight w:val="none"/>
        </w:rPr>
        <w:t>4投标文件的修改与撤回</w:t>
      </w:r>
      <w:bookmarkEnd w:id="49"/>
    </w:p>
    <w:p w14:paraId="583B85EB">
      <w:pPr>
        <w:spacing w:line="360" w:lineRule="auto"/>
        <w:ind w:firstLine="420" w:firstLineChars="200"/>
        <w:rPr>
          <w:color w:val="auto"/>
          <w:highlight w:val="none"/>
        </w:rPr>
      </w:pPr>
      <w:r>
        <w:rPr>
          <w:color w:val="auto"/>
          <w:highlight w:val="none"/>
        </w:rPr>
        <w:t>4.</w:t>
      </w:r>
      <w:r>
        <w:rPr>
          <w:rFonts w:hint="eastAsia"/>
          <w:color w:val="auto"/>
          <w:highlight w:val="none"/>
        </w:rPr>
        <w:t>4</w:t>
      </w:r>
      <w:r>
        <w:rPr>
          <w:color w:val="auto"/>
          <w:highlight w:val="none"/>
        </w:rPr>
        <w:t xml:space="preserve">.1 </w:t>
      </w:r>
      <w:r>
        <w:rPr>
          <w:rFonts w:hint="eastAsia" w:hAnsi="宋体" w:cs="宋体"/>
          <w:color w:val="auto"/>
          <w:highlight w:val="none"/>
        </w:rPr>
        <w:t>在投标人须知</w:t>
      </w:r>
      <w:r>
        <w:rPr>
          <w:rFonts w:hint="eastAsia" w:ascii="仿宋_GB2312" w:hAnsi="宋体" w:cs="宋体"/>
          <w:color w:val="auto"/>
          <w:highlight w:val="none"/>
        </w:rPr>
        <w:t>前附表</w:t>
      </w:r>
      <w:r>
        <w:rPr>
          <w:rFonts w:hint="eastAsia" w:hAnsi="宋体" w:cs="宋体"/>
          <w:color w:val="auto"/>
          <w:highlight w:val="none"/>
        </w:rPr>
        <w:t>第</w:t>
      </w:r>
      <w:r>
        <w:rPr>
          <w:color w:val="auto"/>
          <w:highlight w:val="none"/>
        </w:rPr>
        <w:t>2.2.2</w:t>
      </w:r>
      <w:r>
        <w:rPr>
          <w:rFonts w:hint="eastAsia" w:hAnsi="宋体" w:cs="宋体"/>
          <w:color w:val="auto"/>
          <w:highlight w:val="none"/>
        </w:rPr>
        <w:t>项规定的投标截止时间前，投标人可以修改或撤回已提交的投标文件，最终投标文件以投标截止时间前上传至</w:t>
      </w:r>
      <w:r>
        <w:rPr>
          <w:rFonts w:hint="eastAsia" w:ascii="宋体" w:hAnsi="宋体"/>
          <w:color w:val="auto"/>
          <w:highlight w:val="none"/>
        </w:rPr>
        <w:t>全国公共资源交易平台（广西壮族自治区）</w:t>
      </w:r>
      <w:r>
        <w:rPr>
          <w:rFonts w:hint="eastAsia" w:hAnsi="宋体" w:cs="宋体"/>
          <w:color w:val="auto"/>
          <w:highlight w:val="none"/>
        </w:rPr>
        <w:t>的最后一份投标文件为准。</w:t>
      </w:r>
    </w:p>
    <w:p w14:paraId="092BFC3C">
      <w:pPr>
        <w:spacing w:line="360" w:lineRule="auto"/>
        <w:ind w:firstLine="420" w:firstLineChars="200"/>
        <w:rPr>
          <w:rFonts w:hAnsi="宋体"/>
          <w:color w:val="auto"/>
          <w:highlight w:val="none"/>
        </w:rPr>
      </w:pPr>
      <w:r>
        <w:rPr>
          <w:color w:val="auto"/>
          <w:highlight w:val="none"/>
        </w:rPr>
        <w:t>4.</w:t>
      </w:r>
      <w:r>
        <w:rPr>
          <w:rFonts w:hint="eastAsia"/>
          <w:color w:val="auto"/>
          <w:highlight w:val="none"/>
        </w:rPr>
        <w:t>4</w:t>
      </w:r>
      <w:r>
        <w:rPr>
          <w:color w:val="auto"/>
          <w:highlight w:val="none"/>
        </w:rPr>
        <w:t xml:space="preserve">.2 </w:t>
      </w:r>
      <w:r>
        <w:rPr>
          <w:rFonts w:hint="eastAsia" w:hAnsi="宋体" w:cs="宋体"/>
          <w:color w:val="auto"/>
          <w:highlight w:val="none"/>
        </w:rPr>
        <w:t>修改的内容为投标文件的组成部分。</w:t>
      </w:r>
    </w:p>
    <w:p w14:paraId="3D4F5366">
      <w:pPr>
        <w:pStyle w:val="3"/>
        <w:rPr>
          <w:color w:val="auto"/>
          <w:highlight w:val="none"/>
        </w:rPr>
      </w:pPr>
      <w:bookmarkStart w:id="50" w:name="_Toc4849"/>
      <w:r>
        <w:rPr>
          <w:color w:val="auto"/>
          <w:highlight w:val="none"/>
        </w:rPr>
        <w:t>5 开标</w:t>
      </w:r>
      <w:bookmarkEnd w:id="50"/>
    </w:p>
    <w:p w14:paraId="2668CE74">
      <w:pPr>
        <w:pStyle w:val="4"/>
        <w:rPr>
          <w:color w:val="auto"/>
          <w:highlight w:val="none"/>
        </w:rPr>
      </w:pPr>
      <w:bookmarkStart w:id="51" w:name="_Toc21239"/>
      <w:r>
        <w:rPr>
          <w:color w:val="auto"/>
          <w:highlight w:val="none"/>
        </w:rPr>
        <w:t>5.1 开标时间和地点</w:t>
      </w:r>
      <w:bookmarkEnd w:id="51"/>
    </w:p>
    <w:p w14:paraId="4AF9430E">
      <w:pPr>
        <w:spacing w:line="360" w:lineRule="auto"/>
        <w:ind w:firstLine="420" w:firstLineChars="200"/>
        <w:rPr>
          <w:color w:val="auto"/>
          <w:highlight w:val="none"/>
        </w:rPr>
      </w:pPr>
      <w:r>
        <w:rPr>
          <w:rFonts w:hint="eastAsia" w:cs="宋体"/>
          <w:color w:val="auto"/>
          <w:highlight w:val="none"/>
        </w:rPr>
        <w:t>招标人在本章第2.2.2款规定的投标截止时间（开标时间）和“投标人须知前附表”规定的地点公开开标，并邀请所有投标人准时参加。投标人在投标截止前登陆全国公共资源交易平台（广西壮族自治区）网站上传加密的电子投标文件。投标截止后招标代理公布投标人名单，投标人代表通过广西壮族自治区网上开标子系统（http://111.59.121.211:81/BidOpening/）使用个人CA锁进行开标签到，解密环节时间结束前均可签到；由招标代理机构点击进入投标文件解密环节，解密环节时间为60分钟，投标人使用加密投标文件的CA锁解密投标文件，签到完成后才可进行投标文件的解密。在规定时间内，投标人应通过广西壮族自治区网上开标子系统完成签到及解密，否则，视为投标人撤销其投标文件。如投标人代表需到现场参加开标的，需持本人身份证原件或公安系统生成的电子身份证和加盖公章的身份证复印件（法定代表人参加现场开标会时，</w:t>
      </w:r>
      <w:r>
        <w:rPr>
          <w:rFonts w:cs="宋体"/>
          <w:color w:val="auto"/>
          <w:highlight w:val="none"/>
          <w:lang w:val="en"/>
        </w:rPr>
        <w:t>只需提供法定代表人身份证明及法定代表人身份证原件）现场核验。如投标人需在现场进行网上开标室签到和投标文件解密的，须自行携带手提电脑、个人CA锁、企业CA锁进入开标现场。</w:t>
      </w:r>
      <w:r>
        <w:rPr>
          <w:rFonts w:hint="eastAsia"/>
          <w:color w:val="auto"/>
          <w:highlight w:val="none"/>
        </w:rPr>
        <w:t>投标人代表采用个人CA进行开标签到及开标记录表签章，不再支持企业CA进行代替签章。没有办理个人CA无法签到或签章、没有按时进入现场或网上开标室则视为自动放弃投标。由于投标人原因造成投标文件不能解密评审的后果由投标人自行承担。</w:t>
      </w:r>
    </w:p>
    <w:p w14:paraId="3E50DB2B">
      <w:pPr>
        <w:pStyle w:val="4"/>
        <w:rPr>
          <w:color w:val="auto"/>
          <w:highlight w:val="none"/>
        </w:rPr>
      </w:pPr>
      <w:bookmarkStart w:id="52" w:name="_Toc28215"/>
      <w:r>
        <w:rPr>
          <w:color w:val="auto"/>
          <w:highlight w:val="none"/>
        </w:rPr>
        <w:t>5.2 开标程序</w:t>
      </w:r>
      <w:bookmarkEnd w:id="52"/>
    </w:p>
    <w:p w14:paraId="4C7924F7">
      <w:pPr>
        <w:spacing w:line="360" w:lineRule="auto"/>
        <w:ind w:firstLine="420" w:firstLineChars="200"/>
        <w:rPr>
          <w:color w:val="auto"/>
          <w:highlight w:val="none"/>
        </w:rPr>
      </w:pPr>
      <w:bookmarkStart w:id="53" w:name="_Toc389065176"/>
      <w:r>
        <w:rPr>
          <w:rFonts w:hint="eastAsia" w:cs="宋体"/>
          <w:color w:val="auto"/>
          <w:highlight w:val="none"/>
        </w:rPr>
        <w:t>主持人按以下程序进行开标：</w:t>
      </w:r>
    </w:p>
    <w:p w14:paraId="5A6F457B">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hAnsi="宋体" w:cs="宋体"/>
          <w:color w:val="auto"/>
          <w:highlight w:val="none"/>
        </w:rPr>
        <w:t>宣布开标纪律；</w:t>
      </w:r>
    </w:p>
    <w:p w14:paraId="3A712850">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w:t>
      </w:r>
      <w:r>
        <w:rPr>
          <w:rFonts w:hint="eastAsia" w:hAnsi="宋体" w:cs="宋体"/>
          <w:color w:val="auto"/>
          <w:highlight w:val="none"/>
        </w:rPr>
        <w:t>宣布开标人、唱标人、记录人、监标人等有关人员名单；</w:t>
      </w:r>
    </w:p>
    <w:p w14:paraId="51B4AE5A">
      <w:pPr>
        <w:spacing w:line="360" w:lineRule="auto"/>
        <w:ind w:firstLine="420" w:firstLineChars="200"/>
        <w:rPr>
          <w:rFonts w:hAnsi="宋体"/>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公布在投标截止时间前递交投标文件的投标人名称及身份证验证等情况；</w:t>
      </w:r>
    </w:p>
    <w:p w14:paraId="223AC719">
      <w:pPr>
        <w:spacing w:line="360" w:lineRule="auto"/>
        <w:ind w:firstLine="420" w:firstLineChars="200"/>
        <w:rPr>
          <w:rFonts w:hAnsi="宋体" w:cs="宋体"/>
          <w:color w:val="auto"/>
          <w:highlight w:val="none"/>
        </w:rPr>
      </w:pPr>
      <w:r>
        <w:rPr>
          <w:rFonts w:hint="eastAsia" w:cs="宋体"/>
          <w:color w:val="auto"/>
          <w:highlight w:val="none"/>
        </w:rPr>
        <w:t>（</w:t>
      </w:r>
      <w:r>
        <w:rPr>
          <w:color w:val="auto"/>
          <w:highlight w:val="none"/>
        </w:rPr>
        <w:t>4</w:t>
      </w:r>
      <w:r>
        <w:rPr>
          <w:rFonts w:hint="eastAsia" w:cs="宋体"/>
          <w:color w:val="auto"/>
          <w:highlight w:val="none"/>
        </w:rPr>
        <w:t>）由</w:t>
      </w:r>
      <w:r>
        <w:rPr>
          <w:rFonts w:hint="eastAsia" w:hAnsi="宋体" w:cs="宋体"/>
          <w:color w:val="auto"/>
          <w:highlight w:val="none"/>
        </w:rPr>
        <w:t>招标人代表和监督人员检查投标人的资格证件；</w:t>
      </w:r>
    </w:p>
    <w:p w14:paraId="51C33115">
      <w:pPr>
        <w:spacing w:line="360" w:lineRule="auto"/>
        <w:ind w:firstLine="420" w:firstLineChars="200"/>
        <w:rPr>
          <w:rFonts w:hAnsi="宋体" w:cs="宋体"/>
          <w:color w:val="auto"/>
          <w:highlight w:val="none"/>
        </w:rPr>
      </w:pPr>
      <w:r>
        <w:rPr>
          <w:rFonts w:hint="eastAsia" w:hAnsi="宋体" w:cs="宋体"/>
          <w:color w:val="auto"/>
          <w:highlight w:val="none"/>
        </w:rPr>
        <w:t xml:space="preserve">（5）投标截止招标代理公布投标人名单后，投标人代表须使用个人CA进行签到；由代理点击进入投标文件解密环节，投标人须使用加密投标文件的企业CA锁（或“桂交易移动CA”）进行解密，解密时间为60分，签到完成后方可解密，解密时间结束前均可签到，超过时间未签到或解密成功视为投标人撤回投标文件，投标无效； </w:t>
      </w:r>
    </w:p>
    <w:p w14:paraId="2BC37B42">
      <w:pPr>
        <w:spacing w:line="360" w:lineRule="auto"/>
        <w:ind w:firstLine="420" w:firstLineChars="200"/>
        <w:rPr>
          <w:rFonts w:hAnsi="宋体" w:cs="宋体"/>
          <w:color w:val="auto"/>
          <w:highlight w:val="none"/>
        </w:rPr>
      </w:pPr>
      <w:r>
        <w:rPr>
          <w:rFonts w:hint="eastAsia" w:hAnsi="宋体" w:cs="宋体"/>
          <w:color w:val="auto"/>
          <w:highlight w:val="none"/>
        </w:rPr>
        <w:t>（6）公布解密情况（解密是否成功、投标人名称、投标家数等情况）；</w:t>
      </w:r>
    </w:p>
    <w:p w14:paraId="74D5726C">
      <w:pPr>
        <w:spacing w:line="360" w:lineRule="auto"/>
        <w:ind w:firstLine="420" w:firstLineChars="200"/>
        <w:rPr>
          <w:rFonts w:hAnsi="宋体" w:cs="宋体"/>
          <w:color w:val="auto"/>
          <w:highlight w:val="none"/>
        </w:rPr>
      </w:pPr>
      <w:r>
        <w:rPr>
          <w:rFonts w:hint="eastAsia" w:hAnsi="宋体" w:cs="宋体"/>
          <w:color w:val="auto"/>
          <w:highlight w:val="none"/>
        </w:rPr>
        <w:t>（7）公布投标人名称、标段名称、投标保证金的提交情况、投标报价、质量目标、设计周期及其他内容；</w:t>
      </w:r>
    </w:p>
    <w:p w14:paraId="6B8567AB">
      <w:pPr>
        <w:spacing w:line="360" w:lineRule="auto"/>
        <w:ind w:firstLine="420"/>
        <w:rPr>
          <w:rFonts w:hAnsi="宋体" w:cs="宋体"/>
          <w:color w:val="auto"/>
          <w:highlight w:val="none"/>
        </w:rPr>
      </w:pPr>
      <w:r>
        <w:rPr>
          <w:rFonts w:hint="eastAsia" w:hAnsi="宋体" w:cs="宋体"/>
          <w:color w:val="auto"/>
          <w:highlight w:val="none"/>
        </w:rPr>
        <w:t>（8）公布招标控制价及相关内容；</w:t>
      </w:r>
    </w:p>
    <w:p w14:paraId="7A3D2B5E">
      <w:pPr>
        <w:spacing w:line="360" w:lineRule="auto"/>
        <w:ind w:firstLine="420"/>
        <w:rPr>
          <w:rFonts w:hAnsi="宋体" w:cs="宋体"/>
          <w:color w:val="auto"/>
          <w:highlight w:val="none"/>
        </w:rPr>
      </w:pPr>
      <w:r>
        <w:rPr>
          <w:rFonts w:hint="eastAsia" w:hAnsi="宋体" w:cs="宋体"/>
          <w:color w:val="auto"/>
          <w:highlight w:val="none"/>
        </w:rPr>
        <w:t>（9）开标过程，</w:t>
      </w:r>
      <w:r>
        <w:rPr>
          <w:rFonts w:hint="eastAsia"/>
          <w:color w:val="auto"/>
          <w:highlight w:val="none"/>
        </w:rPr>
        <w:t>投标人代表采用个人CA进行开标签到，</w:t>
      </w:r>
      <w:r>
        <w:rPr>
          <w:rFonts w:hint="eastAsia" w:hAnsi="宋体" w:cs="宋体"/>
          <w:color w:val="auto"/>
          <w:highlight w:val="none"/>
        </w:rPr>
        <w:t>采用不见面开标的，投标人代表可在广西壮族自治区网上开标子系统对开标过程提出异议，参与现场开标的可以现场提出异议；</w:t>
      </w:r>
    </w:p>
    <w:p w14:paraId="4E6496D4">
      <w:pPr>
        <w:spacing w:line="360" w:lineRule="auto"/>
        <w:ind w:firstLine="420" w:firstLineChars="200"/>
        <w:rPr>
          <w:rFonts w:hAnsi="宋体" w:cs="宋体"/>
          <w:color w:val="auto"/>
          <w:highlight w:val="none"/>
        </w:rPr>
      </w:pPr>
      <w:r>
        <w:rPr>
          <w:rFonts w:hint="eastAsia" w:hAnsi="宋体" w:cs="宋体"/>
          <w:color w:val="auto"/>
          <w:highlight w:val="none"/>
        </w:rPr>
        <w:t>（10）招标人代表、监标人、记录人等有关人员在开标记录上签字确认；如采用不见面开标方式的，各投标人使用单位个人CA锁在开标记录表上签章确认，超过10分钟没有进行签章，视为认可开标记录表的内容，招标人代表、监标人、记录人等有关人员在开标记录上签字确认；</w:t>
      </w:r>
    </w:p>
    <w:p w14:paraId="62E8CE3C">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11</w:t>
      </w:r>
      <w:r>
        <w:rPr>
          <w:rFonts w:hint="eastAsia" w:hAnsi="宋体" w:cs="宋体"/>
          <w:color w:val="auto"/>
          <w:highlight w:val="none"/>
        </w:rPr>
        <w:t>）开标结束。</w:t>
      </w:r>
    </w:p>
    <w:bookmarkEnd w:id="53"/>
    <w:p w14:paraId="4D2FD355">
      <w:pPr>
        <w:pStyle w:val="4"/>
        <w:rPr>
          <w:color w:val="auto"/>
          <w:highlight w:val="none"/>
        </w:rPr>
      </w:pPr>
      <w:bookmarkStart w:id="54" w:name="_Toc1770"/>
      <w:r>
        <w:rPr>
          <w:color w:val="auto"/>
          <w:highlight w:val="none"/>
        </w:rPr>
        <w:t>5.</w:t>
      </w:r>
      <w:r>
        <w:rPr>
          <w:rFonts w:hint="eastAsia"/>
          <w:color w:val="auto"/>
          <w:highlight w:val="none"/>
        </w:rPr>
        <w:t>3电子开标的应急措施</w:t>
      </w:r>
      <w:bookmarkEnd w:id="54"/>
    </w:p>
    <w:p w14:paraId="50CE1009">
      <w:pPr>
        <w:spacing w:line="360" w:lineRule="auto"/>
        <w:ind w:firstLine="525" w:firstLineChars="250"/>
        <w:rPr>
          <w:rFonts w:hAnsi="宋体"/>
          <w:color w:val="auto"/>
          <w:highlight w:val="none"/>
        </w:rPr>
      </w:pPr>
      <w:r>
        <w:rPr>
          <w:rFonts w:hAnsi="宋体"/>
          <w:color w:val="auto"/>
          <w:highlight w:val="none"/>
        </w:rPr>
        <w:t>5.3.1</w:t>
      </w:r>
      <w:r>
        <w:rPr>
          <w:rFonts w:hint="eastAsia" w:hAnsi="宋体" w:cs="宋体"/>
          <w:color w:val="auto"/>
          <w:highlight w:val="none"/>
        </w:rPr>
        <w:t>电子开标如出现下列原因，导致系统无法正常运行，或者无法保证招投标过程的公平、公正和信息安全时，招标监管部门和交易中心应采取应急措施。</w:t>
      </w:r>
    </w:p>
    <w:p w14:paraId="1EBF68C9">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）系统服务器发生故障或停电等情况，无法访问或无法使用系统；</w:t>
      </w:r>
      <w:r>
        <w:rPr>
          <w:rFonts w:hAnsi="宋体"/>
          <w:color w:val="auto"/>
          <w:highlight w:val="none"/>
        </w:rPr>
        <w:t xml:space="preserve"> </w:t>
      </w:r>
    </w:p>
    <w:p w14:paraId="563DC0F0">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）系统的软件或数据库出现错误，不能进行正常操作；</w:t>
      </w:r>
      <w:r>
        <w:rPr>
          <w:rFonts w:hAnsi="宋体"/>
          <w:color w:val="auto"/>
          <w:highlight w:val="none"/>
        </w:rPr>
        <w:t xml:space="preserve"> </w:t>
      </w:r>
    </w:p>
    <w:p w14:paraId="46978FFF">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3</w:t>
      </w:r>
      <w:r>
        <w:rPr>
          <w:rFonts w:hint="eastAsia" w:hAnsi="宋体" w:cs="宋体"/>
          <w:color w:val="auto"/>
          <w:highlight w:val="none"/>
        </w:rPr>
        <w:t>）系统发现有安全漏洞，有潜在的泄密危险；</w:t>
      </w:r>
      <w:r>
        <w:rPr>
          <w:rFonts w:hAnsi="宋体"/>
          <w:color w:val="auto"/>
          <w:highlight w:val="none"/>
        </w:rPr>
        <w:t xml:space="preserve"> </w:t>
      </w:r>
    </w:p>
    <w:p w14:paraId="7EDCA072">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4</w:t>
      </w:r>
      <w:r>
        <w:rPr>
          <w:rFonts w:hint="eastAsia" w:hAnsi="宋体" w:cs="宋体"/>
          <w:color w:val="auto"/>
          <w:highlight w:val="none"/>
        </w:rPr>
        <w:t>）病毒发作或受到外来的攻击；</w:t>
      </w:r>
      <w:r>
        <w:rPr>
          <w:rFonts w:hAnsi="宋体"/>
          <w:color w:val="auto"/>
          <w:highlight w:val="none"/>
        </w:rPr>
        <w:t xml:space="preserve"> </w:t>
      </w:r>
    </w:p>
    <w:p w14:paraId="18AA763F">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5</w:t>
      </w:r>
      <w:r>
        <w:rPr>
          <w:rFonts w:hint="eastAsia" w:hAnsi="宋体" w:cs="宋体"/>
          <w:color w:val="auto"/>
          <w:highlight w:val="none"/>
        </w:rPr>
        <w:t>）其他无法保证招投标过程公平、公正和信息安全的情形。</w:t>
      </w:r>
      <w:r>
        <w:rPr>
          <w:rFonts w:hAnsi="宋体"/>
          <w:color w:val="auto"/>
          <w:highlight w:val="none"/>
        </w:rPr>
        <w:t xml:space="preserve"> </w:t>
      </w:r>
    </w:p>
    <w:p w14:paraId="4B3E615B">
      <w:pPr>
        <w:spacing w:line="360" w:lineRule="auto"/>
        <w:ind w:firstLine="525" w:firstLineChars="250"/>
        <w:rPr>
          <w:rFonts w:hAnsi="宋体"/>
          <w:color w:val="auto"/>
          <w:highlight w:val="none"/>
        </w:rPr>
      </w:pPr>
      <w:r>
        <w:rPr>
          <w:rFonts w:hint="eastAsia" w:hAnsi="宋体" w:cs="宋体"/>
          <w:color w:val="auto"/>
          <w:highlight w:val="none"/>
        </w:rPr>
        <w:t>出现上述情况时，应对未开标的暂停开标。已在系统内开标的立即停止，经招标监督部门确认后，可采用应急开标系统开标。若仍无法正常开标，等待系统恢复正常后再组织进行开标。</w:t>
      </w:r>
    </w:p>
    <w:p w14:paraId="0FE716B7">
      <w:pPr>
        <w:spacing w:line="360" w:lineRule="auto"/>
        <w:ind w:firstLine="525" w:firstLineChars="250"/>
        <w:rPr>
          <w:rFonts w:hAnsi="宋体" w:cs="宋体"/>
          <w:color w:val="auto"/>
          <w:highlight w:val="none"/>
        </w:rPr>
      </w:pPr>
      <w:r>
        <w:rPr>
          <w:rFonts w:hAnsi="宋体"/>
          <w:color w:val="auto"/>
          <w:highlight w:val="none"/>
        </w:rPr>
        <w:t>5.3.2</w:t>
      </w:r>
      <w:r>
        <w:rPr>
          <w:rFonts w:hint="eastAsia" w:hAnsi="宋体" w:cs="宋体"/>
          <w:color w:val="auto"/>
          <w:highlight w:val="none"/>
        </w:rPr>
        <w:t>投标人在个人解密开始后</w:t>
      </w:r>
      <w:r>
        <w:rPr>
          <w:rFonts w:hint="eastAsia" w:hAnsi="宋体"/>
          <w:color w:val="auto"/>
          <w:highlight w:val="none"/>
        </w:rPr>
        <w:t>60</w:t>
      </w:r>
      <w:r>
        <w:rPr>
          <w:rFonts w:hint="eastAsia" w:hAnsi="宋体" w:cs="宋体"/>
          <w:color w:val="auto"/>
          <w:highlight w:val="none"/>
        </w:rPr>
        <w:t>分钟内完成投标文件的解密工作（以</w:t>
      </w:r>
      <w:r>
        <w:rPr>
          <w:rFonts w:hint="eastAsia" w:ascii="宋体" w:hAnsi="宋体"/>
          <w:color w:val="auto"/>
          <w:highlight w:val="none"/>
        </w:rPr>
        <w:t>全国公共资源交易平台（广西壮族自治区）</w:t>
      </w:r>
      <w:r>
        <w:rPr>
          <w:rFonts w:hint="eastAsia" w:hAnsi="宋体" w:cs="宋体"/>
          <w:color w:val="auto"/>
          <w:highlight w:val="none"/>
        </w:rPr>
        <w:t>解密倒计时为准）。</w:t>
      </w:r>
      <w:r>
        <w:rPr>
          <w:rFonts w:hint="eastAsia" w:ascii="Arial" w:hAnsi="Arial" w:cs="宋体"/>
          <w:color w:val="auto"/>
          <w:highlight w:val="none"/>
          <w:shd w:val="clear" w:color="auto" w:fill="FFFFFF"/>
        </w:rPr>
        <w:t>因投标人原因造成投标文件</w:t>
      </w:r>
      <w:r>
        <w:rPr>
          <w:rFonts w:hint="eastAsia" w:hAnsi="宋体" w:cs="宋体"/>
          <w:color w:val="auto"/>
          <w:highlight w:val="none"/>
        </w:rPr>
        <w:t>在规定时间内</w:t>
      </w:r>
      <w:r>
        <w:rPr>
          <w:rFonts w:hint="eastAsia" w:ascii="Arial" w:hAnsi="Arial" w:cs="宋体"/>
          <w:color w:val="auto"/>
          <w:highlight w:val="none"/>
          <w:shd w:val="clear" w:color="auto" w:fill="FFFFFF"/>
        </w:rPr>
        <w:t>未解密的，视为</w:t>
      </w:r>
      <w:r>
        <w:rPr>
          <w:rFonts w:hint="eastAsia" w:hAnsi="宋体" w:cs="宋体"/>
          <w:color w:val="auto"/>
          <w:highlight w:val="none"/>
        </w:rPr>
        <w:t>投标人</w:t>
      </w:r>
      <w:r>
        <w:rPr>
          <w:rFonts w:hint="eastAsia" w:ascii="Arial" w:hAnsi="Arial" w:cs="宋体"/>
          <w:color w:val="auto"/>
          <w:highlight w:val="none"/>
          <w:shd w:val="clear" w:color="auto" w:fill="FFFFFF"/>
        </w:rPr>
        <w:t>撤销其投标文件；因投标人之外的原因造成投标文件</w:t>
      </w:r>
      <w:r>
        <w:rPr>
          <w:rFonts w:hint="eastAsia" w:hAnsi="宋体" w:cs="宋体"/>
          <w:color w:val="auto"/>
          <w:highlight w:val="none"/>
        </w:rPr>
        <w:t>在规定时间内</w:t>
      </w:r>
      <w:r>
        <w:rPr>
          <w:rFonts w:hint="eastAsia" w:ascii="Arial" w:hAnsi="Arial" w:cs="宋体"/>
          <w:color w:val="auto"/>
          <w:highlight w:val="none"/>
          <w:shd w:val="clear" w:color="auto" w:fill="FFFFFF"/>
        </w:rPr>
        <w:t>未解密的，</w:t>
      </w:r>
      <w:r>
        <w:rPr>
          <w:rFonts w:hint="eastAsia" w:hAnsi="宋体" w:cs="宋体"/>
          <w:color w:val="auto"/>
          <w:highlight w:val="none"/>
        </w:rPr>
        <w:t>经招标监督部门确认并经招标人同意后，可采用应急开标系统开标。</w:t>
      </w:r>
    </w:p>
    <w:p w14:paraId="204BD91A">
      <w:pPr>
        <w:spacing w:line="360" w:lineRule="auto"/>
        <w:ind w:firstLine="525" w:firstLineChars="250"/>
        <w:rPr>
          <w:rFonts w:hAnsi="宋体"/>
          <w:color w:val="auto"/>
          <w:highlight w:val="none"/>
        </w:rPr>
      </w:pPr>
      <w:r>
        <w:rPr>
          <w:rFonts w:hAnsi="宋体"/>
          <w:color w:val="auto"/>
          <w:highlight w:val="none"/>
        </w:rPr>
        <w:t>5.3.</w:t>
      </w:r>
      <w:r>
        <w:rPr>
          <w:rFonts w:hint="eastAsia" w:hAnsi="宋体"/>
          <w:color w:val="auto"/>
          <w:highlight w:val="none"/>
        </w:rPr>
        <w:t>3</w:t>
      </w:r>
      <w:r>
        <w:rPr>
          <w:rFonts w:hint="eastAsia" w:hAnsi="宋体" w:cs="宋体"/>
          <w:color w:val="auto"/>
          <w:highlight w:val="none"/>
        </w:rPr>
        <w:t>因网络问题或者“桂</w:t>
      </w:r>
      <w:r>
        <w:rPr>
          <w:rFonts w:hAnsi="宋体" w:cs="宋体"/>
          <w:color w:val="auto"/>
          <w:highlight w:val="none"/>
        </w:rPr>
        <w:t>建云”</w:t>
      </w:r>
      <w:r>
        <w:rPr>
          <w:rFonts w:hint="eastAsia" w:hAnsi="宋体" w:cs="宋体"/>
          <w:color w:val="auto"/>
          <w:highlight w:val="none"/>
        </w:rPr>
        <w:t>系统问题导致电子开标系统无法正常访问“桂建云”系统进行身份证验证时，可暂停开标，等待网络或者“桂建云”系统恢复访问时再进行身份证验证。如投标人在投标截止时间前已正常提交相关开评标材料，但因以上原因导致系统显示验证迟到的，经过招标监督部门和招标人确认后，可以继续进行开标。</w:t>
      </w:r>
    </w:p>
    <w:p w14:paraId="22E6B762">
      <w:pPr>
        <w:spacing w:line="360" w:lineRule="auto"/>
        <w:ind w:firstLine="525" w:firstLineChars="250"/>
        <w:rPr>
          <w:rFonts w:ascii="宋体" w:hAnsi="宋体"/>
          <w:color w:val="auto"/>
          <w:szCs w:val="21"/>
          <w:highlight w:val="none"/>
        </w:rPr>
      </w:pPr>
      <w:r>
        <w:rPr>
          <w:rFonts w:hAnsi="宋体"/>
          <w:color w:val="auto"/>
          <w:highlight w:val="none"/>
        </w:rPr>
        <w:t>5.3.</w:t>
      </w:r>
      <w:r>
        <w:rPr>
          <w:rFonts w:hint="eastAsia" w:hAnsi="宋体"/>
          <w:color w:val="auto"/>
          <w:highlight w:val="none"/>
        </w:rPr>
        <w:t>4</w:t>
      </w:r>
      <w:r>
        <w:rPr>
          <w:rFonts w:hint="eastAsia" w:ascii="宋体" w:hAnsi="宋体"/>
          <w:color w:val="auto"/>
          <w:szCs w:val="21"/>
          <w:highlight w:val="none"/>
        </w:rPr>
        <w:t>开标时显示保证金状态为未提交时，应通过当地交易中心、系统维护方以及银行核实原因。如果是因为投标人提交保证金的账号与“桂建云”备案的企业基本户不一致的，或者投标人提交的保证金金额少于招标文件要求的，经过招标监督部门确认并经招标人同意后，招标人在开标时当场拒收其投标，不得进入评标。如果是因为网络原因或者</w:t>
      </w:r>
      <w:r>
        <w:rPr>
          <w:rFonts w:hint="eastAsia" w:ascii="宋体" w:hAnsi="宋体"/>
          <w:color w:val="auto"/>
          <w:highlight w:val="none"/>
        </w:rPr>
        <w:t>全国公共资源交易平台（广西壮族自治区）</w:t>
      </w:r>
      <w:r>
        <w:rPr>
          <w:rFonts w:hint="eastAsia" w:ascii="宋体" w:hAnsi="宋体"/>
          <w:color w:val="auto"/>
          <w:szCs w:val="21"/>
          <w:highlight w:val="none"/>
        </w:rPr>
        <w:t>、银行系统原因导致的，并且银行最终确认投标人已按时足额提交了保证金的，可以继续进行开标。</w:t>
      </w:r>
    </w:p>
    <w:p w14:paraId="5055C84A">
      <w:pPr>
        <w:pStyle w:val="4"/>
        <w:rPr>
          <w:color w:val="auto"/>
          <w:highlight w:val="none"/>
        </w:rPr>
      </w:pPr>
      <w:bookmarkStart w:id="55" w:name="_Toc18475"/>
      <w:r>
        <w:rPr>
          <w:color w:val="auto"/>
          <w:highlight w:val="none"/>
        </w:rPr>
        <w:t xml:space="preserve">5.4 </w:t>
      </w:r>
      <w:r>
        <w:rPr>
          <w:rFonts w:hint="eastAsia" w:cs="黑体"/>
          <w:color w:val="auto"/>
          <w:highlight w:val="none"/>
        </w:rPr>
        <w:t>不予开标</w:t>
      </w:r>
      <w:bookmarkEnd w:id="55"/>
    </w:p>
    <w:p w14:paraId="62CCED67">
      <w:pPr>
        <w:spacing w:line="360" w:lineRule="auto"/>
        <w:ind w:firstLine="420" w:firstLineChars="200"/>
        <w:rPr>
          <w:color w:val="auto"/>
          <w:highlight w:val="none"/>
        </w:rPr>
      </w:pPr>
      <w:r>
        <w:rPr>
          <w:rFonts w:hint="eastAsia" w:cs="宋体"/>
          <w:color w:val="auto"/>
          <w:highlight w:val="none"/>
        </w:rPr>
        <w:t>符合下列情况之一的投标，招标人拒绝受理其投标，不得进入评标：</w:t>
      </w:r>
    </w:p>
    <w:p w14:paraId="747CAB8F">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）加密的电子投标文件未能在投标截止时间前成功上传的；</w:t>
      </w:r>
    </w:p>
    <w:p w14:paraId="58B84EEF">
      <w:pPr>
        <w:spacing w:line="360" w:lineRule="auto"/>
        <w:ind w:firstLine="420" w:firstLineChars="200"/>
        <w:rPr>
          <w:rFonts w:cs="宋体"/>
          <w:color w:val="auto"/>
          <w:highlight w:val="none"/>
        </w:rPr>
      </w:pPr>
      <w:r>
        <w:rPr>
          <w:rFonts w:hint="eastAsia" w:cs="宋体"/>
          <w:color w:val="auto"/>
          <w:highlight w:val="none"/>
        </w:rPr>
        <w:t>（2）由于投标人原因，投标文件不能在投标截止后60分钟内完成投标文件的解密（以广西壮族自治区网上开标子系统</w:t>
      </w:r>
      <w:r>
        <w:rPr>
          <w:color w:val="auto"/>
          <w:highlight w:val="none"/>
        </w:rPr>
        <w:fldChar w:fldCharType="begin"/>
      </w:r>
      <w:r>
        <w:rPr>
          <w:color w:val="auto"/>
          <w:highlight w:val="none"/>
        </w:rPr>
        <w:instrText xml:space="preserve"> HYPERLINK "http://202.103.240.162:8072/BidOpening/）解密倒计时为准" </w:instrText>
      </w:r>
      <w:r>
        <w:rPr>
          <w:color w:val="auto"/>
          <w:highlight w:val="none"/>
        </w:rPr>
        <w:fldChar w:fldCharType="separate"/>
      </w:r>
      <w:r>
        <w:rPr>
          <w:rFonts w:hint="eastAsia"/>
          <w:color w:val="auto"/>
          <w:highlight w:val="none"/>
        </w:rPr>
        <w:t>解密倒计时为准</w:t>
      </w:r>
      <w:r>
        <w:rPr>
          <w:rFonts w:hint="eastAsia"/>
          <w:color w:val="auto"/>
          <w:highlight w:val="none"/>
        </w:rPr>
        <w:fldChar w:fldCharType="end"/>
      </w:r>
      <w:r>
        <w:rPr>
          <w:rFonts w:hint="eastAsia" w:cs="宋体"/>
          <w:color w:val="auto"/>
          <w:highlight w:val="none"/>
        </w:rPr>
        <w:t>）；</w:t>
      </w:r>
    </w:p>
    <w:p w14:paraId="35F74903">
      <w:pPr>
        <w:spacing w:line="360" w:lineRule="auto"/>
        <w:ind w:firstLine="420" w:firstLineChars="200"/>
        <w:rPr>
          <w:rFonts w:cs="宋体"/>
          <w:color w:val="auto"/>
          <w:highlight w:val="none"/>
        </w:rPr>
      </w:pPr>
      <w:r>
        <w:rPr>
          <w:rFonts w:hint="eastAsia" w:cs="宋体"/>
          <w:color w:val="auto"/>
          <w:highlight w:val="none"/>
        </w:rPr>
        <w:t>（3）由于投标人原因，投标文件不能正常解密的；</w:t>
      </w:r>
    </w:p>
    <w:p w14:paraId="4385B60A">
      <w:pPr>
        <w:spacing w:line="360" w:lineRule="auto"/>
        <w:ind w:firstLine="420" w:firstLineChars="200"/>
        <w:rPr>
          <w:rFonts w:cs="宋体"/>
          <w:color w:val="auto"/>
          <w:highlight w:val="none"/>
        </w:rPr>
      </w:pPr>
      <w:r>
        <w:rPr>
          <w:rFonts w:hint="eastAsia" w:cs="宋体"/>
          <w:color w:val="auto"/>
          <w:highlight w:val="none"/>
        </w:rPr>
        <w:t>（</w:t>
      </w:r>
      <w:r>
        <w:rPr>
          <w:rFonts w:cs="宋体"/>
          <w:color w:val="auto"/>
          <w:highlight w:val="none"/>
        </w:rPr>
        <w:t>4</w:t>
      </w:r>
      <w:r>
        <w:rPr>
          <w:rFonts w:hint="eastAsia" w:cs="宋体"/>
          <w:color w:val="auto"/>
          <w:highlight w:val="none"/>
        </w:rPr>
        <w:t xml:space="preserve">）投标人拟投入的项目负责人被标注为注册状态异常的。 </w:t>
      </w:r>
    </w:p>
    <w:p w14:paraId="1EAEB7D9">
      <w:pPr>
        <w:pStyle w:val="4"/>
        <w:rPr>
          <w:b w:val="0"/>
          <w:bCs w:val="0"/>
          <w:color w:val="auto"/>
          <w:highlight w:val="none"/>
        </w:rPr>
      </w:pPr>
      <w:bookmarkStart w:id="56" w:name="_Toc16978"/>
      <w:r>
        <w:rPr>
          <w:color w:val="auto"/>
          <w:highlight w:val="none"/>
        </w:rPr>
        <w:t xml:space="preserve">5.5 </w:t>
      </w:r>
      <w:r>
        <w:rPr>
          <w:rFonts w:hint="eastAsia" w:cs="黑体"/>
          <w:color w:val="auto"/>
          <w:highlight w:val="none"/>
        </w:rPr>
        <w:t>开标异议</w:t>
      </w:r>
      <w:bookmarkEnd w:id="56"/>
      <w:r>
        <w:rPr>
          <w:color w:val="auto"/>
          <w:highlight w:val="none"/>
        </w:rPr>
        <w:t xml:space="preserve">  </w:t>
      </w:r>
    </w:p>
    <w:p w14:paraId="2D36F037">
      <w:pPr>
        <w:spacing w:line="360" w:lineRule="auto"/>
        <w:ind w:left="420"/>
        <w:rPr>
          <w:rFonts w:hAnsi="宋体"/>
          <w:color w:val="auto"/>
          <w:highlight w:val="none"/>
        </w:rPr>
      </w:pPr>
      <w:r>
        <w:rPr>
          <w:rFonts w:hint="eastAsia" w:hAnsi="宋体" w:cs="宋体"/>
          <w:color w:val="auto"/>
          <w:kern w:val="0"/>
          <w:highlight w:val="none"/>
        </w:rPr>
        <w:t>投标人对开标有异议的，应当在开标现场提出，招标人应当场作出答复，并制作记录。</w:t>
      </w:r>
    </w:p>
    <w:p w14:paraId="3267A325">
      <w:pPr>
        <w:pStyle w:val="3"/>
        <w:rPr>
          <w:color w:val="auto"/>
          <w:highlight w:val="none"/>
        </w:rPr>
      </w:pPr>
      <w:bookmarkStart w:id="57" w:name="_Toc14925"/>
      <w:r>
        <w:rPr>
          <w:color w:val="auto"/>
          <w:highlight w:val="none"/>
        </w:rPr>
        <w:t>6 评标</w:t>
      </w:r>
      <w:bookmarkEnd w:id="57"/>
    </w:p>
    <w:p w14:paraId="72A84531">
      <w:pPr>
        <w:pStyle w:val="4"/>
        <w:rPr>
          <w:color w:val="auto"/>
          <w:highlight w:val="none"/>
        </w:rPr>
      </w:pPr>
      <w:bookmarkStart w:id="58" w:name="_Toc32376"/>
      <w:r>
        <w:rPr>
          <w:color w:val="auto"/>
          <w:highlight w:val="none"/>
        </w:rPr>
        <w:t>6.1 评标委员会</w:t>
      </w:r>
      <w:bookmarkEnd w:id="58"/>
    </w:p>
    <w:p w14:paraId="5363D6FF">
      <w:pPr>
        <w:spacing w:line="360" w:lineRule="auto"/>
        <w:ind w:firstLine="420" w:firstLineChars="200"/>
        <w:rPr>
          <w:color w:val="auto"/>
          <w:highlight w:val="none"/>
        </w:rPr>
      </w:pPr>
      <w:r>
        <w:rPr>
          <w:color w:val="auto"/>
          <w:highlight w:val="none"/>
        </w:rPr>
        <w:t xml:space="preserve">6.1.1 </w:t>
      </w:r>
      <w:r>
        <w:rPr>
          <w:rFonts w:hint="eastAsia" w:cs="宋体"/>
          <w:color w:val="auto"/>
          <w:highlight w:val="none"/>
        </w:rPr>
        <w:t>评标由招标人依法组建的评标委员会负责，</w:t>
      </w:r>
      <w:r>
        <w:rPr>
          <w:color w:val="auto"/>
          <w:szCs w:val="21"/>
          <w:highlight w:val="none"/>
        </w:rPr>
        <w:t>评标委员会</w:t>
      </w:r>
      <w:r>
        <w:rPr>
          <w:rFonts w:hint="eastAsia"/>
          <w:color w:val="auto"/>
          <w:szCs w:val="21"/>
          <w:highlight w:val="none"/>
        </w:rPr>
        <w:t>由招标人或其委托的招标代理机构熟悉相关业务的代表，以及有关技术、经济等方面的专家组成</w:t>
      </w:r>
      <w:r>
        <w:rPr>
          <w:rFonts w:hint="eastAsia" w:cs="宋体"/>
          <w:color w:val="auto"/>
          <w:highlight w:val="none"/>
        </w:rPr>
        <w:t>。评标委员会成员人数以及技术、经济等方面专家的确定方式见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。截标前，招标人应就评委会组成情况通过全国公共资源交易平台（广西壮族自治区）向招标监督部门提交申请。</w:t>
      </w:r>
    </w:p>
    <w:p w14:paraId="4D56E268">
      <w:pPr>
        <w:spacing w:line="360" w:lineRule="auto"/>
        <w:ind w:firstLine="420" w:firstLineChars="200"/>
        <w:rPr>
          <w:color w:val="auto"/>
          <w:szCs w:val="21"/>
          <w:highlight w:val="none"/>
        </w:rPr>
      </w:pPr>
      <w:r>
        <w:rPr>
          <w:rFonts w:hint="eastAsia"/>
          <w:color w:val="auto"/>
          <w:szCs w:val="21"/>
          <w:highlight w:val="none"/>
        </w:rPr>
        <w:t>6.1.2 评标委员会成员有下列情形之一的，应当回避：</w:t>
      </w:r>
    </w:p>
    <w:p w14:paraId="10AD5D3B">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w:t>
      </w:r>
      <w:r>
        <w:rPr>
          <w:rFonts w:hint="eastAsia" w:ascii="宋体" w:hAnsi="宋体" w:cs="宋体"/>
          <w:color w:val="auto"/>
          <w:highlight w:val="none"/>
          <w:shd w:val="clear" w:color="auto" w:fill="FFFFFF"/>
        </w:rPr>
        <w:t>投标人或者投标人主要负责人的近亲属</w:t>
      </w:r>
      <w:r>
        <w:rPr>
          <w:rFonts w:hint="eastAsia" w:hAnsi="宋体" w:cs="宋体"/>
          <w:color w:val="auto"/>
          <w:highlight w:val="none"/>
        </w:rPr>
        <w:t>；</w:t>
      </w:r>
    </w:p>
    <w:p w14:paraId="6D2367CF">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）本</w:t>
      </w:r>
      <w:r>
        <w:rPr>
          <w:rFonts w:hint="eastAsia" w:ascii="宋体" w:hAnsi="宋体" w:cs="宋体"/>
          <w:color w:val="auto"/>
          <w:highlight w:val="none"/>
          <w:shd w:val="clear" w:color="auto" w:fill="FFFFFF"/>
        </w:rPr>
        <w:t>招标项目主管部门或者本招标项目招标投标行政监督部门的工作人员</w:t>
      </w:r>
      <w:r>
        <w:rPr>
          <w:rFonts w:hint="eastAsia" w:hAnsi="宋体" w:cs="宋体"/>
          <w:color w:val="auto"/>
          <w:highlight w:val="none"/>
        </w:rPr>
        <w:t>；</w:t>
      </w:r>
    </w:p>
    <w:p w14:paraId="50B561B1">
      <w:pPr>
        <w:spacing w:line="360" w:lineRule="auto"/>
        <w:ind w:firstLine="420" w:firstLineChars="200"/>
        <w:rPr>
          <w:rFonts w:hAnsi="宋体" w:cs="宋体"/>
          <w:color w:val="auto"/>
          <w:highlight w:val="none"/>
        </w:rPr>
      </w:pPr>
      <w:r>
        <w:rPr>
          <w:rFonts w:hint="eastAsia" w:hAnsi="宋体" w:cs="宋体"/>
          <w:color w:val="auto"/>
          <w:highlight w:val="none"/>
        </w:rPr>
        <w:t>（</w:t>
      </w:r>
      <w:r>
        <w:rPr>
          <w:rFonts w:hAnsi="宋体"/>
          <w:color w:val="auto"/>
          <w:highlight w:val="none"/>
        </w:rPr>
        <w:t>3</w:t>
      </w:r>
      <w:r>
        <w:rPr>
          <w:rFonts w:hint="eastAsia" w:hAnsi="宋体" w:cs="宋体"/>
          <w:color w:val="auto"/>
          <w:highlight w:val="none"/>
        </w:rPr>
        <w:t>）</w:t>
      </w:r>
      <w:r>
        <w:rPr>
          <w:rFonts w:hint="eastAsia" w:ascii="宋体" w:hAnsi="宋体" w:cs="宋体"/>
          <w:color w:val="auto"/>
          <w:highlight w:val="none"/>
          <w:shd w:val="clear" w:color="auto" w:fill="FFFFFF"/>
        </w:rPr>
        <w:t>与投标人有经济利益关系，可能影响对投标公正评审的人员</w:t>
      </w:r>
      <w:r>
        <w:rPr>
          <w:rFonts w:hint="eastAsia" w:hAnsi="宋体" w:cs="宋体"/>
          <w:color w:val="auto"/>
          <w:highlight w:val="none"/>
        </w:rPr>
        <w:t>；</w:t>
      </w:r>
    </w:p>
    <w:p w14:paraId="626D6B34">
      <w:pPr>
        <w:spacing w:line="360" w:lineRule="auto"/>
        <w:ind w:firstLine="420" w:firstLineChars="200"/>
        <w:rPr>
          <w:color w:val="auto"/>
          <w:szCs w:val="21"/>
          <w:highlight w:val="none"/>
        </w:rPr>
      </w:pPr>
      <w:r>
        <w:rPr>
          <w:rFonts w:hint="eastAsia"/>
          <w:color w:val="auto"/>
          <w:szCs w:val="21"/>
          <w:highlight w:val="none"/>
        </w:rPr>
        <w:t>（4）为该工程招标代理机构的人员；</w:t>
      </w:r>
    </w:p>
    <w:p w14:paraId="696A9FA7">
      <w:pPr>
        <w:spacing w:line="360" w:lineRule="auto"/>
        <w:ind w:firstLine="420" w:firstLineChars="200"/>
        <w:rPr>
          <w:color w:val="auto"/>
          <w:szCs w:val="21"/>
          <w:highlight w:val="none"/>
        </w:rPr>
      </w:pPr>
      <w:r>
        <w:rPr>
          <w:rFonts w:hint="eastAsia"/>
          <w:color w:val="auto"/>
          <w:szCs w:val="21"/>
          <w:highlight w:val="none"/>
        </w:rPr>
        <w:t>（5）为该工程的勘察、设计、参与前期项目评审的人员；</w:t>
      </w:r>
    </w:p>
    <w:p w14:paraId="237F0F98">
      <w:pPr>
        <w:spacing w:line="360" w:lineRule="auto"/>
        <w:ind w:firstLine="420" w:firstLineChars="200"/>
        <w:rPr>
          <w:color w:val="auto"/>
          <w:szCs w:val="21"/>
          <w:highlight w:val="none"/>
        </w:rPr>
      </w:pPr>
      <w:r>
        <w:rPr>
          <w:rFonts w:hint="eastAsia"/>
          <w:color w:val="auto"/>
          <w:szCs w:val="21"/>
          <w:highlight w:val="none"/>
        </w:rPr>
        <w:t>（6）2年内曾在投标单位中任职或担任顾问的人员；</w:t>
      </w:r>
    </w:p>
    <w:p w14:paraId="3F0472BF">
      <w:pPr>
        <w:spacing w:line="360" w:lineRule="auto"/>
        <w:ind w:firstLine="420" w:firstLineChars="200"/>
        <w:rPr>
          <w:color w:val="auto"/>
          <w:szCs w:val="21"/>
          <w:highlight w:val="none"/>
        </w:rPr>
      </w:pPr>
      <w:r>
        <w:rPr>
          <w:rFonts w:hint="eastAsia"/>
          <w:color w:val="auto"/>
          <w:szCs w:val="21"/>
          <w:highlight w:val="none"/>
        </w:rPr>
        <w:t>（7）在投标单位退休不满3年（含3年）的人员；</w:t>
      </w:r>
    </w:p>
    <w:p w14:paraId="79CF5CD0">
      <w:pPr>
        <w:spacing w:line="360" w:lineRule="auto"/>
        <w:ind w:firstLine="420" w:firstLineChars="200"/>
        <w:rPr>
          <w:color w:val="auto"/>
          <w:szCs w:val="21"/>
          <w:highlight w:val="none"/>
        </w:rPr>
      </w:pPr>
      <w:r>
        <w:rPr>
          <w:rFonts w:hint="eastAsia"/>
          <w:color w:val="auto"/>
          <w:szCs w:val="21"/>
          <w:highlight w:val="none"/>
        </w:rPr>
        <w:t>（8）现任职单位与投标单位的法定代表人为同一人的人员；</w:t>
      </w:r>
    </w:p>
    <w:p w14:paraId="44F9CA17">
      <w:pPr>
        <w:spacing w:line="360" w:lineRule="auto"/>
        <w:ind w:firstLine="420" w:firstLineChars="200"/>
        <w:rPr>
          <w:rFonts w:ascii="宋体" w:hAnsi="宋体" w:cs="宋体"/>
          <w:color w:val="auto"/>
          <w:highlight w:val="none"/>
          <w:shd w:val="clear" w:color="auto" w:fill="FFFFFF"/>
        </w:rPr>
      </w:pPr>
      <w:r>
        <w:rPr>
          <w:rFonts w:hint="eastAsia"/>
          <w:color w:val="auto"/>
          <w:szCs w:val="21"/>
          <w:highlight w:val="none"/>
        </w:rPr>
        <w:t>（9）现任职单位与投标单位是上（下）级管理或控股（被控股）关系的人员；</w:t>
      </w:r>
      <w:r>
        <w:rPr>
          <w:rFonts w:hint="eastAsia" w:hAnsi="宋体" w:cs="宋体"/>
          <w:color w:val="auto"/>
          <w:highlight w:val="none"/>
        </w:rPr>
        <w:t>（</w:t>
      </w:r>
      <w:r>
        <w:rPr>
          <w:rFonts w:hint="eastAsia" w:hAnsi="宋体"/>
          <w:color w:val="auto"/>
          <w:highlight w:val="none"/>
        </w:rPr>
        <w:t>10</w:t>
      </w:r>
      <w:r>
        <w:rPr>
          <w:rFonts w:hint="eastAsia" w:hAnsi="宋体" w:cs="宋体"/>
          <w:color w:val="auto"/>
          <w:highlight w:val="none"/>
        </w:rPr>
        <w:t>）</w:t>
      </w:r>
      <w:r>
        <w:rPr>
          <w:rFonts w:hint="eastAsia" w:ascii="宋体" w:hAnsi="宋体" w:cs="宋体"/>
          <w:color w:val="auto"/>
          <w:highlight w:val="none"/>
          <w:shd w:val="clear" w:color="auto" w:fill="FFFFFF"/>
        </w:rPr>
        <w:t>与投标人有其他利害关系的人员。</w:t>
      </w:r>
    </w:p>
    <w:p w14:paraId="4351806A">
      <w:pPr>
        <w:spacing w:line="360" w:lineRule="auto"/>
        <w:ind w:firstLine="420" w:firstLineChars="200"/>
        <w:rPr>
          <w:rFonts w:cs="宋体"/>
          <w:color w:val="auto"/>
          <w:highlight w:val="none"/>
        </w:rPr>
      </w:pPr>
      <w:r>
        <w:rPr>
          <w:rFonts w:hint="eastAsia"/>
          <w:color w:val="auto"/>
          <w:szCs w:val="21"/>
          <w:highlight w:val="none"/>
        </w:rPr>
        <w:t>6.1.3</w:t>
      </w:r>
      <w:r>
        <w:rPr>
          <w:rFonts w:hint="eastAsia" w:cs="宋体"/>
          <w:color w:val="auto"/>
          <w:highlight w:val="none"/>
        </w:rPr>
        <w:t>有下列情形之一的专家不能参与评标活动，应主动退出：</w:t>
      </w:r>
    </w:p>
    <w:p w14:paraId="6CA2AA9D">
      <w:pPr>
        <w:spacing w:line="360" w:lineRule="auto"/>
        <w:ind w:firstLine="420" w:firstLineChars="200"/>
        <w:rPr>
          <w:rFonts w:hAnsi="宋体" w:cs="宋体"/>
          <w:color w:val="auto"/>
          <w:highlight w:val="none"/>
        </w:rPr>
      </w:pPr>
      <w:r>
        <w:rPr>
          <w:rFonts w:hint="eastAsia" w:hAnsi="宋体" w:cs="宋体"/>
          <w:color w:val="auto"/>
          <w:highlight w:val="none"/>
        </w:rPr>
        <w:t>（1）曾在招标投标活动中从事违法行为而受过行政处罚或者刑事处罚的人员；</w:t>
      </w:r>
    </w:p>
    <w:p w14:paraId="0BE6844C">
      <w:pPr>
        <w:spacing w:line="360" w:lineRule="auto"/>
        <w:ind w:firstLine="420" w:firstLineChars="200"/>
        <w:rPr>
          <w:rFonts w:hAnsi="宋体" w:cs="宋体"/>
          <w:color w:val="auto"/>
          <w:highlight w:val="none"/>
        </w:rPr>
      </w:pPr>
      <w:r>
        <w:rPr>
          <w:rFonts w:hint="eastAsia" w:hAnsi="宋体" w:cs="宋体"/>
          <w:color w:val="auto"/>
          <w:highlight w:val="none"/>
        </w:rPr>
        <w:t>（2）曾被开除公职或被取消评标专家资格的；</w:t>
      </w:r>
    </w:p>
    <w:p w14:paraId="6773C878">
      <w:pPr>
        <w:spacing w:line="360" w:lineRule="auto"/>
        <w:ind w:firstLine="420" w:firstLineChars="200"/>
        <w:rPr>
          <w:rFonts w:hAnsi="宋体" w:cs="宋体"/>
          <w:color w:val="auto"/>
          <w:highlight w:val="none"/>
          <w:u w:val="wave"/>
        </w:rPr>
      </w:pPr>
      <w:r>
        <w:rPr>
          <w:rFonts w:hint="eastAsia" w:hAnsi="宋体" w:cs="宋体"/>
          <w:color w:val="auto"/>
          <w:highlight w:val="none"/>
        </w:rPr>
        <w:t>（3）曾因犯罪受过刑事处罚的；</w:t>
      </w:r>
    </w:p>
    <w:p w14:paraId="2360088B">
      <w:pPr>
        <w:spacing w:line="360" w:lineRule="auto"/>
        <w:ind w:firstLine="420" w:firstLineChars="200"/>
        <w:rPr>
          <w:rFonts w:hAnsi="宋体" w:cs="宋体"/>
          <w:color w:val="auto"/>
          <w:highlight w:val="none"/>
        </w:rPr>
      </w:pPr>
      <w:r>
        <w:rPr>
          <w:rFonts w:hint="eastAsia" w:hAnsi="宋体" w:cs="宋体"/>
          <w:color w:val="auto"/>
          <w:highlight w:val="none"/>
        </w:rPr>
        <w:t>（4）评标时期在</w:t>
      </w:r>
      <w:r>
        <w:rPr>
          <w:rFonts w:hint="eastAsia" w:hAnsi="宋体" w:cs="宋体"/>
          <w:color w:val="auto"/>
          <w:highlight w:val="none"/>
          <w:u w:val="wave" w:color="FFFFFF"/>
        </w:rPr>
        <w:t>全国建筑市场监管公共服务平台</w:t>
      </w:r>
      <w:r>
        <w:rPr>
          <w:rFonts w:hint="eastAsia" w:hAnsi="宋体" w:cs="宋体"/>
          <w:color w:val="auto"/>
          <w:highlight w:val="none"/>
        </w:rPr>
        <w:t>（http://jzsc.mohurd.gov.cn/home）被列为个人诚信不良的人员；</w:t>
      </w:r>
    </w:p>
    <w:p w14:paraId="1354A8E7">
      <w:pPr>
        <w:spacing w:line="360" w:lineRule="auto"/>
        <w:ind w:firstLine="420" w:firstLineChars="200"/>
        <w:rPr>
          <w:rFonts w:ascii="宋体" w:hAnsi="宋体" w:cs="宋体"/>
          <w:color w:val="auto"/>
          <w:highlight w:val="none"/>
          <w:shd w:val="clear" w:color="auto" w:fill="FFFFFF"/>
        </w:rPr>
      </w:pPr>
      <w:r>
        <w:rPr>
          <w:rFonts w:hint="eastAsia" w:hAnsi="宋体" w:cs="宋体"/>
          <w:color w:val="auto"/>
          <w:highlight w:val="none"/>
        </w:rPr>
        <w:t>（5）评标时期在“信用中国”网站（www.creditchina.gov.cn）中被列为失信被执行人的人员。</w:t>
      </w:r>
    </w:p>
    <w:p w14:paraId="2DA51357">
      <w:pPr>
        <w:pStyle w:val="4"/>
        <w:rPr>
          <w:color w:val="auto"/>
          <w:highlight w:val="none"/>
        </w:rPr>
      </w:pPr>
      <w:bookmarkStart w:id="59" w:name="_Toc20305"/>
      <w:r>
        <w:rPr>
          <w:color w:val="auto"/>
          <w:highlight w:val="none"/>
        </w:rPr>
        <w:t>6.2 评标原则</w:t>
      </w:r>
      <w:bookmarkEnd w:id="59"/>
    </w:p>
    <w:p w14:paraId="72A51AF7">
      <w:pPr>
        <w:spacing w:line="360" w:lineRule="auto"/>
        <w:ind w:firstLine="420" w:firstLineChars="200"/>
        <w:rPr>
          <w:color w:val="auto"/>
          <w:highlight w:val="none"/>
        </w:rPr>
      </w:pPr>
      <w:r>
        <w:rPr>
          <w:color w:val="auto"/>
          <w:highlight w:val="none"/>
        </w:rPr>
        <w:t xml:space="preserve">6.2.1 </w:t>
      </w:r>
      <w:r>
        <w:rPr>
          <w:rFonts w:hint="eastAsia" w:cs="宋体"/>
          <w:color w:val="auto"/>
          <w:highlight w:val="none"/>
        </w:rPr>
        <w:t>评标活动遵循公平、公正、科学和择优的原则。</w:t>
      </w:r>
    </w:p>
    <w:p w14:paraId="5C865053">
      <w:pPr>
        <w:spacing w:line="360" w:lineRule="auto"/>
        <w:ind w:firstLine="420" w:firstLineChars="200"/>
        <w:rPr>
          <w:rFonts w:hAnsi="宋体"/>
          <w:color w:val="auto"/>
          <w:highlight w:val="none"/>
        </w:rPr>
      </w:pPr>
      <w:r>
        <w:rPr>
          <w:rFonts w:hAnsi="宋体"/>
          <w:color w:val="auto"/>
          <w:highlight w:val="none"/>
        </w:rPr>
        <w:t xml:space="preserve">6.2.2 </w:t>
      </w:r>
      <w:r>
        <w:rPr>
          <w:rFonts w:hint="eastAsia" w:hAnsi="宋体" w:cs="宋体"/>
          <w:color w:val="auto"/>
          <w:highlight w:val="none"/>
        </w:rPr>
        <w:t>电子评标的应急措施：</w:t>
      </w:r>
    </w:p>
    <w:p w14:paraId="6511F9D1">
      <w:pPr>
        <w:spacing w:line="360" w:lineRule="auto"/>
        <w:ind w:firstLine="420" w:firstLineChars="200"/>
        <w:rPr>
          <w:color w:val="auto"/>
          <w:highlight w:val="none"/>
        </w:rPr>
      </w:pPr>
      <w:r>
        <w:rPr>
          <w:rFonts w:hint="eastAsia" w:hAnsi="宋体" w:cs="宋体"/>
          <w:color w:val="auto"/>
          <w:highlight w:val="none"/>
        </w:rPr>
        <w:t>开标结束后，因电子招标投标系统故障无法评标时，经招标监督部门同意后，招标人可以选择暂停评标活动，等待故障排除后继续评标。</w:t>
      </w:r>
      <w:r>
        <w:rPr>
          <w:rFonts w:hint="eastAsia" w:ascii="宋体" w:hAnsi="宋体"/>
          <w:color w:val="auto"/>
          <w:szCs w:val="21"/>
          <w:highlight w:val="none"/>
        </w:rPr>
        <w:t>等待故障排除过程</w:t>
      </w:r>
      <w:r>
        <w:rPr>
          <w:rFonts w:hint="eastAsia" w:hAnsi="宋体" w:cs="宋体"/>
          <w:color w:val="auto"/>
          <w:highlight w:val="none"/>
        </w:rPr>
        <w:t>，必须对原有资料及信息作出妥善保密处理。</w:t>
      </w:r>
    </w:p>
    <w:p w14:paraId="5903F059">
      <w:pPr>
        <w:pStyle w:val="4"/>
        <w:rPr>
          <w:color w:val="auto"/>
          <w:highlight w:val="none"/>
        </w:rPr>
      </w:pPr>
      <w:bookmarkStart w:id="60" w:name="_Toc24490"/>
      <w:r>
        <w:rPr>
          <w:color w:val="auto"/>
          <w:highlight w:val="none"/>
        </w:rPr>
        <w:t>6.3 评标方式</w:t>
      </w:r>
      <w:bookmarkEnd w:id="60"/>
    </w:p>
    <w:p w14:paraId="385F3671">
      <w:pPr>
        <w:spacing w:line="360" w:lineRule="auto"/>
        <w:ind w:firstLine="420" w:firstLineChars="200"/>
        <w:rPr>
          <w:color w:val="auto"/>
          <w:highlight w:val="none"/>
        </w:rPr>
      </w:pPr>
      <w:r>
        <w:rPr>
          <w:rFonts w:hint="eastAsia" w:cs="宋体"/>
          <w:color w:val="auto"/>
          <w:highlight w:val="none"/>
        </w:rPr>
        <w:t>评标委员会按照第三章</w:t>
      </w:r>
      <w:r>
        <w:rPr>
          <w:color w:val="auto"/>
          <w:highlight w:val="none"/>
        </w:rPr>
        <w:t>“</w:t>
      </w:r>
      <w:r>
        <w:rPr>
          <w:rFonts w:hint="eastAsia" w:cs="宋体"/>
          <w:color w:val="auto"/>
          <w:highlight w:val="none"/>
        </w:rPr>
        <w:t>评标办法</w:t>
      </w:r>
      <w:r>
        <w:rPr>
          <w:color w:val="auto"/>
          <w:highlight w:val="none"/>
        </w:rPr>
        <w:t>”</w:t>
      </w:r>
      <w:r>
        <w:rPr>
          <w:rFonts w:hint="eastAsia" w:cs="宋体"/>
          <w:color w:val="auto"/>
          <w:highlight w:val="none"/>
        </w:rPr>
        <w:t>规定的方法、评审因素、标准和程序对投标文件进行评审。第三章</w:t>
      </w:r>
      <w:r>
        <w:rPr>
          <w:color w:val="auto"/>
          <w:highlight w:val="none"/>
        </w:rPr>
        <w:t>“</w:t>
      </w:r>
      <w:r>
        <w:rPr>
          <w:rFonts w:hint="eastAsia" w:cs="宋体"/>
          <w:color w:val="auto"/>
          <w:highlight w:val="none"/>
        </w:rPr>
        <w:t>评标办法</w:t>
      </w:r>
      <w:r>
        <w:rPr>
          <w:color w:val="auto"/>
          <w:highlight w:val="none"/>
        </w:rPr>
        <w:t>”</w:t>
      </w:r>
      <w:r>
        <w:rPr>
          <w:rFonts w:hint="eastAsia" w:cs="宋体"/>
          <w:color w:val="auto"/>
          <w:highlight w:val="none"/>
        </w:rPr>
        <w:t>没有规定的方法、评审因素和标准，不作为评标依据。具体评标方式见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79181688">
      <w:pPr>
        <w:pStyle w:val="4"/>
        <w:rPr>
          <w:color w:val="auto"/>
          <w:highlight w:val="none"/>
        </w:rPr>
      </w:pPr>
      <w:bookmarkStart w:id="61" w:name="_Toc21800"/>
      <w:r>
        <w:rPr>
          <w:color w:val="auto"/>
          <w:highlight w:val="none"/>
        </w:rPr>
        <w:t>6.4 移交评标资料</w:t>
      </w:r>
      <w:bookmarkEnd w:id="61"/>
    </w:p>
    <w:p w14:paraId="4CCA254C">
      <w:pPr>
        <w:spacing w:line="360" w:lineRule="auto"/>
        <w:ind w:firstLine="420" w:firstLineChars="200"/>
        <w:rPr>
          <w:color w:val="auto"/>
          <w:highlight w:val="none"/>
        </w:rPr>
      </w:pPr>
      <w:r>
        <w:rPr>
          <w:rFonts w:hint="eastAsia" w:cs="宋体"/>
          <w:color w:val="auto"/>
          <w:highlight w:val="none"/>
        </w:rPr>
        <w:t>评标委员会完成评标后，立即通过</w:t>
      </w:r>
      <w:r>
        <w:rPr>
          <w:rFonts w:hint="eastAsia" w:ascii="宋体" w:hAnsi="宋体"/>
          <w:color w:val="auto"/>
          <w:highlight w:val="none"/>
        </w:rPr>
        <w:t>全国公共资源交易平台（广西壮族自治区）</w:t>
      </w:r>
      <w:r>
        <w:rPr>
          <w:rFonts w:hint="eastAsia" w:cs="宋体"/>
          <w:color w:val="auto"/>
          <w:highlight w:val="none"/>
        </w:rPr>
        <w:t>提交评标报告和中标候选人名单，中标候选人数量见“投标人须知前附表”，并同时向招标人移交所有评标所涉资料。</w:t>
      </w:r>
    </w:p>
    <w:p w14:paraId="030826A9">
      <w:pPr>
        <w:pStyle w:val="4"/>
        <w:rPr>
          <w:color w:val="auto"/>
          <w:highlight w:val="none"/>
        </w:rPr>
      </w:pPr>
      <w:bookmarkStart w:id="62" w:name="_Toc13182"/>
      <w:r>
        <w:rPr>
          <w:color w:val="auto"/>
          <w:highlight w:val="none"/>
        </w:rPr>
        <w:t>6.5 评标资料封存和启封</w:t>
      </w:r>
      <w:bookmarkEnd w:id="62"/>
    </w:p>
    <w:p w14:paraId="0F566BC8">
      <w:pPr>
        <w:spacing w:line="360" w:lineRule="auto"/>
        <w:ind w:firstLine="420" w:firstLineChars="200"/>
        <w:rPr>
          <w:color w:val="auto"/>
          <w:szCs w:val="21"/>
          <w:highlight w:val="none"/>
        </w:rPr>
      </w:pPr>
      <w:r>
        <w:rPr>
          <w:color w:val="auto"/>
          <w:szCs w:val="21"/>
          <w:highlight w:val="none"/>
        </w:rPr>
        <w:t>6.5.1 评标结束至中标</w:t>
      </w:r>
      <w:r>
        <w:rPr>
          <w:rFonts w:hint="eastAsia"/>
          <w:color w:val="auto"/>
          <w:szCs w:val="21"/>
          <w:highlight w:val="none"/>
        </w:rPr>
        <w:t>通知书发放时</w:t>
      </w:r>
      <w:r>
        <w:rPr>
          <w:color w:val="auto"/>
          <w:szCs w:val="21"/>
          <w:highlight w:val="none"/>
        </w:rPr>
        <w:t>，招标人按</w:t>
      </w:r>
      <w:r>
        <w:rPr>
          <w:rFonts w:hint="eastAsia"/>
          <w:color w:val="auto"/>
          <w:szCs w:val="21"/>
          <w:highlight w:val="none"/>
        </w:rPr>
        <w:t>“</w:t>
      </w:r>
      <w:r>
        <w:rPr>
          <w:color w:val="auto"/>
          <w:szCs w:val="21"/>
          <w:highlight w:val="none"/>
        </w:rPr>
        <w:t>投标人须知前附表</w:t>
      </w:r>
      <w:r>
        <w:rPr>
          <w:rFonts w:hint="eastAsia"/>
          <w:color w:val="auto"/>
          <w:szCs w:val="21"/>
          <w:highlight w:val="none"/>
        </w:rPr>
        <w:t>”</w:t>
      </w:r>
      <w:r>
        <w:rPr>
          <w:color w:val="auto"/>
          <w:szCs w:val="21"/>
          <w:highlight w:val="none"/>
        </w:rPr>
        <w:t>规定的封存方式封存评标资料</w:t>
      </w:r>
      <w:r>
        <w:rPr>
          <w:rFonts w:hint="eastAsia"/>
          <w:color w:val="auto"/>
          <w:szCs w:val="21"/>
          <w:highlight w:val="none"/>
        </w:rPr>
        <w:t>。</w:t>
      </w:r>
    </w:p>
    <w:p w14:paraId="383C12CB">
      <w:pPr>
        <w:spacing w:line="360" w:lineRule="auto"/>
        <w:ind w:firstLine="420" w:firstLineChars="200"/>
        <w:rPr>
          <w:color w:val="auto"/>
          <w:szCs w:val="21"/>
          <w:highlight w:val="none"/>
        </w:rPr>
      </w:pPr>
      <w:r>
        <w:rPr>
          <w:color w:val="auto"/>
          <w:szCs w:val="21"/>
          <w:highlight w:val="none"/>
        </w:rPr>
        <w:t>6.5.2 如在封存期间</w:t>
      </w:r>
      <w:r>
        <w:rPr>
          <w:rFonts w:hint="eastAsia"/>
          <w:color w:val="auto"/>
          <w:szCs w:val="21"/>
          <w:highlight w:val="none"/>
        </w:rPr>
        <w:t>处理</w:t>
      </w:r>
      <w:r>
        <w:rPr>
          <w:color w:val="auto"/>
          <w:szCs w:val="21"/>
          <w:highlight w:val="none"/>
        </w:rPr>
        <w:t>招标投标利害当事人提出异议或者投诉</w:t>
      </w:r>
      <w:r>
        <w:rPr>
          <w:rFonts w:hint="eastAsia"/>
          <w:color w:val="auto"/>
          <w:szCs w:val="21"/>
          <w:highlight w:val="none"/>
        </w:rPr>
        <w:t>时需要启封评标资料的，应按当地招投标监督管理部门规定的程序启封。</w:t>
      </w:r>
    </w:p>
    <w:p w14:paraId="703519A4">
      <w:pPr>
        <w:spacing w:line="360" w:lineRule="auto"/>
        <w:ind w:firstLine="420" w:firstLineChars="200"/>
        <w:rPr>
          <w:color w:val="auto"/>
          <w:szCs w:val="21"/>
          <w:highlight w:val="none"/>
        </w:rPr>
      </w:pPr>
      <w:r>
        <w:rPr>
          <w:color w:val="auto"/>
          <w:szCs w:val="21"/>
          <w:highlight w:val="none"/>
        </w:rPr>
        <w:t>6.5.3 评标资料封存和启封应符合</w:t>
      </w:r>
      <w:r>
        <w:rPr>
          <w:rFonts w:hint="eastAsia"/>
          <w:color w:val="auto"/>
          <w:szCs w:val="21"/>
          <w:highlight w:val="none"/>
        </w:rPr>
        <w:t>当地招投标监督管理部门</w:t>
      </w:r>
      <w:r>
        <w:rPr>
          <w:color w:val="auto"/>
          <w:szCs w:val="21"/>
          <w:highlight w:val="none"/>
        </w:rPr>
        <w:t>的规定。</w:t>
      </w:r>
    </w:p>
    <w:p w14:paraId="2538206C">
      <w:pPr>
        <w:pStyle w:val="4"/>
        <w:rPr>
          <w:color w:val="auto"/>
          <w:highlight w:val="none"/>
        </w:rPr>
      </w:pPr>
      <w:bookmarkStart w:id="63" w:name="_Toc1205"/>
      <w:r>
        <w:rPr>
          <w:color w:val="auto"/>
          <w:highlight w:val="none"/>
        </w:rPr>
        <w:t xml:space="preserve">6.6 </w:t>
      </w:r>
      <w:r>
        <w:rPr>
          <w:rFonts w:hint="eastAsia"/>
          <w:color w:val="auto"/>
          <w:highlight w:val="none"/>
        </w:rPr>
        <w:t>中标候选人公示</w:t>
      </w:r>
      <w:bookmarkEnd w:id="63"/>
    </w:p>
    <w:p w14:paraId="4C213E23">
      <w:pPr>
        <w:spacing w:line="360" w:lineRule="auto"/>
        <w:ind w:firstLine="420" w:firstLineChars="200"/>
        <w:rPr>
          <w:color w:val="auto"/>
          <w:highlight w:val="none"/>
        </w:rPr>
      </w:pPr>
      <w:r>
        <w:rPr>
          <w:color w:val="auto"/>
          <w:highlight w:val="none"/>
        </w:rPr>
        <w:t>6.6.1</w:t>
      </w:r>
      <w:r>
        <w:rPr>
          <w:rFonts w:hint="eastAsia"/>
          <w:color w:val="auto"/>
          <w:highlight w:val="none"/>
        </w:rPr>
        <w:t>招标人在收到评标报告之日起3日内在投标人须知前附表规定的发布媒介发布评标结果公示，公示期不少于3个工作日。</w:t>
      </w:r>
    </w:p>
    <w:p w14:paraId="518A23BA">
      <w:pPr>
        <w:spacing w:line="360" w:lineRule="auto"/>
        <w:ind w:firstLine="420" w:firstLineChars="200"/>
        <w:rPr>
          <w:color w:val="auto"/>
          <w:highlight w:val="none"/>
        </w:rPr>
      </w:pPr>
      <w:r>
        <w:rPr>
          <w:rFonts w:hint="eastAsia"/>
          <w:color w:val="auto"/>
          <w:highlight w:val="none"/>
        </w:rPr>
        <w:t>6.6.2中标候选人享受《政府采购促进中小企业发展管理办法》（财库〔2020〕46号）规定的中小企业扶持政策的，招标人</w:t>
      </w:r>
      <w:r>
        <w:rPr>
          <w:rFonts w:hint="eastAsia" w:cs="宋体"/>
          <w:color w:val="auto"/>
          <w:highlight w:val="none"/>
        </w:rPr>
        <w:t>或者其委托的招标代理机构</w:t>
      </w:r>
      <w:r>
        <w:rPr>
          <w:rFonts w:hint="eastAsia"/>
          <w:color w:val="auto"/>
          <w:highlight w:val="none"/>
        </w:rPr>
        <w:t>应当在公示中标候选人时公开中标候选人的《中小企业声明函》；</w:t>
      </w:r>
      <w:r>
        <w:rPr>
          <w:rFonts w:hint="eastAsia" w:cs="宋体"/>
          <w:color w:val="auto"/>
          <w:highlight w:val="none"/>
        </w:rPr>
        <w:t>中标候选人为残疾人福利性单位的，招标人或者其委托的招标代理机构应当在中标候选人公示时公开中标候选人的《残疾人福利性单位声明函》。</w:t>
      </w:r>
    </w:p>
    <w:p w14:paraId="6E846FD9">
      <w:pPr>
        <w:spacing w:line="360" w:lineRule="auto"/>
        <w:ind w:firstLine="420" w:firstLineChars="200"/>
        <w:rPr>
          <w:color w:val="auto"/>
          <w:highlight w:val="none"/>
        </w:rPr>
      </w:pPr>
      <w:r>
        <w:rPr>
          <w:color w:val="auto"/>
          <w:highlight w:val="none"/>
        </w:rPr>
        <w:t>6.6.</w:t>
      </w:r>
      <w:r>
        <w:rPr>
          <w:rFonts w:hint="eastAsia"/>
          <w:color w:val="auto"/>
          <w:highlight w:val="none"/>
        </w:rPr>
        <w:t>3</w:t>
      </w:r>
      <w:r>
        <w:rPr>
          <w:color w:val="auto"/>
          <w:highlight w:val="none"/>
        </w:rPr>
        <w:t xml:space="preserve"> </w:t>
      </w:r>
      <w:r>
        <w:rPr>
          <w:rFonts w:hint="eastAsia" w:cs="宋体"/>
          <w:color w:val="auto"/>
          <w:highlight w:val="none"/>
        </w:rPr>
        <w:t>投标人或者其他利害关系人对评标结果有异议的，应当在中标候选人公示期间通过</w:t>
      </w:r>
      <w:r>
        <w:rPr>
          <w:rFonts w:hint="eastAsia" w:ascii="宋体" w:hAnsi="宋体"/>
          <w:color w:val="auto"/>
          <w:highlight w:val="none"/>
          <w:u w:val="single"/>
        </w:rPr>
        <w:t>全</w:t>
      </w:r>
      <w:r>
        <w:rPr>
          <w:rFonts w:hint="eastAsia" w:ascii="宋体" w:hAnsi="宋体"/>
          <w:color w:val="auto"/>
          <w:highlight w:val="none"/>
        </w:rPr>
        <w:t>国公共资源交易平台（广西壮族自治区）</w:t>
      </w:r>
      <w:r>
        <w:rPr>
          <w:rFonts w:hint="eastAsia" w:cs="宋体"/>
          <w:color w:val="auto"/>
          <w:highlight w:val="none"/>
        </w:rPr>
        <w:t>提出或以纸质书面材料提交给招标人。招标人自收到异议之日起</w:t>
      </w:r>
      <w:r>
        <w:rPr>
          <w:color w:val="auto"/>
          <w:highlight w:val="none"/>
        </w:rPr>
        <w:t>3</w:t>
      </w:r>
      <w:r>
        <w:rPr>
          <w:rFonts w:hint="eastAsia" w:cs="宋体"/>
          <w:color w:val="auto"/>
          <w:highlight w:val="none"/>
        </w:rPr>
        <w:t>日内作出答复。对招标人答复不满意或招标人拒不答复的，投标人可按照本章第</w:t>
      </w:r>
      <w:r>
        <w:rPr>
          <w:color w:val="auto"/>
          <w:highlight w:val="none"/>
        </w:rPr>
        <w:t>9.5</w:t>
      </w:r>
      <w:r>
        <w:rPr>
          <w:rFonts w:hint="eastAsia" w:cs="宋体"/>
          <w:color w:val="auto"/>
          <w:highlight w:val="none"/>
        </w:rPr>
        <w:t>条的规定程序向有关行政监督部门投诉。</w:t>
      </w:r>
    </w:p>
    <w:p w14:paraId="5A6FCC4B">
      <w:pPr>
        <w:spacing w:line="360" w:lineRule="auto"/>
        <w:ind w:firstLine="420" w:firstLineChars="200"/>
        <w:rPr>
          <w:color w:val="auto"/>
          <w:highlight w:val="none"/>
        </w:rPr>
      </w:pPr>
      <w:r>
        <w:rPr>
          <w:color w:val="auto"/>
          <w:highlight w:val="none"/>
        </w:rPr>
        <w:t>6.6.</w:t>
      </w:r>
      <w:r>
        <w:rPr>
          <w:rFonts w:hint="eastAsia"/>
          <w:color w:val="auto"/>
          <w:highlight w:val="none"/>
        </w:rPr>
        <w:t>4</w:t>
      </w:r>
      <w:r>
        <w:rPr>
          <w:color w:val="auto"/>
          <w:highlight w:val="none"/>
        </w:rPr>
        <w:t xml:space="preserve"> </w:t>
      </w:r>
      <w:r>
        <w:rPr>
          <w:rFonts w:hint="eastAsia" w:cs="宋体"/>
          <w:color w:val="auto"/>
          <w:highlight w:val="none"/>
        </w:rPr>
        <w:t>招标人对中标候选人有投诉的，按照本章第</w:t>
      </w:r>
      <w:r>
        <w:rPr>
          <w:color w:val="auto"/>
          <w:highlight w:val="none"/>
        </w:rPr>
        <w:t>9.5</w:t>
      </w:r>
      <w:r>
        <w:rPr>
          <w:rFonts w:hint="eastAsia" w:cs="宋体"/>
          <w:color w:val="auto"/>
          <w:highlight w:val="none"/>
        </w:rPr>
        <w:t>条的规定程序执行。</w:t>
      </w:r>
    </w:p>
    <w:p w14:paraId="03D68054">
      <w:pPr>
        <w:pStyle w:val="3"/>
        <w:rPr>
          <w:color w:val="auto"/>
          <w:highlight w:val="none"/>
        </w:rPr>
      </w:pPr>
      <w:bookmarkStart w:id="64" w:name="_Toc4694"/>
      <w:r>
        <w:rPr>
          <w:color w:val="auto"/>
          <w:highlight w:val="none"/>
        </w:rPr>
        <w:t>7 合同授予</w:t>
      </w:r>
      <w:bookmarkEnd w:id="64"/>
    </w:p>
    <w:p w14:paraId="7A834577">
      <w:pPr>
        <w:pStyle w:val="4"/>
        <w:rPr>
          <w:color w:val="auto"/>
          <w:highlight w:val="none"/>
        </w:rPr>
      </w:pPr>
      <w:bookmarkStart w:id="65" w:name="_Toc21459"/>
      <w:r>
        <w:rPr>
          <w:color w:val="auto"/>
          <w:highlight w:val="none"/>
        </w:rPr>
        <w:t>7.1</w:t>
      </w:r>
      <w:r>
        <w:rPr>
          <w:rFonts w:hint="eastAsia"/>
          <w:color w:val="auto"/>
          <w:highlight w:val="none"/>
        </w:rPr>
        <w:t>中标候选人公示</w:t>
      </w:r>
      <w:bookmarkEnd w:id="65"/>
    </w:p>
    <w:p w14:paraId="22EEA684">
      <w:pPr>
        <w:spacing w:line="360" w:lineRule="auto"/>
        <w:ind w:firstLine="420" w:firstLineChars="200"/>
        <w:rPr>
          <w:color w:val="auto"/>
          <w:szCs w:val="21"/>
          <w:highlight w:val="none"/>
        </w:rPr>
      </w:pPr>
      <w:r>
        <w:rPr>
          <w:rFonts w:hint="eastAsia"/>
          <w:color w:val="auto"/>
          <w:szCs w:val="21"/>
          <w:highlight w:val="none"/>
        </w:rPr>
        <w:t>招标人在收到评标报告之日起 3 日内，如未出现8.1（3）的情况，按照投标人须知前附表规定的公示媒介和期限公示中标候选人，公示期不得少于3个工作日。</w:t>
      </w:r>
    </w:p>
    <w:p w14:paraId="3D23D774">
      <w:pPr>
        <w:pStyle w:val="4"/>
        <w:rPr>
          <w:color w:val="auto"/>
          <w:highlight w:val="none"/>
        </w:rPr>
      </w:pPr>
      <w:bookmarkStart w:id="66" w:name="_Toc17839"/>
      <w:r>
        <w:rPr>
          <w:rFonts w:hint="eastAsia"/>
          <w:color w:val="auto"/>
          <w:highlight w:val="none"/>
        </w:rPr>
        <w:t>7.2 评标结果异议</w:t>
      </w:r>
      <w:bookmarkEnd w:id="66"/>
    </w:p>
    <w:p w14:paraId="0465C9B4">
      <w:pPr>
        <w:spacing w:line="360" w:lineRule="auto"/>
        <w:ind w:firstLine="420" w:firstLineChars="200"/>
        <w:rPr>
          <w:color w:val="auto"/>
          <w:szCs w:val="21"/>
          <w:highlight w:val="none"/>
        </w:rPr>
      </w:pPr>
      <w:r>
        <w:rPr>
          <w:rFonts w:hint="eastAsia"/>
          <w:color w:val="auto"/>
          <w:szCs w:val="21"/>
          <w:highlight w:val="none"/>
        </w:rPr>
        <w:t>投标人或者其他利害关系人对评标结果有异议的，应当在中标候选人公示期间提出。招标人将在收到异议之日起3日内作出答复；作出答复前，将暂停招标投标活动。</w:t>
      </w:r>
    </w:p>
    <w:p w14:paraId="7CF134C8">
      <w:pPr>
        <w:pStyle w:val="4"/>
        <w:rPr>
          <w:color w:val="auto"/>
          <w:highlight w:val="none"/>
        </w:rPr>
      </w:pPr>
      <w:bookmarkStart w:id="67" w:name="_Toc11470"/>
      <w:r>
        <w:rPr>
          <w:rFonts w:hint="eastAsia"/>
          <w:color w:val="auto"/>
          <w:highlight w:val="none"/>
        </w:rPr>
        <w:t>7.3 中标候选人履约能力审查</w:t>
      </w:r>
      <w:bookmarkEnd w:id="67"/>
    </w:p>
    <w:p w14:paraId="5833BE1D">
      <w:pPr>
        <w:spacing w:line="360" w:lineRule="auto"/>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在中标通知书发出前，如果中标候选人的经营、财务状况、资质等级发生较大变化或存在“投标人须知前附表”规定的情形，可能造成不能履行合同、无法按照招标文件要求提交履约保证金等情形，不符合中标条件的，应在中标公示期及时书面告知招标人。</w:t>
      </w:r>
    </w:p>
    <w:p w14:paraId="14428994">
      <w:pPr>
        <w:spacing w:line="360" w:lineRule="auto"/>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如招标人认为中标候选人的经营、财务状况、资质等级发生较大变化、存在违法行为或者“投标人须知前附表”规定的情形，可能影响其履约能力的，应当在中标通知书发出前由原评标委员会按照招标文件规定的标准和方法审查确认。</w:t>
      </w:r>
    </w:p>
    <w:p w14:paraId="60BA00D3">
      <w:pPr>
        <w:pStyle w:val="4"/>
        <w:rPr>
          <w:color w:val="auto"/>
          <w:highlight w:val="none"/>
        </w:rPr>
      </w:pPr>
      <w:bookmarkStart w:id="68" w:name="_Toc25159"/>
      <w:r>
        <w:rPr>
          <w:rFonts w:hint="eastAsia"/>
          <w:color w:val="auto"/>
          <w:highlight w:val="none"/>
        </w:rPr>
        <w:t>7.4 定标方式</w:t>
      </w:r>
      <w:bookmarkEnd w:id="68"/>
    </w:p>
    <w:p w14:paraId="247FA76C">
      <w:pPr>
        <w:spacing w:line="360" w:lineRule="auto"/>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除“投标人须知前附表”规定评标委员会直接确定中标人外，招标人依据评标委员会推荐的中标候选人确定中标人，评标委员会推荐中标候选人的人数见“投标人须知前附表”。</w:t>
      </w:r>
    </w:p>
    <w:p w14:paraId="7844F3E7">
      <w:pPr>
        <w:pStyle w:val="4"/>
        <w:rPr>
          <w:color w:val="auto"/>
          <w:highlight w:val="none"/>
        </w:rPr>
      </w:pPr>
      <w:bookmarkStart w:id="69" w:name="_Toc24203"/>
      <w:r>
        <w:rPr>
          <w:color w:val="auto"/>
          <w:highlight w:val="none"/>
        </w:rPr>
        <w:t>7.</w:t>
      </w:r>
      <w:r>
        <w:rPr>
          <w:rFonts w:hint="eastAsia"/>
          <w:color w:val="auto"/>
          <w:highlight w:val="none"/>
        </w:rPr>
        <w:t>5</w:t>
      </w:r>
      <w:r>
        <w:rPr>
          <w:color w:val="auto"/>
          <w:highlight w:val="none"/>
        </w:rPr>
        <w:t xml:space="preserve"> 中标通知</w:t>
      </w:r>
      <w:r>
        <w:rPr>
          <w:rFonts w:hint="eastAsia"/>
          <w:color w:val="auto"/>
          <w:highlight w:val="none"/>
        </w:rPr>
        <w:t>及中标公告</w:t>
      </w:r>
      <w:bookmarkEnd w:id="69"/>
    </w:p>
    <w:p w14:paraId="412FE6AD">
      <w:pPr>
        <w:spacing w:line="360" w:lineRule="auto"/>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中标候选人公示期满无异议或异议不成立的，招标人应在公示期结束后,5日内按照招标文件规定的定标办法确定中标人，招标人应当自确定中标人之日起15日内，向工程所在地的县级以上地方人民政府建设行政主管部门提交施工招标投标情况的书面报告，建设行政主管部门自收到书面报告之日起5日内未通知招标人在招标投标活动中有违法行为的，招标人可以向中标人发出中标通知书，同时按规定的格式在发布媒介发出中标公告，将中标结果在全国公共资源交易平台（广西壮族自治区）中通知未中标的投标人。依法必须招标项目的中标结果公示应在广西壮族自治区招标投标公共服务平台上优先发布。</w:t>
      </w:r>
    </w:p>
    <w:p w14:paraId="1377519C">
      <w:pPr>
        <w:pStyle w:val="4"/>
        <w:rPr>
          <w:color w:val="auto"/>
          <w:highlight w:val="none"/>
        </w:rPr>
      </w:pPr>
      <w:bookmarkStart w:id="70" w:name="_Toc15394"/>
      <w:r>
        <w:rPr>
          <w:rFonts w:hint="eastAsia"/>
          <w:color w:val="auto"/>
          <w:highlight w:val="none"/>
        </w:rPr>
        <w:t>7.6 技术成果经济补偿</w:t>
      </w:r>
      <w:bookmarkEnd w:id="70"/>
    </w:p>
    <w:p w14:paraId="30487FAB">
      <w:pPr>
        <w:spacing w:line="360" w:lineRule="auto"/>
        <w:ind w:firstLine="420" w:firstLineChars="200"/>
        <w:rPr>
          <w:color w:val="auto"/>
          <w:szCs w:val="21"/>
          <w:highlight w:val="none"/>
        </w:rPr>
      </w:pPr>
      <w:r>
        <w:rPr>
          <w:rFonts w:hint="eastAsia"/>
          <w:color w:val="auto"/>
          <w:szCs w:val="21"/>
          <w:highlight w:val="none"/>
        </w:rPr>
        <w:t>招标人对符合招标文件规定的未中标人的技术成果进行补偿的，招标人将按投标人须知前附表规定的标准给予经济补偿，未中标人在投标文件中声明放弃技术成果经济补偿费的除外。招标人将于中标通知书发出后30日内向未中标人支付技术成果经济补偿费。</w:t>
      </w:r>
    </w:p>
    <w:p w14:paraId="7BA14246">
      <w:pPr>
        <w:pStyle w:val="4"/>
        <w:rPr>
          <w:color w:val="auto"/>
          <w:highlight w:val="none"/>
        </w:rPr>
      </w:pPr>
      <w:bookmarkStart w:id="71" w:name="_Toc29414"/>
      <w:r>
        <w:rPr>
          <w:color w:val="auto"/>
          <w:highlight w:val="none"/>
        </w:rPr>
        <w:t>7.</w:t>
      </w:r>
      <w:r>
        <w:rPr>
          <w:rFonts w:hint="eastAsia"/>
          <w:color w:val="auto"/>
          <w:highlight w:val="none"/>
        </w:rPr>
        <w:t>7</w:t>
      </w:r>
      <w:r>
        <w:rPr>
          <w:color w:val="auto"/>
          <w:highlight w:val="none"/>
        </w:rPr>
        <w:t xml:space="preserve"> 履约</w:t>
      </w:r>
      <w:r>
        <w:rPr>
          <w:rFonts w:hint="eastAsia"/>
          <w:color w:val="auto"/>
          <w:highlight w:val="none"/>
        </w:rPr>
        <w:t>保证金</w:t>
      </w:r>
      <w:bookmarkEnd w:id="71"/>
    </w:p>
    <w:p w14:paraId="1E74BE48">
      <w:pPr>
        <w:spacing w:line="360" w:lineRule="auto"/>
        <w:ind w:firstLine="420" w:firstLineChars="200"/>
        <w:rPr>
          <w:color w:val="auto"/>
          <w:szCs w:val="21"/>
          <w:highlight w:val="none"/>
        </w:rPr>
      </w:pPr>
      <w:r>
        <w:rPr>
          <w:rFonts w:hint="eastAsia"/>
          <w:color w:val="auto"/>
          <w:szCs w:val="21"/>
          <w:highlight w:val="none"/>
        </w:rPr>
        <w:t>7.7.1 在签订合同前，中标人应按投标人须知前附表规定的金额、担保形式和招标文件第四章“合同条款及格式”规定的或者事先经过招标人书面认可的履约保证金格式向招标人提交履约保证金。联合体中标的，其履约保证金以联合体各方或者联合体中牵头人的名义提交，并应符合“投标人须知前附表”规定的金额、担保形式和招标文件第四章“合同条款”规定的履约担保要求。</w:t>
      </w:r>
    </w:p>
    <w:p w14:paraId="3AAFA72A">
      <w:pPr>
        <w:spacing w:line="360" w:lineRule="auto"/>
        <w:ind w:firstLine="420" w:firstLineChars="200"/>
        <w:rPr>
          <w:color w:val="auto"/>
          <w:szCs w:val="21"/>
          <w:highlight w:val="none"/>
        </w:rPr>
      </w:pPr>
      <w:r>
        <w:rPr>
          <w:rFonts w:hint="eastAsia"/>
          <w:color w:val="auto"/>
          <w:szCs w:val="21"/>
          <w:highlight w:val="none"/>
        </w:rPr>
        <w:t>7.7.2 中标人不能按本章第7.7.1项要求提交履约保证金的，视为放弃中标，其投标保证金不予退还，给招标人造成的损失超过投标保证金数额的，中标人还应当对超过部分予以赔偿。</w:t>
      </w:r>
    </w:p>
    <w:p w14:paraId="728A98EF">
      <w:pPr>
        <w:pStyle w:val="4"/>
        <w:rPr>
          <w:color w:val="auto"/>
          <w:highlight w:val="none"/>
        </w:rPr>
      </w:pPr>
      <w:bookmarkStart w:id="72" w:name="_Toc19436"/>
      <w:r>
        <w:rPr>
          <w:color w:val="auto"/>
          <w:highlight w:val="none"/>
        </w:rPr>
        <w:t>7.</w:t>
      </w:r>
      <w:r>
        <w:rPr>
          <w:rFonts w:hint="eastAsia"/>
          <w:color w:val="auto"/>
          <w:highlight w:val="none"/>
        </w:rPr>
        <w:t>8</w:t>
      </w:r>
      <w:r>
        <w:rPr>
          <w:color w:val="auto"/>
          <w:highlight w:val="none"/>
        </w:rPr>
        <w:t xml:space="preserve"> 签订合同</w:t>
      </w:r>
      <w:bookmarkEnd w:id="72"/>
    </w:p>
    <w:p w14:paraId="70728545">
      <w:pPr>
        <w:spacing w:line="360" w:lineRule="auto"/>
        <w:ind w:firstLine="420" w:firstLineChars="200"/>
        <w:rPr>
          <w:color w:val="auto"/>
          <w:highlight w:val="none"/>
        </w:rPr>
      </w:pPr>
      <w:r>
        <w:rPr>
          <w:color w:val="auto"/>
          <w:highlight w:val="none"/>
        </w:rPr>
        <w:t xml:space="preserve">7.8.1 </w:t>
      </w:r>
      <w:r>
        <w:rPr>
          <w:rFonts w:hint="eastAsia" w:cs="宋体"/>
          <w:color w:val="auto"/>
          <w:highlight w:val="none"/>
        </w:rPr>
        <w:t>招标人和中标人应当在投标有效期内以及中标通知书发出之日起</w:t>
      </w:r>
      <w:r>
        <w:rPr>
          <w:color w:val="auto"/>
          <w:highlight w:val="none"/>
        </w:rPr>
        <w:t>30</w:t>
      </w:r>
      <w:r>
        <w:rPr>
          <w:rFonts w:hint="eastAsia" w:cs="宋体"/>
          <w:color w:val="auto"/>
          <w:highlight w:val="none"/>
        </w:rPr>
        <w:t>天内，根据招标文件和中标人的投标文件订立书面合同。中标人无正当理由拒签合同的，招标人取消其中标资格，招标人有权没收其投标保证金；给招标人造成的损失超过投标保证金数额的，中标人还应当对超过部分予以赔偿。对依法必须招标的项目的中标人，由有关行政监督部门责令改正。</w:t>
      </w:r>
    </w:p>
    <w:p w14:paraId="5DA26C2F">
      <w:pPr>
        <w:spacing w:line="360" w:lineRule="auto"/>
        <w:ind w:firstLine="420" w:firstLineChars="200"/>
        <w:rPr>
          <w:color w:val="auto"/>
          <w:highlight w:val="none"/>
        </w:rPr>
      </w:pPr>
      <w:r>
        <w:rPr>
          <w:color w:val="auto"/>
          <w:highlight w:val="none"/>
        </w:rPr>
        <w:t xml:space="preserve">7.8.2 </w:t>
      </w:r>
      <w:r>
        <w:rPr>
          <w:rFonts w:hint="eastAsia" w:cs="宋体"/>
          <w:color w:val="auto"/>
          <w:highlight w:val="none"/>
        </w:rPr>
        <w:t>国有资金占控股或者主导地位的依法必须进行招标的项目，招标人应当确定排名第一的中标候选人为中标人。排名第一的中标候选人（或者评标委员会依据招标人的授权直接确定的中标人）放弃中标，或因不可抗力提出不能履行合同，或者被查实存在影响中标结果的违法行为等情形，不符合中标条件的，招标人可以按照评标委员会提出的中标候选人名单排序（或者评标结果排序）依次确定其他中标候选人为中标人。依次确定其他中标候选人与招标人预期差距较大，或者对招标人明显不利的，招标人可以重新招标。</w:t>
      </w:r>
    </w:p>
    <w:p w14:paraId="64EE220F">
      <w:pPr>
        <w:spacing w:line="360" w:lineRule="auto"/>
        <w:ind w:firstLine="420" w:firstLineChars="200"/>
        <w:rPr>
          <w:color w:val="auto"/>
          <w:highlight w:val="none"/>
        </w:rPr>
      </w:pPr>
      <w:r>
        <w:rPr>
          <w:color w:val="auto"/>
          <w:highlight w:val="none"/>
        </w:rPr>
        <w:t xml:space="preserve">7.8.3 </w:t>
      </w:r>
      <w:r>
        <w:rPr>
          <w:rFonts w:hint="eastAsia" w:cs="宋体"/>
          <w:color w:val="auto"/>
          <w:highlight w:val="none"/>
        </w:rPr>
        <w:t>发出中标通知书后，招标人无正当理由拒签合同的，由有关行政监督部门给予警告，责令改正。同时招标人向中标人退还投标保证金；给中标人造成损失的，还应当赔偿损失。</w:t>
      </w:r>
    </w:p>
    <w:p w14:paraId="37C55A97">
      <w:pPr>
        <w:pStyle w:val="3"/>
        <w:rPr>
          <w:color w:val="auto"/>
          <w:highlight w:val="none"/>
        </w:rPr>
      </w:pPr>
      <w:bookmarkStart w:id="73" w:name="_Toc17686"/>
      <w:r>
        <w:rPr>
          <w:color w:val="auto"/>
          <w:highlight w:val="none"/>
        </w:rPr>
        <w:t>8 重新招标和不再招标</w:t>
      </w:r>
      <w:bookmarkEnd w:id="73"/>
    </w:p>
    <w:p w14:paraId="7BBC7E40">
      <w:pPr>
        <w:pStyle w:val="4"/>
        <w:rPr>
          <w:color w:val="auto"/>
          <w:highlight w:val="none"/>
        </w:rPr>
      </w:pPr>
      <w:bookmarkStart w:id="74" w:name="_Toc6230"/>
      <w:r>
        <w:rPr>
          <w:color w:val="auto"/>
          <w:highlight w:val="none"/>
        </w:rPr>
        <w:t>8.1 重新招标</w:t>
      </w:r>
      <w:bookmarkEnd w:id="74"/>
    </w:p>
    <w:p w14:paraId="0032A862">
      <w:pPr>
        <w:spacing w:line="360" w:lineRule="auto"/>
        <w:ind w:firstLine="420" w:firstLineChars="200"/>
        <w:rPr>
          <w:color w:val="auto"/>
          <w:szCs w:val="21"/>
          <w:highlight w:val="none"/>
        </w:rPr>
      </w:pPr>
      <w:r>
        <w:rPr>
          <w:color w:val="auto"/>
          <w:szCs w:val="21"/>
          <w:highlight w:val="none"/>
        </w:rPr>
        <w:t>有下列情形之一的，招标人将重新招标：</w:t>
      </w:r>
    </w:p>
    <w:p w14:paraId="4B4CBB8D">
      <w:pPr>
        <w:spacing w:line="360" w:lineRule="auto"/>
        <w:ind w:firstLine="420" w:firstLineChars="200"/>
        <w:rPr>
          <w:color w:val="auto"/>
          <w:szCs w:val="21"/>
          <w:highlight w:val="none"/>
        </w:rPr>
      </w:pPr>
      <w:r>
        <w:rPr>
          <w:color w:val="auto"/>
          <w:szCs w:val="21"/>
          <w:highlight w:val="none"/>
        </w:rPr>
        <w:t>（1）投标截止时，投标人少于3个的；</w:t>
      </w:r>
    </w:p>
    <w:p w14:paraId="11826243">
      <w:pPr>
        <w:spacing w:line="360" w:lineRule="auto"/>
        <w:ind w:firstLine="420" w:firstLineChars="200"/>
        <w:rPr>
          <w:color w:val="auto"/>
          <w:szCs w:val="21"/>
          <w:highlight w:val="none"/>
        </w:rPr>
      </w:pPr>
      <w:r>
        <w:rPr>
          <w:color w:val="auto"/>
          <w:szCs w:val="21"/>
          <w:highlight w:val="none"/>
        </w:rPr>
        <w:t>（2）</w:t>
      </w:r>
      <w:r>
        <w:rPr>
          <w:rFonts w:hint="eastAsia" w:ascii="宋体" w:hAnsi="宋体" w:cs="宋体"/>
          <w:color w:val="auto"/>
          <w:szCs w:val="21"/>
          <w:highlight w:val="none"/>
          <w:shd w:val="clear" w:color="auto" w:fill="FFFFFF"/>
        </w:rPr>
        <w:t>评标委员会否决不合格或无效投标后，因有效投标不足3个使得投标明显缺乏竞争，评标委员会决定否决全部投标的</w:t>
      </w:r>
      <w:r>
        <w:rPr>
          <w:color w:val="auto"/>
          <w:szCs w:val="21"/>
          <w:highlight w:val="none"/>
        </w:rPr>
        <w:t>；</w:t>
      </w:r>
    </w:p>
    <w:p w14:paraId="7CCF3554">
      <w:pPr>
        <w:spacing w:line="360" w:lineRule="auto"/>
        <w:ind w:firstLine="420" w:firstLineChars="200"/>
        <w:rPr>
          <w:color w:val="auto"/>
          <w:szCs w:val="21"/>
          <w:highlight w:val="none"/>
        </w:rPr>
      </w:pPr>
      <w:r>
        <w:rPr>
          <w:color w:val="auto"/>
          <w:szCs w:val="21"/>
          <w:highlight w:val="none"/>
        </w:rPr>
        <w:t>（3）</w:t>
      </w:r>
      <w:r>
        <w:rPr>
          <w:rFonts w:hint="eastAsia"/>
          <w:color w:val="auto"/>
          <w:szCs w:val="21"/>
          <w:highlight w:val="none"/>
        </w:rPr>
        <w:t>采用设计方案招标的，招标人认为评标委员会推荐的候选方案不能最大限度满足招标文件规定的要求的；</w:t>
      </w:r>
    </w:p>
    <w:p w14:paraId="3A7CE9A8">
      <w:pPr>
        <w:spacing w:line="360" w:lineRule="auto"/>
        <w:ind w:firstLine="420" w:firstLineChars="200"/>
        <w:rPr>
          <w:color w:val="auto"/>
          <w:szCs w:val="21"/>
          <w:highlight w:val="none"/>
        </w:rPr>
      </w:pPr>
      <w:r>
        <w:rPr>
          <w:rFonts w:hint="eastAsia"/>
          <w:color w:val="auto"/>
          <w:szCs w:val="21"/>
          <w:highlight w:val="none"/>
        </w:rPr>
        <w:t>（4）</w:t>
      </w:r>
      <w:r>
        <w:rPr>
          <w:color w:val="auto"/>
          <w:szCs w:val="21"/>
          <w:highlight w:val="none"/>
        </w:rPr>
        <w:t>其他有关法规和文件规定的应当重新招标的情形。</w:t>
      </w:r>
    </w:p>
    <w:p w14:paraId="34E2B33C">
      <w:pPr>
        <w:spacing w:line="360" w:lineRule="auto"/>
        <w:ind w:firstLine="420" w:firstLineChars="200"/>
        <w:rPr>
          <w:color w:val="auto"/>
          <w:szCs w:val="21"/>
          <w:highlight w:val="none"/>
        </w:rPr>
      </w:pPr>
      <w:r>
        <w:rPr>
          <w:rFonts w:hint="eastAsia"/>
          <w:color w:val="auto"/>
          <w:szCs w:val="21"/>
          <w:highlight w:val="none"/>
        </w:rPr>
        <w:t>招标人依法重新招标的，应对前次投标有围标、串标、欺诈、行贿、压价或弄虚作假等违法或严重违规行为的投标人取消其重新投标的资格。</w:t>
      </w:r>
    </w:p>
    <w:p w14:paraId="51202317">
      <w:pPr>
        <w:pStyle w:val="4"/>
        <w:rPr>
          <w:color w:val="auto"/>
          <w:highlight w:val="none"/>
        </w:rPr>
      </w:pPr>
      <w:bookmarkStart w:id="75" w:name="_Toc16403"/>
      <w:r>
        <w:rPr>
          <w:color w:val="auto"/>
          <w:highlight w:val="none"/>
        </w:rPr>
        <w:t>8.2 不再招标</w:t>
      </w:r>
      <w:bookmarkEnd w:id="75"/>
    </w:p>
    <w:p w14:paraId="180823EB">
      <w:pPr>
        <w:autoSpaceDE w:val="0"/>
        <w:autoSpaceDN w:val="0"/>
        <w:adjustRightInd w:val="0"/>
        <w:spacing w:line="400" w:lineRule="exact"/>
        <w:ind w:firstLine="359" w:firstLineChars="171"/>
        <w:jc w:val="left"/>
        <w:rPr>
          <w:rFonts w:ascii="宋体" w:hAnsi="宋体" w:cs="Therese"/>
          <w:color w:val="auto"/>
          <w:kern w:val="0"/>
          <w:szCs w:val="21"/>
          <w:highlight w:val="none"/>
        </w:rPr>
      </w:pPr>
      <w:r>
        <w:rPr>
          <w:rFonts w:hint="eastAsia" w:ascii="宋体" w:hAnsi="宋体" w:cs="Therese"/>
          <w:color w:val="auto"/>
          <w:kern w:val="0"/>
          <w:szCs w:val="21"/>
          <w:highlight w:val="none"/>
        </w:rPr>
        <w:t>根据《中华人民共和国招标投标法》《中华人民共和国招标投标法实施条例》等规定，重新招标后投标人仍少于</w:t>
      </w:r>
      <w:r>
        <w:rPr>
          <w:rFonts w:ascii="宋体" w:hAnsi="宋体" w:cs="Therese"/>
          <w:color w:val="auto"/>
          <w:kern w:val="0"/>
          <w:szCs w:val="21"/>
          <w:highlight w:val="none"/>
        </w:rPr>
        <w:t xml:space="preserve">3 </w:t>
      </w:r>
      <w:r>
        <w:rPr>
          <w:rFonts w:hint="eastAsia" w:ascii="宋体" w:hAnsi="宋体" w:cs="Therese"/>
          <w:color w:val="auto"/>
          <w:kern w:val="0"/>
          <w:szCs w:val="21"/>
          <w:highlight w:val="none"/>
        </w:rPr>
        <w:t>个或者所有投标被否决的，属于必须审批或核准的工程建设项目，经原审批或核准部门批准后不再进行招标。</w:t>
      </w:r>
    </w:p>
    <w:p w14:paraId="495A76D5">
      <w:pPr>
        <w:pStyle w:val="4"/>
        <w:rPr>
          <w:color w:val="auto"/>
          <w:highlight w:val="none"/>
        </w:rPr>
      </w:pPr>
      <w:bookmarkStart w:id="76" w:name="_Toc2900"/>
      <w:r>
        <w:rPr>
          <w:color w:val="auto"/>
          <w:highlight w:val="none"/>
        </w:rPr>
        <w:t>9 纪律和监督</w:t>
      </w:r>
      <w:bookmarkEnd w:id="76"/>
    </w:p>
    <w:p w14:paraId="0C19045D">
      <w:pPr>
        <w:pStyle w:val="4"/>
        <w:rPr>
          <w:color w:val="auto"/>
          <w:highlight w:val="none"/>
        </w:rPr>
      </w:pPr>
      <w:bookmarkStart w:id="77" w:name="_Toc11606"/>
      <w:r>
        <w:rPr>
          <w:color w:val="auto"/>
          <w:highlight w:val="none"/>
        </w:rPr>
        <w:t>9.1 对招标人或招标代理机构的纪律要求</w:t>
      </w:r>
      <w:bookmarkEnd w:id="77"/>
    </w:p>
    <w:p w14:paraId="2538994E">
      <w:pPr>
        <w:spacing w:line="360" w:lineRule="auto"/>
        <w:ind w:firstLine="420" w:firstLineChars="200"/>
        <w:rPr>
          <w:color w:val="auto"/>
          <w:highlight w:val="none"/>
        </w:rPr>
      </w:pPr>
      <w:r>
        <w:rPr>
          <w:rFonts w:hint="eastAsia" w:cs="宋体"/>
          <w:color w:val="auto"/>
          <w:highlight w:val="none"/>
        </w:rPr>
        <w:t>招标人不得泄漏招标投标活动中应当保密的情况和资料，不得与投标人串通损害国家利益、社会公共利益或者他人合法权益。有下列情形之一的，属于招标人或招标代理机构与投标人串通投标：</w:t>
      </w:r>
    </w:p>
    <w:p w14:paraId="1DA4E276">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）招标人在开标前开启投标文件并将有关信息泄露给其他投标人；</w:t>
      </w:r>
    </w:p>
    <w:p w14:paraId="6837EDE9">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）招标人直接或者间接向投标人泄露标底、评标委员会成员等信息；</w:t>
      </w:r>
    </w:p>
    <w:p w14:paraId="513DB854">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）招标人明示或者暗示投标人压低或者抬高投标报价；</w:t>
      </w:r>
    </w:p>
    <w:p w14:paraId="1E429770">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）招标人授意投标人撤换、修改投标文件；</w:t>
      </w:r>
    </w:p>
    <w:p w14:paraId="7871737F">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）招标人明示或者暗示投标人为特定投标人中标提供方便；</w:t>
      </w:r>
    </w:p>
    <w:p w14:paraId="623BB1FB">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6</w:t>
      </w:r>
      <w:r>
        <w:rPr>
          <w:rFonts w:hint="eastAsia" w:cs="宋体"/>
          <w:color w:val="auto"/>
          <w:highlight w:val="none"/>
        </w:rPr>
        <w:t>）招标人与投标人为谋求特定投标人中标而采取的其他串通行为。</w:t>
      </w:r>
    </w:p>
    <w:p w14:paraId="37A75DCA">
      <w:pPr>
        <w:spacing w:line="360" w:lineRule="auto"/>
        <w:ind w:firstLine="420" w:firstLineChars="200"/>
        <w:rPr>
          <w:color w:val="auto"/>
          <w:kern w:val="0"/>
          <w:highlight w:val="none"/>
        </w:rPr>
      </w:pPr>
      <w:r>
        <w:rPr>
          <w:rFonts w:hint="eastAsia"/>
          <w:color w:val="auto"/>
          <w:kern w:val="0"/>
          <w:highlight w:val="none"/>
        </w:rPr>
        <w:t>（7）发现不同投标人的法定代表人、委托代理人、项目负责人属于同一单位，仍同意其继续参加投标；</w:t>
      </w:r>
    </w:p>
    <w:p w14:paraId="166D8D7C">
      <w:pPr>
        <w:spacing w:line="360" w:lineRule="auto"/>
        <w:ind w:firstLine="420" w:firstLineChars="200"/>
        <w:rPr>
          <w:color w:val="auto"/>
          <w:kern w:val="0"/>
          <w:highlight w:val="none"/>
        </w:rPr>
      </w:pPr>
      <w:r>
        <w:rPr>
          <w:rFonts w:hint="eastAsia"/>
          <w:color w:val="auto"/>
          <w:kern w:val="0"/>
          <w:highlight w:val="none"/>
        </w:rPr>
        <w:t>（8）招标人（招标代理机构）编制的招标公告、招标文件专门为某个特定投标人设置明显倾向性条款；</w:t>
      </w:r>
    </w:p>
    <w:p w14:paraId="1DF8A2CA">
      <w:pPr>
        <w:spacing w:line="360" w:lineRule="auto"/>
        <w:ind w:firstLine="420" w:firstLineChars="200"/>
        <w:rPr>
          <w:color w:val="auto"/>
          <w:kern w:val="0"/>
          <w:highlight w:val="none"/>
        </w:rPr>
      </w:pPr>
      <w:r>
        <w:rPr>
          <w:rFonts w:hint="eastAsia"/>
          <w:color w:val="auto"/>
          <w:kern w:val="0"/>
          <w:highlight w:val="none"/>
        </w:rPr>
        <w:t>（9）在规定提交投标文件截止时间后，协助投标人撤换或修改投标文件（包括修改电子投标文件相关数据）；</w:t>
      </w:r>
    </w:p>
    <w:p w14:paraId="276DF748">
      <w:pPr>
        <w:spacing w:line="360" w:lineRule="auto"/>
        <w:ind w:firstLine="420" w:firstLineChars="200"/>
        <w:rPr>
          <w:color w:val="auto"/>
          <w:kern w:val="0"/>
          <w:highlight w:val="none"/>
        </w:rPr>
      </w:pPr>
      <w:r>
        <w:rPr>
          <w:rFonts w:hint="eastAsia"/>
          <w:color w:val="auto"/>
          <w:kern w:val="0"/>
          <w:highlight w:val="none"/>
        </w:rPr>
        <w:t>（10）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14:paraId="41A8F977">
      <w:pPr>
        <w:spacing w:line="360" w:lineRule="auto"/>
        <w:ind w:firstLine="420" w:firstLineChars="200"/>
        <w:rPr>
          <w:color w:val="auto"/>
          <w:kern w:val="0"/>
          <w:highlight w:val="none"/>
        </w:rPr>
      </w:pPr>
      <w:r>
        <w:rPr>
          <w:rFonts w:hint="eastAsia"/>
          <w:color w:val="auto"/>
          <w:kern w:val="0"/>
          <w:highlight w:val="none"/>
        </w:rPr>
        <w:t>（11）在开标时发现不同投标人的投标资料（包括电子资料）相互混淆等情形而不制止，反而同意其继续参加评标的；</w:t>
      </w:r>
    </w:p>
    <w:p w14:paraId="02AB0E19">
      <w:pPr>
        <w:spacing w:line="360" w:lineRule="auto"/>
        <w:ind w:firstLine="420" w:firstLineChars="200"/>
        <w:rPr>
          <w:color w:val="auto"/>
          <w:kern w:val="0"/>
          <w:highlight w:val="none"/>
        </w:rPr>
      </w:pPr>
      <w:r>
        <w:rPr>
          <w:rFonts w:hint="eastAsia"/>
          <w:color w:val="auto"/>
          <w:kern w:val="0"/>
          <w:highlight w:val="none"/>
        </w:rPr>
        <w:t>（12）招标代理机构在同一房屋建筑和市政工程招标投标活动中，既为招标人提供招标代理服务又为参加该项目投标人提供投标咨询的；</w:t>
      </w:r>
    </w:p>
    <w:p w14:paraId="0FE74FBE">
      <w:pPr>
        <w:spacing w:line="360" w:lineRule="auto"/>
        <w:ind w:firstLine="420" w:firstLineChars="200"/>
        <w:rPr>
          <w:color w:val="auto"/>
          <w:kern w:val="0"/>
          <w:highlight w:val="none"/>
        </w:rPr>
      </w:pPr>
      <w:r>
        <w:rPr>
          <w:rFonts w:hint="eastAsia"/>
          <w:color w:val="auto"/>
          <w:kern w:val="0"/>
          <w:highlight w:val="none"/>
        </w:rPr>
        <w:t>（13）在招标文件以外招标人（招标代理机构）与投标人之间另行约定给予未中标的其他投标人费用补偿的；</w:t>
      </w:r>
    </w:p>
    <w:p w14:paraId="3E56E2E2">
      <w:pPr>
        <w:spacing w:line="360" w:lineRule="auto"/>
        <w:ind w:firstLine="420" w:firstLineChars="200"/>
        <w:rPr>
          <w:color w:val="auto"/>
          <w:kern w:val="0"/>
          <w:highlight w:val="none"/>
        </w:rPr>
      </w:pPr>
      <w:r>
        <w:rPr>
          <w:rFonts w:hint="eastAsia"/>
          <w:color w:val="auto"/>
          <w:kern w:val="0"/>
          <w:highlight w:val="none"/>
        </w:rPr>
        <w:t>（14）在评标时，对评标委员会进行倾向性引导或干扰正常评标秩序的；</w:t>
      </w:r>
    </w:p>
    <w:p w14:paraId="73EB1857">
      <w:pPr>
        <w:spacing w:line="360" w:lineRule="auto"/>
        <w:ind w:firstLine="420" w:firstLineChars="200"/>
        <w:rPr>
          <w:color w:val="auto"/>
          <w:kern w:val="0"/>
          <w:highlight w:val="none"/>
        </w:rPr>
      </w:pPr>
      <w:r>
        <w:rPr>
          <w:rFonts w:hint="eastAsia"/>
          <w:color w:val="auto"/>
          <w:kern w:val="0"/>
          <w:highlight w:val="none"/>
        </w:rPr>
        <w:t>（15）依法应当公开招标的建设工程，未确定中标人前，投标人已开展该工程招标范围内工作。</w:t>
      </w:r>
    </w:p>
    <w:p w14:paraId="7D2C0D89">
      <w:pPr>
        <w:pStyle w:val="4"/>
        <w:rPr>
          <w:color w:val="auto"/>
          <w:highlight w:val="none"/>
        </w:rPr>
      </w:pPr>
      <w:bookmarkStart w:id="78" w:name="_Toc6770"/>
      <w:r>
        <w:rPr>
          <w:color w:val="auto"/>
          <w:highlight w:val="none"/>
        </w:rPr>
        <w:t>9.2 对投标人的纪律要求</w:t>
      </w:r>
      <w:bookmarkEnd w:id="78"/>
    </w:p>
    <w:p w14:paraId="41C87835">
      <w:pPr>
        <w:spacing w:line="360" w:lineRule="auto"/>
        <w:ind w:firstLine="420" w:firstLineChars="200"/>
        <w:rPr>
          <w:color w:val="auto"/>
          <w:highlight w:val="none"/>
        </w:rPr>
      </w:pPr>
      <w:r>
        <w:rPr>
          <w:color w:val="auto"/>
          <w:highlight w:val="none"/>
        </w:rPr>
        <w:t>9.2.1</w:t>
      </w:r>
      <w:r>
        <w:rPr>
          <w:rFonts w:hint="eastAsia" w:cs="宋体"/>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有下列情形之一的，属于投标人相互串通投标：</w:t>
      </w:r>
    </w:p>
    <w:p w14:paraId="53FE282E">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）投标人之间协商投标报价等投标文件的实质性内容；</w:t>
      </w:r>
    </w:p>
    <w:p w14:paraId="6D092260">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）投标人之间约定中标人；</w:t>
      </w:r>
    </w:p>
    <w:p w14:paraId="43E41FC5">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）投标人之间约定部分投标人放弃投标或者中标；</w:t>
      </w:r>
    </w:p>
    <w:p w14:paraId="11ABB569">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）属于同一集团、协会、商会等组织成员的投标人按照该组织要求协同投标；</w:t>
      </w:r>
    </w:p>
    <w:p w14:paraId="04D585F7">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）投标人之间为谋取中标或者排斥特定投标人而采取的其他联合行动；</w:t>
      </w:r>
    </w:p>
    <w:p w14:paraId="3AB4A2E3">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）不同投标人的投标文件由同一单位或者个人编制；</w:t>
      </w:r>
    </w:p>
    <w:p w14:paraId="344F1FE7">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）不同投标人委托同一个人或注册在同一家企业的注册人员或同一家企业为其投标提供投标咨询、商务报价、技术咨询（招标工程本身要求采用专有技术的除外）等服务；</w:t>
      </w:r>
    </w:p>
    <w:p w14:paraId="73624EC4">
      <w:pPr>
        <w:spacing w:line="360" w:lineRule="auto"/>
        <w:ind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）不同投标人的投标文件载明的项目管理成员为同一人；</w:t>
      </w:r>
    </w:p>
    <w:p w14:paraId="33FEC0E1">
      <w:pPr>
        <w:spacing w:line="360" w:lineRule="auto"/>
        <w:ind w:firstLine="420" w:firstLineChars="200"/>
        <w:rPr>
          <w:color w:val="auto"/>
          <w:highlight w:val="none"/>
        </w:rPr>
      </w:pPr>
      <w:r>
        <w:rPr>
          <w:rFonts w:hint="eastAsia" w:cs="宋体"/>
          <w:color w:val="auto"/>
          <w:highlight w:val="none"/>
        </w:rPr>
        <w:t>（</w:t>
      </w:r>
      <w:r>
        <w:rPr>
          <w:color w:val="auto"/>
          <w:highlight w:val="none"/>
        </w:rPr>
        <w:t>9</w:t>
      </w:r>
      <w:r>
        <w:rPr>
          <w:rFonts w:hint="eastAsia" w:cs="宋体"/>
          <w:color w:val="auto"/>
          <w:highlight w:val="none"/>
        </w:rPr>
        <w:t>）不同投标人的技术文件经电子招标投标交易平台查重分析，内容异常一致（相似度达70%以上的）或者实质性相同的，或者投标报价呈规律性差异（不同投标人报价呈等差数列、不同投标人的投标报价的差额本身呈等差数列或者规律性的百分比等）；</w:t>
      </w:r>
    </w:p>
    <w:p w14:paraId="5860CB1C">
      <w:pPr>
        <w:spacing w:line="360" w:lineRule="auto"/>
        <w:ind w:firstLine="420" w:firstLineChars="200"/>
        <w:rPr>
          <w:color w:val="auto"/>
          <w:highlight w:val="none"/>
        </w:rPr>
      </w:pPr>
      <w:r>
        <w:rPr>
          <w:rFonts w:hint="eastAsia" w:cs="宋体"/>
          <w:color w:val="auto"/>
          <w:highlight w:val="none"/>
        </w:rPr>
        <w:t>（</w:t>
      </w:r>
      <w:r>
        <w:rPr>
          <w:color w:val="auto"/>
          <w:highlight w:val="none"/>
        </w:rPr>
        <w:t>10</w:t>
      </w:r>
      <w:r>
        <w:rPr>
          <w:rFonts w:hint="eastAsia" w:cs="宋体"/>
          <w:color w:val="auto"/>
          <w:highlight w:val="none"/>
        </w:rPr>
        <w:t>）在资格审查或开标时不同投标人的投标资料（包括电子资料）相互混淆；</w:t>
      </w:r>
    </w:p>
    <w:p w14:paraId="250F3EF7">
      <w:pPr>
        <w:spacing w:line="360" w:lineRule="auto"/>
        <w:ind w:firstLine="420" w:firstLineChars="200"/>
        <w:rPr>
          <w:color w:val="auto"/>
          <w:highlight w:val="none"/>
        </w:rPr>
      </w:pPr>
      <w:r>
        <w:rPr>
          <w:rFonts w:hint="eastAsia" w:cs="宋体"/>
          <w:color w:val="auto"/>
          <w:highlight w:val="none"/>
        </w:rPr>
        <w:t>（</w:t>
      </w:r>
      <w:r>
        <w:rPr>
          <w:color w:val="auto"/>
          <w:highlight w:val="none"/>
        </w:rPr>
        <w:t>11</w:t>
      </w:r>
      <w:r>
        <w:rPr>
          <w:rFonts w:hint="eastAsia" w:cs="宋体"/>
          <w:color w:val="auto"/>
          <w:highlight w:val="none"/>
        </w:rPr>
        <w:t>）不同投标人的投标保证金从同一单位或者个人的账户转出；</w:t>
      </w:r>
    </w:p>
    <w:p w14:paraId="1EEE26C7">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12</w:t>
      </w:r>
      <w:r>
        <w:rPr>
          <w:rFonts w:hint="eastAsia" w:cs="宋体"/>
          <w:color w:val="auto"/>
          <w:highlight w:val="none"/>
        </w:rPr>
        <w:t>）不同投标人的投标文件由同一电脑编制、上传，或投标报价用同一个预算编制软件密码锁制作或出自同一电子文档；</w:t>
      </w:r>
    </w:p>
    <w:p w14:paraId="3EB6B4D4">
      <w:pPr>
        <w:spacing w:line="360" w:lineRule="auto"/>
        <w:ind w:firstLine="420" w:firstLineChars="200"/>
        <w:rPr>
          <w:rFonts w:cs="宋体"/>
          <w:color w:val="auto"/>
          <w:highlight w:val="none"/>
        </w:rPr>
      </w:pPr>
      <w:r>
        <w:rPr>
          <w:rFonts w:hint="eastAsia" w:cs="宋体"/>
          <w:color w:val="auto"/>
          <w:highlight w:val="none"/>
        </w:rPr>
        <w:t>（13）不同投标人的投标文件上传的文件制作机器码一致的；</w:t>
      </w:r>
    </w:p>
    <w:p w14:paraId="60A395C0">
      <w:pPr>
        <w:spacing w:line="360" w:lineRule="auto"/>
        <w:ind w:firstLine="420" w:firstLineChars="200"/>
        <w:rPr>
          <w:rFonts w:cs="宋体"/>
          <w:color w:val="auto"/>
          <w:highlight w:val="none"/>
        </w:rPr>
      </w:pPr>
      <w:r>
        <w:rPr>
          <w:rFonts w:hint="eastAsia" w:cs="宋体"/>
          <w:color w:val="auto"/>
          <w:highlight w:val="none"/>
        </w:rPr>
        <w:t>（14）由同一人或分别由几个有利害关系人携带两个以上（含两个）投标人的企业资料参与资格审查、领取招标资料，或代表两个以上（含两个）投标人参加招标答疑会、缴纳或退还投标保证金、开标；</w:t>
      </w:r>
    </w:p>
    <w:p w14:paraId="3C00A789">
      <w:pPr>
        <w:spacing w:line="360" w:lineRule="auto"/>
        <w:ind w:firstLine="420" w:firstLineChars="200"/>
        <w:rPr>
          <w:rFonts w:cs="宋体"/>
          <w:color w:val="auto"/>
          <w:highlight w:val="none"/>
        </w:rPr>
      </w:pPr>
      <w:r>
        <w:rPr>
          <w:rFonts w:hint="eastAsia" w:cs="宋体"/>
          <w:color w:val="auto"/>
          <w:highlight w:val="none"/>
        </w:rPr>
        <w:t>（15）不同投标人的法定代表人、委托代理人、项目负责人等人员有在同一个单位缴纳社会保险；</w:t>
      </w:r>
    </w:p>
    <w:p w14:paraId="464945C0">
      <w:pPr>
        <w:spacing w:line="360" w:lineRule="auto"/>
        <w:ind w:firstLine="420" w:firstLineChars="200"/>
        <w:rPr>
          <w:rFonts w:cs="宋体"/>
          <w:color w:val="auto"/>
          <w:highlight w:val="none"/>
        </w:rPr>
      </w:pPr>
      <w:r>
        <w:rPr>
          <w:rFonts w:hint="eastAsia" w:cs="宋体"/>
          <w:color w:val="auto"/>
          <w:highlight w:val="none"/>
        </w:rPr>
        <w:t>（16）投标人之间相互约定给予未中标的投标人费用补偿；</w:t>
      </w:r>
    </w:p>
    <w:p w14:paraId="0B864EED">
      <w:pPr>
        <w:spacing w:line="360" w:lineRule="auto"/>
        <w:ind w:firstLine="435"/>
        <w:rPr>
          <w:rFonts w:cs="宋体"/>
          <w:color w:val="auto"/>
          <w:highlight w:val="none"/>
        </w:rPr>
      </w:pPr>
      <w:r>
        <w:rPr>
          <w:rFonts w:hint="eastAsia" w:cs="宋体"/>
          <w:color w:val="auto"/>
          <w:highlight w:val="none"/>
        </w:rPr>
        <w:t>（17）不同投标人编制的投标文件存在两处以上错误一致。</w:t>
      </w:r>
    </w:p>
    <w:p w14:paraId="52688160">
      <w:pPr>
        <w:spacing w:line="360" w:lineRule="auto"/>
        <w:ind w:firstLine="420" w:firstLineChars="200"/>
        <w:rPr>
          <w:rFonts w:cs="宋体"/>
          <w:color w:val="auto"/>
          <w:highlight w:val="none"/>
        </w:rPr>
      </w:pPr>
      <w:r>
        <w:rPr>
          <w:rFonts w:cs="宋体"/>
          <w:color w:val="auto"/>
          <w:highlight w:val="none"/>
        </w:rPr>
        <w:t>9.2.2</w:t>
      </w:r>
      <w:r>
        <w:rPr>
          <w:rFonts w:hint="eastAsia" w:cs="宋体"/>
          <w:color w:val="auto"/>
          <w:highlight w:val="none"/>
        </w:rPr>
        <w:t xml:space="preserve">投标人有下列情形之一的，属于投标人弄虚作假：    </w:t>
      </w:r>
    </w:p>
    <w:p w14:paraId="4A6044F3">
      <w:pPr>
        <w:spacing w:line="360" w:lineRule="auto"/>
        <w:ind w:firstLine="420" w:firstLineChars="200"/>
        <w:rPr>
          <w:rFonts w:cs="宋体"/>
          <w:color w:val="auto"/>
          <w:highlight w:val="none"/>
        </w:rPr>
      </w:pPr>
      <w:r>
        <w:rPr>
          <w:rFonts w:hint="eastAsia" w:cs="宋体"/>
          <w:color w:val="auto"/>
          <w:highlight w:val="none"/>
        </w:rPr>
        <w:t>（1）使用虚假的业绩、荣誉、建设工程合同、财务状况、信用状况、属于监狱企业的证明文件等；</w:t>
      </w:r>
    </w:p>
    <w:p w14:paraId="0C0E0FCE">
      <w:pPr>
        <w:spacing w:line="360" w:lineRule="auto"/>
        <w:ind w:firstLine="420" w:firstLineChars="200"/>
        <w:rPr>
          <w:rFonts w:cs="宋体"/>
          <w:color w:val="auto"/>
          <w:highlight w:val="none"/>
        </w:rPr>
      </w:pPr>
      <w:r>
        <w:rPr>
          <w:rFonts w:hint="eastAsia" w:cs="宋体"/>
          <w:color w:val="auto"/>
          <w:highlight w:val="none"/>
        </w:rPr>
        <w:t>（2）提供虚假的项目负责人或者主要技术人员简历、劳动关系证明、社保证明等；</w:t>
      </w:r>
    </w:p>
    <w:p w14:paraId="617D9CB8">
      <w:pPr>
        <w:spacing w:line="360" w:lineRule="auto"/>
        <w:ind w:firstLine="420" w:firstLineChars="200"/>
        <w:rPr>
          <w:rFonts w:cs="宋体"/>
          <w:color w:val="auto"/>
          <w:highlight w:val="none"/>
        </w:rPr>
      </w:pPr>
      <w:r>
        <w:rPr>
          <w:rFonts w:hint="eastAsia" w:cs="宋体"/>
          <w:color w:val="auto"/>
          <w:highlight w:val="none"/>
        </w:rPr>
        <w:t>（3）投标人按照《政府采购促进中小企业发展管理办法》</w:t>
      </w:r>
      <w:r>
        <w:rPr>
          <w:rFonts w:hint="eastAsia"/>
          <w:color w:val="auto"/>
          <w:highlight w:val="none"/>
        </w:rPr>
        <w:t>（财库〔2020〕46号）</w:t>
      </w:r>
      <w:r>
        <w:rPr>
          <w:rFonts w:hint="eastAsia" w:cs="宋体"/>
          <w:color w:val="auto"/>
          <w:highlight w:val="none"/>
        </w:rPr>
        <w:t>规定提供的《中小企业声明函》内容不实的；</w:t>
      </w:r>
    </w:p>
    <w:p w14:paraId="78D32E5E">
      <w:pPr>
        <w:spacing w:line="360" w:lineRule="auto"/>
        <w:ind w:firstLine="420" w:firstLineChars="200"/>
        <w:rPr>
          <w:rFonts w:cs="宋体"/>
          <w:color w:val="auto"/>
          <w:highlight w:val="none"/>
        </w:rPr>
      </w:pPr>
      <w:r>
        <w:rPr>
          <w:rFonts w:hint="eastAsia" w:cs="宋体"/>
          <w:color w:val="auto"/>
          <w:highlight w:val="none"/>
        </w:rPr>
        <w:t>（4）投标人提供的《残疾人福利性单位声明函》内容不实的；</w:t>
      </w:r>
    </w:p>
    <w:p w14:paraId="630D34C3">
      <w:pPr>
        <w:spacing w:line="360" w:lineRule="auto"/>
        <w:ind w:firstLine="420" w:firstLineChars="200"/>
        <w:rPr>
          <w:rFonts w:cs="宋体"/>
          <w:color w:val="auto"/>
          <w:highlight w:val="none"/>
        </w:rPr>
      </w:pPr>
      <w:r>
        <w:rPr>
          <w:rFonts w:hint="eastAsia" w:cs="宋体"/>
          <w:color w:val="auto"/>
          <w:highlight w:val="none"/>
        </w:rPr>
        <w:t>（5）其他弄虚作假的行为。</w:t>
      </w:r>
    </w:p>
    <w:p w14:paraId="3CE3A156">
      <w:pPr>
        <w:spacing w:line="360" w:lineRule="auto"/>
        <w:ind w:firstLine="420" w:firstLineChars="200"/>
        <w:rPr>
          <w:rFonts w:cs="宋体"/>
          <w:color w:val="auto"/>
          <w:highlight w:val="none"/>
        </w:rPr>
      </w:pPr>
      <w:r>
        <w:rPr>
          <w:rFonts w:cs="宋体"/>
          <w:color w:val="auto"/>
          <w:highlight w:val="none"/>
        </w:rPr>
        <w:t>9.2.3</w:t>
      </w:r>
      <w:r>
        <w:rPr>
          <w:rFonts w:hint="eastAsia" w:cs="宋体"/>
          <w:color w:val="auto"/>
          <w:highlight w:val="none"/>
        </w:rPr>
        <w:t>投标人不得向招标人或评标委员会成员或其他有关人员索问评标过程的情况和材料。</w:t>
      </w:r>
    </w:p>
    <w:p w14:paraId="66723E8A">
      <w:pPr>
        <w:pStyle w:val="4"/>
        <w:rPr>
          <w:color w:val="auto"/>
          <w:highlight w:val="none"/>
        </w:rPr>
      </w:pPr>
      <w:bookmarkStart w:id="79" w:name="_Toc32360"/>
      <w:r>
        <w:rPr>
          <w:color w:val="auto"/>
          <w:highlight w:val="none"/>
        </w:rPr>
        <w:t>9.3 对评标委员会成员的纪律要求</w:t>
      </w:r>
      <w:bookmarkEnd w:id="79"/>
    </w:p>
    <w:p w14:paraId="11A3608D">
      <w:pPr>
        <w:spacing w:line="360" w:lineRule="auto"/>
        <w:ind w:firstLine="420" w:firstLineChars="200"/>
        <w:rPr>
          <w:color w:val="auto"/>
          <w:szCs w:val="21"/>
          <w:highlight w:val="none"/>
        </w:rPr>
      </w:pPr>
      <w:r>
        <w:rPr>
          <w:color w:val="auto"/>
          <w:szCs w:val="21"/>
          <w:highlight w:val="none"/>
        </w:rPr>
        <w:t>评标委员会成员不得收受他人的财物或者其他好处，</w:t>
      </w:r>
      <w:r>
        <w:rPr>
          <w:rFonts w:hint="eastAsia"/>
          <w:color w:val="auto"/>
          <w:szCs w:val="21"/>
          <w:highlight w:val="none"/>
        </w:rPr>
        <w:t>应当客观、公正地履行职责，遵守职业道德，对所提出的评审意见承担个人责任。评标委员会成员不得与任何投标人或者与招标结果有利害关系的人进行私下接触，不得收受投标人、中介人、其他利害关系人的财物或者其他好处，不得向招标人征询其确定中标人的意向，不得接受任何单位或者个人明示或者暗示提出的倾向或者排斥特定投标人的要求，得向他人透漏对投标文件的评审和比较、中标候选人的推荐情况以及评标有关的其他情况，不得有其他不客观、不公正履行职务的行为。</w:t>
      </w:r>
      <w:r>
        <w:rPr>
          <w:color w:val="auto"/>
          <w:szCs w:val="21"/>
          <w:highlight w:val="none"/>
        </w:rPr>
        <w:t>在评标活动中，评标委员会成员不得擅离职守，影响评标程序正常进行，不得使用第三章“评标办法”没有规定的评审因素和标准进行评标。</w:t>
      </w:r>
    </w:p>
    <w:p w14:paraId="5EF2F3D1">
      <w:pPr>
        <w:pStyle w:val="4"/>
        <w:rPr>
          <w:color w:val="auto"/>
          <w:highlight w:val="none"/>
        </w:rPr>
      </w:pPr>
      <w:bookmarkStart w:id="80" w:name="_Toc8851"/>
      <w:r>
        <w:rPr>
          <w:color w:val="auto"/>
          <w:highlight w:val="none"/>
        </w:rPr>
        <w:t>9.4 对与评标活动有关的工作人员的纪律要求</w:t>
      </w:r>
      <w:bookmarkEnd w:id="80"/>
    </w:p>
    <w:p w14:paraId="61D410E6">
      <w:pPr>
        <w:spacing w:line="360" w:lineRule="auto"/>
        <w:ind w:firstLine="420" w:firstLineChars="200"/>
        <w:rPr>
          <w:color w:val="auto"/>
          <w:highlight w:val="none"/>
        </w:rPr>
      </w:pPr>
      <w:r>
        <w:rPr>
          <w:rFonts w:hint="eastAsia"/>
          <w:color w:val="auto"/>
          <w:highlight w:val="none"/>
        </w:rPr>
        <w:t>与评标活动有关的工作人员，是指评标委员会成员以外的因参与评标监督工作或者事务性工作而知悉有关评标情况的所有人员。</w:t>
      </w:r>
      <w:r>
        <w:rPr>
          <w:color w:val="auto"/>
          <w:highlight w:val="none"/>
        </w:rPr>
        <w:t>与</w:t>
      </w:r>
      <w:r>
        <w:rPr>
          <w:color w:val="auto"/>
          <w:szCs w:val="21"/>
          <w:highlight w:val="none"/>
        </w:rPr>
        <w:t>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41D11188">
      <w:pPr>
        <w:pStyle w:val="4"/>
        <w:rPr>
          <w:color w:val="auto"/>
          <w:highlight w:val="none"/>
        </w:rPr>
      </w:pPr>
      <w:bookmarkStart w:id="81" w:name="_Toc4125"/>
      <w:r>
        <w:rPr>
          <w:color w:val="auto"/>
          <w:highlight w:val="none"/>
        </w:rPr>
        <w:t>9.5 投诉</w:t>
      </w:r>
      <w:bookmarkEnd w:id="81"/>
    </w:p>
    <w:p w14:paraId="73DFB22E">
      <w:pPr>
        <w:spacing w:line="360" w:lineRule="auto"/>
        <w:ind w:firstLine="420" w:firstLineChars="200"/>
        <w:rPr>
          <w:color w:val="auto"/>
          <w:highlight w:val="none"/>
        </w:rPr>
      </w:pPr>
      <w:r>
        <w:rPr>
          <w:rFonts w:hint="eastAsia" w:cs="宋体"/>
          <w:color w:val="auto"/>
          <w:highlight w:val="none"/>
        </w:rPr>
        <w:t>投标人和其他利害关系人认为本次招标活动违反法律、法规和规章规定的，可以在知道或者应当知道之日起十日内向当地招投标监督管理部门提出书面投诉。投诉应当有明确的请求和必要的证明材料，超过投诉时效的不予受理。。就《中华人民共和国招标投标法实施条例》第二十二条、第四十四条、第五十四条规定事项投诉的，应当先向招标人提出异议，没有提出异议的，不予受理，异议答复期间不计算在前款规定的期限内。</w:t>
      </w:r>
    </w:p>
    <w:p w14:paraId="60AED0A7">
      <w:pPr>
        <w:pStyle w:val="3"/>
        <w:rPr>
          <w:color w:val="auto"/>
          <w:highlight w:val="none"/>
        </w:rPr>
      </w:pPr>
      <w:bookmarkStart w:id="82" w:name="_Toc6865"/>
      <w:r>
        <w:rPr>
          <w:color w:val="auto"/>
          <w:highlight w:val="none"/>
        </w:rPr>
        <w:t>1</w:t>
      </w:r>
      <w:r>
        <w:rPr>
          <w:rFonts w:hint="eastAsia"/>
          <w:color w:val="auto"/>
          <w:highlight w:val="none"/>
        </w:rPr>
        <w:t>0</w:t>
      </w:r>
      <w:r>
        <w:rPr>
          <w:color w:val="auto"/>
          <w:highlight w:val="none"/>
        </w:rPr>
        <w:t xml:space="preserve"> 需要补充的其他内容</w:t>
      </w:r>
      <w:bookmarkEnd w:id="82"/>
    </w:p>
    <w:p w14:paraId="25AA39BA">
      <w:pPr>
        <w:pStyle w:val="4"/>
        <w:rPr>
          <w:color w:val="auto"/>
          <w:highlight w:val="none"/>
        </w:rPr>
      </w:pPr>
      <w:bookmarkStart w:id="83" w:name="_Toc7276"/>
      <w:r>
        <w:rPr>
          <w:color w:val="auto"/>
          <w:highlight w:val="none"/>
        </w:rPr>
        <w:t>1</w:t>
      </w:r>
      <w:r>
        <w:rPr>
          <w:rFonts w:hint="eastAsia"/>
          <w:color w:val="auto"/>
          <w:highlight w:val="none"/>
        </w:rPr>
        <w:t>0</w:t>
      </w:r>
      <w:r>
        <w:rPr>
          <w:color w:val="auto"/>
          <w:highlight w:val="none"/>
        </w:rPr>
        <w:t>.1</w:t>
      </w:r>
      <w:r>
        <w:rPr>
          <w:rFonts w:hint="eastAsia"/>
          <w:color w:val="auto"/>
          <w:highlight w:val="none"/>
        </w:rPr>
        <w:t xml:space="preserve"> </w:t>
      </w:r>
      <w:r>
        <w:rPr>
          <w:color w:val="auto"/>
          <w:highlight w:val="none"/>
        </w:rPr>
        <w:t>词语定义</w:t>
      </w:r>
      <w:bookmarkEnd w:id="83"/>
    </w:p>
    <w:p w14:paraId="10708D9A">
      <w:pPr>
        <w:spacing w:line="360" w:lineRule="auto"/>
        <w:ind w:firstLine="420" w:firstLineChars="200"/>
        <w:rPr>
          <w:color w:val="auto"/>
          <w:highlight w:val="none"/>
        </w:rPr>
      </w:pPr>
      <w:r>
        <w:rPr>
          <w:color w:val="auto"/>
          <w:highlight w:val="none"/>
        </w:rPr>
        <w:t>见投标人须知前附表。</w:t>
      </w:r>
    </w:p>
    <w:p w14:paraId="7AB106B5">
      <w:pPr>
        <w:pStyle w:val="4"/>
        <w:rPr>
          <w:color w:val="auto"/>
          <w:highlight w:val="none"/>
        </w:rPr>
      </w:pPr>
      <w:bookmarkStart w:id="84" w:name="_Toc8038"/>
      <w:r>
        <w:rPr>
          <w:rFonts w:hint="eastAsia"/>
          <w:color w:val="auto"/>
          <w:highlight w:val="none"/>
        </w:rPr>
        <w:t>1</w:t>
      </w:r>
      <w:r>
        <w:rPr>
          <w:color w:val="auto"/>
          <w:highlight w:val="none"/>
        </w:rPr>
        <w:t>0.2</w:t>
      </w:r>
      <w:r>
        <w:rPr>
          <w:rFonts w:hint="eastAsia" w:cs="黑体"/>
          <w:color w:val="auto"/>
          <w:highlight w:val="none"/>
        </w:rPr>
        <w:t>招标控制价</w:t>
      </w:r>
      <w:bookmarkEnd w:id="84"/>
    </w:p>
    <w:p w14:paraId="02782693">
      <w:pPr>
        <w:spacing w:line="360" w:lineRule="auto"/>
        <w:ind w:firstLine="420" w:firstLineChars="200"/>
        <w:rPr>
          <w:color w:val="auto"/>
          <w:highlight w:val="none"/>
        </w:rPr>
      </w:pPr>
      <w:r>
        <w:rPr>
          <w:rFonts w:hint="eastAsia" w:cs="宋体"/>
          <w:color w:val="auto"/>
          <w:highlight w:val="none"/>
        </w:rPr>
        <w:t>招标控制价设置要求见“投标人须知前附表”。</w:t>
      </w:r>
    </w:p>
    <w:p w14:paraId="474DD309">
      <w:pPr>
        <w:spacing w:line="360" w:lineRule="auto"/>
        <w:ind w:firstLine="420" w:firstLineChars="200"/>
        <w:rPr>
          <w:color w:val="auto"/>
          <w:highlight w:val="none"/>
        </w:rPr>
      </w:pPr>
      <w:r>
        <w:rPr>
          <w:rFonts w:hint="eastAsia" w:cs="宋体"/>
          <w:color w:val="auto"/>
          <w:highlight w:val="none"/>
        </w:rPr>
        <w:t>招标人或受其委托具有相应资格的中介机构，按照国家和地区的相关规定及第五章的要求编制招标工程的招标控制价</w:t>
      </w:r>
      <w:r>
        <w:rPr>
          <w:rFonts w:hint="eastAsia" w:ascii="楷体_GB2312" w:eastAsia="楷体_GB2312" w:cs="楷体_GB2312"/>
          <w:color w:val="auto"/>
          <w:highlight w:val="none"/>
        </w:rPr>
        <w:t>（招标控制价不应上浮或下调）</w:t>
      </w:r>
      <w:r>
        <w:rPr>
          <w:rFonts w:hint="eastAsia" w:cs="宋体"/>
          <w:color w:val="auto"/>
          <w:highlight w:val="none"/>
        </w:rPr>
        <w:t>。</w:t>
      </w:r>
    </w:p>
    <w:p w14:paraId="6848BAF6">
      <w:pPr>
        <w:spacing w:line="360" w:lineRule="auto"/>
        <w:ind w:firstLine="420" w:firstLineChars="200"/>
        <w:rPr>
          <w:rFonts w:cs="宋体"/>
          <w:color w:val="auto"/>
          <w:highlight w:val="none"/>
        </w:rPr>
      </w:pPr>
      <w:r>
        <w:rPr>
          <w:rFonts w:hint="eastAsia" w:cs="宋体"/>
          <w:color w:val="auto"/>
          <w:highlight w:val="none"/>
        </w:rPr>
        <w:t>原则上招标控制价应于投标截止时间前</w:t>
      </w:r>
      <w:r>
        <w:rPr>
          <w:color w:val="auto"/>
          <w:highlight w:val="none"/>
        </w:rPr>
        <w:t>15</w:t>
      </w:r>
      <w:r>
        <w:rPr>
          <w:rFonts w:hint="eastAsia" w:cs="宋体"/>
          <w:color w:val="auto"/>
          <w:highlight w:val="none"/>
        </w:rPr>
        <w:t>日通过</w:t>
      </w:r>
      <w:r>
        <w:rPr>
          <w:rFonts w:hint="eastAsia" w:ascii="宋体" w:hAnsi="宋体"/>
          <w:color w:val="auto"/>
          <w:highlight w:val="none"/>
        </w:rPr>
        <w:t>全国公共资源交易平台（广西壮族自治区）</w:t>
      </w:r>
      <w:r>
        <w:rPr>
          <w:rFonts w:hint="eastAsia" w:cs="宋体"/>
          <w:color w:val="auto"/>
          <w:highlight w:val="none"/>
        </w:rPr>
        <w:t>网站向所有投标人公布，最迟应当在投标截止时间</w:t>
      </w:r>
      <w:r>
        <w:rPr>
          <w:color w:val="auto"/>
          <w:highlight w:val="none"/>
        </w:rPr>
        <w:t>7</w:t>
      </w:r>
      <w:r>
        <w:rPr>
          <w:rFonts w:hint="eastAsia" w:cs="宋体"/>
          <w:color w:val="auto"/>
          <w:highlight w:val="none"/>
        </w:rPr>
        <w:t>日前公布，并报送当地招投标监督管理部门备案。潜在投标人或者其他利害关系人对招标控制价有异议的，应当在投标截止时间</w:t>
      </w:r>
      <w:r>
        <w:rPr>
          <w:color w:val="auto"/>
          <w:highlight w:val="none"/>
        </w:rPr>
        <w:t>5</w:t>
      </w:r>
      <w:r>
        <w:rPr>
          <w:rFonts w:hint="eastAsia" w:cs="宋体"/>
          <w:color w:val="auto"/>
          <w:highlight w:val="none"/>
        </w:rPr>
        <w:t>日前提出。招标人应当自收到异议之日起</w:t>
      </w:r>
      <w:r>
        <w:rPr>
          <w:color w:val="auto"/>
          <w:highlight w:val="none"/>
        </w:rPr>
        <w:t>3</w:t>
      </w:r>
      <w:r>
        <w:rPr>
          <w:rFonts w:hint="eastAsia" w:cs="宋体"/>
          <w:color w:val="auto"/>
          <w:highlight w:val="none"/>
        </w:rPr>
        <w:t>日内作出答复。招标人需重新公布招标控制价的，其最终公布的时间到投标截止时间不足</w:t>
      </w:r>
      <w:r>
        <w:rPr>
          <w:color w:val="auto"/>
          <w:highlight w:val="none"/>
        </w:rPr>
        <w:t>7</w:t>
      </w:r>
      <w:r>
        <w:rPr>
          <w:rFonts w:hint="eastAsia" w:cs="宋体"/>
          <w:color w:val="auto"/>
          <w:highlight w:val="none"/>
        </w:rPr>
        <w:t>天可能影响投标文件编制的，应顺延提交投标文件的截止时间。</w:t>
      </w:r>
    </w:p>
    <w:p w14:paraId="252D0906">
      <w:pPr>
        <w:pStyle w:val="4"/>
        <w:rPr>
          <w:color w:val="auto"/>
          <w:highlight w:val="none"/>
        </w:rPr>
      </w:pPr>
      <w:bookmarkStart w:id="85" w:name="_Toc30787"/>
      <w:r>
        <w:rPr>
          <w:color w:val="auto"/>
          <w:highlight w:val="none"/>
        </w:rPr>
        <w:t>10.3 技术评审方式</w:t>
      </w:r>
      <w:bookmarkEnd w:id="85"/>
    </w:p>
    <w:p w14:paraId="50619862">
      <w:pPr>
        <w:rPr>
          <w:color w:val="auto"/>
          <w:highlight w:val="none"/>
        </w:rPr>
      </w:pPr>
      <w:r>
        <w:rPr>
          <w:color w:val="auto"/>
          <w:highlight w:val="none"/>
        </w:rPr>
        <w:t>招标人对</w:t>
      </w:r>
      <w:r>
        <w:rPr>
          <w:rFonts w:hint="eastAsia"/>
          <w:color w:val="auto"/>
          <w:highlight w:val="none"/>
        </w:rPr>
        <w:t>技术评审方式</w:t>
      </w:r>
      <w:r>
        <w:rPr>
          <w:color w:val="auto"/>
          <w:highlight w:val="none"/>
        </w:rPr>
        <w:t>的具体要求见投标人须知前附表。</w:t>
      </w:r>
    </w:p>
    <w:p w14:paraId="1C9EFFC2">
      <w:pPr>
        <w:spacing w:line="360" w:lineRule="auto"/>
        <w:ind w:firstLine="420" w:firstLineChars="200"/>
        <w:rPr>
          <w:rFonts w:cs="宋体"/>
          <w:color w:val="auto"/>
          <w:highlight w:val="none"/>
        </w:rPr>
      </w:pPr>
    </w:p>
    <w:p w14:paraId="13B0EB87">
      <w:pPr>
        <w:pStyle w:val="4"/>
        <w:rPr>
          <w:color w:val="auto"/>
          <w:highlight w:val="none"/>
        </w:rPr>
      </w:pPr>
      <w:bookmarkStart w:id="86" w:name="_Toc7357"/>
      <w:r>
        <w:rPr>
          <w:color w:val="auto"/>
          <w:highlight w:val="none"/>
        </w:rPr>
        <w:t>1</w:t>
      </w:r>
      <w:r>
        <w:rPr>
          <w:rFonts w:hint="eastAsia"/>
          <w:color w:val="auto"/>
          <w:highlight w:val="none"/>
        </w:rPr>
        <w:t>0</w:t>
      </w:r>
      <w:r>
        <w:rPr>
          <w:color w:val="auto"/>
          <w:highlight w:val="none"/>
        </w:rPr>
        <w:t>.</w:t>
      </w:r>
      <w:r>
        <w:rPr>
          <w:rFonts w:hint="eastAsia"/>
          <w:color w:val="auto"/>
          <w:highlight w:val="none"/>
        </w:rPr>
        <w:t>4</w:t>
      </w:r>
      <w:r>
        <w:rPr>
          <w:color w:val="auto"/>
          <w:highlight w:val="none"/>
        </w:rPr>
        <w:t>投标文件电子版</w:t>
      </w:r>
      <w:bookmarkEnd w:id="86"/>
    </w:p>
    <w:p w14:paraId="5EB9D518">
      <w:pPr>
        <w:spacing w:line="360" w:lineRule="exact"/>
        <w:ind w:firstLine="420" w:firstLineChars="200"/>
        <w:rPr>
          <w:color w:val="auto"/>
          <w:highlight w:val="none"/>
        </w:rPr>
      </w:pPr>
      <w:r>
        <w:rPr>
          <w:color w:val="auto"/>
          <w:highlight w:val="none"/>
        </w:rPr>
        <w:t>投标文件电子版的具体内容要求见投标人须知前附表。</w:t>
      </w:r>
    </w:p>
    <w:p w14:paraId="6C8B4BAD">
      <w:pPr>
        <w:pStyle w:val="4"/>
        <w:rPr>
          <w:color w:val="auto"/>
          <w:highlight w:val="none"/>
        </w:rPr>
      </w:pPr>
      <w:bookmarkStart w:id="87" w:name="_Toc25803"/>
      <w:r>
        <w:rPr>
          <w:color w:val="auto"/>
          <w:highlight w:val="none"/>
        </w:rPr>
        <w:t>1</w:t>
      </w:r>
      <w:r>
        <w:rPr>
          <w:rFonts w:hint="eastAsia"/>
          <w:color w:val="auto"/>
          <w:highlight w:val="none"/>
        </w:rPr>
        <w:t>0</w:t>
      </w:r>
      <w:r>
        <w:rPr>
          <w:color w:val="auto"/>
          <w:highlight w:val="none"/>
        </w:rPr>
        <w:t>.</w:t>
      </w:r>
      <w:r>
        <w:rPr>
          <w:rFonts w:hint="eastAsia"/>
          <w:color w:val="auto"/>
          <w:highlight w:val="none"/>
        </w:rPr>
        <w:t>5</w:t>
      </w:r>
      <w:r>
        <w:rPr>
          <w:color w:val="auto"/>
          <w:highlight w:val="none"/>
        </w:rPr>
        <w:t>知识产权</w:t>
      </w:r>
      <w:bookmarkEnd w:id="87"/>
    </w:p>
    <w:p w14:paraId="6CF71A9E">
      <w:pPr>
        <w:spacing w:line="360" w:lineRule="exact"/>
        <w:ind w:firstLine="420" w:firstLineChars="200"/>
        <w:rPr>
          <w:color w:val="auto"/>
          <w:highlight w:val="none"/>
        </w:rPr>
      </w:pPr>
      <w:r>
        <w:rPr>
          <w:color w:val="auto"/>
          <w:highlight w:val="none"/>
        </w:rPr>
        <w:t>招标人对其知识产权的具体要求见投标人须知前附表。</w:t>
      </w:r>
    </w:p>
    <w:p w14:paraId="12EB8A5E">
      <w:pPr>
        <w:pStyle w:val="4"/>
        <w:rPr>
          <w:color w:val="auto"/>
          <w:highlight w:val="none"/>
        </w:rPr>
      </w:pPr>
      <w:bookmarkStart w:id="88" w:name="_Toc25626"/>
      <w:r>
        <w:rPr>
          <w:color w:val="auto"/>
          <w:highlight w:val="none"/>
        </w:rPr>
        <w:t>1</w:t>
      </w:r>
      <w:r>
        <w:rPr>
          <w:rFonts w:hint="eastAsia"/>
          <w:color w:val="auto"/>
          <w:highlight w:val="none"/>
        </w:rPr>
        <w:t>0</w:t>
      </w:r>
      <w:r>
        <w:rPr>
          <w:color w:val="auto"/>
          <w:highlight w:val="none"/>
        </w:rPr>
        <w:t>.</w:t>
      </w:r>
      <w:r>
        <w:rPr>
          <w:rFonts w:hint="eastAsia"/>
          <w:color w:val="auto"/>
          <w:highlight w:val="none"/>
        </w:rPr>
        <w:t>6</w:t>
      </w:r>
      <w:r>
        <w:rPr>
          <w:color w:val="auto"/>
          <w:highlight w:val="none"/>
        </w:rPr>
        <w:t xml:space="preserve"> 重新招标的其他情形</w:t>
      </w:r>
      <w:bookmarkEnd w:id="88"/>
    </w:p>
    <w:p w14:paraId="402EA7A6">
      <w:pPr>
        <w:spacing w:line="360" w:lineRule="exact"/>
        <w:ind w:firstLine="420" w:firstLineChars="200"/>
        <w:rPr>
          <w:color w:val="auto"/>
          <w:highlight w:val="none"/>
        </w:rPr>
      </w:pPr>
      <w:r>
        <w:rPr>
          <w:color w:val="auto"/>
          <w:highlight w:val="none"/>
        </w:rPr>
        <w:t>见投标人须知前附表。</w:t>
      </w:r>
    </w:p>
    <w:p w14:paraId="17FFCC32">
      <w:pPr>
        <w:pStyle w:val="4"/>
        <w:rPr>
          <w:color w:val="auto"/>
          <w:highlight w:val="none"/>
        </w:rPr>
      </w:pPr>
      <w:bookmarkStart w:id="89" w:name="_Toc14326"/>
      <w:r>
        <w:rPr>
          <w:color w:val="auto"/>
          <w:highlight w:val="none"/>
        </w:rPr>
        <w:t>1</w:t>
      </w:r>
      <w:r>
        <w:rPr>
          <w:rFonts w:hint="eastAsia"/>
          <w:color w:val="auto"/>
          <w:highlight w:val="none"/>
        </w:rPr>
        <w:t>0</w:t>
      </w:r>
      <w:r>
        <w:rPr>
          <w:color w:val="auto"/>
          <w:highlight w:val="none"/>
        </w:rPr>
        <w:t>.</w:t>
      </w:r>
      <w:r>
        <w:rPr>
          <w:rFonts w:hint="eastAsia"/>
          <w:color w:val="auto"/>
          <w:highlight w:val="none"/>
        </w:rPr>
        <w:t>7</w:t>
      </w:r>
      <w:r>
        <w:rPr>
          <w:color w:val="auto"/>
          <w:highlight w:val="none"/>
        </w:rPr>
        <w:t>同义词语</w:t>
      </w:r>
      <w:bookmarkEnd w:id="89"/>
    </w:p>
    <w:p w14:paraId="6FFC25D4">
      <w:pPr>
        <w:spacing w:line="360" w:lineRule="exact"/>
        <w:ind w:firstLine="420" w:firstLineChars="200"/>
        <w:rPr>
          <w:color w:val="auto"/>
          <w:highlight w:val="none"/>
        </w:rPr>
      </w:pPr>
      <w:r>
        <w:rPr>
          <w:color w:val="auto"/>
          <w:highlight w:val="none"/>
        </w:rPr>
        <w:t>见投标人须知前附表。</w:t>
      </w:r>
    </w:p>
    <w:p w14:paraId="69CD1855">
      <w:pPr>
        <w:pStyle w:val="4"/>
        <w:rPr>
          <w:color w:val="auto"/>
          <w:highlight w:val="none"/>
        </w:rPr>
      </w:pPr>
      <w:bookmarkStart w:id="90" w:name="_Toc32379"/>
      <w:r>
        <w:rPr>
          <w:color w:val="auto"/>
          <w:highlight w:val="none"/>
        </w:rPr>
        <w:t>1</w:t>
      </w:r>
      <w:r>
        <w:rPr>
          <w:rFonts w:hint="eastAsia"/>
          <w:color w:val="auto"/>
          <w:highlight w:val="none"/>
        </w:rPr>
        <w:t>0</w:t>
      </w:r>
      <w:r>
        <w:rPr>
          <w:color w:val="auto"/>
          <w:highlight w:val="none"/>
        </w:rPr>
        <w:t>.</w:t>
      </w:r>
      <w:r>
        <w:rPr>
          <w:rFonts w:hint="eastAsia"/>
          <w:color w:val="auto"/>
          <w:highlight w:val="none"/>
        </w:rPr>
        <w:t>8</w:t>
      </w:r>
      <w:r>
        <w:rPr>
          <w:color w:val="auto"/>
          <w:highlight w:val="none"/>
        </w:rPr>
        <w:t xml:space="preserve"> 监督</w:t>
      </w:r>
      <w:r>
        <w:rPr>
          <w:rFonts w:hint="eastAsia"/>
          <w:color w:val="auto"/>
          <w:highlight w:val="none"/>
        </w:rPr>
        <w:t>部门</w:t>
      </w:r>
      <w:bookmarkEnd w:id="90"/>
    </w:p>
    <w:p w14:paraId="6432319B">
      <w:pPr>
        <w:spacing w:line="360" w:lineRule="exact"/>
        <w:ind w:firstLine="420" w:firstLineChars="200"/>
        <w:rPr>
          <w:color w:val="auto"/>
          <w:highlight w:val="none"/>
        </w:rPr>
      </w:pPr>
      <w:r>
        <w:rPr>
          <w:color w:val="auto"/>
          <w:highlight w:val="none"/>
        </w:rPr>
        <w:t>本项目招标的监督部门见投标人须知前附表。</w:t>
      </w:r>
    </w:p>
    <w:p w14:paraId="313E2DAF">
      <w:pPr>
        <w:spacing w:line="360" w:lineRule="exact"/>
        <w:ind w:firstLine="420" w:firstLineChars="200"/>
        <w:rPr>
          <w:color w:val="auto"/>
          <w:highlight w:val="none"/>
        </w:rPr>
      </w:pPr>
    </w:p>
    <w:p w14:paraId="55782B8B">
      <w:pPr>
        <w:pStyle w:val="4"/>
        <w:rPr>
          <w:color w:val="auto"/>
          <w:highlight w:val="none"/>
        </w:rPr>
      </w:pPr>
      <w:bookmarkStart w:id="91" w:name="_Toc32332"/>
      <w:r>
        <w:rPr>
          <w:color w:val="auto"/>
          <w:highlight w:val="none"/>
        </w:rPr>
        <w:t>1</w:t>
      </w:r>
      <w:r>
        <w:rPr>
          <w:rFonts w:hint="eastAsia"/>
          <w:color w:val="auto"/>
          <w:highlight w:val="none"/>
        </w:rPr>
        <w:t>0.9</w:t>
      </w:r>
      <w:r>
        <w:rPr>
          <w:color w:val="auto"/>
          <w:highlight w:val="none"/>
        </w:rPr>
        <w:t xml:space="preserve"> 解释权</w:t>
      </w:r>
      <w:bookmarkEnd w:id="91"/>
    </w:p>
    <w:p w14:paraId="190E088E">
      <w:pPr>
        <w:spacing w:line="360" w:lineRule="exact"/>
        <w:ind w:firstLine="420" w:firstLineChars="200"/>
        <w:rPr>
          <w:color w:val="auto"/>
          <w:highlight w:val="none"/>
        </w:rPr>
      </w:pPr>
      <w:r>
        <w:rPr>
          <w:color w:val="auto"/>
          <w:highlight w:val="none"/>
        </w:rPr>
        <w:t>见投标人须知前附表。</w:t>
      </w:r>
    </w:p>
    <w:p w14:paraId="7580E69C">
      <w:pPr>
        <w:pStyle w:val="4"/>
        <w:rPr>
          <w:color w:val="auto"/>
          <w:highlight w:val="none"/>
        </w:rPr>
      </w:pPr>
      <w:bookmarkStart w:id="92" w:name="_Toc30633"/>
      <w:r>
        <w:rPr>
          <w:color w:val="auto"/>
          <w:highlight w:val="none"/>
        </w:rPr>
        <w:t>1</w:t>
      </w:r>
      <w:r>
        <w:rPr>
          <w:rFonts w:hint="eastAsia"/>
          <w:color w:val="auto"/>
          <w:highlight w:val="none"/>
        </w:rPr>
        <w:t>0</w:t>
      </w:r>
      <w:r>
        <w:rPr>
          <w:color w:val="auto"/>
          <w:highlight w:val="none"/>
        </w:rPr>
        <w:t>.</w:t>
      </w:r>
      <w:r>
        <w:rPr>
          <w:rFonts w:hint="eastAsia"/>
          <w:color w:val="auto"/>
          <w:highlight w:val="none"/>
        </w:rPr>
        <w:t>10</w:t>
      </w:r>
      <w:r>
        <w:rPr>
          <w:color w:val="auto"/>
          <w:highlight w:val="none"/>
        </w:rPr>
        <w:t>招标人补充的其他内容</w:t>
      </w:r>
      <w:bookmarkEnd w:id="92"/>
    </w:p>
    <w:p w14:paraId="33303E2F">
      <w:pPr>
        <w:widowControl/>
        <w:spacing w:line="360" w:lineRule="exact"/>
        <w:ind w:firstLine="420" w:firstLineChars="200"/>
        <w:jc w:val="left"/>
        <w:rPr>
          <w:color w:val="auto"/>
          <w:highlight w:val="none"/>
        </w:rPr>
      </w:pPr>
      <w:r>
        <w:rPr>
          <w:color w:val="auto"/>
          <w:highlight w:val="none"/>
        </w:rPr>
        <w:t>见投标人须知前附表。</w:t>
      </w:r>
    </w:p>
    <w:p w14:paraId="1FC43127">
      <w:pPr>
        <w:rPr>
          <w:color w:val="auto"/>
          <w:highlight w:val="none"/>
        </w:rPr>
        <w:sectPr>
          <w:pgSz w:w="11906" w:h="16838"/>
          <w:pgMar w:top="1440" w:right="1440" w:bottom="1440" w:left="1797" w:header="851" w:footer="851" w:gutter="0"/>
          <w:cols w:space="720" w:num="1"/>
          <w:docGrid w:linePitch="312" w:charSpace="0"/>
        </w:sectPr>
      </w:pPr>
    </w:p>
    <w:p w14:paraId="0F822B14">
      <w:pPr>
        <w:pStyle w:val="2"/>
        <w:rPr>
          <w:color w:val="auto"/>
          <w:highlight w:val="none"/>
        </w:rPr>
      </w:pPr>
      <w:bookmarkStart w:id="93" w:name="_Toc560781799"/>
      <w:bookmarkStart w:id="94" w:name="_Toc2130"/>
      <w:r>
        <w:rPr>
          <w:color w:val="auto"/>
          <w:highlight w:val="none"/>
        </w:rPr>
        <w:t>第三章  评标办法综合评估法（</w:t>
      </w:r>
      <w:r>
        <w:rPr>
          <w:rFonts w:hint="eastAsia"/>
          <w:color w:val="auto"/>
          <w:highlight w:val="none"/>
        </w:rPr>
        <w:t>设计团队招标</w:t>
      </w:r>
      <w:r>
        <w:rPr>
          <w:color w:val="auto"/>
          <w:highlight w:val="none"/>
        </w:rPr>
        <w:t>）</w:t>
      </w:r>
      <w:bookmarkEnd w:id="93"/>
      <w:bookmarkEnd w:id="94"/>
    </w:p>
    <w:p w14:paraId="59164C9A">
      <w:pPr>
        <w:pStyle w:val="2"/>
        <w:rPr>
          <w:rFonts w:hint="eastAsia"/>
          <w:color w:val="auto"/>
          <w:highlight w:val="none"/>
        </w:rPr>
      </w:pPr>
      <w:bookmarkStart w:id="95" w:name="_Toc1670463480"/>
      <w:bookmarkStart w:id="96" w:name="_Toc27273"/>
      <w:r>
        <w:rPr>
          <w:color w:val="auto"/>
          <w:highlight w:val="none"/>
        </w:rPr>
        <w:t>评标办法前附表</w:t>
      </w:r>
      <w:bookmarkEnd w:id="95"/>
      <w:bookmarkEnd w:id="96"/>
    </w:p>
    <w:p w14:paraId="35E0D86F">
      <w:pPr>
        <w:rPr>
          <w:rFonts w:hint="eastAsia"/>
          <w:color w:val="auto"/>
          <w:highlight w:val="none"/>
        </w:rPr>
      </w:pPr>
    </w:p>
    <w:tbl>
      <w:tblPr>
        <w:tblStyle w:val="40"/>
        <w:tblW w:w="0" w:type="auto"/>
        <w:tblInd w:w="-6"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990"/>
        <w:gridCol w:w="21"/>
        <w:gridCol w:w="1190"/>
        <w:gridCol w:w="1972"/>
        <w:gridCol w:w="5008"/>
      </w:tblGrid>
      <w:tr w14:paraId="5C83659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49" w:hRule="exact"/>
        </w:trPr>
        <w:tc>
          <w:tcPr>
            <w:tcW w:w="2201" w:type="dxa"/>
            <w:gridSpan w:val="3"/>
            <w:tcBorders>
              <w:bottom w:val="single" w:color="000000" w:sz="6" w:space="0"/>
              <w:right w:val="single" w:color="000000" w:sz="6" w:space="0"/>
            </w:tcBorders>
            <w:shd w:val="clear" w:color="auto" w:fill="F2F2F2"/>
            <w:noWrap w:val="0"/>
            <w:tcMar>
              <w:left w:w="0" w:type="dxa"/>
              <w:right w:w="0" w:type="dxa"/>
            </w:tcMar>
            <w:vAlign w:val="center"/>
          </w:tcPr>
          <w:p w14:paraId="68B21191">
            <w:pPr>
              <w:keepNext w:val="0"/>
              <w:keepLines/>
              <w:pageBreakBefore w:val="0"/>
              <w:widowControl w:val="0"/>
              <w:kinsoku/>
              <w:wordWrap/>
              <w:overflowPunct w:val="0"/>
              <w:topLinePunct w:val="0"/>
              <w:autoSpaceDE/>
              <w:autoSpaceDN/>
              <w:bidi w:val="0"/>
              <w:adjustRightInd/>
              <w:snapToGrid/>
              <w:spacing w:line="360" w:lineRule="auto"/>
              <w:ind w:left="694"/>
              <w:textAlignment w:val="auto"/>
              <w:rPr>
                <w:color w:val="auto"/>
                <w:highlight w:val="none"/>
              </w:rPr>
            </w:pPr>
            <w:r>
              <w:rPr>
                <w:color w:val="auto"/>
                <w:spacing w:val="-2"/>
                <w:highlight w:val="none"/>
              </w:rPr>
              <w:t>条款号</w:t>
            </w:r>
          </w:p>
        </w:tc>
        <w:tc>
          <w:tcPr>
            <w:tcW w:w="1972" w:type="dxa"/>
            <w:tcBorders>
              <w:left w:val="single" w:color="000000" w:sz="6" w:space="0"/>
              <w:bottom w:val="single" w:color="000000" w:sz="6" w:space="0"/>
              <w:right w:val="single" w:color="000000" w:sz="6" w:space="0"/>
            </w:tcBorders>
            <w:shd w:val="clear" w:color="auto" w:fill="F2F2F2"/>
            <w:noWrap w:val="0"/>
            <w:tcMar>
              <w:left w:w="0" w:type="dxa"/>
              <w:right w:w="0" w:type="dxa"/>
            </w:tcMar>
            <w:vAlign w:val="center"/>
          </w:tcPr>
          <w:p w14:paraId="2CCA0161">
            <w:pPr>
              <w:keepNext w:val="0"/>
              <w:keepLines/>
              <w:pageBreakBefore w:val="0"/>
              <w:widowControl w:val="0"/>
              <w:kinsoku/>
              <w:wordWrap/>
              <w:overflowPunct w:val="0"/>
              <w:topLinePunct w:val="0"/>
              <w:autoSpaceDE/>
              <w:autoSpaceDN/>
              <w:bidi w:val="0"/>
              <w:adjustRightInd/>
              <w:snapToGrid/>
              <w:spacing w:line="360" w:lineRule="auto"/>
              <w:ind w:left="817"/>
              <w:textAlignment w:val="auto"/>
              <w:rPr>
                <w:color w:val="auto"/>
                <w:highlight w:val="none"/>
              </w:rPr>
            </w:pPr>
            <w:r>
              <w:rPr>
                <w:color w:val="auto"/>
                <w:spacing w:val="-2"/>
                <w:highlight w:val="none"/>
              </w:rPr>
              <w:t>评审因素</w:t>
            </w:r>
          </w:p>
        </w:tc>
        <w:tc>
          <w:tcPr>
            <w:tcW w:w="5008" w:type="dxa"/>
            <w:tcBorders>
              <w:left w:val="single" w:color="000000" w:sz="6" w:space="0"/>
              <w:bottom w:val="single" w:color="000000" w:sz="6" w:space="0"/>
            </w:tcBorders>
            <w:shd w:val="clear" w:color="auto" w:fill="F2F2F2"/>
            <w:noWrap w:val="0"/>
            <w:tcMar>
              <w:left w:w="0" w:type="dxa"/>
              <w:right w:w="0" w:type="dxa"/>
            </w:tcMar>
            <w:vAlign w:val="center"/>
          </w:tcPr>
          <w:p w14:paraId="33C11E98">
            <w:pPr>
              <w:keepNext w:val="0"/>
              <w:keepLines/>
              <w:pageBreakBefore w:val="0"/>
              <w:widowControl w:val="0"/>
              <w:kinsoku/>
              <w:wordWrap/>
              <w:overflowPunct w:val="0"/>
              <w:topLinePunct w:val="0"/>
              <w:autoSpaceDE/>
              <w:autoSpaceDN/>
              <w:bidi w:val="0"/>
              <w:adjustRightInd/>
              <w:snapToGrid/>
              <w:spacing w:line="360" w:lineRule="auto"/>
              <w:ind w:left="1918"/>
              <w:textAlignment w:val="auto"/>
              <w:rPr>
                <w:color w:val="auto"/>
                <w:highlight w:val="none"/>
              </w:rPr>
            </w:pPr>
            <w:r>
              <w:rPr>
                <w:color w:val="auto"/>
                <w:spacing w:val="-2"/>
                <w:highlight w:val="none"/>
              </w:rPr>
              <w:t>评审标准</w:t>
            </w:r>
          </w:p>
        </w:tc>
      </w:tr>
      <w:tr w14:paraId="4F668B6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990" w:type="dxa"/>
            <w:vMerge w:val="restart"/>
            <w:tcBorders>
              <w:bottom w:val="single" w:color="000000" w:sz="6" w:space="0"/>
              <w:right w:val="single" w:color="000000" w:sz="6" w:space="0"/>
            </w:tcBorders>
            <w:noWrap w:val="0"/>
            <w:tcMar>
              <w:left w:w="0" w:type="dxa"/>
              <w:right w:w="0" w:type="dxa"/>
            </w:tcMar>
            <w:vAlign w:val="center"/>
          </w:tcPr>
          <w:p w14:paraId="3B426972">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r>
              <w:rPr>
                <w:color w:val="auto"/>
                <w:highlight w:val="none"/>
              </w:rPr>
              <w:t>2.</w:t>
            </w:r>
            <w:r>
              <w:rPr>
                <w:rFonts w:hint="eastAsia"/>
                <w:color w:val="auto"/>
                <w:highlight w:val="none"/>
              </w:rPr>
              <w:t>1.1</w:t>
            </w:r>
          </w:p>
        </w:tc>
        <w:tc>
          <w:tcPr>
            <w:tcW w:w="1211" w:type="dxa"/>
            <w:gridSpan w:val="2"/>
            <w:vMerge w:val="restart"/>
            <w:tcBorders>
              <w:left w:val="single" w:color="000000" w:sz="6" w:space="0"/>
              <w:bottom w:val="single" w:color="000000" w:sz="6" w:space="0"/>
              <w:right w:val="single" w:color="000000" w:sz="6" w:space="0"/>
            </w:tcBorders>
            <w:noWrap w:val="0"/>
            <w:tcMar>
              <w:left w:w="0" w:type="dxa"/>
              <w:right w:w="0" w:type="dxa"/>
            </w:tcMar>
            <w:vAlign w:val="center"/>
          </w:tcPr>
          <w:p w14:paraId="36A57CEF">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r>
              <w:rPr>
                <w:color w:val="auto"/>
                <w:highlight w:val="none"/>
              </w:rPr>
              <w:t>资格审查</w:t>
            </w:r>
          </w:p>
        </w:tc>
        <w:tc>
          <w:tcPr>
            <w:tcW w:w="6980" w:type="dxa"/>
            <w:gridSpan w:val="2"/>
            <w:tcBorders>
              <w:top w:val="single" w:color="000000" w:sz="6" w:space="0"/>
              <w:left w:val="single" w:color="000000" w:sz="6" w:space="0"/>
              <w:bottom w:val="single" w:color="000000" w:sz="6" w:space="0"/>
            </w:tcBorders>
            <w:noWrap w:val="0"/>
            <w:tcMar>
              <w:left w:w="0" w:type="dxa"/>
              <w:right w:w="0" w:type="dxa"/>
            </w:tcMar>
            <w:vAlign w:val="center"/>
          </w:tcPr>
          <w:p w14:paraId="7C2F2C37">
            <w:pPr>
              <w:pStyle w:val="153"/>
              <w:keepNext w:val="0"/>
              <w:keepLines/>
              <w:pageBreakBefore w:val="0"/>
              <w:widowControl w:val="0"/>
              <w:kinsoku/>
              <w:wordWrap/>
              <w:overflowPunct w:val="0"/>
              <w:topLinePunct w:val="0"/>
              <w:autoSpaceDE/>
              <w:autoSpaceDN/>
              <w:bidi w:val="0"/>
              <w:adjustRightInd/>
              <w:snapToGrid/>
              <w:spacing w:line="360" w:lineRule="auto"/>
              <w:ind w:left="105" w:leftChars="50" w:right="346"/>
              <w:textAlignment w:val="auto"/>
              <w:rPr>
                <w:rFonts w:ascii="Times New Roman" w:hAnsi="Times New Roman"/>
                <w:color w:val="auto"/>
                <w:sz w:val="21"/>
                <w:szCs w:val="21"/>
                <w:highlight w:val="none"/>
                <w:lang w:eastAsia="zh-CN"/>
              </w:rPr>
            </w:pPr>
            <w:r>
              <w:rPr>
                <w:rFonts w:ascii="Times New Roman" w:hAnsi="Times New Roman"/>
                <w:b/>
                <w:color w:val="auto"/>
                <w:highlight w:val="none"/>
                <w:lang w:eastAsia="zh-CN"/>
              </w:rPr>
              <w:t>合格标准：缺少任何一项或有任何一项不合格者，其响应性评审视为不合格</w:t>
            </w:r>
          </w:p>
        </w:tc>
      </w:tr>
      <w:tr w14:paraId="1433EBF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50" w:hRule="atLeast"/>
        </w:trPr>
        <w:tc>
          <w:tcPr>
            <w:tcW w:w="990" w:type="dxa"/>
            <w:vMerge w:val="continue"/>
            <w:tcBorders>
              <w:right w:val="single" w:color="000000" w:sz="6" w:space="0"/>
            </w:tcBorders>
            <w:noWrap w:val="0"/>
            <w:tcMar>
              <w:left w:w="0" w:type="dxa"/>
              <w:right w:w="0" w:type="dxa"/>
            </w:tcMar>
            <w:vAlign w:val="center"/>
          </w:tcPr>
          <w:p w14:paraId="2CEC0B83">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5ACDC6C9">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723C794">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投标文件签署</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2FEA3E2F">
            <w:pPr>
              <w:pStyle w:val="153"/>
              <w:keepNext w:val="0"/>
              <w:keepLines/>
              <w:pageBreakBefore w:val="0"/>
              <w:widowControl w:val="0"/>
              <w:kinsoku/>
              <w:wordWrap/>
              <w:overflowPunct w:val="0"/>
              <w:topLinePunct w:val="0"/>
              <w:autoSpaceDE/>
              <w:autoSpaceDN/>
              <w:bidi w:val="0"/>
              <w:adjustRightInd/>
              <w:snapToGrid/>
              <w:spacing w:line="360" w:lineRule="auto"/>
              <w:ind w:left="105" w:leftChars="50" w:right="346"/>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投标人在招标文件规定的投标文件相关位置加盖投标人单位电子印章</w:t>
            </w:r>
          </w:p>
        </w:tc>
      </w:tr>
      <w:tr w14:paraId="4EE21E9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0" w:hRule="atLeast"/>
        </w:trPr>
        <w:tc>
          <w:tcPr>
            <w:tcW w:w="990" w:type="dxa"/>
            <w:vMerge w:val="continue"/>
            <w:tcBorders>
              <w:bottom w:val="single" w:color="000000" w:sz="6" w:space="0"/>
              <w:right w:val="single" w:color="000000" w:sz="6" w:space="0"/>
            </w:tcBorders>
            <w:noWrap w:val="0"/>
            <w:tcMar>
              <w:left w:w="0" w:type="dxa"/>
              <w:right w:w="0" w:type="dxa"/>
            </w:tcMar>
            <w:vAlign w:val="center"/>
          </w:tcPr>
          <w:p w14:paraId="51777930">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bottom w:val="single" w:color="000000" w:sz="6" w:space="0"/>
              <w:right w:val="single" w:color="000000" w:sz="6" w:space="0"/>
            </w:tcBorders>
            <w:noWrap w:val="0"/>
            <w:tcMar>
              <w:left w:w="0" w:type="dxa"/>
              <w:right w:w="0" w:type="dxa"/>
            </w:tcMar>
            <w:vAlign w:val="center"/>
          </w:tcPr>
          <w:p w14:paraId="3BE57AC0">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1D8580D">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营业执照</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1E30BB68">
            <w:pPr>
              <w:pStyle w:val="153"/>
              <w:keepNext w:val="0"/>
              <w:keepLines/>
              <w:pageBreakBefore w:val="0"/>
              <w:widowControl w:val="0"/>
              <w:kinsoku/>
              <w:wordWrap/>
              <w:overflowPunct w:val="0"/>
              <w:topLinePunct w:val="0"/>
              <w:autoSpaceDE/>
              <w:autoSpaceDN/>
              <w:bidi w:val="0"/>
              <w:adjustRightInd/>
              <w:snapToGrid/>
              <w:spacing w:line="360" w:lineRule="auto"/>
              <w:ind w:left="105" w:leftChars="50" w:right="346"/>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rPr>
              <w:t>具备有效的营业执照</w:t>
            </w:r>
          </w:p>
        </w:tc>
      </w:tr>
      <w:tr w14:paraId="48284EA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0" w:hRule="atLeast"/>
        </w:trPr>
        <w:tc>
          <w:tcPr>
            <w:tcW w:w="990" w:type="dxa"/>
            <w:vMerge w:val="continue"/>
            <w:tcBorders>
              <w:bottom w:val="single" w:color="000000" w:sz="6" w:space="0"/>
              <w:right w:val="single" w:color="000000" w:sz="6" w:space="0"/>
            </w:tcBorders>
            <w:noWrap w:val="0"/>
            <w:tcMar>
              <w:left w:w="0" w:type="dxa"/>
              <w:right w:w="0" w:type="dxa"/>
            </w:tcMar>
            <w:vAlign w:val="center"/>
          </w:tcPr>
          <w:p w14:paraId="519DCE3D">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bottom w:val="single" w:color="000000" w:sz="6" w:space="0"/>
              <w:right w:val="single" w:color="000000" w:sz="6" w:space="0"/>
            </w:tcBorders>
            <w:noWrap w:val="0"/>
            <w:tcMar>
              <w:left w:w="0" w:type="dxa"/>
              <w:right w:w="0" w:type="dxa"/>
            </w:tcMar>
            <w:vAlign w:val="center"/>
          </w:tcPr>
          <w:p w14:paraId="09A3FF23">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FE0A257">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资质要求</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6D49B7FF">
            <w:pPr>
              <w:pStyle w:val="153"/>
              <w:keepNext w:val="0"/>
              <w:keepLines/>
              <w:pageBreakBefore w:val="0"/>
              <w:widowControl w:val="0"/>
              <w:kinsoku/>
              <w:wordWrap/>
              <w:overflowPunct w:val="0"/>
              <w:topLinePunct w:val="0"/>
              <w:autoSpaceDE/>
              <w:autoSpaceDN/>
              <w:bidi w:val="0"/>
              <w:adjustRightInd/>
              <w:snapToGrid/>
              <w:spacing w:line="360" w:lineRule="auto"/>
              <w:ind w:left="105"/>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符合第二章“投标人须知”第 1.4.1 项规定</w:t>
            </w:r>
          </w:p>
        </w:tc>
      </w:tr>
      <w:tr w14:paraId="592585F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0" w:hRule="atLeast"/>
        </w:trPr>
        <w:tc>
          <w:tcPr>
            <w:tcW w:w="990" w:type="dxa"/>
            <w:vMerge w:val="continue"/>
            <w:tcBorders>
              <w:bottom w:val="single" w:color="000000" w:sz="6" w:space="0"/>
              <w:right w:val="single" w:color="000000" w:sz="6" w:space="0"/>
            </w:tcBorders>
            <w:noWrap w:val="0"/>
            <w:tcMar>
              <w:left w:w="0" w:type="dxa"/>
              <w:right w:w="0" w:type="dxa"/>
            </w:tcMar>
            <w:vAlign w:val="center"/>
          </w:tcPr>
          <w:p w14:paraId="3C159C68">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bottom w:val="single" w:color="000000" w:sz="6" w:space="0"/>
              <w:right w:val="single" w:color="000000" w:sz="6" w:space="0"/>
            </w:tcBorders>
            <w:noWrap w:val="0"/>
            <w:tcMar>
              <w:left w:w="0" w:type="dxa"/>
              <w:right w:w="0" w:type="dxa"/>
            </w:tcMar>
            <w:vAlign w:val="center"/>
          </w:tcPr>
          <w:p w14:paraId="5904F26A">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63C4EFB">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pacing w:val="-3"/>
                <w:sz w:val="21"/>
                <w:szCs w:val="21"/>
                <w:highlight w:val="none"/>
              </w:rPr>
            </w:pPr>
            <w:r>
              <w:rPr>
                <w:rFonts w:hint="eastAsia" w:asciiTheme="majorEastAsia" w:hAnsiTheme="majorEastAsia" w:eastAsiaTheme="majorEastAsia" w:cstheme="majorEastAsia"/>
                <w:color w:val="auto"/>
                <w:sz w:val="21"/>
                <w:szCs w:val="21"/>
                <w:highlight w:val="none"/>
                <w:lang w:eastAsia="zh-CN"/>
              </w:rPr>
              <w:t>财务要求</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70566954">
            <w:pPr>
              <w:pStyle w:val="153"/>
              <w:keepNext w:val="0"/>
              <w:keepLines/>
              <w:pageBreakBefore w:val="0"/>
              <w:widowControl w:val="0"/>
              <w:kinsoku/>
              <w:wordWrap/>
              <w:overflowPunct w:val="0"/>
              <w:topLinePunct w:val="0"/>
              <w:autoSpaceDE/>
              <w:autoSpaceDN/>
              <w:bidi w:val="0"/>
              <w:adjustRightInd/>
              <w:snapToGrid/>
              <w:spacing w:line="360" w:lineRule="auto"/>
              <w:ind w:left="105"/>
              <w:textAlignment w:val="auto"/>
              <w:rPr>
                <w:rFonts w:hint="eastAsia" w:asciiTheme="majorEastAsia" w:hAnsiTheme="majorEastAsia" w:eastAsiaTheme="majorEastAsia" w:cstheme="majorEastAsia"/>
                <w:color w:val="auto"/>
                <w:spacing w:val="-3"/>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符合第二章“投标人须知”第 1.4.1 项规定</w:t>
            </w:r>
          </w:p>
        </w:tc>
      </w:tr>
      <w:tr w14:paraId="3BA24CE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0" w:hRule="atLeast"/>
        </w:trPr>
        <w:tc>
          <w:tcPr>
            <w:tcW w:w="990" w:type="dxa"/>
            <w:vMerge w:val="continue"/>
            <w:tcBorders>
              <w:right w:val="single" w:color="000000" w:sz="6" w:space="0"/>
            </w:tcBorders>
            <w:noWrap w:val="0"/>
            <w:tcMar>
              <w:left w:w="0" w:type="dxa"/>
              <w:right w:w="0" w:type="dxa"/>
            </w:tcMar>
            <w:vAlign w:val="center"/>
          </w:tcPr>
          <w:p w14:paraId="5CF41478">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0E6AB3F3">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B216301">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业绩要求</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41D4AAF5">
            <w:pPr>
              <w:pStyle w:val="153"/>
              <w:keepNext w:val="0"/>
              <w:keepLines/>
              <w:pageBreakBefore w:val="0"/>
              <w:widowControl w:val="0"/>
              <w:kinsoku/>
              <w:wordWrap/>
              <w:overflowPunct w:val="0"/>
              <w:topLinePunct w:val="0"/>
              <w:autoSpaceDE/>
              <w:autoSpaceDN/>
              <w:bidi w:val="0"/>
              <w:adjustRightInd/>
              <w:snapToGrid/>
              <w:spacing w:line="360" w:lineRule="auto"/>
              <w:ind w:left="105"/>
              <w:textAlignment w:val="auto"/>
              <w:rPr>
                <w:rFonts w:ascii="Times New Roman" w:hAnsi="Times New Roman"/>
                <w:color w:val="auto"/>
                <w:sz w:val="21"/>
                <w:szCs w:val="21"/>
                <w:highlight w:val="none"/>
                <w:lang w:eastAsia="zh-CN"/>
              </w:rPr>
            </w:pPr>
            <w:r>
              <w:rPr>
                <w:rFonts w:hint="eastAsia" w:asciiTheme="majorEastAsia" w:hAnsiTheme="majorEastAsia" w:eastAsiaTheme="majorEastAsia" w:cstheme="majorEastAsia"/>
                <w:color w:val="auto"/>
                <w:spacing w:val="-13"/>
                <w:sz w:val="21"/>
                <w:szCs w:val="21"/>
                <w:highlight w:val="none"/>
                <w:lang w:eastAsia="zh-CN"/>
              </w:rPr>
              <w:t>符合第二章“投标人须知”第</w:t>
            </w:r>
            <w:r>
              <w:rPr>
                <w:rFonts w:hint="eastAsia" w:asciiTheme="majorEastAsia" w:hAnsiTheme="majorEastAsia" w:eastAsiaTheme="majorEastAsia" w:cstheme="majorEastAsia"/>
                <w:color w:val="auto"/>
                <w:spacing w:val="-51"/>
                <w:sz w:val="21"/>
                <w:szCs w:val="21"/>
                <w:highlight w:val="none"/>
                <w:lang w:eastAsia="zh-CN"/>
              </w:rPr>
              <w:t xml:space="preserve"> </w:t>
            </w:r>
            <w:r>
              <w:rPr>
                <w:rFonts w:hint="eastAsia" w:asciiTheme="majorEastAsia" w:hAnsiTheme="majorEastAsia" w:eastAsiaTheme="majorEastAsia" w:cstheme="majorEastAsia"/>
                <w:color w:val="auto"/>
                <w:spacing w:val="-7"/>
                <w:sz w:val="21"/>
                <w:szCs w:val="21"/>
                <w:highlight w:val="none"/>
                <w:lang w:eastAsia="zh-CN"/>
              </w:rPr>
              <w:t>1.4.1</w:t>
            </w:r>
            <w:r>
              <w:rPr>
                <w:rFonts w:hint="eastAsia" w:asciiTheme="majorEastAsia" w:hAnsiTheme="majorEastAsia" w:eastAsiaTheme="majorEastAsia" w:cstheme="majorEastAsia"/>
                <w:color w:val="auto"/>
                <w:spacing w:val="1"/>
                <w:sz w:val="21"/>
                <w:szCs w:val="21"/>
                <w:highlight w:val="none"/>
                <w:lang w:eastAsia="zh-CN"/>
              </w:rPr>
              <w:t xml:space="preserve"> </w:t>
            </w:r>
            <w:r>
              <w:rPr>
                <w:rFonts w:hint="eastAsia" w:asciiTheme="majorEastAsia" w:hAnsiTheme="majorEastAsia" w:eastAsiaTheme="majorEastAsia" w:cstheme="majorEastAsia"/>
                <w:color w:val="auto"/>
                <w:spacing w:val="-11"/>
                <w:sz w:val="21"/>
                <w:szCs w:val="21"/>
                <w:highlight w:val="none"/>
                <w:lang w:eastAsia="zh-CN"/>
              </w:rPr>
              <w:t>项规定</w:t>
            </w:r>
            <w:r>
              <w:rPr>
                <w:rFonts w:ascii="Times New Roman" w:hAnsi="Times New Roman" w:eastAsia="方正楷体_GBK"/>
                <w:b/>
                <w:bCs/>
                <w:color w:val="auto"/>
                <w:sz w:val="21"/>
                <w:szCs w:val="21"/>
                <w:highlight w:val="none"/>
                <w:lang w:eastAsia="zh-CN"/>
              </w:rPr>
              <w:t>【备注：</w:t>
            </w:r>
            <w:r>
              <w:rPr>
                <w:rFonts w:ascii="Times New Roman" w:hAnsi="Times New Roman" w:eastAsia="方正楷体_GBK"/>
                <w:b/>
                <w:bCs/>
                <w:color w:val="auto"/>
                <w:sz w:val="21"/>
                <w:szCs w:val="21"/>
                <w:highlight w:val="none"/>
                <w:lang w:val="en" w:eastAsia="zh-CN"/>
              </w:rPr>
              <w:t>,如无业绩要求，可不包含此项。</w:t>
            </w:r>
            <w:r>
              <w:rPr>
                <w:rFonts w:ascii="Times New Roman" w:hAnsi="Times New Roman" w:eastAsia="方正楷体_GBK"/>
                <w:b/>
                <w:bCs/>
                <w:color w:val="auto"/>
                <w:sz w:val="21"/>
                <w:szCs w:val="21"/>
                <w:highlight w:val="none"/>
                <w:lang w:eastAsia="zh-CN"/>
              </w:rPr>
              <w:t>】</w:t>
            </w:r>
          </w:p>
        </w:tc>
      </w:tr>
      <w:tr w14:paraId="751BEF5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80" w:hRule="atLeast"/>
        </w:trPr>
        <w:tc>
          <w:tcPr>
            <w:tcW w:w="990" w:type="dxa"/>
            <w:vMerge w:val="continue"/>
            <w:tcBorders>
              <w:bottom w:val="single" w:color="000000" w:sz="6" w:space="0"/>
              <w:right w:val="single" w:color="000000" w:sz="6" w:space="0"/>
            </w:tcBorders>
            <w:noWrap w:val="0"/>
            <w:tcMar>
              <w:left w:w="0" w:type="dxa"/>
              <w:right w:w="0" w:type="dxa"/>
            </w:tcMar>
            <w:vAlign w:val="center"/>
          </w:tcPr>
          <w:p w14:paraId="1555C2B3">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bottom w:val="single" w:color="000000" w:sz="6" w:space="0"/>
              <w:right w:val="single" w:color="000000" w:sz="6" w:space="0"/>
            </w:tcBorders>
            <w:noWrap w:val="0"/>
            <w:tcMar>
              <w:left w:w="0" w:type="dxa"/>
              <w:right w:w="0" w:type="dxa"/>
            </w:tcMar>
            <w:vAlign w:val="center"/>
          </w:tcPr>
          <w:p w14:paraId="4B3A0CB0">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8635BB6">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pacing w:val="-3"/>
                <w:sz w:val="21"/>
                <w:szCs w:val="21"/>
                <w:highlight w:val="none"/>
              </w:rPr>
            </w:pPr>
            <w:r>
              <w:rPr>
                <w:rFonts w:hint="eastAsia" w:asciiTheme="majorEastAsia" w:hAnsiTheme="majorEastAsia" w:eastAsiaTheme="majorEastAsia" w:cstheme="majorEastAsia"/>
                <w:color w:val="auto"/>
                <w:sz w:val="21"/>
                <w:szCs w:val="21"/>
                <w:highlight w:val="none"/>
                <w:lang w:eastAsia="zh-CN"/>
              </w:rPr>
              <w:t>诚信要求</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67E5FD47">
            <w:pPr>
              <w:pStyle w:val="153"/>
              <w:keepNext w:val="0"/>
              <w:keepLines/>
              <w:pageBreakBefore w:val="0"/>
              <w:widowControl w:val="0"/>
              <w:kinsoku/>
              <w:wordWrap/>
              <w:overflowPunct w:val="0"/>
              <w:topLinePunct w:val="0"/>
              <w:autoSpaceDE/>
              <w:autoSpaceDN/>
              <w:bidi w:val="0"/>
              <w:adjustRightInd/>
              <w:snapToGrid/>
              <w:spacing w:line="360" w:lineRule="auto"/>
              <w:ind w:left="105"/>
              <w:textAlignment w:val="auto"/>
              <w:rPr>
                <w:rFonts w:hint="eastAsia" w:asciiTheme="majorEastAsia" w:hAnsiTheme="majorEastAsia" w:eastAsiaTheme="majorEastAsia" w:cstheme="majorEastAsia"/>
                <w:color w:val="auto"/>
                <w:spacing w:val="-3"/>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符合第二章“投标人须知”第 1.4.1 项规定</w:t>
            </w:r>
          </w:p>
        </w:tc>
      </w:tr>
      <w:tr w14:paraId="7BCAC3E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80" w:hRule="atLeast"/>
        </w:trPr>
        <w:tc>
          <w:tcPr>
            <w:tcW w:w="990" w:type="dxa"/>
            <w:vMerge w:val="continue"/>
            <w:tcBorders>
              <w:bottom w:val="single" w:color="000000" w:sz="6" w:space="0"/>
              <w:right w:val="single" w:color="000000" w:sz="6" w:space="0"/>
            </w:tcBorders>
            <w:noWrap w:val="0"/>
            <w:tcMar>
              <w:left w:w="0" w:type="dxa"/>
              <w:right w:w="0" w:type="dxa"/>
            </w:tcMar>
            <w:vAlign w:val="center"/>
          </w:tcPr>
          <w:p w14:paraId="1D98AE71">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bottom w:val="single" w:color="000000" w:sz="6" w:space="0"/>
              <w:right w:val="single" w:color="000000" w:sz="6" w:space="0"/>
            </w:tcBorders>
            <w:noWrap w:val="0"/>
            <w:tcMar>
              <w:left w:w="0" w:type="dxa"/>
              <w:right w:w="0" w:type="dxa"/>
            </w:tcMar>
            <w:vAlign w:val="center"/>
          </w:tcPr>
          <w:p w14:paraId="3C8E9BC8">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29E02E5">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pacing w:val="-3"/>
                <w:sz w:val="21"/>
                <w:szCs w:val="21"/>
                <w:highlight w:val="none"/>
              </w:rPr>
            </w:pPr>
            <w:r>
              <w:rPr>
                <w:rFonts w:hint="eastAsia" w:asciiTheme="majorEastAsia" w:hAnsiTheme="majorEastAsia" w:eastAsiaTheme="majorEastAsia" w:cstheme="majorEastAsia"/>
                <w:color w:val="auto"/>
                <w:sz w:val="21"/>
                <w:szCs w:val="21"/>
                <w:highlight w:val="none"/>
                <w:lang w:eastAsia="zh-CN"/>
              </w:rPr>
              <w:t>项目负责人</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52219162">
            <w:pPr>
              <w:pStyle w:val="153"/>
              <w:keepNext w:val="0"/>
              <w:keepLines/>
              <w:pageBreakBefore w:val="0"/>
              <w:widowControl w:val="0"/>
              <w:kinsoku/>
              <w:wordWrap/>
              <w:overflowPunct w:val="0"/>
              <w:topLinePunct w:val="0"/>
              <w:autoSpaceDE/>
              <w:autoSpaceDN/>
              <w:bidi w:val="0"/>
              <w:adjustRightInd/>
              <w:snapToGrid/>
              <w:spacing w:line="360" w:lineRule="auto"/>
              <w:ind w:left="105"/>
              <w:textAlignment w:val="auto"/>
              <w:rPr>
                <w:rFonts w:hint="eastAsia" w:asciiTheme="majorEastAsia" w:hAnsiTheme="majorEastAsia" w:eastAsiaTheme="majorEastAsia" w:cstheme="majorEastAsia"/>
                <w:color w:val="auto"/>
                <w:spacing w:val="-3"/>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符合第二章“投标人须知”第 1.4.1 项规定</w:t>
            </w:r>
          </w:p>
        </w:tc>
      </w:tr>
      <w:tr w14:paraId="320517E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80" w:hRule="atLeast"/>
        </w:trPr>
        <w:tc>
          <w:tcPr>
            <w:tcW w:w="990" w:type="dxa"/>
            <w:vMerge w:val="continue"/>
            <w:tcBorders>
              <w:bottom w:val="single" w:color="000000" w:sz="6" w:space="0"/>
              <w:right w:val="single" w:color="000000" w:sz="6" w:space="0"/>
            </w:tcBorders>
            <w:noWrap w:val="0"/>
            <w:tcMar>
              <w:left w:w="0" w:type="dxa"/>
              <w:right w:w="0" w:type="dxa"/>
            </w:tcMar>
            <w:vAlign w:val="center"/>
          </w:tcPr>
          <w:p w14:paraId="70F21BDE">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bottom w:val="single" w:color="000000" w:sz="6" w:space="0"/>
              <w:right w:val="single" w:color="000000" w:sz="6" w:space="0"/>
            </w:tcBorders>
            <w:noWrap w:val="0"/>
            <w:tcMar>
              <w:left w:w="0" w:type="dxa"/>
              <w:right w:w="0" w:type="dxa"/>
            </w:tcMar>
            <w:vAlign w:val="center"/>
          </w:tcPr>
          <w:p w14:paraId="124C846A">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9B93FF9">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其他主要成员</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79B67B42">
            <w:pPr>
              <w:pStyle w:val="153"/>
              <w:keepNext w:val="0"/>
              <w:keepLines/>
              <w:pageBreakBefore w:val="0"/>
              <w:widowControl w:val="0"/>
              <w:kinsoku/>
              <w:wordWrap/>
              <w:overflowPunct w:val="0"/>
              <w:topLinePunct w:val="0"/>
              <w:autoSpaceDE/>
              <w:autoSpaceDN/>
              <w:bidi w:val="0"/>
              <w:adjustRightInd/>
              <w:snapToGrid/>
              <w:spacing w:line="360" w:lineRule="auto"/>
              <w:ind w:left="105"/>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pacing w:val="-2"/>
                <w:highlight w:val="none"/>
                <w:lang w:eastAsia="zh-CN"/>
              </w:rPr>
              <w:t>符合第二章“投标人须知”第 1.4.1 项规定</w:t>
            </w:r>
          </w:p>
        </w:tc>
      </w:tr>
      <w:tr w14:paraId="5AF1F43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80" w:hRule="atLeast"/>
        </w:trPr>
        <w:tc>
          <w:tcPr>
            <w:tcW w:w="990" w:type="dxa"/>
            <w:vMerge w:val="continue"/>
            <w:tcBorders>
              <w:bottom w:val="single" w:color="000000" w:sz="6" w:space="0"/>
              <w:right w:val="single" w:color="000000" w:sz="6" w:space="0"/>
            </w:tcBorders>
            <w:noWrap w:val="0"/>
            <w:tcMar>
              <w:left w:w="0" w:type="dxa"/>
              <w:right w:w="0" w:type="dxa"/>
            </w:tcMar>
            <w:vAlign w:val="center"/>
          </w:tcPr>
          <w:p w14:paraId="776E26F3">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bottom w:val="single" w:color="000000" w:sz="6" w:space="0"/>
              <w:right w:val="single" w:color="000000" w:sz="6" w:space="0"/>
            </w:tcBorders>
            <w:noWrap w:val="0"/>
            <w:tcMar>
              <w:left w:w="0" w:type="dxa"/>
              <w:right w:w="0" w:type="dxa"/>
            </w:tcMar>
            <w:vAlign w:val="center"/>
          </w:tcPr>
          <w:p w14:paraId="7F554044">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F2A29D5">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pacing w:val="-3"/>
                <w:sz w:val="21"/>
                <w:szCs w:val="21"/>
                <w:highlight w:val="none"/>
              </w:rPr>
            </w:pPr>
            <w:r>
              <w:rPr>
                <w:rFonts w:hint="eastAsia" w:asciiTheme="majorEastAsia" w:hAnsiTheme="majorEastAsia" w:eastAsiaTheme="majorEastAsia" w:cstheme="majorEastAsia"/>
                <w:color w:val="auto"/>
                <w:sz w:val="21"/>
                <w:szCs w:val="21"/>
                <w:highlight w:val="none"/>
              </w:rPr>
              <w:t>投标保证金</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1E8FD3C3">
            <w:pPr>
              <w:pStyle w:val="153"/>
              <w:keepNext w:val="0"/>
              <w:keepLines/>
              <w:pageBreakBefore w:val="0"/>
              <w:widowControl w:val="0"/>
              <w:kinsoku/>
              <w:wordWrap/>
              <w:overflowPunct w:val="0"/>
              <w:topLinePunct w:val="0"/>
              <w:autoSpaceDE/>
              <w:autoSpaceDN/>
              <w:bidi w:val="0"/>
              <w:adjustRightInd/>
              <w:snapToGrid/>
              <w:spacing w:line="360" w:lineRule="auto"/>
              <w:ind w:left="105"/>
              <w:textAlignment w:val="auto"/>
              <w:rPr>
                <w:rFonts w:hint="eastAsia" w:asciiTheme="majorEastAsia" w:hAnsiTheme="majorEastAsia" w:eastAsiaTheme="majorEastAsia" w:cstheme="majorEastAsia"/>
                <w:color w:val="auto"/>
                <w:spacing w:val="-3"/>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符合第二章“投标人须知”第3.4.1项规定</w:t>
            </w:r>
          </w:p>
        </w:tc>
      </w:tr>
      <w:tr w14:paraId="0C2D8E2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80" w:hRule="atLeast"/>
        </w:trPr>
        <w:tc>
          <w:tcPr>
            <w:tcW w:w="990" w:type="dxa"/>
            <w:vMerge w:val="continue"/>
            <w:tcBorders>
              <w:bottom w:val="single" w:color="000000" w:sz="6" w:space="0"/>
              <w:right w:val="single" w:color="000000" w:sz="6" w:space="0"/>
            </w:tcBorders>
            <w:noWrap w:val="0"/>
            <w:tcMar>
              <w:left w:w="0" w:type="dxa"/>
              <w:right w:w="0" w:type="dxa"/>
            </w:tcMar>
            <w:vAlign w:val="center"/>
          </w:tcPr>
          <w:p w14:paraId="58CF6C3C">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bottom w:val="single" w:color="000000" w:sz="6" w:space="0"/>
              <w:right w:val="single" w:color="000000" w:sz="6" w:space="0"/>
            </w:tcBorders>
            <w:noWrap w:val="0"/>
            <w:tcMar>
              <w:left w:w="0" w:type="dxa"/>
              <w:right w:w="0" w:type="dxa"/>
            </w:tcMar>
            <w:vAlign w:val="center"/>
          </w:tcPr>
          <w:p w14:paraId="49CEE9D7">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5DE3079">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pacing w:val="-3"/>
                <w:sz w:val="21"/>
                <w:szCs w:val="21"/>
                <w:highlight w:val="none"/>
              </w:rPr>
            </w:pPr>
            <w:r>
              <w:rPr>
                <w:rFonts w:hint="eastAsia" w:asciiTheme="majorEastAsia" w:hAnsiTheme="majorEastAsia" w:eastAsiaTheme="majorEastAsia" w:cstheme="majorEastAsia"/>
                <w:color w:val="auto"/>
                <w:sz w:val="21"/>
                <w:szCs w:val="21"/>
                <w:highlight w:val="none"/>
                <w:lang w:eastAsia="zh-CN"/>
              </w:rPr>
              <w:t>其他要求</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5B6AF405">
            <w:pPr>
              <w:pStyle w:val="153"/>
              <w:keepNext w:val="0"/>
              <w:keepLines/>
              <w:pageBreakBefore w:val="0"/>
              <w:widowControl w:val="0"/>
              <w:kinsoku/>
              <w:wordWrap/>
              <w:overflowPunct w:val="0"/>
              <w:topLinePunct w:val="0"/>
              <w:autoSpaceDE/>
              <w:autoSpaceDN/>
              <w:bidi w:val="0"/>
              <w:adjustRightInd/>
              <w:snapToGrid/>
              <w:spacing w:line="360" w:lineRule="auto"/>
              <w:ind w:left="105"/>
              <w:textAlignment w:val="auto"/>
              <w:rPr>
                <w:rFonts w:hint="eastAsia" w:asciiTheme="majorEastAsia" w:hAnsiTheme="majorEastAsia" w:eastAsiaTheme="majorEastAsia" w:cstheme="majorEastAsia"/>
                <w:color w:val="auto"/>
                <w:spacing w:val="-3"/>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符合第二章“投标人须知”第 1.4.1 项规定</w:t>
            </w:r>
          </w:p>
        </w:tc>
      </w:tr>
      <w:tr w14:paraId="54A1108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0" w:hRule="atLeast"/>
        </w:trPr>
        <w:tc>
          <w:tcPr>
            <w:tcW w:w="990" w:type="dxa"/>
            <w:vMerge w:val="continue"/>
            <w:tcBorders>
              <w:bottom w:val="single" w:color="000000" w:sz="6" w:space="0"/>
              <w:right w:val="single" w:color="000000" w:sz="6" w:space="0"/>
            </w:tcBorders>
            <w:noWrap w:val="0"/>
            <w:tcMar>
              <w:left w:w="0" w:type="dxa"/>
              <w:right w:w="0" w:type="dxa"/>
            </w:tcMar>
            <w:vAlign w:val="center"/>
          </w:tcPr>
          <w:p w14:paraId="601F6EF1">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bottom w:val="single" w:color="000000" w:sz="6" w:space="0"/>
              <w:right w:val="single" w:color="000000" w:sz="6" w:space="0"/>
            </w:tcBorders>
            <w:noWrap w:val="0"/>
            <w:tcMar>
              <w:left w:w="0" w:type="dxa"/>
              <w:right w:w="0" w:type="dxa"/>
            </w:tcMar>
            <w:vAlign w:val="center"/>
          </w:tcPr>
          <w:p w14:paraId="729980A0">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AE49F5D">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pacing w:val="-3"/>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联合体投标人（如有）</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3731CA2F">
            <w:pPr>
              <w:pStyle w:val="153"/>
              <w:keepNext w:val="0"/>
              <w:keepLines/>
              <w:pageBreakBefore w:val="0"/>
              <w:widowControl w:val="0"/>
              <w:kinsoku/>
              <w:wordWrap/>
              <w:overflowPunct w:val="0"/>
              <w:topLinePunct w:val="0"/>
              <w:autoSpaceDE/>
              <w:autoSpaceDN/>
              <w:bidi w:val="0"/>
              <w:adjustRightInd/>
              <w:snapToGrid/>
              <w:spacing w:line="360" w:lineRule="auto"/>
              <w:ind w:left="105"/>
              <w:textAlignment w:val="auto"/>
              <w:rPr>
                <w:rFonts w:hint="eastAsia" w:asciiTheme="majorEastAsia" w:hAnsiTheme="majorEastAsia" w:eastAsiaTheme="majorEastAsia" w:cstheme="majorEastAsia"/>
                <w:color w:val="auto"/>
                <w:spacing w:val="-3"/>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符合第二章“投标人须知”第 1.4.2 项规定</w:t>
            </w:r>
          </w:p>
        </w:tc>
      </w:tr>
      <w:tr w14:paraId="61BAB6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0" w:hRule="atLeast"/>
        </w:trPr>
        <w:tc>
          <w:tcPr>
            <w:tcW w:w="990" w:type="dxa"/>
            <w:vMerge w:val="continue"/>
            <w:tcBorders>
              <w:bottom w:val="single" w:color="000000" w:sz="6" w:space="0"/>
              <w:right w:val="single" w:color="000000" w:sz="6" w:space="0"/>
            </w:tcBorders>
            <w:noWrap w:val="0"/>
            <w:tcMar>
              <w:left w:w="0" w:type="dxa"/>
              <w:right w:w="0" w:type="dxa"/>
            </w:tcMar>
            <w:vAlign w:val="center"/>
          </w:tcPr>
          <w:p w14:paraId="6C92D75B">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bottom w:val="single" w:color="000000" w:sz="6" w:space="0"/>
              <w:right w:val="single" w:color="000000" w:sz="6" w:space="0"/>
            </w:tcBorders>
            <w:noWrap w:val="0"/>
            <w:tcMar>
              <w:left w:w="0" w:type="dxa"/>
              <w:right w:w="0" w:type="dxa"/>
            </w:tcMar>
            <w:vAlign w:val="center"/>
          </w:tcPr>
          <w:p w14:paraId="1D4633E5">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E4A7C09">
            <w:pPr>
              <w:pStyle w:val="153"/>
              <w:keepNext w:val="0"/>
              <w:keepLines/>
              <w:pageBreakBefore w:val="0"/>
              <w:widowControl w:val="0"/>
              <w:kinsoku/>
              <w:wordWrap/>
              <w:overflowPunct w:val="0"/>
              <w:topLinePunct w:val="0"/>
              <w:autoSpaceDE/>
              <w:autoSpaceDN/>
              <w:bidi w:val="0"/>
              <w:adjustRightInd/>
              <w:snapToGrid/>
              <w:spacing w:line="360" w:lineRule="auto"/>
              <w:ind w:left="-3"/>
              <w:jc w:val="center"/>
              <w:textAlignment w:val="auto"/>
              <w:rPr>
                <w:rFonts w:hint="eastAsia" w:asciiTheme="majorEastAsia" w:hAnsiTheme="majorEastAsia" w:eastAsiaTheme="majorEastAsia" w:cstheme="majorEastAsia"/>
                <w:color w:val="auto"/>
                <w:spacing w:val="-3"/>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不存在禁止投标的情形</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2A986DC7">
            <w:pPr>
              <w:pStyle w:val="153"/>
              <w:keepNext w:val="0"/>
              <w:keepLines/>
              <w:pageBreakBefore w:val="0"/>
              <w:widowControl w:val="0"/>
              <w:kinsoku/>
              <w:wordWrap/>
              <w:overflowPunct w:val="0"/>
              <w:topLinePunct w:val="0"/>
              <w:autoSpaceDE/>
              <w:autoSpaceDN/>
              <w:bidi w:val="0"/>
              <w:adjustRightInd/>
              <w:snapToGrid/>
              <w:spacing w:line="360" w:lineRule="auto"/>
              <w:ind w:left="105" w:right="-8"/>
              <w:textAlignment w:val="auto"/>
              <w:rPr>
                <w:rFonts w:hint="eastAsia" w:asciiTheme="majorEastAsia" w:hAnsiTheme="majorEastAsia" w:eastAsiaTheme="majorEastAsia" w:cstheme="majorEastAsia"/>
                <w:color w:val="auto"/>
                <w:spacing w:val="-3"/>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不存在第二章“投标人须知”第 1.4.3 项规定的任何一种情形</w:t>
            </w:r>
          </w:p>
        </w:tc>
      </w:tr>
      <w:tr w14:paraId="108C090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017" w:hRule="exact"/>
        </w:trPr>
        <w:tc>
          <w:tcPr>
            <w:tcW w:w="990" w:type="dxa"/>
            <w:vMerge w:val="restart"/>
            <w:tcBorders>
              <w:top w:val="single" w:color="000000" w:sz="6" w:space="0"/>
              <w:right w:val="single" w:color="000000" w:sz="6" w:space="0"/>
            </w:tcBorders>
            <w:noWrap w:val="0"/>
            <w:tcMar>
              <w:left w:w="0" w:type="dxa"/>
              <w:right w:w="0" w:type="dxa"/>
            </w:tcMar>
            <w:vAlign w:val="center"/>
          </w:tcPr>
          <w:p w14:paraId="064009A5">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r>
              <w:rPr>
                <w:rFonts w:hint="eastAsia"/>
                <w:color w:val="auto"/>
                <w:spacing w:val="-7"/>
                <w:highlight w:val="none"/>
              </w:rPr>
              <w:t>2.1.2</w:t>
            </w:r>
          </w:p>
        </w:tc>
        <w:tc>
          <w:tcPr>
            <w:tcW w:w="1211" w:type="dxa"/>
            <w:gridSpan w:val="2"/>
            <w:vMerge w:val="restart"/>
            <w:tcBorders>
              <w:top w:val="single" w:color="000000" w:sz="6" w:space="0"/>
              <w:left w:val="single" w:color="000000" w:sz="6" w:space="0"/>
              <w:right w:val="single" w:color="000000" w:sz="6" w:space="0"/>
            </w:tcBorders>
            <w:noWrap w:val="0"/>
            <w:vAlign w:val="center"/>
          </w:tcPr>
          <w:p w14:paraId="7A182321">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r>
              <w:rPr>
                <w:color w:val="auto"/>
                <w:highlight w:val="none"/>
              </w:rPr>
              <w:t>形式性评审标准</w:t>
            </w:r>
          </w:p>
        </w:tc>
        <w:tc>
          <w:tcPr>
            <w:tcW w:w="6980" w:type="dxa"/>
            <w:gridSpan w:val="2"/>
            <w:tcBorders>
              <w:top w:val="single" w:color="000000" w:sz="6" w:space="0"/>
              <w:left w:val="single" w:color="000000" w:sz="6" w:space="0"/>
              <w:bottom w:val="single" w:color="000000" w:sz="6" w:space="0"/>
            </w:tcBorders>
            <w:noWrap w:val="0"/>
            <w:tcMar>
              <w:left w:w="0" w:type="dxa"/>
              <w:right w:w="0" w:type="dxa"/>
            </w:tcMar>
            <w:vAlign w:val="center"/>
          </w:tcPr>
          <w:p w14:paraId="7B917261">
            <w:pPr>
              <w:pStyle w:val="153"/>
              <w:keepNext w:val="0"/>
              <w:keepLines/>
              <w:pageBreakBefore w:val="0"/>
              <w:widowControl w:val="0"/>
              <w:kinsoku/>
              <w:wordWrap/>
              <w:overflowPunct w:val="0"/>
              <w:topLinePunct w:val="0"/>
              <w:autoSpaceDE/>
              <w:autoSpaceDN/>
              <w:bidi w:val="0"/>
              <w:adjustRightInd/>
              <w:snapToGrid/>
              <w:spacing w:line="360" w:lineRule="auto"/>
              <w:ind w:right="113"/>
              <w:textAlignment w:val="auto"/>
              <w:rPr>
                <w:rFonts w:ascii="Times New Roman" w:hAnsi="Times New Roman"/>
                <w:color w:val="auto"/>
                <w:szCs w:val="21"/>
                <w:highlight w:val="none"/>
                <w:lang w:eastAsia="zh-CN"/>
              </w:rPr>
            </w:pPr>
            <w:r>
              <w:rPr>
                <w:rFonts w:ascii="Times New Roman" w:hAnsi="Times New Roman"/>
                <w:b/>
                <w:color w:val="auto"/>
                <w:highlight w:val="none"/>
                <w:lang w:eastAsia="zh-CN"/>
              </w:rPr>
              <w:t>合格标准：缺少任何一项或有任何一项不合格者，其形式评审视为不合格</w:t>
            </w:r>
          </w:p>
        </w:tc>
      </w:tr>
      <w:tr w14:paraId="42A7F43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72" w:hRule="exact"/>
        </w:trPr>
        <w:tc>
          <w:tcPr>
            <w:tcW w:w="990" w:type="dxa"/>
            <w:vMerge w:val="continue"/>
            <w:tcBorders>
              <w:right w:val="single" w:color="000000" w:sz="6" w:space="0"/>
            </w:tcBorders>
            <w:noWrap w:val="0"/>
            <w:tcMar>
              <w:left w:w="0" w:type="dxa"/>
              <w:right w:w="0" w:type="dxa"/>
            </w:tcMar>
            <w:vAlign w:val="center"/>
          </w:tcPr>
          <w:p w14:paraId="04E2307D">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32A74077">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714488F">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投标人名称</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6B4916D0">
            <w:pPr>
              <w:keepNext w:val="0"/>
              <w:keepLines/>
              <w:pageBreakBefore w:val="0"/>
              <w:widowControl w:val="0"/>
              <w:kinsoku/>
              <w:wordWrap/>
              <w:overflowPunct w:val="0"/>
              <w:topLinePunct w:val="0"/>
              <w:autoSpaceDE/>
              <w:autoSpaceDN/>
              <w:bidi w:val="0"/>
              <w:adjustRightInd/>
              <w:snapToGrid/>
              <w:spacing w:line="360" w:lineRule="auto"/>
              <w:ind w:left="108"/>
              <w:textAlignment w:val="auto"/>
              <w:rPr>
                <w:rFonts w:hint="eastAsia"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与营业执照、资质证书一致</w:t>
            </w:r>
          </w:p>
        </w:tc>
      </w:tr>
      <w:tr w14:paraId="1A633C2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105" w:hRule="exact"/>
        </w:trPr>
        <w:tc>
          <w:tcPr>
            <w:tcW w:w="990" w:type="dxa"/>
            <w:vMerge w:val="continue"/>
            <w:tcBorders>
              <w:right w:val="single" w:color="000000" w:sz="6" w:space="0"/>
            </w:tcBorders>
            <w:noWrap w:val="0"/>
            <w:tcMar>
              <w:left w:w="0" w:type="dxa"/>
              <w:right w:w="0" w:type="dxa"/>
            </w:tcMar>
            <w:vAlign w:val="center"/>
          </w:tcPr>
          <w:p w14:paraId="327791AD">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2616EDF1">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71F2720">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投标函及投标函附录签字盖章</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1ABCE45A">
            <w:pPr>
              <w:pStyle w:val="153"/>
              <w:keepNext w:val="0"/>
              <w:keepLines/>
              <w:pageBreakBefore w:val="0"/>
              <w:widowControl w:val="0"/>
              <w:kinsoku/>
              <w:wordWrap/>
              <w:overflowPunct w:val="0"/>
              <w:topLinePunct w:val="0"/>
              <w:autoSpaceDE/>
              <w:autoSpaceDN/>
              <w:bidi w:val="0"/>
              <w:adjustRightInd/>
              <w:snapToGrid/>
              <w:spacing w:line="360" w:lineRule="auto"/>
              <w:ind w:left="105" w:right="226"/>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rPr>
              <w:t>盖单位电子印章</w:t>
            </w:r>
          </w:p>
        </w:tc>
      </w:tr>
      <w:tr w14:paraId="2B66FBD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49" w:hRule="exact"/>
        </w:trPr>
        <w:tc>
          <w:tcPr>
            <w:tcW w:w="990" w:type="dxa"/>
            <w:vMerge w:val="continue"/>
            <w:tcBorders>
              <w:right w:val="single" w:color="000000" w:sz="6" w:space="0"/>
            </w:tcBorders>
            <w:noWrap w:val="0"/>
            <w:tcMar>
              <w:left w:w="0" w:type="dxa"/>
              <w:right w:w="0" w:type="dxa"/>
            </w:tcMar>
            <w:vAlign w:val="center"/>
          </w:tcPr>
          <w:p w14:paraId="6FC7BF8B">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780C76AD">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1D150DD">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报价唯一</w:t>
            </w:r>
          </w:p>
        </w:tc>
        <w:tc>
          <w:tcPr>
            <w:tcW w:w="5008" w:type="dxa"/>
            <w:tcBorders>
              <w:top w:val="single" w:color="000000" w:sz="6" w:space="0"/>
              <w:left w:val="single" w:color="000000" w:sz="6" w:space="0"/>
              <w:bottom w:val="single" w:color="000000" w:sz="6" w:space="0"/>
            </w:tcBorders>
            <w:noWrap w:val="0"/>
            <w:tcMar>
              <w:left w:w="0" w:type="dxa"/>
              <w:right w:w="0" w:type="dxa"/>
            </w:tcMar>
            <w:vAlign w:val="top"/>
          </w:tcPr>
          <w:p w14:paraId="62535EE3">
            <w:pPr>
              <w:keepNext w:val="0"/>
              <w:keepLines/>
              <w:pageBreakBefore w:val="0"/>
              <w:widowControl w:val="0"/>
              <w:kinsoku/>
              <w:wordWrap/>
              <w:overflowPunct w:val="0"/>
              <w:topLinePunct w:val="0"/>
              <w:autoSpaceDE/>
              <w:autoSpaceDN/>
              <w:bidi w:val="0"/>
              <w:adjustRightInd/>
              <w:snapToGrid/>
              <w:spacing w:line="360" w:lineRule="auto"/>
              <w:ind w:firstLine="105" w:firstLineChars="50"/>
              <w:textAlignment w:val="auto"/>
              <w:rPr>
                <w:rFonts w:hint="eastAsia"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有且只有一个投标报价</w:t>
            </w:r>
          </w:p>
        </w:tc>
      </w:tr>
      <w:tr w14:paraId="15E8544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49" w:hRule="exact"/>
        </w:trPr>
        <w:tc>
          <w:tcPr>
            <w:tcW w:w="990" w:type="dxa"/>
            <w:vMerge w:val="continue"/>
            <w:tcBorders>
              <w:right w:val="single" w:color="000000" w:sz="6" w:space="0"/>
            </w:tcBorders>
            <w:noWrap w:val="0"/>
            <w:tcMar>
              <w:left w:w="0" w:type="dxa"/>
              <w:right w:w="0" w:type="dxa"/>
            </w:tcMar>
            <w:vAlign w:val="center"/>
          </w:tcPr>
          <w:p w14:paraId="1DC49C46">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78C1B0D8">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30FEB6F">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投标文件格式</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2C1E8806">
            <w:pPr>
              <w:keepNext w:val="0"/>
              <w:keepLines/>
              <w:pageBreakBefore w:val="0"/>
              <w:widowControl w:val="0"/>
              <w:kinsoku/>
              <w:wordWrap/>
              <w:overflowPunct w:val="0"/>
              <w:topLinePunct w:val="0"/>
              <w:autoSpaceDE/>
              <w:autoSpaceDN/>
              <w:bidi w:val="0"/>
              <w:adjustRightInd/>
              <w:snapToGrid/>
              <w:spacing w:line="360" w:lineRule="auto"/>
              <w:ind w:left="108"/>
              <w:textAlignment w:val="auto"/>
              <w:rPr>
                <w:rFonts w:hint="eastAsia"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符合第六章“投标文件格式”的规定</w:t>
            </w:r>
          </w:p>
        </w:tc>
      </w:tr>
      <w:tr w14:paraId="2537008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36" w:hRule="exact"/>
        </w:trPr>
        <w:tc>
          <w:tcPr>
            <w:tcW w:w="990" w:type="dxa"/>
            <w:vMerge w:val="continue"/>
            <w:tcBorders>
              <w:right w:val="single" w:color="000000" w:sz="6" w:space="0"/>
            </w:tcBorders>
            <w:noWrap w:val="0"/>
            <w:tcMar>
              <w:left w:w="0" w:type="dxa"/>
              <w:right w:w="0" w:type="dxa"/>
            </w:tcMar>
            <w:vAlign w:val="center"/>
          </w:tcPr>
          <w:p w14:paraId="0EF4989F">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45ECA615">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231BE45">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联合体投标人（如有）</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173B27B3">
            <w:pPr>
              <w:keepNext w:val="0"/>
              <w:keepLines/>
              <w:pageBreakBefore w:val="0"/>
              <w:widowControl w:val="0"/>
              <w:kinsoku/>
              <w:wordWrap/>
              <w:overflowPunct w:val="0"/>
              <w:topLinePunct w:val="0"/>
              <w:autoSpaceDE/>
              <w:autoSpaceDN/>
              <w:bidi w:val="0"/>
              <w:adjustRightInd/>
              <w:snapToGrid/>
              <w:spacing w:line="360" w:lineRule="auto"/>
              <w:ind w:left="108"/>
              <w:textAlignment w:val="auto"/>
              <w:rPr>
                <w:rFonts w:hint="eastAsia"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提交符合招标文件要求的联合体协议书，明确各方承担连带责任，并明确联合体牵头人</w:t>
            </w:r>
          </w:p>
        </w:tc>
      </w:tr>
      <w:tr w14:paraId="10558AF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008" w:hRule="exact"/>
        </w:trPr>
        <w:tc>
          <w:tcPr>
            <w:tcW w:w="990" w:type="dxa"/>
            <w:vMerge w:val="continue"/>
            <w:tcBorders>
              <w:right w:val="single" w:color="000000" w:sz="6" w:space="0"/>
            </w:tcBorders>
            <w:noWrap w:val="0"/>
            <w:tcMar>
              <w:left w:w="0" w:type="dxa"/>
              <w:right w:w="0" w:type="dxa"/>
            </w:tcMar>
            <w:vAlign w:val="center"/>
          </w:tcPr>
          <w:p w14:paraId="7AAAE229">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448744CD">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481F78D">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备选投标方案</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1729C7EE">
            <w:pPr>
              <w:keepNext w:val="0"/>
              <w:keepLines/>
              <w:pageBreakBefore w:val="0"/>
              <w:widowControl w:val="0"/>
              <w:kinsoku/>
              <w:wordWrap/>
              <w:overflowPunct w:val="0"/>
              <w:topLinePunct w:val="0"/>
              <w:autoSpaceDE/>
              <w:autoSpaceDN/>
              <w:bidi w:val="0"/>
              <w:adjustRightInd/>
              <w:snapToGrid/>
              <w:spacing w:line="360" w:lineRule="auto"/>
              <w:ind w:left="108"/>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spacing w:val="-2"/>
                <w:highlight w:val="none"/>
              </w:rPr>
              <w:t>除招标文件明确允许提交备选投标方案外，投标</w:t>
            </w:r>
            <w:r>
              <w:rPr>
                <w:rFonts w:hint="eastAsia" w:asciiTheme="majorEastAsia" w:hAnsiTheme="majorEastAsia" w:eastAsiaTheme="majorEastAsia" w:cstheme="majorEastAsia"/>
                <w:color w:val="auto"/>
                <w:spacing w:val="-7"/>
                <w:highlight w:val="none"/>
              </w:rPr>
              <w:t>人不得提交备选投标方案</w:t>
            </w:r>
          </w:p>
        </w:tc>
      </w:tr>
      <w:tr w14:paraId="054F2A5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85" w:hRule="atLeast"/>
        </w:trPr>
        <w:tc>
          <w:tcPr>
            <w:tcW w:w="990" w:type="dxa"/>
            <w:vMerge w:val="continue"/>
            <w:tcBorders>
              <w:right w:val="single" w:color="000000" w:sz="6" w:space="0"/>
            </w:tcBorders>
            <w:noWrap w:val="0"/>
            <w:tcMar>
              <w:left w:w="0" w:type="dxa"/>
              <w:right w:w="0" w:type="dxa"/>
            </w:tcMar>
            <w:vAlign w:val="center"/>
          </w:tcPr>
          <w:p w14:paraId="39BB57B1">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7800C993">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top"/>
          </w:tcPr>
          <w:p w14:paraId="2E2F7264">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其他要求</w:t>
            </w:r>
          </w:p>
        </w:tc>
        <w:tc>
          <w:tcPr>
            <w:tcW w:w="5008" w:type="dxa"/>
            <w:tcBorders>
              <w:top w:val="single" w:color="000000" w:sz="6" w:space="0"/>
              <w:left w:val="single" w:color="000000" w:sz="6" w:space="0"/>
              <w:bottom w:val="single" w:color="000000" w:sz="6" w:space="0"/>
            </w:tcBorders>
            <w:noWrap w:val="0"/>
            <w:tcMar>
              <w:left w:w="0" w:type="dxa"/>
              <w:right w:w="0" w:type="dxa"/>
            </w:tcMar>
            <w:vAlign w:val="top"/>
          </w:tcPr>
          <w:p w14:paraId="6150A3B3">
            <w:pPr>
              <w:keepNext w:val="0"/>
              <w:keepLines/>
              <w:pageBreakBefore w:val="0"/>
              <w:widowControl w:val="0"/>
              <w:kinsoku/>
              <w:wordWrap/>
              <w:overflowPunct w:val="0"/>
              <w:topLinePunct w:val="0"/>
              <w:autoSpaceDE/>
              <w:autoSpaceDN/>
              <w:bidi w:val="0"/>
              <w:adjustRightInd/>
              <w:snapToGrid/>
              <w:spacing w:line="360" w:lineRule="auto"/>
              <w:ind w:left="108"/>
              <w:textAlignment w:val="auto"/>
              <w:rPr>
                <w:rFonts w:hint="eastAsia" w:asciiTheme="majorEastAsia" w:hAnsiTheme="majorEastAsia" w:eastAsiaTheme="majorEastAsia" w:cstheme="majorEastAsia"/>
                <w:color w:val="auto"/>
                <w:spacing w:val="-2"/>
                <w:highlight w:val="none"/>
              </w:rPr>
            </w:pPr>
            <w:r>
              <w:rPr>
                <w:rFonts w:hint="eastAsia" w:asciiTheme="majorEastAsia" w:hAnsiTheme="majorEastAsia" w:eastAsiaTheme="majorEastAsia" w:cstheme="majorEastAsia"/>
                <w:color w:val="auto"/>
                <w:spacing w:val="-2"/>
                <w:highlight w:val="none"/>
              </w:rPr>
              <w:t>符合第二章“投标人须知”第 1.4.1 项规定</w:t>
            </w:r>
          </w:p>
        </w:tc>
      </w:tr>
      <w:tr w14:paraId="2A3A051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32" w:hRule="atLeast"/>
        </w:trPr>
        <w:tc>
          <w:tcPr>
            <w:tcW w:w="990" w:type="dxa"/>
            <w:vMerge w:val="restart"/>
            <w:tcBorders>
              <w:top w:val="single" w:color="000000" w:sz="6" w:space="0"/>
              <w:right w:val="single" w:color="000000" w:sz="6" w:space="0"/>
            </w:tcBorders>
            <w:noWrap w:val="0"/>
            <w:tcMar>
              <w:left w:w="0" w:type="dxa"/>
              <w:right w:w="0" w:type="dxa"/>
            </w:tcMar>
            <w:vAlign w:val="center"/>
          </w:tcPr>
          <w:p w14:paraId="4C1214D7">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r>
              <w:rPr>
                <w:color w:val="auto"/>
                <w:spacing w:val="-7"/>
                <w:highlight w:val="none"/>
              </w:rPr>
              <w:t>2.</w:t>
            </w:r>
            <w:r>
              <w:rPr>
                <w:rFonts w:hint="eastAsia"/>
                <w:color w:val="auto"/>
                <w:spacing w:val="-7"/>
                <w:highlight w:val="none"/>
              </w:rPr>
              <w:t>1.3</w:t>
            </w:r>
          </w:p>
        </w:tc>
        <w:tc>
          <w:tcPr>
            <w:tcW w:w="1211" w:type="dxa"/>
            <w:gridSpan w:val="2"/>
            <w:vMerge w:val="restart"/>
            <w:tcBorders>
              <w:top w:val="single" w:color="000000" w:sz="6" w:space="0"/>
              <w:left w:val="single" w:color="000000" w:sz="6" w:space="0"/>
              <w:right w:val="single" w:color="000000" w:sz="6" w:space="0"/>
            </w:tcBorders>
            <w:noWrap w:val="0"/>
            <w:tcMar>
              <w:left w:w="0" w:type="dxa"/>
              <w:right w:w="0" w:type="dxa"/>
            </w:tcMar>
            <w:vAlign w:val="center"/>
          </w:tcPr>
          <w:p w14:paraId="21D25768">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r>
              <w:rPr>
                <w:color w:val="auto"/>
                <w:highlight w:val="none"/>
              </w:rPr>
              <w:t>响应性评</w:t>
            </w:r>
          </w:p>
          <w:p w14:paraId="5A6FFAD8">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spacing w:val="-2"/>
                <w:highlight w:val="none"/>
              </w:rPr>
            </w:pPr>
            <w:r>
              <w:rPr>
                <w:color w:val="auto"/>
                <w:highlight w:val="none"/>
              </w:rPr>
              <w:t>审标</w:t>
            </w:r>
            <w:r>
              <w:rPr>
                <w:color w:val="auto"/>
                <w:spacing w:val="-2"/>
                <w:highlight w:val="none"/>
              </w:rPr>
              <w:t>准</w:t>
            </w:r>
          </w:p>
        </w:tc>
        <w:tc>
          <w:tcPr>
            <w:tcW w:w="6980" w:type="dxa"/>
            <w:gridSpan w:val="2"/>
            <w:tcBorders>
              <w:top w:val="single" w:color="000000" w:sz="6" w:space="0"/>
              <w:left w:val="single" w:color="000000" w:sz="6" w:space="0"/>
              <w:bottom w:val="single" w:color="000000" w:sz="6" w:space="0"/>
            </w:tcBorders>
            <w:noWrap w:val="0"/>
            <w:tcMar>
              <w:left w:w="0" w:type="dxa"/>
              <w:right w:w="0" w:type="dxa"/>
            </w:tcMar>
            <w:vAlign w:val="center"/>
          </w:tcPr>
          <w:p w14:paraId="077DEA36">
            <w:pPr>
              <w:keepNext w:val="0"/>
              <w:keepLines/>
              <w:pageBreakBefore w:val="0"/>
              <w:widowControl w:val="0"/>
              <w:kinsoku/>
              <w:wordWrap/>
              <w:overflowPunct w:val="0"/>
              <w:topLinePunct w:val="0"/>
              <w:autoSpaceDE/>
              <w:autoSpaceDN/>
              <w:bidi w:val="0"/>
              <w:adjustRightInd/>
              <w:snapToGrid/>
              <w:spacing w:line="360" w:lineRule="auto"/>
              <w:ind w:left="108"/>
              <w:textAlignment w:val="auto"/>
              <w:rPr>
                <w:color w:val="auto"/>
                <w:highlight w:val="none"/>
              </w:rPr>
            </w:pPr>
            <w:r>
              <w:rPr>
                <w:b/>
                <w:color w:val="auto"/>
                <w:highlight w:val="none"/>
              </w:rPr>
              <w:t>合格标准：缺少任何一项或有任何一项不合格者，其响应性评审视为不合格</w:t>
            </w:r>
          </w:p>
        </w:tc>
      </w:tr>
      <w:tr w14:paraId="401196F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45" w:hRule="atLeast"/>
        </w:trPr>
        <w:tc>
          <w:tcPr>
            <w:tcW w:w="990" w:type="dxa"/>
            <w:vMerge w:val="continue"/>
            <w:tcBorders>
              <w:right w:val="single" w:color="000000" w:sz="6" w:space="0"/>
            </w:tcBorders>
            <w:noWrap w:val="0"/>
            <w:tcMar>
              <w:left w:w="0" w:type="dxa"/>
              <w:right w:w="0" w:type="dxa"/>
            </w:tcMar>
            <w:vAlign w:val="center"/>
          </w:tcPr>
          <w:p w14:paraId="60638724">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spacing w:val="-7"/>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772AEDCF">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D4AD537">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投标报价</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61DB017E">
            <w:pPr>
              <w:keepNext w:val="0"/>
              <w:keepLines/>
              <w:pageBreakBefore w:val="0"/>
              <w:widowControl w:val="0"/>
              <w:kinsoku/>
              <w:wordWrap/>
              <w:overflowPunct w:val="0"/>
              <w:topLinePunct w:val="0"/>
              <w:autoSpaceDE/>
              <w:autoSpaceDN/>
              <w:bidi w:val="0"/>
              <w:adjustRightInd/>
              <w:snapToGrid/>
              <w:spacing w:line="360" w:lineRule="auto"/>
              <w:ind w:left="108"/>
              <w:textAlignment w:val="auto"/>
              <w:rPr>
                <w:rFonts w:hint="eastAsia" w:asciiTheme="majorEastAsia" w:hAnsiTheme="majorEastAsia" w:eastAsiaTheme="majorEastAsia" w:cstheme="majorEastAsia"/>
                <w:color w:val="auto"/>
                <w:spacing w:val="-7"/>
                <w:highlight w:val="none"/>
              </w:rPr>
            </w:pPr>
            <w:r>
              <w:rPr>
                <w:rFonts w:hint="eastAsia" w:asciiTheme="majorEastAsia" w:hAnsiTheme="majorEastAsia" w:eastAsiaTheme="majorEastAsia" w:cstheme="majorEastAsia"/>
                <w:color w:val="auto"/>
                <w:spacing w:val="-7"/>
                <w:highlight w:val="none"/>
              </w:rPr>
              <w:t>符合第二章</w:t>
            </w:r>
            <w:r>
              <w:rPr>
                <w:rFonts w:hint="eastAsia" w:asciiTheme="majorEastAsia" w:hAnsiTheme="majorEastAsia" w:eastAsiaTheme="majorEastAsia" w:cstheme="majorEastAsia"/>
                <w:color w:val="auto"/>
                <w:spacing w:val="-8"/>
                <w:highlight w:val="none"/>
              </w:rPr>
              <w:t>“</w:t>
            </w:r>
            <w:r>
              <w:rPr>
                <w:rFonts w:hint="eastAsia" w:asciiTheme="majorEastAsia" w:hAnsiTheme="majorEastAsia" w:eastAsiaTheme="majorEastAsia" w:cstheme="majorEastAsia"/>
                <w:color w:val="auto"/>
                <w:spacing w:val="-7"/>
                <w:highlight w:val="none"/>
              </w:rPr>
              <w:t>投标人须知</w:t>
            </w:r>
            <w:r>
              <w:rPr>
                <w:rFonts w:hint="eastAsia" w:asciiTheme="majorEastAsia" w:hAnsiTheme="majorEastAsia" w:eastAsiaTheme="majorEastAsia" w:cstheme="majorEastAsia"/>
                <w:color w:val="auto"/>
                <w:spacing w:val="-1"/>
                <w:highlight w:val="none"/>
              </w:rPr>
              <w:t>”</w:t>
            </w:r>
            <w:r>
              <w:rPr>
                <w:rFonts w:hint="eastAsia" w:asciiTheme="majorEastAsia" w:hAnsiTheme="majorEastAsia" w:eastAsiaTheme="majorEastAsia" w:cstheme="majorEastAsia"/>
                <w:color w:val="auto"/>
                <w:spacing w:val="-2"/>
                <w:highlight w:val="none"/>
              </w:rPr>
              <w:t>第</w:t>
            </w:r>
            <w:r>
              <w:rPr>
                <w:rFonts w:hint="eastAsia" w:asciiTheme="majorEastAsia" w:hAnsiTheme="majorEastAsia" w:eastAsiaTheme="majorEastAsia" w:cstheme="majorEastAsia"/>
                <w:color w:val="auto"/>
                <w:spacing w:val="-7"/>
                <w:highlight w:val="none"/>
              </w:rPr>
              <w:t>3.2款规定，</w:t>
            </w:r>
            <w:r>
              <w:rPr>
                <w:rFonts w:hint="eastAsia" w:asciiTheme="majorEastAsia" w:hAnsiTheme="majorEastAsia" w:eastAsiaTheme="majorEastAsia" w:cstheme="majorEastAsia"/>
                <w:color w:val="auto"/>
                <w:szCs w:val="21"/>
                <w:highlight w:val="none"/>
              </w:rPr>
              <w:t>低于（含等于）招标人公布的招标控制价或无本章附件B否决投标条件的相应情况。</w:t>
            </w:r>
          </w:p>
        </w:tc>
      </w:tr>
      <w:tr w14:paraId="15EBC2C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80" w:hRule="atLeast"/>
        </w:trPr>
        <w:tc>
          <w:tcPr>
            <w:tcW w:w="990" w:type="dxa"/>
            <w:vMerge w:val="continue"/>
            <w:tcBorders>
              <w:right w:val="single" w:color="000000" w:sz="6" w:space="0"/>
            </w:tcBorders>
            <w:noWrap w:val="0"/>
            <w:tcMar>
              <w:left w:w="0" w:type="dxa"/>
              <w:right w:w="0" w:type="dxa"/>
            </w:tcMar>
            <w:vAlign w:val="center"/>
          </w:tcPr>
          <w:p w14:paraId="176F698C">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01E9F7B8">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5E0592A">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投标内容</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75C31F33">
            <w:pPr>
              <w:keepNext w:val="0"/>
              <w:keepLines/>
              <w:pageBreakBefore w:val="0"/>
              <w:widowControl w:val="0"/>
              <w:kinsoku/>
              <w:wordWrap/>
              <w:overflowPunct w:val="0"/>
              <w:topLinePunct w:val="0"/>
              <w:autoSpaceDE/>
              <w:autoSpaceDN/>
              <w:bidi w:val="0"/>
              <w:adjustRightInd/>
              <w:snapToGrid/>
              <w:spacing w:line="360" w:lineRule="auto"/>
              <w:ind w:left="108"/>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spacing w:val="-7"/>
                <w:highlight w:val="none"/>
              </w:rPr>
              <w:t>符合第二章</w:t>
            </w:r>
            <w:r>
              <w:rPr>
                <w:rFonts w:hint="eastAsia" w:asciiTheme="majorEastAsia" w:hAnsiTheme="majorEastAsia" w:eastAsiaTheme="majorEastAsia" w:cstheme="majorEastAsia"/>
                <w:color w:val="auto"/>
                <w:spacing w:val="-8"/>
                <w:highlight w:val="none"/>
              </w:rPr>
              <w:t>“</w:t>
            </w:r>
            <w:r>
              <w:rPr>
                <w:rFonts w:hint="eastAsia" w:asciiTheme="majorEastAsia" w:hAnsiTheme="majorEastAsia" w:eastAsiaTheme="majorEastAsia" w:cstheme="majorEastAsia"/>
                <w:color w:val="auto"/>
                <w:spacing w:val="-7"/>
                <w:highlight w:val="none"/>
              </w:rPr>
              <w:t>投标人须知</w:t>
            </w:r>
            <w:r>
              <w:rPr>
                <w:rFonts w:hint="eastAsia" w:asciiTheme="majorEastAsia" w:hAnsiTheme="majorEastAsia" w:eastAsiaTheme="majorEastAsia" w:cstheme="majorEastAsia"/>
                <w:color w:val="auto"/>
                <w:spacing w:val="-1"/>
                <w:highlight w:val="none"/>
              </w:rPr>
              <w:t>”</w:t>
            </w:r>
            <w:r>
              <w:rPr>
                <w:rFonts w:hint="eastAsia" w:asciiTheme="majorEastAsia" w:hAnsiTheme="majorEastAsia" w:eastAsiaTheme="majorEastAsia" w:cstheme="majorEastAsia"/>
                <w:color w:val="auto"/>
                <w:spacing w:val="-2"/>
                <w:highlight w:val="none"/>
              </w:rPr>
              <w:t>第</w:t>
            </w:r>
            <w:r>
              <w:rPr>
                <w:rFonts w:hint="eastAsia" w:asciiTheme="majorEastAsia" w:hAnsiTheme="majorEastAsia" w:eastAsiaTheme="majorEastAsia" w:cstheme="majorEastAsia"/>
                <w:color w:val="auto"/>
                <w:spacing w:val="-7"/>
                <w:highlight w:val="none"/>
              </w:rPr>
              <w:t>1.3.1项规定</w:t>
            </w:r>
          </w:p>
        </w:tc>
      </w:tr>
      <w:tr w14:paraId="24CBD11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80" w:hRule="atLeast"/>
        </w:trPr>
        <w:tc>
          <w:tcPr>
            <w:tcW w:w="990" w:type="dxa"/>
            <w:vMerge w:val="continue"/>
            <w:tcBorders>
              <w:right w:val="single" w:color="000000" w:sz="6" w:space="0"/>
            </w:tcBorders>
            <w:noWrap w:val="0"/>
            <w:tcMar>
              <w:left w:w="0" w:type="dxa"/>
              <w:right w:w="0" w:type="dxa"/>
            </w:tcMar>
            <w:vAlign w:val="center"/>
          </w:tcPr>
          <w:p w14:paraId="51A3E53E">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48563F76">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AC19D5E">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设计服务期限</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08ADD360">
            <w:pPr>
              <w:keepNext w:val="0"/>
              <w:keepLines/>
              <w:pageBreakBefore w:val="0"/>
              <w:widowControl w:val="0"/>
              <w:kinsoku/>
              <w:wordWrap/>
              <w:overflowPunct w:val="0"/>
              <w:topLinePunct w:val="0"/>
              <w:autoSpaceDE/>
              <w:autoSpaceDN/>
              <w:bidi w:val="0"/>
              <w:adjustRightInd/>
              <w:snapToGrid/>
              <w:spacing w:line="360" w:lineRule="auto"/>
              <w:ind w:left="108"/>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spacing w:val="-7"/>
                <w:highlight w:val="none"/>
              </w:rPr>
              <w:t>符合第二章</w:t>
            </w:r>
            <w:r>
              <w:rPr>
                <w:rFonts w:hint="eastAsia" w:asciiTheme="majorEastAsia" w:hAnsiTheme="majorEastAsia" w:eastAsiaTheme="majorEastAsia" w:cstheme="majorEastAsia"/>
                <w:color w:val="auto"/>
                <w:spacing w:val="-8"/>
                <w:highlight w:val="none"/>
              </w:rPr>
              <w:t>“</w:t>
            </w:r>
            <w:r>
              <w:rPr>
                <w:rFonts w:hint="eastAsia" w:asciiTheme="majorEastAsia" w:hAnsiTheme="majorEastAsia" w:eastAsiaTheme="majorEastAsia" w:cstheme="majorEastAsia"/>
                <w:color w:val="auto"/>
                <w:spacing w:val="-7"/>
                <w:highlight w:val="none"/>
              </w:rPr>
              <w:t>投标人须知</w:t>
            </w:r>
            <w:r>
              <w:rPr>
                <w:rFonts w:hint="eastAsia" w:asciiTheme="majorEastAsia" w:hAnsiTheme="majorEastAsia" w:eastAsiaTheme="majorEastAsia" w:cstheme="majorEastAsia"/>
                <w:color w:val="auto"/>
                <w:spacing w:val="-1"/>
                <w:highlight w:val="none"/>
              </w:rPr>
              <w:t>”</w:t>
            </w:r>
            <w:r>
              <w:rPr>
                <w:rFonts w:hint="eastAsia" w:asciiTheme="majorEastAsia" w:hAnsiTheme="majorEastAsia" w:eastAsiaTheme="majorEastAsia" w:cstheme="majorEastAsia"/>
                <w:color w:val="auto"/>
                <w:spacing w:val="-2"/>
                <w:highlight w:val="none"/>
              </w:rPr>
              <w:t>第</w:t>
            </w:r>
            <w:r>
              <w:rPr>
                <w:rFonts w:hint="eastAsia" w:asciiTheme="majorEastAsia" w:hAnsiTheme="majorEastAsia" w:eastAsiaTheme="majorEastAsia" w:cstheme="majorEastAsia"/>
                <w:color w:val="auto"/>
                <w:spacing w:val="-7"/>
                <w:highlight w:val="none"/>
              </w:rPr>
              <w:t>1.3.2项规定</w:t>
            </w:r>
          </w:p>
        </w:tc>
      </w:tr>
      <w:tr w14:paraId="220C903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80" w:hRule="atLeast"/>
        </w:trPr>
        <w:tc>
          <w:tcPr>
            <w:tcW w:w="990" w:type="dxa"/>
            <w:vMerge w:val="continue"/>
            <w:tcBorders>
              <w:right w:val="single" w:color="000000" w:sz="6" w:space="0"/>
            </w:tcBorders>
            <w:noWrap w:val="0"/>
            <w:tcMar>
              <w:left w:w="0" w:type="dxa"/>
              <w:right w:w="0" w:type="dxa"/>
            </w:tcMar>
            <w:vAlign w:val="center"/>
          </w:tcPr>
          <w:p w14:paraId="6FCEDD58">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493D646F">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863116B">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质量标准</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27325AAF">
            <w:pPr>
              <w:keepNext w:val="0"/>
              <w:keepLines/>
              <w:pageBreakBefore w:val="0"/>
              <w:widowControl w:val="0"/>
              <w:kinsoku/>
              <w:wordWrap/>
              <w:overflowPunct w:val="0"/>
              <w:topLinePunct w:val="0"/>
              <w:autoSpaceDE/>
              <w:autoSpaceDN/>
              <w:bidi w:val="0"/>
              <w:adjustRightInd/>
              <w:snapToGrid/>
              <w:spacing w:line="360" w:lineRule="auto"/>
              <w:ind w:left="108"/>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spacing w:val="-7"/>
                <w:highlight w:val="none"/>
              </w:rPr>
              <w:t>符合第二章</w:t>
            </w:r>
            <w:r>
              <w:rPr>
                <w:rFonts w:hint="eastAsia" w:asciiTheme="majorEastAsia" w:hAnsiTheme="majorEastAsia" w:eastAsiaTheme="majorEastAsia" w:cstheme="majorEastAsia"/>
                <w:color w:val="auto"/>
                <w:spacing w:val="-8"/>
                <w:highlight w:val="none"/>
              </w:rPr>
              <w:t>“</w:t>
            </w:r>
            <w:r>
              <w:rPr>
                <w:rFonts w:hint="eastAsia" w:asciiTheme="majorEastAsia" w:hAnsiTheme="majorEastAsia" w:eastAsiaTheme="majorEastAsia" w:cstheme="majorEastAsia"/>
                <w:color w:val="auto"/>
                <w:spacing w:val="-7"/>
                <w:highlight w:val="none"/>
              </w:rPr>
              <w:t>投标人须知</w:t>
            </w:r>
            <w:r>
              <w:rPr>
                <w:rFonts w:hint="eastAsia" w:asciiTheme="majorEastAsia" w:hAnsiTheme="majorEastAsia" w:eastAsiaTheme="majorEastAsia" w:cstheme="majorEastAsia"/>
                <w:color w:val="auto"/>
                <w:spacing w:val="-1"/>
                <w:highlight w:val="none"/>
              </w:rPr>
              <w:t>”</w:t>
            </w:r>
            <w:r>
              <w:rPr>
                <w:rFonts w:hint="eastAsia" w:asciiTheme="majorEastAsia" w:hAnsiTheme="majorEastAsia" w:eastAsiaTheme="majorEastAsia" w:cstheme="majorEastAsia"/>
                <w:color w:val="auto"/>
                <w:spacing w:val="-2"/>
                <w:highlight w:val="none"/>
              </w:rPr>
              <w:t>第</w:t>
            </w:r>
            <w:r>
              <w:rPr>
                <w:rFonts w:hint="eastAsia" w:asciiTheme="majorEastAsia" w:hAnsiTheme="majorEastAsia" w:eastAsiaTheme="majorEastAsia" w:cstheme="majorEastAsia"/>
                <w:color w:val="auto"/>
                <w:spacing w:val="-7"/>
                <w:highlight w:val="none"/>
              </w:rPr>
              <w:t>1.3.3项规定</w:t>
            </w:r>
          </w:p>
        </w:tc>
      </w:tr>
      <w:tr w14:paraId="6F8A662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80" w:hRule="atLeast"/>
        </w:trPr>
        <w:tc>
          <w:tcPr>
            <w:tcW w:w="990" w:type="dxa"/>
            <w:vMerge w:val="continue"/>
            <w:tcBorders>
              <w:right w:val="single" w:color="000000" w:sz="6" w:space="0"/>
            </w:tcBorders>
            <w:noWrap w:val="0"/>
            <w:tcMar>
              <w:left w:w="0" w:type="dxa"/>
              <w:right w:w="0" w:type="dxa"/>
            </w:tcMar>
            <w:vAlign w:val="center"/>
          </w:tcPr>
          <w:p w14:paraId="7D0881E1">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3B47189A">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8FC2BAD">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投标有效期</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2B5D51AE">
            <w:pPr>
              <w:keepNext w:val="0"/>
              <w:keepLines/>
              <w:pageBreakBefore w:val="0"/>
              <w:widowControl w:val="0"/>
              <w:kinsoku/>
              <w:wordWrap/>
              <w:overflowPunct w:val="0"/>
              <w:topLinePunct w:val="0"/>
              <w:autoSpaceDE/>
              <w:autoSpaceDN/>
              <w:bidi w:val="0"/>
              <w:adjustRightInd/>
              <w:snapToGrid/>
              <w:spacing w:line="360" w:lineRule="auto"/>
              <w:ind w:left="108"/>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spacing w:val="-7"/>
                <w:highlight w:val="none"/>
              </w:rPr>
              <w:t>符合第二章</w:t>
            </w:r>
            <w:r>
              <w:rPr>
                <w:rFonts w:hint="eastAsia" w:asciiTheme="majorEastAsia" w:hAnsiTheme="majorEastAsia" w:eastAsiaTheme="majorEastAsia" w:cstheme="majorEastAsia"/>
                <w:color w:val="auto"/>
                <w:spacing w:val="-8"/>
                <w:highlight w:val="none"/>
              </w:rPr>
              <w:t>“</w:t>
            </w:r>
            <w:r>
              <w:rPr>
                <w:rFonts w:hint="eastAsia" w:asciiTheme="majorEastAsia" w:hAnsiTheme="majorEastAsia" w:eastAsiaTheme="majorEastAsia" w:cstheme="majorEastAsia"/>
                <w:color w:val="auto"/>
                <w:spacing w:val="-7"/>
                <w:highlight w:val="none"/>
              </w:rPr>
              <w:t>投标人须知</w:t>
            </w:r>
            <w:r>
              <w:rPr>
                <w:rFonts w:hint="eastAsia" w:asciiTheme="majorEastAsia" w:hAnsiTheme="majorEastAsia" w:eastAsiaTheme="majorEastAsia" w:cstheme="majorEastAsia"/>
                <w:color w:val="auto"/>
                <w:spacing w:val="-1"/>
                <w:highlight w:val="none"/>
              </w:rPr>
              <w:t>”</w:t>
            </w:r>
            <w:r>
              <w:rPr>
                <w:rFonts w:hint="eastAsia" w:asciiTheme="majorEastAsia" w:hAnsiTheme="majorEastAsia" w:eastAsiaTheme="majorEastAsia" w:cstheme="majorEastAsia"/>
                <w:color w:val="auto"/>
                <w:spacing w:val="-2"/>
                <w:highlight w:val="none"/>
              </w:rPr>
              <w:t>第</w:t>
            </w:r>
            <w:r>
              <w:rPr>
                <w:rFonts w:hint="eastAsia" w:asciiTheme="majorEastAsia" w:hAnsiTheme="majorEastAsia" w:eastAsiaTheme="majorEastAsia" w:cstheme="majorEastAsia"/>
                <w:color w:val="auto"/>
                <w:spacing w:val="-7"/>
                <w:highlight w:val="none"/>
              </w:rPr>
              <w:t>3.3.1项规定</w:t>
            </w:r>
          </w:p>
        </w:tc>
      </w:tr>
      <w:tr w14:paraId="38BF101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80" w:hRule="atLeast"/>
        </w:trPr>
        <w:tc>
          <w:tcPr>
            <w:tcW w:w="990" w:type="dxa"/>
            <w:vMerge w:val="continue"/>
            <w:tcBorders>
              <w:right w:val="single" w:color="000000" w:sz="6" w:space="0"/>
            </w:tcBorders>
            <w:noWrap w:val="0"/>
            <w:tcMar>
              <w:left w:w="0" w:type="dxa"/>
              <w:right w:w="0" w:type="dxa"/>
            </w:tcMar>
            <w:vAlign w:val="center"/>
          </w:tcPr>
          <w:p w14:paraId="0D547A43">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495E8323">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14549EF">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权利义务</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04860288">
            <w:pPr>
              <w:keepNext w:val="0"/>
              <w:keepLines/>
              <w:pageBreakBefore w:val="0"/>
              <w:widowControl w:val="0"/>
              <w:kinsoku/>
              <w:wordWrap/>
              <w:overflowPunct w:val="0"/>
              <w:topLinePunct w:val="0"/>
              <w:autoSpaceDE/>
              <w:autoSpaceDN/>
              <w:bidi w:val="0"/>
              <w:adjustRightInd/>
              <w:snapToGrid/>
              <w:spacing w:line="360" w:lineRule="auto"/>
              <w:ind w:left="108"/>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spacing w:val="-7"/>
                <w:highlight w:val="none"/>
              </w:rPr>
              <w:t>符合第四</w:t>
            </w:r>
            <w:r>
              <w:rPr>
                <w:rFonts w:hint="eastAsia" w:asciiTheme="majorEastAsia" w:hAnsiTheme="majorEastAsia" w:eastAsiaTheme="majorEastAsia" w:cstheme="majorEastAsia"/>
                <w:color w:val="auto"/>
                <w:spacing w:val="-2"/>
                <w:highlight w:val="none"/>
              </w:rPr>
              <w:t>章</w:t>
            </w:r>
            <w:r>
              <w:rPr>
                <w:rFonts w:hint="eastAsia" w:asciiTheme="majorEastAsia" w:hAnsiTheme="majorEastAsia" w:eastAsiaTheme="majorEastAsia" w:cstheme="majorEastAsia"/>
                <w:color w:val="auto"/>
                <w:spacing w:val="-8"/>
                <w:highlight w:val="none"/>
              </w:rPr>
              <w:t>“</w:t>
            </w:r>
            <w:r>
              <w:rPr>
                <w:rFonts w:hint="eastAsia" w:asciiTheme="majorEastAsia" w:hAnsiTheme="majorEastAsia" w:eastAsiaTheme="majorEastAsia" w:cstheme="majorEastAsia"/>
                <w:color w:val="auto"/>
                <w:spacing w:val="-7"/>
                <w:highlight w:val="none"/>
              </w:rPr>
              <w:t>合同条款及格式</w:t>
            </w:r>
            <w:r>
              <w:rPr>
                <w:rFonts w:hint="eastAsia" w:asciiTheme="majorEastAsia" w:hAnsiTheme="majorEastAsia" w:eastAsiaTheme="majorEastAsia" w:cstheme="majorEastAsia"/>
                <w:color w:val="auto"/>
                <w:spacing w:val="-1"/>
                <w:highlight w:val="none"/>
              </w:rPr>
              <w:t>”</w:t>
            </w:r>
            <w:r>
              <w:rPr>
                <w:rFonts w:hint="eastAsia" w:asciiTheme="majorEastAsia" w:hAnsiTheme="majorEastAsia" w:eastAsiaTheme="majorEastAsia" w:cstheme="majorEastAsia"/>
                <w:color w:val="auto"/>
                <w:spacing w:val="-7"/>
                <w:highlight w:val="none"/>
              </w:rPr>
              <w:t>中的实质性要求和条件</w:t>
            </w:r>
          </w:p>
        </w:tc>
      </w:tr>
      <w:tr w14:paraId="6D8A3A2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80" w:hRule="atLeast"/>
        </w:trPr>
        <w:tc>
          <w:tcPr>
            <w:tcW w:w="990" w:type="dxa"/>
            <w:vMerge w:val="continue"/>
            <w:tcBorders>
              <w:right w:val="single" w:color="000000" w:sz="6" w:space="0"/>
            </w:tcBorders>
            <w:noWrap w:val="0"/>
            <w:tcMar>
              <w:left w:w="0" w:type="dxa"/>
              <w:right w:w="0" w:type="dxa"/>
            </w:tcMar>
            <w:vAlign w:val="center"/>
          </w:tcPr>
          <w:p w14:paraId="4A86A726">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75CD4A0B">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B251171">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pacing w:val="-14"/>
                <w:sz w:val="21"/>
                <w:szCs w:val="21"/>
                <w:highlight w:val="none"/>
                <w:lang w:eastAsia="zh-CN"/>
              </w:rPr>
            </w:pPr>
            <w:r>
              <w:rPr>
                <w:rFonts w:hint="eastAsia" w:asciiTheme="majorEastAsia" w:hAnsiTheme="majorEastAsia" w:eastAsiaTheme="majorEastAsia" w:cstheme="majorEastAsia"/>
                <w:color w:val="auto"/>
                <w:spacing w:val="-14"/>
                <w:sz w:val="21"/>
                <w:szCs w:val="21"/>
                <w:highlight w:val="none"/>
                <w:lang w:eastAsia="zh-CN"/>
              </w:rPr>
              <w:t>分包计划（如有）</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643B2D26">
            <w:pPr>
              <w:keepNext w:val="0"/>
              <w:keepLines/>
              <w:pageBreakBefore w:val="0"/>
              <w:widowControl w:val="0"/>
              <w:kinsoku/>
              <w:wordWrap/>
              <w:overflowPunct w:val="0"/>
              <w:topLinePunct w:val="0"/>
              <w:autoSpaceDE/>
              <w:autoSpaceDN/>
              <w:bidi w:val="0"/>
              <w:adjustRightInd/>
              <w:snapToGrid/>
              <w:spacing w:line="360" w:lineRule="auto"/>
              <w:ind w:left="108"/>
              <w:textAlignment w:val="auto"/>
              <w:rPr>
                <w:rFonts w:hint="eastAsia" w:asciiTheme="majorEastAsia" w:hAnsiTheme="majorEastAsia" w:eastAsiaTheme="majorEastAsia" w:cstheme="majorEastAsia"/>
                <w:color w:val="auto"/>
                <w:spacing w:val="-7"/>
                <w:highlight w:val="none"/>
              </w:rPr>
            </w:pPr>
            <w:r>
              <w:rPr>
                <w:rFonts w:hint="eastAsia" w:asciiTheme="majorEastAsia" w:hAnsiTheme="majorEastAsia" w:eastAsiaTheme="majorEastAsia" w:cstheme="majorEastAsia"/>
                <w:color w:val="auto"/>
                <w:spacing w:val="-7"/>
                <w:highlight w:val="none"/>
              </w:rPr>
              <w:t>符合第二章“投标人须知”第 1.11 项规定</w:t>
            </w:r>
          </w:p>
        </w:tc>
      </w:tr>
      <w:tr w14:paraId="3738919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80" w:hRule="atLeast"/>
        </w:trPr>
        <w:tc>
          <w:tcPr>
            <w:tcW w:w="990" w:type="dxa"/>
            <w:vMerge w:val="continue"/>
            <w:tcBorders>
              <w:right w:val="single" w:color="000000" w:sz="6" w:space="0"/>
            </w:tcBorders>
            <w:noWrap w:val="0"/>
            <w:tcMar>
              <w:left w:w="0" w:type="dxa"/>
              <w:right w:w="0" w:type="dxa"/>
            </w:tcMar>
            <w:vAlign w:val="center"/>
          </w:tcPr>
          <w:p w14:paraId="731008D5">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069C6BB8">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B99D870">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hint="eastAsia" w:asciiTheme="majorEastAsia" w:hAnsiTheme="majorEastAsia" w:eastAsiaTheme="majorEastAsia" w:cstheme="majorEastAsia"/>
                <w:color w:val="auto"/>
                <w:spacing w:val="-14"/>
                <w:sz w:val="21"/>
                <w:szCs w:val="21"/>
                <w:highlight w:val="none"/>
                <w:lang w:eastAsia="zh-CN"/>
              </w:rPr>
            </w:pPr>
            <w:r>
              <w:rPr>
                <w:rFonts w:hint="eastAsia" w:asciiTheme="majorEastAsia" w:hAnsiTheme="majorEastAsia" w:eastAsiaTheme="majorEastAsia" w:cstheme="majorEastAsia"/>
                <w:color w:val="auto"/>
                <w:szCs w:val="21"/>
                <w:highlight w:val="none"/>
              </w:rPr>
              <w:t>澄清、说明、</w:t>
            </w:r>
            <w:r>
              <w:rPr>
                <w:rFonts w:hint="eastAsia" w:asciiTheme="majorEastAsia" w:hAnsiTheme="majorEastAsia" w:eastAsiaTheme="majorEastAsia" w:cstheme="majorEastAsia"/>
                <w:color w:val="auto"/>
                <w:szCs w:val="21"/>
                <w:highlight w:val="none"/>
                <w:lang w:eastAsia="zh-CN"/>
              </w:rPr>
              <w:t>补正</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340212A0">
            <w:pPr>
              <w:keepNext w:val="0"/>
              <w:keepLines/>
              <w:pageBreakBefore w:val="0"/>
              <w:widowControl w:val="0"/>
              <w:kinsoku/>
              <w:wordWrap/>
              <w:overflowPunct w:val="0"/>
              <w:topLinePunct w:val="0"/>
              <w:autoSpaceDE/>
              <w:autoSpaceDN/>
              <w:bidi w:val="0"/>
              <w:adjustRightInd/>
              <w:snapToGrid/>
              <w:spacing w:line="360" w:lineRule="auto"/>
              <w:ind w:left="108"/>
              <w:textAlignment w:val="auto"/>
              <w:rPr>
                <w:rFonts w:hint="eastAsia" w:asciiTheme="majorEastAsia" w:hAnsiTheme="majorEastAsia" w:eastAsiaTheme="majorEastAsia" w:cstheme="majorEastAsia"/>
                <w:color w:val="auto"/>
                <w:spacing w:val="-7"/>
                <w:highlight w:val="none"/>
              </w:rPr>
            </w:pPr>
            <w:r>
              <w:rPr>
                <w:rFonts w:hint="eastAsia" w:asciiTheme="majorEastAsia" w:hAnsiTheme="majorEastAsia" w:eastAsiaTheme="majorEastAsia" w:cstheme="majorEastAsia"/>
                <w:color w:val="auto"/>
                <w:szCs w:val="21"/>
                <w:highlight w:val="none"/>
              </w:rPr>
              <w:t>符合评标办法正文第3.3要求。</w:t>
            </w:r>
          </w:p>
        </w:tc>
      </w:tr>
      <w:tr w14:paraId="48217E9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0" w:hRule="atLeast"/>
        </w:trPr>
        <w:tc>
          <w:tcPr>
            <w:tcW w:w="990" w:type="dxa"/>
            <w:tcBorders>
              <w:bottom w:val="single" w:color="000000" w:sz="6" w:space="0"/>
              <w:right w:val="single" w:color="000000" w:sz="6" w:space="0"/>
            </w:tcBorders>
            <w:noWrap w:val="0"/>
            <w:tcMar>
              <w:left w:w="0" w:type="dxa"/>
              <w:right w:w="0" w:type="dxa"/>
            </w:tcMar>
            <w:vAlign w:val="center"/>
          </w:tcPr>
          <w:p w14:paraId="0D076C55">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r>
              <w:rPr>
                <w:color w:val="auto"/>
                <w:highlight w:val="none"/>
              </w:rPr>
              <w:t>2.2</w:t>
            </w:r>
          </w:p>
        </w:tc>
        <w:tc>
          <w:tcPr>
            <w:tcW w:w="1211" w:type="dxa"/>
            <w:gridSpan w:val="2"/>
            <w:tcBorders>
              <w:left w:val="single" w:color="000000" w:sz="6" w:space="0"/>
              <w:bottom w:val="single" w:color="000000" w:sz="6" w:space="0"/>
              <w:right w:val="single" w:color="000000" w:sz="6" w:space="0"/>
            </w:tcBorders>
            <w:noWrap w:val="0"/>
            <w:tcMar>
              <w:left w:w="0" w:type="dxa"/>
              <w:right w:w="0" w:type="dxa"/>
            </w:tcMar>
            <w:vAlign w:val="center"/>
          </w:tcPr>
          <w:p w14:paraId="2576B272">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r>
              <w:rPr>
                <w:color w:val="auto"/>
                <w:spacing w:val="-7"/>
                <w:highlight w:val="none"/>
              </w:rPr>
              <w:t>详细评审</w:t>
            </w:r>
          </w:p>
        </w:tc>
        <w:tc>
          <w:tcPr>
            <w:tcW w:w="6980" w:type="dxa"/>
            <w:gridSpan w:val="2"/>
            <w:tcBorders>
              <w:top w:val="single" w:color="000000" w:sz="6" w:space="0"/>
              <w:left w:val="single" w:color="000000" w:sz="6" w:space="0"/>
              <w:bottom w:val="single" w:color="000000" w:sz="6" w:space="0"/>
            </w:tcBorders>
            <w:noWrap w:val="0"/>
            <w:tcMar>
              <w:left w:w="0" w:type="dxa"/>
              <w:right w:w="0" w:type="dxa"/>
            </w:tcMar>
            <w:vAlign w:val="top"/>
          </w:tcPr>
          <w:p w14:paraId="7F9B1D8A">
            <w:pPr>
              <w:pStyle w:val="153"/>
              <w:keepNext w:val="0"/>
              <w:keepLines/>
              <w:pageBreakBefore w:val="0"/>
              <w:widowControl w:val="0"/>
              <w:kinsoku/>
              <w:wordWrap/>
              <w:overflowPunct w:val="0"/>
              <w:topLinePunct w:val="0"/>
              <w:autoSpaceDE/>
              <w:autoSpaceDN/>
              <w:bidi w:val="0"/>
              <w:adjustRightInd/>
              <w:snapToGrid/>
              <w:spacing w:line="360" w:lineRule="auto"/>
              <w:ind w:left="105"/>
              <w:textAlignment w:val="auto"/>
              <w:rPr>
                <w:rFonts w:ascii="Times New Roman" w:hAnsi="Times New Roman"/>
                <w:color w:val="auto"/>
                <w:spacing w:val="-3"/>
                <w:sz w:val="21"/>
                <w:szCs w:val="21"/>
                <w:highlight w:val="none"/>
                <w:lang w:eastAsia="zh-CN"/>
              </w:rPr>
            </w:pPr>
            <w:r>
              <w:rPr>
                <w:rFonts w:ascii="Times New Roman" w:hAnsi="Times New Roman"/>
                <w:color w:val="auto"/>
                <w:highlight w:val="none"/>
                <w:lang w:eastAsia="zh-CN"/>
              </w:rPr>
              <w:t>应先对投标人进行资格审查，合格后才能进行形式性评审和响应性评审，</w:t>
            </w:r>
            <w:r>
              <w:rPr>
                <w:rFonts w:ascii="Times New Roman" w:hAnsi="Times New Roman"/>
                <w:color w:val="auto"/>
                <w:spacing w:val="-3"/>
                <w:sz w:val="21"/>
                <w:szCs w:val="21"/>
                <w:highlight w:val="none"/>
                <w:lang w:eastAsia="zh-CN"/>
              </w:rPr>
              <w:t>只有通过了形式评审和响应性评审，才能进入详细评审程序。</w:t>
            </w:r>
          </w:p>
        </w:tc>
      </w:tr>
      <w:tr w14:paraId="3E0A42E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795" w:hRule="exact"/>
        </w:trPr>
        <w:tc>
          <w:tcPr>
            <w:tcW w:w="2201" w:type="dxa"/>
            <w:gridSpan w:val="3"/>
            <w:tcBorders>
              <w:top w:val="single" w:color="000000" w:sz="6" w:space="0"/>
              <w:bottom w:val="single" w:color="000000" w:sz="6" w:space="0"/>
              <w:right w:val="single" w:color="000000" w:sz="6" w:space="0"/>
            </w:tcBorders>
            <w:noWrap w:val="0"/>
            <w:tcMar>
              <w:left w:w="0" w:type="dxa"/>
              <w:right w:w="0" w:type="dxa"/>
            </w:tcMar>
            <w:vAlign w:val="center"/>
          </w:tcPr>
          <w:p w14:paraId="08D270EB">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r>
              <w:rPr>
                <w:color w:val="auto"/>
                <w:spacing w:val="-7"/>
                <w:highlight w:val="none"/>
              </w:rPr>
              <w:t>2.2.1</w:t>
            </w: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F410763">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分值构成权重</w:t>
            </w:r>
          </w:p>
          <w:p w14:paraId="762F806D">
            <w:pPr>
              <w:pStyle w:val="153"/>
              <w:keepNext w:val="0"/>
              <w:keepLines/>
              <w:pageBreakBefore w:val="0"/>
              <w:widowControl w:val="0"/>
              <w:kinsoku/>
              <w:wordWrap/>
              <w:overflowPunct w:val="0"/>
              <w:topLinePunct w:val="0"/>
              <w:autoSpaceDE/>
              <w:autoSpaceDN/>
              <w:bidi w:val="0"/>
              <w:adjustRightInd/>
              <w:snapToGrid/>
              <w:spacing w:line="360" w:lineRule="auto"/>
              <w:ind w:right="113"/>
              <w:jc w:val="center"/>
              <w:textAlignment w:val="auto"/>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(总权重100%)</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002F8572">
            <w:pPr>
              <w:keepNext w:val="0"/>
              <w:keepLines/>
              <w:pageBreakBefore w:val="0"/>
              <w:widowControl w:val="0"/>
              <w:kinsoku/>
              <w:wordWrap/>
              <w:overflowPunct w:val="0"/>
              <w:topLinePunct w:val="0"/>
              <w:autoSpaceDE/>
              <w:autoSpaceDN/>
              <w:bidi w:val="0"/>
              <w:adjustRightInd/>
              <w:snapToGrid/>
              <w:spacing w:line="360" w:lineRule="auto"/>
              <w:ind w:left="108"/>
              <w:textAlignment w:val="auto"/>
              <w:rPr>
                <w:color w:val="auto"/>
                <w:highlight w:val="none"/>
              </w:rPr>
            </w:pPr>
            <w:r>
              <w:rPr>
                <w:color w:val="auto"/>
                <w:highlight w:val="none"/>
              </w:rPr>
              <w:t>A、商务标部分：20%</w:t>
            </w:r>
          </w:p>
          <w:p w14:paraId="0CC13440">
            <w:pPr>
              <w:keepNext w:val="0"/>
              <w:keepLines/>
              <w:pageBreakBefore w:val="0"/>
              <w:widowControl w:val="0"/>
              <w:kinsoku/>
              <w:wordWrap/>
              <w:overflowPunct w:val="0"/>
              <w:topLinePunct w:val="0"/>
              <w:autoSpaceDE/>
              <w:autoSpaceDN/>
              <w:bidi w:val="0"/>
              <w:adjustRightInd/>
              <w:snapToGrid/>
              <w:spacing w:line="360" w:lineRule="auto"/>
              <w:ind w:left="108"/>
              <w:textAlignment w:val="auto"/>
              <w:rPr>
                <w:color w:val="auto"/>
                <w:highlight w:val="none"/>
              </w:rPr>
            </w:pPr>
            <w:r>
              <w:rPr>
                <w:color w:val="auto"/>
                <w:highlight w:val="none"/>
              </w:rPr>
              <w:t>B、技术标（设计组织实施）部分：</w:t>
            </w:r>
            <w:r>
              <w:rPr>
                <w:color w:val="auto"/>
                <w:highlight w:val="none"/>
                <w:lang w:val="en"/>
              </w:rPr>
              <w:t>15</w:t>
            </w:r>
            <w:r>
              <w:rPr>
                <w:color w:val="auto"/>
                <w:highlight w:val="none"/>
              </w:rPr>
              <w:t>%</w:t>
            </w:r>
          </w:p>
          <w:p w14:paraId="303ECE3B">
            <w:pPr>
              <w:keepNext w:val="0"/>
              <w:keepLines/>
              <w:pageBreakBefore w:val="0"/>
              <w:widowControl w:val="0"/>
              <w:kinsoku/>
              <w:wordWrap/>
              <w:overflowPunct w:val="0"/>
              <w:topLinePunct w:val="0"/>
              <w:autoSpaceDE/>
              <w:autoSpaceDN/>
              <w:bidi w:val="0"/>
              <w:adjustRightInd/>
              <w:snapToGrid/>
              <w:spacing w:line="360" w:lineRule="auto"/>
              <w:ind w:left="108"/>
              <w:textAlignment w:val="auto"/>
              <w:rPr>
                <w:color w:val="auto"/>
                <w:highlight w:val="none"/>
              </w:rPr>
            </w:pPr>
            <w:r>
              <w:rPr>
                <w:color w:val="auto"/>
                <w:highlight w:val="none"/>
              </w:rPr>
              <w:t>C、设计团队部分：</w:t>
            </w:r>
            <w:r>
              <w:rPr>
                <w:rFonts w:hint="eastAsia"/>
                <w:color w:val="auto"/>
                <w:highlight w:val="none"/>
                <w:lang w:val="en-US" w:eastAsia="zh-CN"/>
              </w:rPr>
              <w:t>55</w:t>
            </w:r>
            <w:r>
              <w:rPr>
                <w:color w:val="auto"/>
                <w:highlight w:val="none"/>
              </w:rPr>
              <w:t>%</w:t>
            </w:r>
          </w:p>
          <w:p w14:paraId="75947F5E">
            <w:pPr>
              <w:keepNext w:val="0"/>
              <w:keepLines/>
              <w:pageBreakBefore w:val="0"/>
              <w:widowControl w:val="0"/>
              <w:kinsoku/>
              <w:wordWrap/>
              <w:overflowPunct w:val="0"/>
              <w:topLinePunct w:val="0"/>
              <w:autoSpaceDE/>
              <w:autoSpaceDN/>
              <w:bidi w:val="0"/>
              <w:adjustRightInd/>
              <w:snapToGrid/>
              <w:spacing w:line="360" w:lineRule="auto"/>
              <w:ind w:left="108"/>
              <w:textAlignment w:val="auto"/>
              <w:rPr>
                <w:color w:val="auto"/>
                <w:highlight w:val="none"/>
              </w:rPr>
            </w:pPr>
            <w:r>
              <w:rPr>
                <w:color w:val="auto"/>
                <w:highlight w:val="none"/>
              </w:rPr>
              <w:t>D、企业信誉实力：10%</w:t>
            </w:r>
          </w:p>
        </w:tc>
      </w:tr>
      <w:tr w14:paraId="3A5BB71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trPr>
        <w:tc>
          <w:tcPr>
            <w:tcW w:w="2201" w:type="dxa"/>
            <w:gridSpan w:val="3"/>
            <w:tcBorders>
              <w:top w:val="single" w:color="000000" w:sz="6" w:space="0"/>
              <w:bottom w:val="single" w:color="000000" w:sz="6" w:space="0"/>
              <w:right w:val="single" w:color="000000" w:sz="6" w:space="0"/>
            </w:tcBorders>
            <w:noWrap w:val="0"/>
            <w:tcMar>
              <w:left w:w="0" w:type="dxa"/>
              <w:right w:w="0" w:type="dxa"/>
            </w:tcMar>
            <w:vAlign w:val="center"/>
          </w:tcPr>
          <w:p w14:paraId="00463ABE">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r>
              <w:rPr>
                <w:color w:val="auto"/>
                <w:spacing w:val="-7"/>
                <w:highlight w:val="none"/>
              </w:rPr>
              <w:t>2.2.2</w:t>
            </w: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6A2985C">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r>
              <w:rPr>
                <w:color w:val="auto"/>
                <w:spacing w:val="-7"/>
                <w:highlight w:val="none"/>
              </w:rPr>
              <w:t>评标基准价计算方法</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3CFB8423">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r>
              <w:rPr>
                <w:color w:val="auto"/>
                <w:highlight w:val="none"/>
              </w:rPr>
              <w:t>（1）有效报价范围：为投标总价低于或等于招标控制价，通过资格评审、形式性评审、响应性评审且设计团队部分评审合格，经评标委员会审定不存在严重不平衡、不合理、不低于其企业成本的投标人投标总价。</w:t>
            </w:r>
          </w:p>
          <w:p w14:paraId="7EE511A0">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r>
              <w:rPr>
                <w:color w:val="auto"/>
                <w:highlight w:val="none"/>
              </w:rPr>
              <w:t>（2）将有效报价范围内的投标人，按其投标报价由低到高的顺序依次排出名次为B1、 B2、 B3、 ... Bn，n为有效投标人个数。</w:t>
            </w:r>
          </w:p>
          <w:p w14:paraId="71EC7CE5">
            <w:pPr>
              <w:keepNext w:val="0"/>
              <w:keepLines/>
              <w:pageBreakBefore w:val="0"/>
              <w:widowControl w:val="0"/>
              <w:kinsoku/>
              <w:wordWrap/>
              <w:overflowPunct w:val="0"/>
              <w:topLinePunct w:val="0"/>
              <w:autoSpaceDE/>
              <w:autoSpaceDN/>
              <w:bidi w:val="0"/>
              <w:adjustRightInd/>
              <w:snapToGrid/>
              <w:spacing w:line="360" w:lineRule="auto"/>
              <w:textAlignment w:val="auto"/>
              <w:rPr>
                <w:bCs/>
                <w:color w:val="auto"/>
                <w:highlight w:val="none"/>
              </w:rPr>
            </w:pPr>
            <w:r>
              <w:rPr>
                <w:bCs/>
                <w:color w:val="auto"/>
                <w:highlight w:val="none"/>
              </w:rPr>
              <w:t>（3）评标基准价（A）计算方式：</w:t>
            </w:r>
          </w:p>
          <w:p w14:paraId="05005977">
            <w:pPr>
              <w:keepNext w:val="0"/>
              <w:keepLines/>
              <w:pageBreakBefore w:val="0"/>
              <w:widowControl w:val="0"/>
              <w:kinsoku/>
              <w:wordWrap/>
              <w:overflowPunct w:val="0"/>
              <w:topLinePunct w:val="0"/>
              <w:autoSpaceDE/>
              <w:autoSpaceDN/>
              <w:bidi w:val="0"/>
              <w:adjustRightInd/>
              <w:snapToGrid/>
              <w:spacing w:line="360" w:lineRule="auto"/>
              <w:ind w:firstLine="420"/>
              <w:textAlignment w:val="auto"/>
              <w:rPr>
                <w:color w:val="auto"/>
                <w:highlight w:val="none"/>
              </w:rPr>
            </w:pPr>
            <w:r>
              <w:rPr>
                <w:color w:val="auto"/>
                <w:highlight w:val="none"/>
              </w:rPr>
              <w:t>1. 有效报价范围内的投标人在5家以上（不含5家）的，取p=（n－5）/2，p为四舍五入取整数；</w:t>
            </w:r>
          </w:p>
          <w:p w14:paraId="4A03415E">
            <w:pPr>
              <w:keepNext w:val="0"/>
              <w:keepLines/>
              <w:pageBreakBefore w:val="0"/>
              <w:widowControl w:val="0"/>
              <w:kinsoku/>
              <w:wordWrap/>
              <w:overflowPunct w:val="0"/>
              <w:topLinePunct w:val="0"/>
              <w:autoSpaceDE/>
              <w:autoSpaceDN/>
              <w:bidi w:val="0"/>
              <w:adjustRightInd/>
              <w:snapToGrid/>
              <w:spacing w:line="360" w:lineRule="auto"/>
              <w:ind w:firstLine="420"/>
              <w:textAlignment w:val="auto"/>
              <w:rPr>
                <w:color w:val="auto"/>
                <w:highlight w:val="none"/>
              </w:rPr>
            </w:pPr>
            <w:r>
              <w:rPr>
                <w:color w:val="auto"/>
                <w:highlight w:val="none"/>
              </w:rPr>
              <w:t>2. n为奇数时，从最高的投标报价</w:t>
            </w:r>
            <w:r>
              <w:rPr>
                <w:color w:val="auto"/>
                <w:kern w:val="0"/>
                <w:szCs w:val="21"/>
                <w:highlight w:val="none"/>
              </w:rPr>
              <w:t>B</w:t>
            </w:r>
            <w:r>
              <w:rPr>
                <w:color w:val="auto"/>
                <w:kern w:val="0"/>
                <w:szCs w:val="21"/>
                <w:highlight w:val="none"/>
                <w:vertAlign w:val="subscript"/>
              </w:rPr>
              <w:t>n</w:t>
            </w:r>
            <w:r>
              <w:rPr>
                <w:color w:val="auto"/>
                <w:highlight w:val="none"/>
              </w:rPr>
              <w:t>开始去掉p家投标报价和从最低的投标报价</w:t>
            </w:r>
            <w:r>
              <w:rPr>
                <w:color w:val="auto"/>
                <w:kern w:val="0"/>
                <w:szCs w:val="21"/>
                <w:highlight w:val="none"/>
              </w:rPr>
              <w:t>B</w:t>
            </w:r>
            <w:r>
              <w:rPr>
                <w:color w:val="auto"/>
                <w:kern w:val="0"/>
                <w:szCs w:val="21"/>
                <w:highlight w:val="none"/>
                <w:vertAlign w:val="subscript"/>
              </w:rPr>
              <w:t>1</w:t>
            </w:r>
            <w:r>
              <w:rPr>
                <w:color w:val="auto"/>
                <w:highlight w:val="none"/>
              </w:rPr>
              <w:t>开始去掉p家投标报价后（当出现两个或两个以上相同投标报价时，去掉一个），最后取5家有效投标人报价进入</w:t>
            </w:r>
            <w:r>
              <w:rPr>
                <w:color w:val="auto"/>
                <w:kern w:val="0"/>
                <w:szCs w:val="21"/>
                <w:highlight w:val="none"/>
              </w:rPr>
              <w:t>评标基准价（A）</w:t>
            </w:r>
            <w:r>
              <w:rPr>
                <w:color w:val="auto"/>
                <w:highlight w:val="none"/>
              </w:rPr>
              <w:t>计算范围，再取其有效报价的算术平均值作为</w:t>
            </w:r>
            <w:r>
              <w:rPr>
                <w:color w:val="auto"/>
                <w:kern w:val="0"/>
                <w:szCs w:val="21"/>
                <w:highlight w:val="none"/>
              </w:rPr>
              <w:t>评标基准价（A）</w:t>
            </w:r>
            <w:r>
              <w:rPr>
                <w:color w:val="auto"/>
                <w:highlight w:val="none"/>
              </w:rPr>
              <w:t>；</w:t>
            </w:r>
          </w:p>
          <w:p w14:paraId="74EA2992">
            <w:pPr>
              <w:keepNext w:val="0"/>
              <w:keepLines/>
              <w:pageBreakBefore w:val="0"/>
              <w:widowControl w:val="0"/>
              <w:kinsoku/>
              <w:wordWrap/>
              <w:overflowPunct w:val="0"/>
              <w:topLinePunct w:val="0"/>
              <w:autoSpaceDE/>
              <w:autoSpaceDN/>
              <w:bidi w:val="0"/>
              <w:adjustRightInd/>
              <w:snapToGrid/>
              <w:spacing w:line="360" w:lineRule="auto"/>
              <w:jc w:val="left"/>
              <w:textAlignment w:val="auto"/>
              <w:rPr>
                <w:color w:val="auto"/>
                <w:kern w:val="0"/>
                <w:sz w:val="24"/>
                <w:highlight w:val="none"/>
              </w:rPr>
            </w:pPr>
            <w:r>
              <w:rPr>
                <w:color w:val="auto"/>
                <w:szCs w:val="21"/>
                <w:highlight w:val="none"/>
              </w:rPr>
              <w:t>计算公式：</w:t>
            </w:r>
            <w:r>
              <w:rPr>
                <w:color w:val="auto"/>
                <w:kern w:val="0"/>
                <w:szCs w:val="21"/>
                <w:highlight w:val="none"/>
              </w:rPr>
              <w:t>A=（B</w:t>
            </w:r>
            <w:r>
              <w:rPr>
                <w:color w:val="auto"/>
                <w:kern w:val="0"/>
                <w:szCs w:val="21"/>
                <w:highlight w:val="none"/>
                <w:vertAlign w:val="subscript"/>
              </w:rPr>
              <w:t xml:space="preserve">(p+1)  </w:t>
            </w:r>
            <w:r>
              <w:rPr>
                <w:color w:val="auto"/>
                <w:kern w:val="0"/>
                <w:szCs w:val="21"/>
                <w:highlight w:val="none"/>
              </w:rPr>
              <w:t>+ B</w:t>
            </w:r>
            <w:r>
              <w:rPr>
                <w:color w:val="auto"/>
                <w:kern w:val="0"/>
                <w:szCs w:val="21"/>
                <w:highlight w:val="none"/>
                <w:vertAlign w:val="subscript"/>
              </w:rPr>
              <w:t>(p+2)</w:t>
            </w:r>
            <w:r>
              <w:rPr>
                <w:color w:val="auto"/>
                <w:kern w:val="0"/>
                <w:szCs w:val="21"/>
                <w:highlight w:val="none"/>
              </w:rPr>
              <w:t>+...+B</w:t>
            </w:r>
            <w:r>
              <w:rPr>
                <w:color w:val="auto"/>
                <w:kern w:val="0"/>
                <w:szCs w:val="21"/>
                <w:highlight w:val="none"/>
                <w:vertAlign w:val="subscript"/>
              </w:rPr>
              <w:t>(n-p)</w:t>
            </w:r>
            <w:r>
              <w:rPr>
                <w:color w:val="auto"/>
                <w:kern w:val="0"/>
                <w:szCs w:val="21"/>
                <w:highlight w:val="none"/>
              </w:rPr>
              <w:t>）/5</w:t>
            </w:r>
          </w:p>
          <w:p w14:paraId="3188A83C">
            <w:pPr>
              <w:keepNext w:val="0"/>
              <w:keepLines/>
              <w:pageBreakBefore w:val="0"/>
              <w:widowControl w:val="0"/>
              <w:kinsoku/>
              <w:wordWrap/>
              <w:overflowPunct w:val="0"/>
              <w:topLinePunct w:val="0"/>
              <w:autoSpaceDE/>
              <w:autoSpaceDN/>
              <w:bidi w:val="0"/>
              <w:adjustRightInd/>
              <w:snapToGrid/>
              <w:spacing w:line="360" w:lineRule="auto"/>
              <w:ind w:firstLine="420"/>
              <w:textAlignment w:val="auto"/>
              <w:rPr>
                <w:color w:val="auto"/>
                <w:szCs w:val="21"/>
                <w:highlight w:val="none"/>
              </w:rPr>
            </w:pPr>
            <w:r>
              <w:rPr>
                <w:color w:val="auto"/>
                <w:highlight w:val="none"/>
              </w:rPr>
              <w:t xml:space="preserve">3. n为偶数时，从最高的投标 </w:t>
            </w:r>
            <w:r>
              <w:rPr>
                <w:color w:val="auto"/>
                <w:kern w:val="0"/>
                <w:szCs w:val="21"/>
                <w:highlight w:val="none"/>
              </w:rPr>
              <w:t>B</w:t>
            </w:r>
            <w:r>
              <w:rPr>
                <w:color w:val="auto"/>
                <w:kern w:val="0"/>
                <w:szCs w:val="21"/>
                <w:highlight w:val="none"/>
                <w:vertAlign w:val="subscript"/>
              </w:rPr>
              <w:t>n</w:t>
            </w:r>
            <w:r>
              <w:rPr>
                <w:color w:val="auto"/>
                <w:highlight w:val="none"/>
              </w:rPr>
              <w:t>开始去掉p家投标报价和从最低的投标报价</w:t>
            </w:r>
            <w:r>
              <w:rPr>
                <w:color w:val="auto"/>
                <w:kern w:val="0"/>
                <w:szCs w:val="21"/>
                <w:highlight w:val="none"/>
              </w:rPr>
              <w:t>B</w:t>
            </w:r>
            <w:r>
              <w:rPr>
                <w:color w:val="auto"/>
                <w:kern w:val="0"/>
                <w:szCs w:val="21"/>
                <w:highlight w:val="none"/>
                <w:vertAlign w:val="subscript"/>
              </w:rPr>
              <w:t>1</w:t>
            </w:r>
            <w:r>
              <w:rPr>
                <w:color w:val="auto"/>
                <w:highlight w:val="none"/>
              </w:rPr>
              <w:t>开始去掉（p-1）家投标报价后（当出现两个或两个以上相同投标报价时，去掉一个），最后取5家有效投标人报价进入</w:t>
            </w:r>
            <w:r>
              <w:rPr>
                <w:color w:val="auto"/>
                <w:kern w:val="0"/>
                <w:szCs w:val="21"/>
                <w:highlight w:val="none"/>
              </w:rPr>
              <w:t>评标基准价（A）</w:t>
            </w:r>
            <w:r>
              <w:rPr>
                <w:color w:val="auto"/>
                <w:highlight w:val="none"/>
              </w:rPr>
              <w:t>计算范围，再取其有效报价的算术平均值作为</w:t>
            </w:r>
            <w:r>
              <w:rPr>
                <w:color w:val="auto"/>
                <w:kern w:val="0"/>
                <w:szCs w:val="21"/>
                <w:highlight w:val="none"/>
              </w:rPr>
              <w:t>评标基准价（A）</w:t>
            </w:r>
            <w:r>
              <w:rPr>
                <w:color w:val="auto"/>
                <w:szCs w:val="21"/>
                <w:highlight w:val="none"/>
              </w:rPr>
              <w:t>；</w:t>
            </w:r>
          </w:p>
          <w:p w14:paraId="063ED0F9">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szCs w:val="21"/>
                <w:highlight w:val="none"/>
              </w:rPr>
            </w:pPr>
            <w:r>
              <w:rPr>
                <w:color w:val="auto"/>
                <w:szCs w:val="21"/>
                <w:highlight w:val="none"/>
              </w:rPr>
              <w:t>计算公式：</w:t>
            </w:r>
            <w:r>
              <w:rPr>
                <w:color w:val="auto"/>
                <w:kern w:val="0"/>
                <w:szCs w:val="21"/>
                <w:highlight w:val="none"/>
              </w:rPr>
              <w:t>A=（B</w:t>
            </w:r>
            <w:r>
              <w:rPr>
                <w:color w:val="auto"/>
                <w:kern w:val="0"/>
                <w:szCs w:val="21"/>
                <w:highlight w:val="none"/>
                <w:vertAlign w:val="subscript"/>
              </w:rPr>
              <w:t xml:space="preserve">p  </w:t>
            </w:r>
            <w:r>
              <w:rPr>
                <w:color w:val="auto"/>
                <w:kern w:val="0"/>
                <w:szCs w:val="21"/>
                <w:highlight w:val="none"/>
              </w:rPr>
              <w:t>+</w:t>
            </w:r>
            <w:r>
              <w:rPr>
                <w:color w:val="auto"/>
                <w:kern w:val="0"/>
                <w:szCs w:val="21"/>
                <w:highlight w:val="none"/>
                <w:vertAlign w:val="subscript"/>
              </w:rPr>
              <w:t xml:space="preserve"> </w:t>
            </w:r>
            <w:r>
              <w:rPr>
                <w:color w:val="auto"/>
                <w:kern w:val="0"/>
                <w:szCs w:val="21"/>
                <w:highlight w:val="none"/>
              </w:rPr>
              <w:t xml:space="preserve"> B</w:t>
            </w:r>
            <w:r>
              <w:rPr>
                <w:color w:val="auto"/>
                <w:kern w:val="0"/>
                <w:szCs w:val="21"/>
                <w:highlight w:val="none"/>
                <w:vertAlign w:val="subscript"/>
              </w:rPr>
              <w:t>(p+1)</w:t>
            </w:r>
            <w:r>
              <w:rPr>
                <w:color w:val="auto"/>
                <w:kern w:val="0"/>
                <w:szCs w:val="21"/>
                <w:highlight w:val="none"/>
              </w:rPr>
              <w:t>+...+B</w:t>
            </w:r>
            <w:r>
              <w:rPr>
                <w:color w:val="auto"/>
                <w:kern w:val="0"/>
                <w:szCs w:val="21"/>
                <w:highlight w:val="none"/>
                <w:vertAlign w:val="subscript"/>
              </w:rPr>
              <w:t>(n-p)</w:t>
            </w:r>
            <w:r>
              <w:rPr>
                <w:color w:val="auto"/>
                <w:kern w:val="0"/>
                <w:szCs w:val="21"/>
                <w:highlight w:val="none"/>
              </w:rPr>
              <w:t>）/5</w:t>
            </w:r>
          </w:p>
          <w:p w14:paraId="0460927F">
            <w:pPr>
              <w:keepNext w:val="0"/>
              <w:keepLines/>
              <w:pageBreakBefore w:val="0"/>
              <w:widowControl w:val="0"/>
              <w:numPr>
                <w:ilvl w:val="0"/>
                <w:numId w:val="1"/>
              </w:numPr>
              <w:kinsoku/>
              <w:wordWrap/>
              <w:overflowPunct w:val="0"/>
              <w:topLinePunct w:val="0"/>
              <w:autoSpaceDE/>
              <w:autoSpaceDN/>
              <w:bidi w:val="0"/>
              <w:adjustRightInd/>
              <w:snapToGrid/>
              <w:spacing w:line="360" w:lineRule="auto"/>
              <w:textAlignment w:val="auto"/>
              <w:rPr>
                <w:color w:val="auto"/>
                <w:kern w:val="0"/>
                <w:szCs w:val="21"/>
                <w:highlight w:val="none"/>
              </w:rPr>
            </w:pPr>
            <w:r>
              <w:rPr>
                <w:color w:val="auto"/>
                <w:highlight w:val="none"/>
              </w:rPr>
              <w:t>有效报价范围内的投标人在5家（含5家）以下的，将全部有效报价的算术平均值作为</w:t>
            </w:r>
            <w:r>
              <w:rPr>
                <w:color w:val="auto"/>
                <w:kern w:val="0"/>
                <w:szCs w:val="21"/>
                <w:highlight w:val="none"/>
              </w:rPr>
              <w:t>评标基准价（A）</w:t>
            </w:r>
            <w:r>
              <w:rPr>
                <w:color w:val="auto"/>
                <w:highlight w:val="none"/>
              </w:rPr>
              <w:t>。计算公式：</w:t>
            </w:r>
            <w:r>
              <w:rPr>
                <w:color w:val="auto"/>
                <w:kern w:val="0"/>
                <w:szCs w:val="21"/>
                <w:highlight w:val="none"/>
              </w:rPr>
              <w:t>A=（B</w:t>
            </w:r>
            <w:r>
              <w:rPr>
                <w:color w:val="auto"/>
                <w:kern w:val="0"/>
                <w:szCs w:val="21"/>
                <w:highlight w:val="none"/>
                <w:vertAlign w:val="subscript"/>
              </w:rPr>
              <w:t>1</w:t>
            </w:r>
            <w:r>
              <w:rPr>
                <w:color w:val="auto"/>
                <w:kern w:val="0"/>
                <w:szCs w:val="21"/>
                <w:highlight w:val="none"/>
              </w:rPr>
              <w:t>+B</w:t>
            </w:r>
            <w:r>
              <w:rPr>
                <w:color w:val="auto"/>
                <w:kern w:val="0"/>
                <w:szCs w:val="21"/>
                <w:highlight w:val="none"/>
                <w:vertAlign w:val="subscript"/>
              </w:rPr>
              <w:t>2</w:t>
            </w:r>
            <w:r>
              <w:rPr>
                <w:color w:val="auto"/>
                <w:kern w:val="0"/>
                <w:szCs w:val="21"/>
                <w:highlight w:val="none"/>
              </w:rPr>
              <w:t>+B</w:t>
            </w:r>
            <w:r>
              <w:rPr>
                <w:color w:val="auto"/>
                <w:kern w:val="0"/>
                <w:szCs w:val="21"/>
                <w:highlight w:val="none"/>
                <w:vertAlign w:val="subscript"/>
              </w:rPr>
              <w:t>3</w:t>
            </w:r>
            <w:r>
              <w:rPr>
                <w:color w:val="auto"/>
                <w:kern w:val="0"/>
                <w:szCs w:val="21"/>
                <w:highlight w:val="none"/>
              </w:rPr>
              <w:t>+...+B</w:t>
            </w:r>
            <w:r>
              <w:rPr>
                <w:color w:val="auto"/>
                <w:kern w:val="0"/>
                <w:szCs w:val="21"/>
                <w:highlight w:val="none"/>
                <w:vertAlign w:val="subscript"/>
              </w:rPr>
              <w:t>n</w:t>
            </w:r>
            <w:r>
              <w:rPr>
                <w:color w:val="auto"/>
                <w:kern w:val="0"/>
                <w:szCs w:val="21"/>
                <w:highlight w:val="none"/>
              </w:rPr>
              <w:t>）/n</w:t>
            </w:r>
          </w:p>
          <w:p w14:paraId="48FC0151">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kern w:val="0"/>
                <w:sz w:val="28"/>
                <w:szCs w:val="28"/>
                <w:highlight w:val="none"/>
              </w:rPr>
            </w:pPr>
          </w:p>
        </w:tc>
      </w:tr>
      <w:tr w14:paraId="05D0E7B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4025" w:hRule="exact"/>
        </w:trPr>
        <w:tc>
          <w:tcPr>
            <w:tcW w:w="1011" w:type="dxa"/>
            <w:gridSpan w:val="2"/>
            <w:tcBorders>
              <w:top w:val="single" w:color="000000" w:sz="6" w:space="0"/>
              <w:right w:val="single" w:color="000000" w:sz="6" w:space="0"/>
            </w:tcBorders>
            <w:noWrap w:val="0"/>
            <w:tcMar>
              <w:left w:w="0" w:type="dxa"/>
              <w:right w:w="0" w:type="dxa"/>
            </w:tcMar>
            <w:vAlign w:val="center"/>
          </w:tcPr>
          <w:p w14:paraId="209E82B8">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spacing w:val="-7"/>
                <w:highlight w:val="none"/>
              </w:rPr>
            </w:pPr>
            <w:r>
              <w:rPr>
                <w:color w:val="auto"/>
                <w:spacing w:val="-7"/>
                <w:highlight w:val="none"/>
              </w:rPr>
              <w:t>2.2.2（1）</w:t>
            </w:r>
          </w:p>
        </w:tc>
        <w:tc>
          <w:tcPr>
            <w:tcW w:w="1190" w:type="dxa"/>
            <w:tcBorders>
              <w:top w:val="single" w:color="000000" w:sz="6" w:space="0"/>
              <w:left w:val="single" w:color="000000" w:sz="6" w:space="0"/>
              <w:right w:val="single" w:color="000000" w:sz="6" w:space="0"/>
            </w:tcBorders>
            <w:noWrap w:val="0"/>
            <w:tcMar>
              <w:left w:w="0" w:type="dxa"/>
              <w:right w:w="0" w:type="dxa"/>
            </w:tcMar>
            <w:vAlign w:val="center"/>
          </w:tcPr>
          <w:p w14:paraId="06B7232B">
            <w:pPr>
              <w:keepNext w:val="0"/>
              <w:keepLines/>
              <w:pageBreakBefore w:val="0"/>
              <w:widowControl w:val="0"/>
              <w:kinsoku/>
              <w:wordWrap/>
              <w:overflowPunct w:val="0"/>
              <w:topLinePunct w:val="0"/>
              <w:autoSpaceDE/>
              <w:autoSpaceDN/>
              <w:bidi w:val="0"/>
              <w:adjustRightInd/>
              <w:snapToGrid/>
              <w:spacing w:line="360" w:lineRule="auto"/>
              <w:ind w:left="142"/>
              <w:jc w:val="left"/>
              <w:textAlignment w:val="auto"/>
              <w:rPr>
                <w:color w:val="auto"/>
                <w:spacing w:val="-15"/>
                <w:szCs w:val="21"/>
                <w:highlight w:val="none"/>
              </w:rPr>
            </w:pPr>
            <w:r>
              <w:rPr>
                <w:color w:val="auto"/>
                <w:spacing w:val="-15"/>
                <w:szCs w:val="21"/>
                <w:highlight w:val="none"/>
              </w:rPr>
              <w:t>商务标</w:t>
            </w:r>
          </w:p>
          <w:p w14:paraId="4BA1738C">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spacing w:val="-7"/>
                <w:highlight w:val="none"/>
              </w:rPr>
            </w:pPr>
            <w:r>
              <w:rPr>
                <w:color w:val="auto"/>
                <w:spacing w:val="-15"/>
                <w:szCs w:val="21"/>
                <w:highlight w:val="none"/>
              </w:rPr>
              <w:t>（满分100分）</w:t>
            </w: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A85785B">
            <w:pPr>
              <w:pStyle w:val="153"/>
              <w:keepNext w:val="0"/>
              <w:keepLines/>
              <w:pageBreakBefore w:val="0"/>
              <w:widowControl w:val="0"/>
              <w:kinsoku/>
              <w:wordWrap/>
              <w:overflowPunct w:val="0"/>
              <w:topLinePunct w:val="0"/>
              <w:autoSpaceDE/>
              <w:autoSpaceDN/>
              <w:bidi w:val="0"/>
              <w:adjustRightInd/>
              <w:snapToGrid/>
              <w:spacing w:line="360" w:lineRule="auto"/>
              <w:ind w:firstLine="206" w:firstLineChars="100"/>
              <w:textAlignment w:val="auto"/>
              <w:rPr>
                <w:rFonts w:ascii="Times New Roman" w:hAnsi="Times New Roman"/>
                <w:color w:val="auto"/>
                <w:spacing w:val="-7"/>
                <w:highlight w:val="none"/>
                <w:lang w:eastAsia="zh-CN"/>
              </w:rPr>
            </w:pPr>
            <w:r>
              <w:rPr>
                <w:rFonts w:ascii="Times New Roman" w:hAnsi="Times New Roman"/>
                <w:color w:val="auto"/>
                <w:spacing w:val="-7"/>
                <w:highlight w:val="none"/>
                <w:lang w:eastAsia="zh-CN"/>
              </w:rPr>
              <w:t>投标报价评分标准</w:t>
            </w:r>
          </w:p>
          <w:p w14:paraId="6E253D5C">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spacing w:val="-7"/>
                <w:highlight w:val="none"/>
              </w:rPr>
            </w:pPr>
            <w:r>
              <w:rPr>
                <w:color w:val="auto"/>
                <w:spacing w:val="-7"/>
                <w:highlight w:val="none"/>
              </w:rPr>
              <w:t>（分值：80分）</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4F80695F">
            <w:pPr>
              <w:keepNext w:val="0"/>
              <w:keepLines/>
              <w:pageBreakBefore w:val="0"/>
              <w:widowControl w:val="0"/>
              <w:kinsoku/>
              <w:wordWrap/>
              <w:overflowPunct w:val="0"/>
              <w:topLinePunct w:val="0"/>
              <w:autoSpaceDE/>
              <w:autoSpaceDN/>
              <w:bidi w:val="0"/>
              <w:adjustRightInd/>
              <w:snapToGrid/>
              <w:spacing w:line="290" w:lineRule="exact"/>
              <w:textAlignment w:val="auto"/>
              <w:rPr>
                <w:rFonts w:hint="eastAsia" w:asciiTheme="majorEastAsia" w:hAnsiTheme="majorEastAsia" w:eastAsiaTheme="majorEastAsia" w:cstheme="majorEastAsia"/>
                <w:b/>
                <w:color w:val="auto"/>
                <w:sz w:val="18"/>
                <w:szCs w:val="18"/>
                <w:highlight w:val="none"/>
              </w:rPr>
            </w:pPr>
            <w:r>
              <w:rPr>
                <w:b/>
                <w:color w:val="auto"/>
                <w:spacing w:val="-3"/>
                <w:szCs w:val="21"/>
                <w:highlight w:val="none"/>
              </w:rPr>
              <w:t>1</w:t>
            </w:r>
            <w:r>
              <w:rPr>
                <w:rFonts w:hint="eastAsia" w:asciiTheme="majorEastAsia" w:hAnsiTheme="majorEastAsia" w:eastAsiaTheme="majorEastAsia" w:cstheme="majorEastAsia"/>
                <w:b/>
                <w:color w:val="auto"/>
                <w:spacing w:val="-3"/>
                <w:szCs w:val="21"/>
                <w:highlight w:val="none"/>
              </w:rPr>
              <w:t>.计算方式：</w:t>
            </w:r>
          </w:p>
          <w:p w14:paraId="3BCCF560">
            <w:pPr>
              <w:keepNext w:val="0"/>
              <w:keepLines/>
              <w:pageBreakBefore w:val="0"/>
              <w:widowControl w:val="0"/>
              <w:kinsoku/>
              <w:wordWrap/>
              <w:overflowPunct w:val="0"/>
              <w:topLinePunct w:val="0"/>
              <w:autoSpaceDE/>
              <w:autoSpaceDN/>
              <w:bidi w:val="0"/>
              <w:adjustRightInd/>
              <w:snapToGrid/>
              <w:spacing w:line="290" w:lineRule="exact"/>
              <w:textAlignment w:val="auto"/>
              <w:rPr>
                <w:rFonts w:hint="eastAsia" w:asciiTheme="majorEastAsia" w:hAnsiTheme="majorEastAsia" w:eastAsiaTheme="majorEastAsia" w:cstheme="majorEastAsia"/>
                <w:b/>
                <w:color w:val="auto"/>
                <w:szCs w:val="21"/>
                <w:highlight w:val="none"/>
              </w:rPr>
            </w:pPr>
            <w:r>
              <w:rPr>
                <w:rFonts w:hint="eastAsia" w:asciiTheme="majorEastAsia" w:hAnsiTheme="majorEastAsia" w:eastAsiaTheme="majorEastAsia" w:cstheme="majorEastAsia"/>
                <w:b/>
                <w:color w:val="auto"/>
                <w:szCs w:val="21"/>
                <w:highlight w:val="none"/>
              </w:rPr>
              <w:t>□固定数报价方式</w:t>
            </w:r>
          </w:p>
          <w:p w14:paraId="0BDDE15A">
            <w:pPr>
              <w:keepNext w:val="0"/>
              <w:keepLines/>
              <w:pageBreakBefore w:val="0"/>
              <w:widowControl w:val="0"/>
              <w:kinsoku/>
              <w:wordWrap/>
              <w:overflowPunct w:val="0"/>
              <w:topLinePunct w:val="0"/>
              <w:autoSpaceDE/>
              <w:autoSpaceDN/>
              <w:bidi w:val="0"/>
              <w:adjustRightInd/>
              <w:snapToGrid/>
              <w:spacing w:line="290" w:lineRule="exact"/>
              <w:jc w:val="left"/>
              <w:textAlignment w:val="auto"/>
              <w:rPr>
                <w:rFonts w:hint="eastAsia" w:asciiTheme="majorEastAsia" w:hAnsiTheme="majorEastAsia" w:eastAsiaTheme="majorEastAsia" w:cstheme="majorEastAsia"/>
                <w:color w:val="auto"/>
                <w:kern w:val="0"/>
                <w:szCs w:val="21"/>
                <w:highlight w:val="none"/>
              </w:rPr>
            </w:pPr>
            <w:r>
              <w:rPr>
                <w:rFonts w:hint="eastAsia" w:asciiTheme="majorEastAsia" w:hAnsiTheme="majorEastAsia" w:eastAsiaTheme="majorEastAsia" w:cstheme="majorEastAsia"/>
                <w:color w:val="auto"/>
                <w:kern w:val="0"/>
                <w:szCs w:val="21"/>
                <w:highlight w:val="none"/>
              </w:rPr>
              <w:t>（1）以</w:t>
            </w:r>
            <w:r>
              <w:rPr>
                <w:rFonts w:hint="eastAsia" w:asciiTheme="majorEastAsia" w:hAnsiTheme="majorEastAsia" w:eastAsiaTheme="majorEastAsia" w:cstheme="majorEastAsia"/>
                <w:color w:val="auto"/>
                <w:szCs w:val="21"/>
                <w:highlight w:val="none"/>
              </w:rPr>
              <w:t>固定数</w:t>
            </w:r>
            <w:r>
              <w:rPr>
                <w:rFonts w:hint="eastAsia" w:asciiTheme="majorEastAsia" w:hAnsiTheme="majorEastAsia" w:eastAsiaTheme="majorEastAsia" w:cstheme="majorEastAsia"/>
                <w:color w:val="auto"/>
                <w:kern w:val="0"/>
                <w:szCs w:val="21"/>
                <w:highlight w:val="none"/>
              </w:rPr>
              <w:t>报价作为评分基础。按本章2.2.2选择的方式</w:t>
            </w:r>
            <w:r>
              <w:rPr>
                <w:rFonts w:hint="eastAsia" w:asciiTheme="majorEastAsia" w:hAnsiTheme="majorEastAsia" w:eastAsiaTheme="majorEastAsia" w:cstheme="majorEastAsia"/>
                <w:b/>
                <w:bCs/>
                <w:color w:val="auto"/>
                <w:kern w:val="0"/>
                <w:szCs w:val="21"/>
                <w:highlight w:val="none"/>
              </w:rPr>
              <w:t>计算评标基准价（A）。</w:t>
            </w:r>
          </w:p>
          <w:p w14:paraId="5165667E">
            <w:pPr>
              <w:keepNext w:val="0"/>
              <w:keepLines/>
              <w:pageBreakBefore w:val="0"/>
              <w:widowControl w:val="0"/>
              <w:kinsoku/>
              <w:wordWrap/>
              <w:overflowPunct w:val="0"/>
              <w:topLinePunct w:val="0"/>
              <w:autoSpaceDE/>
              <w:autoSpaceDN/>
              <w:bidi w:val="0"/>
              <w:adjustRightInd/>
              <w:snapToGrid/>
              <w:spacing w:line="290" w:lineRule="exact"/>
              <w:textAlignment w:val="auto"/>
              <w:rPr>
                <w:rFonts w:hint="eastAsia"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kern w:val="0"/>
                <w:szCs w:val="21"/>
                <w:highlight w:val="none"/>
              </w:rPr>
              <w:t>（2）</w:t>
            </w:r>
            <w:r>
              <w:rPr>
                <w:rFonts w:hint="eastAsia" w:asciiTheme="majorEastAsia" w:hAnsiTheme="majorEastAsia" w:eastAsiaTheme="majorEastAsia" w:cstheme="majorEastAsia"/>
                <w:color w:val="auto"/>
                <w:szCs w:val="21"/>
                <w:highlight w:val="none"/>
              </w:rPr>
              <w:t>以投标报价的</w:t>
            </w:r>
            <w:r>
              <w:rPr>
                <w:rFonts w:hint="eastAsia" w:asciiTheme="majorEastAsia" w:hAnsiTheme="majorEastAsia" w:eastAsiaTheme="majorEastAsia" w:cstheme="majorEastAsia"/>
                <w:bCs/>
                <w:color w:val="auto"/>
                <w:szCs w:val="21"/>
                <w:highlight w:val="none"/>
              </w:rPr>
              <w:t>评标基准价</w:t>
            </w:r>
            <w:r>
              <w:rPr>
                <w:rFonts w:hint="eastAsia" w:asciiTheme="majorEastAsia" w:hAnsiTheme="majorEastAsia" w:eastAsiaTheme="majorEastAsia" w:cstheme="majorEastAsia"/>
                <w:color w:val="auto"/>
                <w:szCs w:val="21"/>
                <w:highlight w:val="none"/>
              </w:rPr>
              <w:t>为满分100分，采用内插法计算，投标人固定数报价（</w:t>
            </w:r>
            <w:r>
              <w:rPr>
                <w:rFonts w:hint="eastAsia" w:asciiTheme="majorEastAsia" w:hAnsiTheme="majorEastAsia" w:eastAsiaTheme="majorEastAsia" w:cstheme="majorEastAsia"/>
                <w:color w:val="auto"/>
                <w:kern w:val="0"/>
                <w:szCs w:val="21"/>
                <w:highlight w:val="none"/>
              </w:rPr>
              <w:t>B</w:t>
            </w:r>
            <w:r>
              <w:rPr>
                <w:rFonts w:hint="eastAsia" w:asciiTheme="majorEastAsia" w:hAnsiTheme="majorEastAsia" w:eastAsiaTheme="majorEastAsia" w:cstheme="majorEastAsia"/>
                <w:color w:val="auto"/>
                <w:kern w:val="0"/>
                <w:szCs w:val="21"/>
                <w:highlight w:val="none"/>
                <w:vertAlign w:val="subscript"/>
              </w:rPr>
              <w:t>n</w:t>
            </w:r>
            <w:r>
              <w:rPr>
                <w:rFonts w:hint="eastAsia" w:asciiTheme="majorEastAsia" w:hAnsiTheme="majorEastAsia" w:eastAsiaTheme="majorEastAsia" w:cstheme="majorEastAsia"/>
                <w:color w:val="auto"/>
                <w:szCs w:val="21"/>
                <w:highlight w:val="none"/>
              </w:rPr>
              <w:t>）每高于</w:t>
            </w:r>
            <w:r>
              <w:rPr>
                <w:rFonts w:hint="eastAsia" w:asciiTheme="majorEastAsia" w:hAnsiTheme="majorEastAsia" w:eastAsiaTheme="majorEastAsia" w:cstheme="majorEastAsia"/>
                <w:bCs/>
                <w:color w:val="auto"/>
                <w:szCs w:val="21"/>
                <w:highlight w:val="none"/>
              </w:rPr>
              <w:t>评标基准价</w:t>
            </w:r>
            <w:r>
              <w:rPr>
                <w:rFonts w:hint="eastAsia" w:asciiTheme="majorEastAsia" w:hAnsiTheme="majorEastAsia" w:eastAsiaTheme="majorEastAsia" w:cstheme="majorEastAsia"/>
                <w:color w:val="auto"/>
                <w:szCs w:val="21"/>
                <w:highlight w:val="none"/>
              </w:rPr>
              <w:t>1％的扣2.0分，每低于</w:t>
            </w:r>
            <w:r>
              <w:rPr>
                <w:rFonts w:hint="eastAsia" w:asciiTheme="majorEastAsia" w:hAnsiTheme="majorEastAsia" w:eastAsiaTheme="majorEastAsia" w:cstheme="majorEastAsia"/>
                <w:bCs/>
                <w:color w:val="auto"/>
                <w:szCs w:val="21"/>
                <w:highlight w:val="none"/>
              </w:rPr>
              <w:t>评标基准价（A）</w:t>
            </w:r>
            <w:r>
              <w:rPr>
                <w:rFonts w:hint="eastAsia" w:asciiTheme="majorEastAsia" w:hAnsiTheme="majorEastAsia" w:eastAsiaTheme="majorEastAsia" w:cstheme="majorEastAsia"/>
                <w:color w:val="auto"/>
                <w:szCs w:val="21"/>
                <w:highlight w:val="none"/>
              </w:rPr>
              <w:t>1％的扣1分，扣完为止，计算出投标人的投标报价得分。</w:t>
            </w:r>
          </w:p>
          <w:p w14:paraId="4F339D3C">
            <w:pPr>
              <w:keepNext w:val="0"/>
              <w:keepLines/>
              <w:pageBreakBefore w:val="0"/>
              <w:widowControl w:val="0"/>
              <w:kinsoku/>
              <w:wordWrap/>
              <w:overflowPunct w:val="0"/>
              <w:topLinePunct w:val="0"/>
              <w:autoSpaceDE/>
              <w:autoSpaceDN/>
              <w:bidi w:val="0"/>
              <w:adjustRightInd/>
              <w:snapToGrid/>
              <w:spacing w:line="290" w:lineRule="exact"/>
              <w:textAlignment w:val="auto"/>
              <w:rPr>
                <w:rFonts w:hint="eastAsia" w:asciiTheme="majorEastAsia" w:hAnsiTheme="majorEastAsia" w:eastAsiaTheme="majorEastAsia" w:cstheme="majorEastAsia"/>
                <w:color w:val="auto"/>
                <w:kern w:val="0"/>
                <w:szCs w:val="21"/>
                <w:highlight w:val="none"/>
              </w:rPr>
            </w:pPr>
            <w:r>
              <w:rPr>
                <w:rFonts w:hint="eastAsia" w:asciiTheme="majorEastAsia" w:hAnsiTheme="majorEastAsia" w:eastAsiaTheme="majorEastAsia" w:cstheme="majorEastAsia"/>
                <w:color w:val="auto"/>
                <w:szCs w:val="21"/>
                <w:highlight w:val="none"/>
              </w:rPr>
              <w:t>（3）有效报价投标人的商务标得分=该投标人的投标报价得分×</w:t>
            </w:r>
            <w:r>
              <w:rPr>
                <w:rFonts w:hint="eastAsia" w:asciiTheme="majorEastAsia" w:hAnsiTheme="majorEastAsia" w:eastAsiaTheme="majorEastAsia" w:cstheme="majorEastAsia"/>
                <w:color w:val="auto"/>
                <w:szCs w:val="21"/>
                <w:highlight w:val="none"/>
                <w:u w:val="single"/>
              </w:rPr>
              <w:t xml:space="preserve">    %</w:t>
            </w:r>
            <w:r>
              <w:rPr>
                <w:rFonts w:hint="eastAsia" w:asciiTheme="majorEastAsia" w:hAnsiTheme="majorEastAsia" w:eastAsiaTheme="majorEastAsia" w:cstheme="majorEastAsia"/>
                <w:color w:val="auto"/>
                <w:szCs w:val="21"/>
                <w:highlight w:val="none"/>
              </w:rPr>
              <w:t>（百分比为投标报价所占分值/100）。</w:t>
            </w:r>
          </w:p>
          <w:p w14:paraId="0A53B3FF">
            <w:pPr>
              <w:keepNext w:val="0"/>
              <w:keepLines/>
              <w:pageBreakBefore w:val="0"/>
              <w:widowControl w:val="0"/>
              <w:kinsoku/>
              <w:wordWrap/>
              <w:overflowPunct w:val="0"/>
              <w:topLinePunct w:val="0"/>
              <w:autoSpaceDE/>
              <w:autoSpaceDN/>
              <w:bidi w:val="0"/>
              <w:adjustRightInd/>
              <w:snapToGrid/>
              <w:spacing w:line="290" w:lineRule="exact"/>
              <w:textAlignment w:val="auto"/>
              <w:rPr>
                <w:rFonts w:hint="eastAsia" w:asciiTheme="majorEastAsia" w:hAnsiTheme="majorEastAsia" w:eastAsiaTheme="majorEastAsia" w:cstheme="majorEastAsia"/>
                <w:b/>
                <w:color w:val="auto"/>
                <w:szCs w:val="21"/>
                <w:highlight w:val="none"/>
              </w:rPr>
            </w:pPr>
            <w:r>
              <w:rPr>
                <w:rFonts w:hint="eastAsia" w:asciiTheme="majorEastAsia" w:hAnsiTheme="majorEastAsia" w:eastAsiaTheme="majorEastAsia" w:cstheme="majorEastAsia"/>
                <w:b/>
                <w:color w:val="auto"/>
                <w:szCs w:val="21"/>
                <w:highlight w:val="none"/>
              </w:rPr>
              <w:t>□费率报价方式</w:t>
            </w:r>
          </w:p>
          <w:p w14:paraId="440C0BB8">
            <w:pPr>
              <w:keepNext w:val="0"/>
              <w:keepLines/>
              <w:pageBreakBefore w:val="0"/>
              <w:widowControl w:val="0"/>
              <w:kinsoku/>
              <w:wordWrap/>
              <w:overflowPunct w:val="0"/>
              <w:topLinePunct w:val="0"/>
              <w:autoSpaceDE/>
              <w:autoSpaceDN/>
              <w:bidi w:val="0"/>
              <w:adjustRightInd/>
              <w:snapToGrid/>
              <w:spacing w:line="290" w:lineRule="exact"/>
              <w:jc w:val="left"/>
              <w:textAlignment w:val="auto"/>
              <w:rPr>
                <w:rFonts w:hint="eastAsia" w:asciiTheme="majorEastAsia" w:hAnsiTheme="majorEastAsia" w:eastAsiaTheme="majorEastAsia" w:cstheme="majorEastAsia"/>
                <w:color w:val="auto"/>
                <w:kern w:val="0"/>
                <w:szCs w:val="21"/>
                <w:highlight w:val="none"/>
              </w:rPr>
            </w:pPr>
            <w:r>
              <w:rPr>
                <w:rFonts w:hint="eastAsia" w:asciiTheme="majorEastAsia" w:hAnsiTheme="majorEastAsia" w:eastAsiaTheme="majorEastAsia" w:cstheme="majorEastAsia"/>
                <w:color w:val="auto"/>
                <w:kern w:val="0"/>
                <w:szCs w:val="21"/>
                <w:highlight w:val="none"/>
              </w:rPr>
              <w:t>（1）以</w:t>
            </w:r>
            <w:r>
              <w:rPr>
                <w:rFonts w:hint="eastAsia" w:asciiTheme="majorEastAsia" w:hAnsiTheme="majorEastAsia" w:eastAsiaTheme="majorEastAsia" w:cstheme="majorEastAsia"/>
                <w:color w:val="auto"/>
                <w:szCs w:val="21"/>
                <w:highlight w:val="none"/>
              </w:rPr>
              <w:t>费率</w:t>
            </w:r>
            <w:r>
              <w:rPr>
                <w:rFonts w:hint="eastAsia" w:asciiTheme="majorEastAsia" w:hAnsiTheme="majorEastAsia" w:eastAsiaTheme="majorEastAsia" w:cstheme="majorEastAsia"/>
                <w:color w:val="auto"/>
                <w:kern w:val="0"/>
                <w:szCs w:val="21"/>
                <w:highlight w:val="none"/>
              </w:rPr>
              <w:t>报价作为评分基础。按本章2.2.2选择的方式</w:t>
            </w:r>
            <w:r>
              <w:rPr>
                <w:rFonts w:hint="eastAsia" w:asciiTheme="majorEastAsia" w:hAnsiTheme="majorEastAsia" w:eastAsiaTheme="majorEastAsia" w:cstheme="majorEastAsia"/>
                <w:b/>
                <w:bCs/>
                <w:color w:val="auto"/>
                <w:kern w:val="0"/>
                <w:szCs w:val="21"/>
                <w:highlight w:val="none"/>
              </w:rPr>
              <w:t>计算评标基准价（A）。</w:t>
            </w:r>
          </w:p>
          <w:p w14:paraId="3432B0DE">
            <w:pPr>
              <w:keepNext w:val="0"/>
              <w:keepLines/>
              <w:pageBreakBefore w:val="0"/>
              <w:widowControl w:val="0"/>
              <w:kinsoku/>
              <w:wordWrap/>
              <w:overflowPunct w:val="0"/>
              <w:topLinePunct w:val="0"/>
              <w:autoSpaceDE/>
              <w:autoSpaceDN/>
              <w:bidi w:val="0"/>
              <w:adjustRightInd/>
              <w:snapToGrid/>
              <w:spacing w:line="290" w:lineRule="exact"/>
              <w:textAlignment w:val="auto"/>
              <w:rPr>
                <w:rFonts w:hint="eastAsia"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kern w:val="0"/>
                <w:szCs w:val="21"/>
                <w:highlight w:val="none"/>
              </w:rPr>
              <w:t>（2）</w:t>
            </w:r>
            <w:r>
              <w:rPr>
                <w:rFonts w:hint="eastAsia" w:asciiTheme="majorEastAsia" w:hAnsiTheme="majorEastAsia" w:eastAsiaTheme="majorEastAsia" w:cstheme="majorEastAsia"/>
                <w:color w:val="auto"/>
                <w:szCs w:val="21"/>
                <w:highlight w:val="none"/>
              </w:rPr>
              <w:t>以投标报价的</w:t>
            </w:r>
            <w:r>
              <w:rPr>
                <w:rFonts w:hint="eastAsia" w:asciiTheme="majorEastAsia" w:hAnsiTheme="majorEastAsia" w:eastAsiaTheme="majorEastAsia" w:cstheme="majorEastAsia"/>
                <w:bCs/>
                <w:color w:val="auto"/>
                <w:szCs w:val="21"/>
                <w:highlight w:val="none"/>
              </w:rPr>
              <w:t>评标基准价</w:t>
            </w:r>
            <w:r>
              <w:rPr>
                <w:rFonts w:hint="eastAsia" w:asciiTheme="majorEastAsia" w:hAnsiTheme="majorEastAsia" w:eastAsiaTheme="majorEastAsia" w:cstheme="majorEastAsia"/>
                <w:color w:val="auto"/>
                <w:szCs w:val="21"/>
                <w:highlight w:val="none"/>
              </w:rPr>
              <w:t>为满分100分</w:t>
            </w:r>
            <w:r>
              <w:rPr>
                <w:rFonts w:hint="eastAsia" w:asciiTheme="majorEastAsia" w:hAnsiTheme="majorEastAsia" w:eastAsiaTheme="majorEastAsia" w:cstheme="majorEastAsia"/>
                <w:color w:val="auto"/>
                <w:kern w:val="0"/>
                <w:szCs w:val="21"/>
                <w:highlight w:val="none"/>
              </w:rPr>
              <w:t>，投标人的费率报价（B</w:t>
            </w:r>
            <w:r>
              <w:rPr>
                <w:rFonts w:hint="eastAsia" w:asciiTheme="majorEastAsia" w:hAnsiTheme="majorEastAsia" w:eastAsiaTheme="majorEastAsia" w:cstheme="majorEastAsia"/>
                <w:color w:val="auto"/>
                <w:kern w:val="0"/>
                <w:szCs w:val="21"/>
                <w:highlight w:val="none"/>
                <w:vertAlign w:val="subscript"/>
              </w:rPr>
              <w:t>n</w:t>
            </w:r>
            <w:r>
              <w:rPr>
                <w:rFonts w:hint="eastAsia" w:asciiTheme="majorEastAsia" w:hAnsiTheme="majorEastAsia" w:eastAsiaTheme="majorEastAsia" w:cstheme="majorEastAsia"/>
                <w:color w:val="auto"/>
                <w:kern w:val="0"/>
                <w:szCs w:val="21"/>
                <w:highlight w:val="none"/>
              </w:rPr>
              <w:t>）大于评标基准值（A）时，B</w:t>
            </w:r>
            <w:r>
              <w:rPr>
                <w:rFonts w:hint="eastAsia" w:asciiTheme="majorEastAsia" w:hAnsiTheme="majorEastAsia" w:eastAsiaTheme="majorEastAsia" w:cstheme="majorEastAsia"/>
                <w:color w:val="auto"/>
                <w:kern w:val="0"/>
                <w:szCs w:val="21"/>
                <w:highlight w:val="none"/>
                <w:vertAlign w:val="subscript"/>
              </w:rPr>
              <w:t>n</w:t>
            </w:r>
            <w:r>
              <w:rPr>
                <w:rFonts w:hint="eastAsia" w:asciiTheme="majorEastAsia" w:hAnsiTheme="majorEastAsia" w:eastAsiaTheme="majorEastAsia" w:cstheme="majorEastAsia"/>
                <w:color w:val="auto"/>
                <w:kern w:val="0"/>
                <w:szCs w:val="21"/>
                <w:highlight w:val="none"/>
              </w:rPr>
              <w:t>-A=0.1%的</w:t>
            </w:r>
            <w:r>
              <w:rPr>
                <w:rFonts w:hint="eastAsia" w:asciiTheme="majorEastAsia" w:hAnsiTheme="majorEastAsia" w:eastAsiaTheme="majorEastAsia" w:cstheme="majorEastAsia"/>
                <w:b/>
                <w:bCs/>
                <w:color w:val="auto"/>
                <w:kern w:val="0"/>
                <w:szCs w:val="21"/>
                <w:highlight w:val="none"/>
              </w:rPr>
              <w:t>扣7分</w:t>
            </w:r>
            <w:r>
              <w:rPr>
                <w:rFonts w:hint="eastAsia" w:asciiTheme="majorEastAsia" w:hAnsiTheme="majorEastAsia" w:eastAsiaTheme="majorEastAsia" w:cstheme="majorEastAsia"/>
                <w:color w:val="auto"/>
                <w:kern w:val="0"/>
                <w:szCs w:val="21"/>
                <w:highlight w:val="none"/>
              </w:rPr>
              <w:t>，B</w:t>
            </w:r>
            <w:r>
              <w:rPr>
                <w:rFonts w:hint="eastAsia" w:asciiTheme="majorEastAsia" w:hAnsiTheme="majorEastAsia" w:eastAsiaTheme="majorEastAsia" w:cstheme="majorEastAsia"/>
                <w:color w:val="auto"/>
                <w:kern w:val="0"/>
                <w:szCs w:val="21"/>
                <w:highlight w:val="none"/>
                <w:vertAlign w:val="subscript"/>
              </w:rPr>
              <w:t>n</w:t>
            </w:r>
            <w:r>
              <w:rPr>
                <w:rFonts w:hint="eastAsia" w:asciiTheme="majorEastAsia" w:hAnsiTheme="majorEastAsia" w:eastAsiaTheme="majorEastAsia" w:cstheme="majorEastAsia"/>
                <w:color w:val="auto"/>
                <w:kern w:val="0"/>
                <w:szCs w:val="21"/>
                <w:highlight w:val="none"/>
              </w:rPr>
              <w:t>-A=0.2%的</w:t>
            </w:r>
            <w:r>
              <w:rPr>
                <w:rFonts w:hint="eastAsia" w:asciiTheme="majorEastAsia" w:hAnsiTheme="majorEastAsia" w:eastAsiaTheme="majorEastAsia" w:cstheme="majorEastAsia"/>
                <w:b/>
                <w:bCs/>
                <w:color w:val="auto"/>
                <w:kern w:val="0"/>
                <w:szCs w:val="21"/>
                <w:highlight w:val="none"/>
              </w:rPr>
              <w:t>扣7</w:t>
            </w:r>
            <w:r>
              <w:rPr>
                <w:rFonts w:hint="eastAsia" w:asciiTheme="majorEastAsia" w:hAnsiTheme="majorEastAsia" w:eastAsiaTheme="majorEastAsia" w:cstheme="majorEastAsia"/>
                <w:b/>
                <w:color w:val="auto"/>
                <w:kern w:val="0"/>
                <w:szCs w:val="21"/>
                <w:highlight w:val="none"/>
              </w:rPr>
              <w:t>×2=14</w:t>
            </w:r>
            <w:r>
              <w:rPr>
                <w:rFonts w:hint="eastAsia" w:asciiTheme="majorEastAsia" w:hAnsiTheme="majorEastAsia" w:eastAsiaTheme="majorEastAsia" w:cstheme="majorEastAsia"/>
                <w:b/>
                <w:bCs/>
                <w:color w:val="auto"/>
                <w:kern w:val="0"/>
                <w:szCs w:val="21"/>
                <w:highlight w:val="none"/>
              </w:rPr>
              <w:t>分，</w:t>
            </w:r>
            <w:r>
              <w:rPr>
                <w:rFonts w:hint="eastAsia" w:asciiTheme="majorEastAsia" w:hAnsiTheme="majorEastAsia" w:eastAsiaTheme="majorEastAsia" w:cstheme="majorEastAsia"/>
                <w:bCs/>
                <w:color w:val="auto"/>
                <w:kern w:val="0"/>
                <w:szCs w:val="21"/>
                <w:highlight w:val="none"/>
              </w:rPr>
              <w:t>以此类推，</w:t>
            </w:r>
            <w:r>
              <w:rPr>
                <w:rFonts w:hint="eastAsia" w:asciiTheme="majorEastAsia" w:hAnsiTheme="majorEastAsia" w:eastAsiaTheme="majorEastAsia" w:cstheme="majorEastAsia"/>
                <w:color w:val="auto"/>
                <w:kern w:val="0"/>
                <w:szCs w:val="21"/>
                <w:highlight w:val="none"/>
              </w:rPr>
              <w:t>扣完为止；评标基准值（A）大于某投标人的费率报价（B</w:t>
            </w:r>
            <w:r>
              <w:rPr>
                <w:rFonts w:hint="eastAsia" w:asciiTheme="majorEastAsia" w:hAnsiTheme="majorEastAsia" w:eastAsiaTheme="majorEastAsia" w:cstheme="majorEastAsia"/>
                <w:color w:val="auto"/>
                <w:kern w:val="0"/>
                <w:szCs w:val="21"/>
                <w:highlight w:val="none"/>
                <w:vertAlign w:val="subscript"/>
              </w:rPr>
              <w:t>n</w:t>
            </w:r>
            <w:r>
              <w:rPr>
                <w:rFonts w:hint="eastAsia" w:asciiTheme="majorEastAsia" w:hAnsiTheme="majorEastAsia" w:eastAsiaTheme="majorEastAsia" w:cstheme="majorEastAsia"/>
                <w:color w:val="auto"/>
                <w:kern w:val="0"/>
                <w:szCs w:val="21"/>
                <w:highlight w:val="none"/>
              </w:rPr>
              <w:t>）时，A-B</w:t>
            </w:r>
            <w:r>
              <w:rPr>
                <w:rFonts w:hint="eastAsia" w:asciiTheme="majorEastAsia" w:hAnsiTheme="majorEastAsia" w:eastAsiaTheme="majorEastAsia" w:cstheme="majorEastAsia"/>
                <w:color w:val="auto"/>
                <w:kern w:val="0"/>
                <w:szCs w:val="21"/>
                <w:highlight w:val="none"/>
                <w:vertAlign w:val="subscript"/>
              </w:rPr>
              <w:t>n</w:t>
            </w:r>
            <w:r>
              <w:rPr>
                <w:rFonts w:hint="eastAsia" w:asciiTheme="majorEastAsia" w:hAnsiTheme="majorEastAsia" w:eastAsiaTheme="majorEastAsia" w:cstheme="majorEastAsia"/>
                <w:color w:val="auto"/>
                <w:kern w:val="0"/>
                <w:szCs w:val="21"/>
                <w:highlight w:val="none"/>
              </w:rPr>
              <w:t>=0.1%的</w:t>
            </w:r>
            <w:r>
              <w:rPr>
                <w:rFonts w:hint="eastAsia" w:asciiTheme="majorEastAsia" w:hAnsiTheme="majorEastAsia" w:eastAsiaTheme="majorEastAsia" w:cstheme="majorEastAsia"/>
                <w:b/>
                <w:bCs/>
                <w:color w:val="auto"/>
                <w:kern w:val="0"/>
                <w:szCs w:val="21"/>
                <w:highlight w:val="none"/>
              </w:rPr>
              <w:t>扣5分</w:t>
            </w:r>
            <w:r>
              <w:rPr>
                <w:rFonts w:hint="eastAsia" w:asciiTheme="majorEastAsia" w:hAnsiTheme="majorEastAsia" w:eastAsiaTheme="majorEastAsia" w:cstheme="majorEastAsia"/>
                <w:color w:val="auto"/>
                <w:kern w:val="0"/>
                <w:szCs w:val="21"/>
                <w:highlight w:val="none"/>
              </w:rPr>
              <w:t>，A-B</w:t>
            </w:r>
            <w:r>
              <w:rPr>
                <w:rFonts w:hint="eastAsia" w:asciiTheme="majorEastAsia" w:hAnsiTheme="majorEastAsia" w:eastAsiaTheme="majorEastAsia" w:cstheme="majorEastAsia"/>
                <w:color w:val="auto"/>
                <w:kern w:val="0"/>
                <w:szCs w:val="21"/>
                <w:highlight w:val="none"/>
                <w:vertAlign w:val="subscript"/>
              </w:rPr>
              <w:t>n</w:t>
            </w:r>
            <w:r>
              <w:rPr>
                <w:rFonts w:hint="eastAsia" w:asciiTheme="majorEastAsia" w:hAnsiTheme="majorEastAsia" w:eastAsiaTheme="majorEastAsia" w:cstheme="majorEastAsia"/>
                <w:color w:val="auto"/>
                <w:kern w:val="0"/>
                <w:szCs w:val="21"/>
                <w:highlight w:val="none"/>
              </w:rPr>
              <w:t>=0.2%的</w:t>
            </w:r>
            <w:r>
              <w:rPr>
                <w:rFonts w:hint="eastAsia" w:asciiTheme="majorEastAsia" w:hAnsiTheme="majorEastAsia" w:eastAsiaTheme="majorEastAsia" w:cstheme="majorEastAsia"/>
                <w:b/>
                <w:bCs/>
                <w:color w:val="auto"/>
                <w:kern w:val="0"/>
                <w:szCs w:val="21"/>
                <w:highlight w:val="none"/>
              </w:rPr>
              <w:t>扣5</w:t>
            </w:r>
            <w:r>
              <w:rPr>
                <w:rFonts w:hint="eastAsia" w:asciiTheme="majorEastAsia" w:hAnsiTheme="majorEastAsia" w:eastAsiaTheme="majorEastAsia" w:cstheme="majorEastAsia"/>
                <w:b/>
                <w:color w:val="auto"/>
                <w:kern w:val="0"/>
                <w:szCs w:val="21"/>
                <w:highlight w:val="none"/>
              </w:rPr>
              <w:t>×2=10</w:t>
            </w:r>
            <w:r>
              <w:rPr>
                <w:rFonts w:hint="eastAsia" w:asciiTheme="majorEastAsia" w:hAnsiTheme="majorEastAsia" w:eastAsiaTheme="majorEastAsia" w:cstheme="majorEastAsia"/>
                <w:b/>
                <w:bCs/>
                <w:color w:val="auto"/>
                <w:kern w:val="0"/>
                <w:szCs w:val="21"/>
                <w:highlight w:val="none"/>
              </w:rPr>
              <w:t>分</w:t>
            </w:r>
            <w:r>
              <w:rPr>
                <w:rFonts w:hint="eastAsia" w:asciiTheme="majorEastAsia" w:hAnsiTheme="majorEastAsia" w:eastAsiaTheme="majorEastAsia" w:cstheme="majorEastAsia"/>
                <w:color w:val="auto"/>
                <w:kern w:val="0"/>
                <w:szCs w:val="21"/>
                <w:highlight w:val="none"/>
              </w:rPr>
              <w:t>，</w:t>
            </w:r>
            <w:r>
              <w:rPr>
                <w:rFonts w:hint="eastAsia" w:asciiTheme="majorEastAsia" w:hAnsiTheme="majorEastAsia" w:eastAsiaTheme="majorEastAsia" w:cstheme="majorEastAsia"/>
                <w:bCs/>
                <w:color w:val="auto"/>
                <w:kern w:val="0"/>
                <w:szCs w:val="21"/>
                <w:highlight w:val="none"/>
              </w:rPr>
              <w:t>以此类推，</w:t>
            </w:r>
            <w:r>
              <w:rPr>
                <w:rFonts w:hint="eastAsia" w:asciiTheme="majorEastAsia" w:hAnsiTheme="majorEastAsia" w:eastAsiaTheme="majorEastAsia" w:cstheme="majorEastAsia"/>
                <w:color w:val="auto"/>
                <w:kern w:val="0"/>
                <w:szCs w:val="21"/>
                <w:highlight w:val="none"/>
              </w:rPr>
              <w:t>扣完为止，</w:t>
            </w:r>
            <w:r>
              <w:rPr>
                <w:rFonts w:hint="eastAsia" w:asciiTheme="majorEastAsia" w:hAnsiTheme="majorEastAsia" w:eastAsiaTheme="majorEastAsia" w:cstheme="majorEastAsia"/>
                <w:color w:val="auto"/>
                <w:szCs w:val="21"/>
                <w:highlight w:val="none"/>
              </w:rPr>
              <w:t>计算出投标人的投标报价得分</w:t>
            </w:r>
            <w:r>
              <w:rPr>
                <w:rFonts w:hint="eastAsia" w:asciiTheme="majorEastAsia" w:hAnsiTheme="majorEastAsia" w:eastAsiaTheme="majorEastAsia" w:cstheme="majorEastAsia"/>
                <w:color w:val="auto"/>
                <w:kern w:val="0"/>
                <w:szCs w:val="21"/>
                <w:highlight w:val="none"/>
              </w:rPr>
              <w:t>。</w:t>
            </w:r>
          </w:p>
          <w:p w14:paraId="0E930B5C">
            <w:pPr>
              <w:keepNext w:val="0"/>
              <w:keepLines/>
              <w:pageBreakBefore w:val="0"/>
              <w:widowControl w:val="0"/>
              <w:kinsoku/>
              <w:wordWrap/>
              <w:overflowPunct w:val="0"/>
              <w:topLinePunct w:val="0"/>
              <w:autoSpaceDE/>
              <w:autoSpaceDN/>
              <w:bidi w:val="0"/>
              <w:adjustRightInd/>
              <w:snapToGrid/>
              <w:spacing w:line="290" w:lineRule="exact"/>
              <w:textAlignment w:val="auto"/>
              <w:rPr>
                <w:rFonts w:hint="eastAsia" w:asciiTheme="majorEastAsia" w:hAnsiTheme="majorEastAsia" w:eastAsiaTheme="majorEastAsia" w:cstheme="majorEastAsia"/>
                <w:color w:val="auto"/>
                <w:kern w:val="0"/>
                <w:szCs w:val="21"/>
                <w:highlight w:val="none"/>
              </w:rPr>
            </w:pPr>
            <w:r>
              <w:rPr>
                <w:rFonts w:hint="eastAsia" w:asciiTheme="majorEastAsia" w:hAnsiTheme="majorEastAsia" w:eastAsiaTheme="majorEastAsia" w:cstheme="majorEastAsia"/>
                <w:color w:val="auto"/>
                <w:szCs w:val="21"/>
                <w:highlight w:val="none"/>
              </w:rPr>
              <w:t>（3）有效报价投标人的商务标得分=该投标人的投标报价得分×</w:t>
            </w:r>
            <w:r>
              <w:rPr>
                <w:rFonts w:hint="eastAsia" w:asciiTheme="majorEastAsia" w:hAnsiTheme="majorEastAsia" w:eastAsiaTheme="majorEastAsia" w:cstheme="majorEastAsia"/>
                <w:color w:val="auto"/>
                <w:szCs w:val="21"/>
                <w:highlight w:val="none"/>
                <w:u w:val="single"/>
              </w:rPr>
              <w:t xml:space="preserve">    %</w:t>
            </w:r>
            <w:r>
              <w:rPr>
                <w:rFonts w:hint="eastAsia" w:asciiTheme="majorEastAsia" w:hAnsiTheme="majorEastAsia" w:eastAsiaTheme="majorEastAsia" w:cstheme="majorEastAsia"/>
                <w:color w:val="auto"/>
                <w:szCs w:val="21"/>
                <w:highlight w:val="none"/>
              </w:rPr>
              <w:t>（百分比为投标报价所占分值/100）。</w:t>
            </w:r>
          </w:p>
          <w:p w14:paraId="56D64DF2">
            <w:pPr>
              <w:keepNext w:val="0"/>
              <w:keepLines/>
              <w:pageBreakBefore w:val="0"/>
              <w:widowControl w:val="0"/>
              <w:kinsoku/>
              <w:wordWrap/>
              <w:overflowPunct w:val="0"/>
              <w:topLinePunct w:val="0"/>
              <w:autoSpaceDE/>
              <w:autoSpaceDN/>
              <w:bidi w:val="0"/>
              <w:adjustRightInd/>
              <w:snapToGrid/>
              <w:spacing w:line="290" w:lineRule="exact"/>
              <w:textAlignment w:val="auto"/>
              <w:rPr>
                <w:rFonts w:hint="eastAsia" w:asciiTheme="majorEastAsia" w:hAnsiTheme="majorEastAsia" w:eastAsiaTheme="majorEastAsia" w:cstheme="majorEastAsia"/>
                <w:b/>
                <w:color w:val="auto"/>
                <w:szCs w:val="21"/>
                <w:highlight w:val="none"/>
              </w:rPr>
            </w:pPr>
            <w:r>
              <w:rPr>
                <w:rFonts w:hint="eastAsia" w:asciiTheme="majorEastAsia" w:hAnsiTheme="majorEastAsia" w:eastAsiaTheme="majorEastAsia" w:cstheme="majorEastAsia"/>
                <w:b/>
                <w:color w:val="auto"/>
                <w:szCs w:val="21"/>
                <w:highlight w:val="none"/>
                <w:lang w:eastAsia="zh-CN"/>
              </w:rPr>
              <w:t>☑</w:t>
            </w:r>
            <w:r>
              <w:rPr>
                <w:rFonts w:hint="eastAsia" w:asciiTheme="majorEastAsia" w:hAnsiTheme="majorEastAsia" w:eastAsiaTheme="majorEastAsia" w:cstheme="majorEastAsia"/>
                <w:b/>
                <w:color w:val="auto"/>
                <w:szCs w:val="21"/>
                <w:highlight w:val="none"/>
              </w:rPr>
              <w:t>其他报价方式：</w:t>
            </w:r>
          </w:p>
          <w:p w14:paraId="19C9F135">
            <w:pPr>
              <w:keepNext w:val="0"/>
              <w:keepLines/>
              <w:pageBreakBefore w:val="0"/>
              <w:widowControl w:val="0"/>
              <w:kinsoku/>
              <w:wordWrap/>
              <w:overflowPunct w:val="0"/>
              <w:topLinePunct w:val="0"/>
              <w:autoSpaceDE/>
              <w:autoSpaceDN/>
              <w:bidi w:val="0"/>
              <w:adjustRightInd/>
              <w:snapToGrid/>
              <w:spacing w:line="290" w:lineRule="exact"/>
              <w:textAlignment w:val="auto"/>
              <w:rPr>
                <w:rFonts w:hint="eastAsia"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kern w:val="0"/>
                <w:szCs w:val="21"/>
                <w:highlight w:val="none"/>
              </w:rPr>
              <w:t>（1）以</w:t>
            </w:r>
            <w:r>
              <w:rPr>
                <w:rFonts w:hint="eastAsia" w:asciiTheme="majorEastAsia" w:hAnsiTheme="majorEastAsia" w:eastAsiaTheme="majorEastAsia" w:cstheme="majorEastAsia"/>
                <w:color w:val="auto"/>
                <w:szCs w:val="21"/>
                <w:highlight w:val="none"/>
              </w:rPr>
              <w:t>其他方式</w:t>
            </w:r>
            <w:r>
              <w:rPr>
                <w:rFonts w:hint="eastAsia" w:asciiTheme="majorEastAsia" w:hAnsiTheme="majorEastAsia" w:eastAsiaTheme="majorEastAsia" w:cstheme="majorEastAsia"/>
                <w:color w:val="auto"/>
                <w:kern w:val="0"/>
                <w:szCs w:val="21"/>
                <w:highlight w:val="none"/>
              </w:rPr>
              <w:t>报价作为评分基础。按本章2.2.2选择的方式</w:t>
            </w:r>
            <w:r>
              <w:rPr>
                <w:rFonts w:hint="eastAsia" w:asciiTheme="majorEastAsia" w:hAnsiTheme="majorEastAsia" w:eastAsiaTheme="majorEastAsia" w:cstheme="majorEastAsia"/>
                <w:b/>
                <w:bCs/>
                <w:color w:val="auto"/>
                <w:kern w:val="0"/>
                <w:szCs w:val="21"/>
                <w:highlight w:val="none"/>
              </w:rPr>
              <w:t>计算评标基准价（A）。</w:t>
            </w:r>
          </w:p>
          <w:p w14:paraId="6B223B9C">
            <w:pPr>
              <w:keepNext w:val="0"/>
              <w:keepLines/>
              <w:pageBreakBefore w:val="0"/>
              <w:widowControl w:val="0"/>
              <w:kinsoku/>
              <w:wordWrap/>
              <w:overflowPunct w:val="0"/>
              <w:topLinePunct w:val="0"/>
              <w:autoSpaceDE/>
              <w:autoSpaceDN/>
              <w:bidi w:val="0"/>
              <w:adjustRightInd/>
              <w:snapToGrid/>
              <w:spacing w:line="290" w:lineRule="exact"/>
              <w:textAlignment w:val="auto"/>
              <w:rPr>
                <w:rFonts w:hint="eastAsia"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（2）评分时以投标报价的</w:t>
            </w:r>
            <w:r>
              <w:rPr>
                <w:rFonts w:hint="eastAsia" w:asciiTheme="majorEastAsia" w:hAnsiTheme="majorEastAsia" w:eastAsiaTheme="majorEastAsia" w:cstheme="majorEastAsia"/>
                <w:bCs/>
                <w:color w:val="auto"/>
                <w:szCs w:val="21"/>
                <w:highlight w:val="none"/>
              </w:rPr>
              <w:t>评标基准价</w:t>
            </w:r>
            <w:r>
              <w:rPr>
                <w:rFonts w:hint="eastAsia" w:asciiTheme="majorEastAsia" w:hAnsiTheme="majorEastAsia" w:eastAsiaTheme="majorEastAsia" w:cstheme="majorEastAsia"/>
                <w:color w:val="auto"/>
                <w:szCs w:val="21"/>
                <w:highlight w:val="none"/>
              </w:rPr>
              <w:t>为满分100分，</w:t>
            </w:r>
          </w:p>
          <w:p w14:paraId="52236A0E">
            <w:pPr>
              <w:keepNext w:val="0"/>
              <w:keepLines/>
              <w:pageBreakBefore w:val="0"/>
              <w:widowControl w:val="0"/>
              <w:kinsoku/>
              <w:wordWrap/>
              <w:overflowPunct w:val="0"/>
              <w:topLinePunct w:val="0"/>
              <w:autoSpaceDE/>
              <w:autoSpaceDN/>
              <w:bidi w:val="0"/>
              <w:adjustRightInd/>
              <w:snapToGrid/>
              <w:spacing w:line="290" w:lineRule="exact"/>
              <w:jc w:val="left"/>
              <w:textAlignment w:val="auto"/>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投标人其他方式报价评分标准：</w:t>
            </w:r>
          </w:p>
          <w:p w14:paraId="7F175AD2">
            <w:pPr>
              <w:keepNext w:val="0"/>
              <w:keepLines/>
              <w:pageBreakBefore w:val="0"/>
              <w:widowControl w:val="0"/>
              <w:kinsoku/>
              <w:wordWrap/>
              <w:overflowPunct w:val="0"/>
              <w:topLinePunct w:val="0"/>
              <w:autoSpaceDE/>
              <w:autoSpaceDN/>
              <w:bidi w:val="0"/>
              <w:adjustRightInd/>
              <w:snapToGrid/>
              <w:spacing w:line="290" w:lineRule="exact"/>
              <w:jc w:val="left"/>
              <w:textAlignment w:val="auto"/>
              <w:rPr>
                <w:rFonts w:hint="eastAsia" w:asciiTheme="majorEastAsia" w:hAnsiTheme="majorEastAsia" w:eastAsiaTheme="majorEastAsia" w:cstheme="majorEastAsia"/>
                <w:color w:val="auto"/>
                <w:kern w:val="0"/>
                <w:szCs w:val="21"/>
                <w:highlight w:val="none"/>
              </w:rPr>
            </w:pPr>
            <w:r>
              <w:rPr>
                <w:rFonts w:hint="eastAsia" w:asciiTheme="majorEastAsia" w:hAnsiTheme="majorEastAsia" w:eastAsiaTheme="majorEastAsia" w:cstheme="majorEastAsia"/>
                <w:color w:val="auto"/>
                <w:kern w:val="0"/>
                <w:szCs w:val="21"/>
                <w:highlight w:val="none"/>
              </w:rPr>
              <w:t>1）以</w:t>
            </w:r>
            <w:r>
              <w:rPr>
                <w:rFonts w:hint="eastAsia" w:asciiTheme="majorEastAsia" w:hAnsiTheme="majorEastAsia" w:eastAsiaTheme="majorEastAsia" w:cstheme="majorEastAsia"/>
                <w:color w:val="auto"/>
                <w:highlight w:val="none"/>
                <w:lang w:val="en-US" w:eastAsia="zh-CN"/>
              </w:rPr>
              <w:t>折扣率</w:t>
            </w:r>
            <w:r>
              <w:rPr>
                <w:rFonts w:hint="eastAsia" w:asciiTheme="majorEastAsia" w:hAnsiTheme="majorEastAsia" w:eastAsiaTheme="majorEastAsia" w:cstheme="majorEastAsia"/>
                <w:color w:val="auto"/>
                <w:kern w:val="0"/>
                <w:szCs w:val="21"/>
                <w:highlight w:val="none"/>
              </w:rPr>
              <w:t>报价作为评分基础。按本章2.2.2选择的方式计算评标基准价（A）。</w:t>
            </w:r>
          </w:p>
          <w:p w14:paraId="3E1FE294">
            <w:pPr>
              <w:keepNext w:val="0"/>
              <w:keepLines/>
              <w:pageBreakBefore w:val="0"/>
              <w:widowControl w:val="0"/>
              <w:kinsoku/>
              <w:wordWrap/>
              <w:overflowPunct w:val="0"/>
              <w:topLinePunct w:val="0"/>
              <w:autoSpaceDE/>
              <w:autoSpaceDN/>
              <w:bidi w:val="0"/>
              <w:adjustRightInd/>
              <w:snapToGrid/>
              <w:spacing w:line="290" w:lineRule="exact"/>
              <w:textAlignment w:val="auto"/>
              <w:rPr>
                <w:rFonts w:hint="eastAsia" w:asciiTheme="majorEastAsia" w:hAnsiTheme="majorEastAsia" w:eastAsiaTheme="majorEastAsia" w:cstheme="majorEastAsia"/>
                <w:color w:val="auto"/>
                <w:szCs w:val="21"/>
                <w:highlight w:val="none"/>
                <w:lang w:eastAsia="zh-CN"/>
              </w:rPr>
            </w:pPr>
            <w:r>
              <w:rPr>
                <w:rFonts w:hint="eastAsia" w:asciiTheme="majorEastAsia" w:hAnsiTheme="majorEastAsia" w:eastAsiaTheme="majorEastAsia" w:cstheme="majorEastAsia"/>
                <w:color w:val="auto"/>
                <w:kern w:val="0"/>
                <w:szCs w:val="21"/>
                <w:highlight w:val="none"/>
              </w:rPr>
              <w:t>2）</w:t>
            </w:r>
            <w:r>
              <w:rPr>
                <w:rFonts w:hint="eastAsia" w:asciiTheme="majorEastAsia" w:hAnsiTheme="majorEastAsia" w:eastAsiaTheme="majorEastAsia" w:cstheme="majorEastAsia"/>
                <w:color w:val="auto"/>
                <w:szCs w:val="21"/>
                <w:highlight w:val="none"/>
              </w:rPr>
              <w:t>以投标报价的评标基准价为满分100分</w:t>
            </w:r>
            <w:r>
              <w:rPr>
                <w:rFonts w:hint="eastAsia" w:asciiTheme="majorEastAsia" w:hAnsiTheme="majorEastAsia" w:eastAsiaTheme="majorEastAsia" w:cstheme="majorEastAsia"/>
                <w:color w:val="auto"/>
                <w:szCs w:val="21"/>
                <w:highlight w:val="none"/>
                <w:lang w:eastAsia="zh-CN"/>
              </w:rPr>
              <w:t>。</w:t>
            </w:r>
          </w:p>
          <w:p w14:paraId="189C764C">
            <w:pPr>
              <w:keepNext w:val="0"/>
              <w:keepLines/>
              <w:pageBreakBefore w:val="0"/>
              <w:widowControl w:val="0"/>
              <w:kinsoku/>
              <w:wordWrap/>
              <w:overflowPunct w:val="0"/>
              <w:topLinePunct w:val="0"/>
              <w:autoSpaceDE/>
              <w:autoSpaceDN/>
              <w:bidi w:val="0"/>
              <w:adjustRightInd/>
              <w:snapToGrid/>
              <w:spacing w:line="290" w:lineRule="exact"/>
              <w:textAlignment w:val="auto"/>
              <w:rPr>
                <w:rFonts w:hint="eastAsia"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lang w:eastAsia="zh-CN"/>
              </w:rPr>
              <w:t>①</w:t>
            </w:r>
            <w:r>
              <w:rPr>
                <w:rFonts w:hint="eastAsia" w:asciiTheme="majorEastAsia" w:hAnsiTheme="majorEastAsia" w:eastAsiaTheme="majorEastAsia" w:cstheme="majorEastAsia"/>
                <w:color w:val="auto"/>
                <w:szCs w:val="21"/>
                <w:highlight w:val="none"/>
              </w:rPr>
              <w:t>投标人的</w:t>
            </w:r>
            <w:r>
              <w:rPr>
                <w:rFonts w:hint="eastAsia" w:asciiTheme="majorEastAsia" w:hAnsiTheme="majorEastAsia" w:eastAsiaTheme="majorEastAsia" w:cstheme="majorEastAsia"/>
                <w:color w:val="auto"/>
                <w:szCs w:val="21"/>
                <w:highlight w:val="none"/>
                <w:lang w:val="en-US" w:eastAsia="zh-CN"/>
              </w:rPr>
              <w:t>折扣率报价</w:t>
            </w:r>
            <w:r>
              <w:rPr>
                <w:rFonts w:hint="eastAsia" w:asciiTheme="majorEastAsia" w:hAnsiTheme="majorEastAsia" w:eastAsiaTheme="majorEastAsia" w:cstheme="majorEastAsia"/>
                <w:color w:val="auto"/>
                <w:szCs w:val="21"/>
                <w:highlight w:val="none"/>
              </w:rPr>
              <w:t>（Bn）大于评标基准值（A）时，</w:t>
            </w:r>
            <w:r>
              <w:rPr>
                <w:rFonts w:hint="eastAsia" w:asciiTheme="majorEastAsia" w:hAnsiTheme="majorEastAsia" w:eastAsiaTheme="majorEastAsia" w:cstheme="majorEastAsia"/>
                <w:color w:val="auto"/>
                <w:szCs w:val="21"/>
                <w:highlight w:val="none"/>
                <w:lang w:val="en-US" w:eastAsia="zh-CN"/>
              </w:rPr>
              <w:t>每大于</w:t>
            </w:r>
            <w:r>
              <w:rPr>
                <w:rFonts w:hint="eastAsia" w:asciiTheme="majorEastAsia" w:hAnsiTheme="majorEastAsia" w:eastAsiaTheme="majorEastAsia" w:cstheme="majorEastAsia"/>
                <w:color w:val="auto"/>
                <w:szCs w:val="21"/>
                <w:highlight w:val="none"/>
              </w:rPr>
              <w:t>评标基准值（A）</w:t>
            </w:r>
            <w:r>
              <w:rPr>
                <w:rFonts w:hint="eastAsia" w:asciiTheme="majorEastAsia" w:hAnsiTheme="majorEastAsia" w:eastAsiaTheme="majorEastAsia" w:cstheme="majorEastAsia"/>
                <w:color w:val="auto"/>
                <w:szCs w:val="21"/>
                <w:highlight w:val="none"/>
                <w:lang w:val="en-US" w:eastAsia="zh-CN"/>
              </w:rPr>
              <w:t>的1</w:t>
            </w:r>
            <w:r>
              <w:rPr>
                <w:rFonts w:hint="eastAsia" w:asciiTheme="majorEastAsia" w:hAnsiTheme="majorEastAsia" w:eastAsiaTheme="majorEastAsia" w:cstheme="majorEastAsia"/>
                <w:color w:val="auto"/>
                <w:szCs w:val="21"/>
                <w:highlight w:val="none"/>
              </w:rPr>
              <w:t>%</w:t>
            </w:r>
            <w:r>
              <w:rPr>
                <w:rFonts w:hint="eastAsia" w:asciiTheme="majorEastAsia" w:hAnsiTheme="majorEastAsia" w:eastAsiaTheme="majorEastAsia" w:cstheme="majorEastAsia"/>
                <w:color w:val="auto"/>
                <w:szCs w:val="21"/>
                <w:highlight w:val="none"/>
                <w:lang w:val="en-US" w:eastAsia="zh-CN"/>
              </w:rPr>
              <w:t>扣5分，</w:t>
            </w:r>
            <w:r>
              <w:rPr>
                <w:rFonts w:hint="eastAsia" w:asciiTheme="majorEastAsia" w:hAnsiTheme="majorEastAsia" w:eastAsiaTheme="majorEastAsia" w:cstheme="majorEastAsia"/>
                <w:color w:val="auto"/>
                <w:szCs w:val="21"/>
                <w:highlight w:val="none"/>
              </w:rPr>
              <w:t>扣完为止</w:t>
            </w:r>
            <w:r>
              <w:rPr>
                <w:rFonts w:hint="eastAsia" w:asciiTheme="majorEastAsia" w:hAnsiTheme="majorEastAsia" w:eastAsiaTheme="majorEastAsia" w:cstheme="majorEastAsia"/>
                <w:color w:val="auto"/>
                <w:szCs w:val="21"/>
                <w:highlight w:val="none"/>
                <w:lang w:eastAsia="zh-CN"/>
              </w:rPr>
              <w:t>。</w:t>
            </w:r>
            <w:r>
              <w:rPr>
                <w:rFonts w:hint="eastAsia" w:asciiTheme="majorEastAsia" w:hAnsiTheme="majorEastAsia" w:eastAsiaTheme="majorEastAsia" w:cstheme="majorEastAsia"/>
                <w:color w:val="auto"/>
                <w:szCs w:val="21"/>
                <w:highlight w:val="none"/>
                <w:lang w:val="en-US" w:eastAsia="zh-CN"/>
              </w:rPr>
              <w:t>具体扣分方式如下：如Bn-A为整数的，</w:t>
            </w:r>
            <w:r>
              <w:rPr>
                <w:rFonts w:hint="eastAsia" w:asciiTheme="majorEastAsia" w:hAnsiTheme="majorEastAsia" w:eastAsiaTheme="majorEastAsia" w:cstheme="majorEastAsia"/>
                <w:color w:val="auto"/>
                <w:szCs w:val="21"/>
                <w:highlight w:val="none"/>
              </w:rPr>
              <w:t>Bn-A=</w:t>
            </w:r>
            <w:r>
              <w:rPr>
                <w:rFonts w:hint="eastAsia" w:asciiTheme="majorEastAsia" w:hAnsiTheme="majorEastAsia" w:eastAsiaTheme="majorEastAsia" w:cstheme="majorEastAsia"/>
                <w:color w:val="auto"/>
                <w:szCs w:val="21"/>
                <w:highlight w:val="none"/>
                <w:lang w:val="en-US" w:eastAsia="zh-CN"/>
              </w:rPr>
              <w:t>1</w:t>
            </w:r>
            <w:r>
              <w:rPr>
                <w:rFonts w:hint="eastAsia" w:asciiTheme="majorEastAsia" w:hAnsiTheme="majorEastAsia" w:eastAsiaTheme="majorEastAsia" w:cstheme="majorEastAsia"/>
                <w:color w:val="auto"/>
                <w:szCs w:val="21"/>
                <w:highlight w:val="none"/>
              </w:rPr>
              <w:t>%的扣</w:t>
            </w:r>
            <w:r>
              <w:rPr>
                <w:rFonts w:hint="eastAsia" w:asciiTheme="majorEastAsia" w:hAnsiTheme="majorEastAsia" w:eastAsiaTheme="majorEastAsia" w:cstheme="majorEastAsia"/>
                <w:color w:val="auto"/>
                <w:szCs w:val="21"/>
                <w:highlight w:val="none"/>
                <w:lang w:val="en-US" w:eastAsia="zh-CN"/>
              </w:rPr>
              <w:t>5</w:t>
            </w:r>
            <w:r>
              <w:rPr>
                <w:rFonts w:hint="eastAsia" w:asciiTheme="majorEastAsia" w:hAnsiTheme="majorEastAsia" w:eastAsiaTheme="majorEastAsia" w:cstheme="majorEastAsia"/>
                <w:color w:val="auto"/>
                <w:szCs w:val="21"/>
                <w:highlight w:val="none"/>
              </w:rPr>
              <w:t>分，Bn-A=</w:t>
            </w:r>
            <w:r>
              <w:rPr>
                <w:rFonts w:hint="eastAsia" w:asciiTheme="majorEastAsia" w:hAnsiTheme="majorEastAsia" w:eastAsiaTheme="majorEastAsia" w:cstheme="majorEastAsia"/>
                <w:color w:val="auto"/>
                <w:szCs w:val="21"/>
                <w:highlight w:val="none"/>
                <w:lang w:val="en-US" w:eastAsia="zh-CN"/>
              </w:rPr>
              <w:t>2</w:t>
            </w:r>
            <w:r>
              <w:rPr>
                <w:rFonts w:hint="eastAsia" w:asciiTheme="majorEastAsia" w:hAnsiTheme="majorEastAsia" w:eastAsiaTheme="majorEastAsia" w:cstheme="majorEastAsia"/>
                <w:color w:val="auto"/>
                <w:szCs w:val="21"/>
                <w:highlight w:val="none"/>
              </w:rPr>
              <w:t>%的扣</w:t>
            </w:r>
            <w:r>
              <w:rPr>
                <w:rFonts w:hint="eastAsia" w:asciiTheme="majorEastAsia" w:hAnsiTheme="majorEastAsia" w:eastAsiaTheme="majorEastAsia" w:cstheme="majorEastAsia"/>
                <w:color w:val="auto"/>
                <w:szCs w:val="21"/>
                <w:highlight w:val="none"/>
                <w:lang w:val="en-US" w:eastAsia="zh-CN"/>
              </w:rPr>
              <w:t>5</w:t>
            </w:r>
            <w:r>
              <w:rPr>
                <w:rFonts w:hint="eastAsia" w:asciiTheme="majorEastAsia" w:hAnsiTheme="majorEastAsia" w:eastAsiaTheme="majorEastAsia" w:cstheme="majorEastAsia"/>
                <w:color w:val="auto"/>
                <w:szCs w:val="21"/>
                <w:highlight w:val="none"/>
              </w:rPr>
              <w:t>×2=1</w:t>
            </w:r>
            <w:r>
              <w:rPr>
                <w:rFonts w:hint="eastAsia" w:asciiTheme="majorEastAsia" w:hAnsiTheme="majorEastAsia" w:eastAsiaTheme="majorEastAsia" w:cstheme="majorEastAsia"/>
                <w:color w:val="auto"/>
                <w:szCs w:val="21"/>
                <w:highlight w:val="none"/>
                <w:lang w:val="en-US" w:eastAsia="zh-CN"/>
              </w:rPr>
              <w:t>0</w:t>
            </w:r>
            <w:r>
              <w:rPr>
                <w:rFonts w:hint="eastAsia" w:asciiTheme="majorEastAsia" w:hAnsiTheme="majorEastAsia" w:eastAsiaTheme="majorEastAsia" w:cstheme="majorEastAsia"/>
                <w:color w:val="auto"/>
                <w:szCs w:val="21"/>
                <w:highlight w:val="none"/>
              </w:rPr>
              <w:t>分，以此类推</w:t>
            </w:r>
            <w:r>
              <w:rPr>
                <w:rFonts w:hint="eastAsia" w:asciiTheme="majorEastAsia" w:hAnsiTheme="majorEastAsia" w:eastAsiaTheme="majorEastAsia" w:cstheme="majorEastAsia"/>
                <w:color w:val="auto"/>
                <w:szCs w:val="21"/>
                <w:highlight w:val="none"/>
                <w:lang w:val="en-US" w:eastAsia="zh-CN"/>
              </w:rPr>
              <w:t>。如</w:t>
            </w:r>
            <w:r>
              <w:rPr>
                <w:rFonts w:hint="eastAsia" w:asciiTheme="majorEastAsia" w:hAnsiTheme="majorEastAsia" w:eastAsiaTheme="majorEastAsia" w:cstheme="majorEastAsia"/>
                <w:color w:val="auto"/>
                <w:szCs w:val="21"/>
                <w:highlight w:val="none"/>
              </w:rPr>
              <w:t>Bn-A</w:t>
            </w:r>
            <w:r>
              <w:rPr>
                <w:rFonts w:hint="eastAsia" w:asciiTheme="majorEastAsia" w:hAnsiTheme="majorEastAsia" w:eastAsiaTheme="majorEastAsia" w:cstheme="majorEastAsia"/>
                <w:color w:val="auto"/>
                <w:szCs w:val="21"/>
                <w:highlight w:val="none"/>
                <w:lang w:val="en-US" w:eastAsia="zh-CN"/>
              </w:rPr>
              <w:t>非整数的，整数部分每大于1%扣5分，非整数不足1%的部分（C）按所占分值比例进行扣分（即：C/1%×5）【例如：当某投标人Bn-A=2.5%时，该投标人扣分：整数部分（2×5）+非整数部分（0.5%/1%×5）=12.5分】</w:t>
            </w:r>
            <w:r>
              <w:rPr>
                <w:rFonts w:hint="eastAsia" w:asciiTheme="majorEastAsia" w:hAnsiTheme="majorEastAsia" w:eastAsiaTheme="majorEastAsia" w:cstheme="majorEastAsia"/>
                <w:color w:val="auto"/>
                <w:szCs w:val="21"/>
                <w:highlight w:val="none"/>
              </w:rPr>
              <w:t>；</w:t>
            </w:r>
          </w:p>
          <w:p w14:paraId="037E98EE">
            <w:pPr>
              <w:keepNext w:val="0"/>
              <w:keepLines/>
              <w:pageBreakBefore w:val="0"/>
              <w:widowControl w:val="0"/>
              <w:kinsoku/>
              <w:wordWrap/>
              <w:overflowPunct w:val="0"/>
              <w:topLinePunct w:val="0"/>
              <w:autoSpaceDE/>
              <w:autoSpaceDN/>
              <w:bidi w:val="0"/>
              <w:adjustRightInd/>
              <w:snapToGrid/>
              <w:spacing w:line="290" w:lineRule="exact"/>
              <w:textAlignment w:val="auto"/>
              <w:rPr>
                <w:rFonts w:hint="eastAsia" w:asciiTheme="majorEastAsia" w:hAnsiTheme="majorEastAsia" w:eastAsiaTheme="majorEastAsia" w:cstheme="majorEastAsia"/>
                <w:color w:val="auto"/>
                <w:highlight w:val="none"/>
                <w:u w:val="single"/>
              </w:rPr>
            </w:pPr>
            <w:r>
              <w:rPr>
                <w:rFonts w:hint="eastAsia" w:asciiTheme="majorEastAsia" w:hAnsiTheme="majorEastAsia" w:eastAsiaTheme="majorEastAsia" w:cstheme="majorEastAsia"/>
                <w:color w:val="auto"/>
                <w:szCs w:val="21"/>
                <w:highlight w:val="none"/>
                <w:lang w:eastAsia="zh-CN"/>
              </w:rPr>
              <w:t>②</w:t>
            </w:r>
            <w:r>
              <w:rPr>
                <w:rFonts w:hint="eastAsia" w:asciiTheme="majorEastAsia" w:hAnsiTheme="majorEastAsia" w:eastAsiaTheme="majorEastAsia" w:cstheme="majorEastAsia"/>
                <w:color w:val="auto"/>
                <w:szCs w:val="21"/>
                <w:highlight w:val="none"/>
              </w:rPr>
              <w:t>投标人的</w:t>
            </w:r>
            <w:r>
              <w:rPr>
                <w:rFonts w:hint="eastAsia" w:asciiTheme="majorEastAsia" w:hAnsiTheme="majorEastAsia" w:eastAsiaTheme="majorEastAsia" w:cstheme="majorEastAsia"/>
                <w:color w:val="auto"/>
                <w:szCs w:val="21"/>
                <w:highlight w:val="none"/>
                <w:lang w:val="en-US" w:eastAsia="zh-CN"/>
              </w:rPr>
              <w:t>折扣率报价</w:t>
            </w:r>
            <w:r>
              <w:rPr>
                <w:rFonts w:hint="eastAsia" w:asciiTheme="majorEastAsia" w:hAnsiTheme="majorEastAsia" w:eastAsiaTheme="majorEastAsia" w:cstheme="majorEastAsia"/>
                <w:color w:val="auto"/>
                <w:szCs w:val="21"/>
                <w:highlight w:val="none"/>
              </w:rPr>
              <w:t>（Bn）</w:t>
            </w:r>
            <w:r>
              <w:rPr>
                <w:rFonts w:hint="eastAsia" w:asciiTheme="majorEastAsia" w:hAnsiTheme="majorEastAsia" w:eastAsiaTheme="majorEastAsia" w:cstheme="majorEastAsia"/>
                <w:color w:val="auto"/>
                <w:szCs w:val="21"/>
                <w:highlight w:val="none"/>
                <w:lang w:val="en-US" w:eastAsia="zh-CN"/>
              </w:rPr>
              <w:t>小</w:t>
            </w:r>
            <w:r>
              <w:rPr>
                <w:rFonts w:hint="eastAsia" w:asciiTheme="majorEastAsia" w:hAnsiTheme="majorEastAsia" w:eastAsiaTheme="majorEastAsia" w:cstheme="majorEastAsia"/>
                <w:color w:val="auto"/>
                <w:szCs w:val="21"/>
                <w:highlight w:val="none"/>
              </w:rPr>
              <w:t>于评标基准值（A）时，</w:t>
            </w:r>
            <w:r>
              <w:rPr>
                <w:rFonts w:hint="eastAsia" w:asciiTheme="majorEastAsia" w:hAnsiTheme="majorEastAsia" w:eastAsiaTheme="majorEastAsia" w:cstheme="majorEastAsia"/>
                <w:color w:val="auto"/>
                <w:szCs w:val="21"/>
                <w:highlight w:val="none"/>
                <w:lang w:val="en-US" w:eastAsia="zh-CN"/>
              </w:rPr>
              <w:t>每小于</w:t>
            </w:r>
            <w:r>
              <w:rPr>
                <w:rFonts w:hint="eastAsia" w:asciiTheme="majorEastAsia" w:hAnsiTheme="majorEastAsia" w:eastAsiaTheme="majorEastAsia" w:cstheme="majorEastAsia"/>
                <w:color w:val="auto"/>
                <w:szCs w:val="21"/>
                <w:highlight w:val="none"/>
              </w:rPr>
              <w:t>评标基准值（A）</w:t>
            </w:r>
            <w:r>
              <w:rPr>
                <w:rFonts w:hint="eastAsia" w:asciiTheme="majorEastAsia" w:hAnsiTheme="majorEastAsia" w:eastAsiaTheme="majorEastAsia" w:cstheme="majorEastAsia"/>
                <w:color w:val="auto"/>
                <w:szCs w:val="21"/>
                <w:highlight w:val="none"/>
                <w:lang w:val="en-US" w:eastAsia="zh-CN"/>
              </w:rPr>
              <w:t>的1</w:t>
            </w:r>
            <w:r>
              <w:rPr>
                <w:rFonts w:hint="eastAsia" w:asciiTheme="majorEastAsia" w:hAnsiTheme="majorEastAsia" w:eastAsiaTheme="majorEastAsia" w:cstheme="majorEastAsia"/>
                <w:color w:val="auto"/>
                <w:szCs w:val="21"/>
                <w:highlight w:val="none"/>
              </w:rPr>
              <w:t>%</w:t>
            </w:r>
            <w:r>
              <w:rPr>
                <w:rFonts w:hint="eastAsia" w:asciiTheme="majorEastAsia" w:hAnsiTheme="majorEastAsia" w:eastAsiaTheme="majorEastAsia" w:cstheme="majorEastAsia"/>
                <w:color w:val="auto"/>
                <w:szCs w:val="21"/>
                <w:highlight w:val="none"/>
                <w:lang w:val="en-US" w:eastAsia="zh-CN"/>
              </w:rPr>
              <w:t>扣3分，</w:t>
            </w:r>
            <w:r>
              <w:rPr>
                <w:rFonts w:hint="eastAsia" w:asciiTheme="majorEastAsia" w:hAnsiTheme="majorEastAsia" w:eastAsiaTheme="majorEastAsia" w:cstheme="majorEastAsia"/>
                <w:color w:val="auto"/>
                <w:szCs w:val="21"/>
                <w:highlight w:val="none"/>
              </w:rPr>
              <w:t>扣完为止</w:t>
            </w:r>
            <w:r>
              <w:rPr>
                <w:rFonts w:hint="eastAsia" w:asciiTheme="majorEastAsia" w:hAnsiTheme="majorEastAsia" w:eastAsiaTheme="majorEastAsia" w:cstheme="majorEastAsia"/>
                <w:color w:val="auto"/>
                <w:szCs w:val="21"/>
                <w:highlight w:val="none"/>
                <w:lang w:eastAsia="zh-CN"/>
              </w:rPr>
              <w:t>。</w:t>
            </w:r>
            <w:r>
              <w:rPr>
                <w:rFonts w:hint="eastAsia" w:asciiTheme="majorEastAsia" w:hAnsiTheme="majorEastAsia" w:eastAsiaTheme="majorEastAsia" w:cstheme="majorEastAsia"/>
                <w:color w:val="auto"/>
                <w:szCs w:val="21"/>
                <w:highlight w:val="none"/>
                <w:lang w:val="en-US" w:eastAsia="zh-CN"/>
              </w:rPr>
              <w:t>具体扣分方式如下：如A-Bn为整数的，A-Bn</w:t>
            </w:r>
            <w:r>
              <w:rPr>
                <w:rFonts w:hint="eastAsia" w:asciiTheme="majorEastAsia" w:hAnsiTheme="majorEastAsia" w:eastAsiaTheme="majorEastAsia" w:cstheme="majorEastAsia"/>
                <w:color w:val="auto"/>
                <w:szCs w:val="21"/>
                <w:highlight w:val="none"/>
              </w:rPr>
              <w:t>=</w:t>
            </w:r>
            <w:r>
              <w:rPr>
                <w:rFonts w:hint="eastAsia" w:asciiTheme="majorEastAsia" w:hAnsiTheme="majorEastAsia" w:eastAsiaTheme="majorEastAsia" w:cstheme="majorEastAsia"/>
                <w:color w:val="auto"/>
                <w:szCs w:val="21"/>
                <w:highlight w:val="none"/>
                <w:lang w:val="en-US" w:eastAsia="zh-CN"/>
              </w:rPr>
              <w:t>1</w:t>
            </w:r>
            <w:r>
              <w:rPr>
                <w:rFonts w:hint="eastAsia" w:asciiTheme="majorEastAsia" w:hAnsiTheme="majorEastAsia" w:eastAsiaTheme="majorEastAsia" w:cstheme="majorEastAsia"/>
                <w:color w:val="auto"/>
                <w:szCs w:val="21"/>
                <w:highlight w:val="none"/>
              </w:rPr>
              <w:t>%的扣</w:t>
            </w:r>
            <w:r>
              <w:rPr>
                <w:rFonts w:hint="eastAsia" w:asciiTheme="majorEastAsia" w:hAnsiTheme="majorEastAsia" w:eastAsiaTheme="majorEastAsia" w:cstheme="majorEastAsia"/>
                <w:color w:val="auto"/>
                <w:szCs w:val="21"/>
                <w:highlight w:val="none"/>
                <w:lang w:val="en-US" w:eastAsia="zh-CN"/>
              </w:rPr>
              <w:t>3</w:t>
            </w:r>
            <w:r>
              <w:rPr>
                <w:rFonts w:hint="eastAsia" w:asciiTheme="majorEastAsia" w:hAnsiTheme="majorEastAsia" w:eastAsiaTheme="majorEastAsia" w:cstheme="majorEastAsia"/>
                <w:color w:val="auto"/>
                <w:szCs w:val="21"/>
                <w:highlight w:val="none"/>
              </w:rPr>
              <w:t>分，</w:t>
            </w:r>
            <w:r>
              <w:rPr>
                <w:rFonts w:hint="eastAsia" w:asciiTheme="majorEastAsia" w:hAnsiTheme="majorEastAsia" w:eastAsiaTheme="majorEastAsia" w:cstheme="majorEastAsia"/>
                <w:color w:val="auto"/>
                <w:szCs w:val="21"/>
                <w:highlight w:val="none"/>
                <w:lang w:val="en-US" w:eastAsia="zh-CN"/>
              </w:rPr>
              <w:t>A-Bn</w:t>
            </w:r>
            <w:r>
              <w:rPr>
                <w:rFonts w:hint="eastAsia" w:asciiTheme="majorEastAsia" w:hAnsiTheme="majorEastAsia" w:eastAsiaTheme="majorEastAsia" w:cstheme="majorEastAsia"/>
                <w:color w:val="auto"/>
                <w:szCs w:val="21"/>
                <w:highlight w:val="none"/>
              </w:rPr>
              <w:t>=</w:t>
            </w:r>
            <w:r>
              <w:rPr>
                <w:rFonts w:hint="eastAsia" w:asciiTheme="majorEastAsia" w:hAnsiTheme="majorEastAsia" w:eastAsiaTheme="majorEastAsia" w:cstheme="majorEastAsia"/>
                <w:color w:val="auto"/>
                <w:szCs w:val="21"/>
                <w:highlight w:val="none"/>
                <w:lang w:val="en-US" w:eastAsia="zh-CN"/>
              </w:rPr>
              <w:t>2</w:t>
            </w:r>
            <w:r>
              <w:rPr>
                <w:rFonts w:hint="eastAsia" w:asciiTheme="majorEastAsia" w:hAnsiTheme="majorEastAsia" w:eastAsiaTheme="majorEastAsia" w:cstheme="majorEastAsia"/>
                <w:color w:val="auto"/>
                <w:szCs w:val="21"/>
                <w:highlight w:val="none"/>
              </w:rPr>
              <w:t>%的扣</w:t>
            </w:r>
            <w:r>
              <w:rPr>
                <w:rFonts w:hint="eastAsia" w:asciiTheme="majorEastAsia" w:hAnsiTheme="majorEastAsia" w:eastAsiaTheme="majorEastAsia" w:cstheme="majorEastAsia"/>
                <w:color w:val="auto"/>
                <w:szCs w:val="21"/>
                <w:highlight w:val="none"/>
                <w:lang w:val="en-US" w:eastAsia="zh-CN"/>
              </w:rPr>
              <w:t>3</w:t>
            </w:r>
            <w:r>
              <w:rPr>
                <w:rFonts w:hint="eastAsia" w:asciiTheme="majorEastAsia" w:hAnsiTheme="majorEastAsia" w:eastAsiaTheme="majorEastAsia" w:cstheme="majorEastAsia"/>
                <w:color w:val="auto"/>
                <w:szCs w:val="21"/>
                <w:highlight w:val="none"/>
              </w:rPr>
              <w:t>×2=</w:t>
            </w:r>
            <w:r>
              <w:rPr>
                <w:rFonts w:hint="eastAsia" w:asciiTheme="majorEastAsia" w:hAnsiTheme="majorEastAsia" w:eastAsiaTheme="majorEastAsia" w:cstheme="majorEastAsia"/>
                <w:color w:val="auto"/>
                <w:szCs w:val="21"/>
                <w:highlight w:val="none"/>
                <w:lang w:val="en-US" w:eastAsia="zh-CN"/>
              </w:rPr>
              <w:t>6</w:t>
            </w:r>
            <w:r>
              <w:rPr>
                <w:rFonts w:hint="eastAsia" w:asciiTheme="majorEastAsia" w:hAnsiTheme="majorEastAsia" w:eastAsiaTheme="majorEastAsia" w:cstheme="majorEastAsia"/>
                <w:color w:val="auto"/>
                <w:szCs w:val="21"/>
                <w:highlight w:val="none"/>
              </w:rPr>
              <w:t>分，以此类推</w:t>
            </w:r>
            <w:r>
              <w:rPr>
                <w:rFonts w:hint="eastAsia" w:asciiTheme="majorEastAsia" w:hAnsiTheme="majorEastAsia" w:eastAsiaTheme="majorEastAsia" w:cstheme="majorEastAsia"/>
                <w:color w:val="auto"/>
                <w:szCs w:val="21"/>
                <w:highlight w:val="none"/>
                <w:lang w:val="en-US" w:eastAsia="zh-CN"/>
              </w:rPr>
              <w:t>。如A-Bn非整数的，整数部分每小于1%扣3分，非整数不足1%的部分（C）按所占分值比例进行扣分（即：C/1%×3）【例如：当某投标人A-Bn=2.5%时，该投标人扣分：整数部分（2×3）+非整数部分（0.5%/1%×3）=7.5分】</w:t>
            </w:r>
          </w:p>
          <w:p w14:paraId="292D5EF3">
            <w:pPr>
              <w:keepNext w:val="0"/>
              <w:keepLines/>
              <w:pageBreakBefore w:val="0"/>
              <w:widowControl w:val="0"/>
              <w:kinsoku/>
              <w:wordWrap/>
              <w:overflowPunct w:val="0"/>
              <w:topLinePunct w:val="0"/>
              <w:autoSpaceDE/>
              <w:autoSpaceDN/>
              <w:bidi w:val="0"/>
              <w:adjustRightInd/>
              <w:snapToGrid/>
              <w:spacing w:line="290" w:lineRule="exact"/>
              <w:textAlignment w:val="auto"/>
              <w:rPr>
                <w:rFonts w:hint="eastAsia"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（3）有效报价投标人的商务标得分=该投标人的投标报价得分×</w:t>
            </w:r>
            <w:r>
              <w:rPr>
                <w:rFonts w:hint="eastAsia" w:asciiTheme="majorEastAsia" w:hAnsiTheme="majorEastAsia" w:eastAsiaTheme="majorEastAsia" w:cstheme="majorEastAsia"/>
                <w:color w:val="auto"/>
                <w:szCs w:val="21"/>
                <w:highlight w:val="none"/>
                <w:u w:val="single"/>
                <w:lang w:val="en-US" w:eastAsia="zh-CN"/>
              </w:rPr>
              <w:t>80</w:t>
            </w:r>
            <w:r>
              <w:rPr>
                <w:rFonts w:hint="eastAsia" w:asciiTheme="majorEastAsia" w:hAnsiTheme="majorEastAsia" w:eastAsiaTheme="majorEastAsia" w:cstheme="majorEastAsia"/>
                <w:color w:val="auto"/>
                <w:szCs w:val="21"/>
                <w:highlight w:val="none"/>
                <w:u w:val="single"/>
              </w:rPr>
              <w:t xml:space="preserve"> %</w:t>
            </w:r>
            <w:r>
              <w:rPr>
                <w:rFonts w:hint="eastAsia" w:asciiTheme="majorEastAsia" w:hAnsiTheme="majorEastAsia" w:eastAsiaTheme="majorEastAsia" w:cstheme="majorEastAsia"/>
                <w:color w:val="auto"/>
                <w:szCs w:val="21"/>
                <w:highlight w:val="none"/>
              </w:rPr>
              <w:t>（百分比为投标报价所占分值/100）。</w:t>
            </w:r>
          </w:p>
          <w:p w14:paraId="50AA25FC">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p>
        </w:tc>
      </w:tr>
      <w:tr w14:paraId="05515EA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2418" w:hRule="exact"/>
        </w:trPr>
        <w:tc>
          <w:tcPr>
            <w:tcW w:w="990" w:type="dxa"/>
            <w:vMerge w:val="restart"/>
            <w:tcBorders>
              <w:top w:val="single" w:color="000000" w:sz="6" w:space="0"/>
              <w:right w:val="single" w:color="000000" w:sz="6" w:space="0"/>
            </w:tcBorders>
            <w:noWrap w:val="0"/>
            <w:tcMar>
              <w:left w:w="0" w:type="dxa"/>
              <w:right w:w="0" w:type="dxa"/>
            </w:tcMar>
            <w:vAlign w:val="center"/>
          </w:tcPr>
          <w:p w14:paraId="24CE4CA0">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spacing w:val="-7"/>
                <w:highlight w:val="none"/>
              </w:rPr>
            </w:pPr>
          </w:p>
        </w:tc>
        <w:tc>
          <w:tcPr>
            <w:tcW w:w="1211" w:type="dxa"/>
            <w:gridSpan w:val="2"/>
            <w:vMerge w:val="restart"/>
            <w:tcBorders>
              <w:top w:val="single" w:color="000000" w:sz="6" w:space="0"/>
              <w:left w:val="single" w:color="000000" w:sz="6" w:space="0"/>
              <w:right w:val="single" w:color="000000" w:sz="6" w:space="0"/>
            </w:tcBorders>
            <w:noWrap w:val="0"/>
            <w:tcMar>
              <w:left w:w="0" w:type="dxa"/>
              <w:right w:w="0" w:type="dxa"/>
            </w:tcMar>
            <w:vAlign w:val="center"/>
          </w:tcPr>
          <w:p w14:paraId="10F1C588">
            <w:pPr>
              <w:keepNext w:val="0"/>
              <w:keepLines/>
              <w:pageBreakBefore w:val="0"/>
              <w:widowControl w:val="0"/>
              <w:kinsoku/>
              <w:wordWrap/>
              <w:overflowPunct w:val="0"/>
              <w:topLinePunct w:val="0"/>
              <w:autoSpaceDE/>
              <w:autoSpaceDN/>
              <w:bidi w:val="0"/>
              <w:adjustRightInd/>
              <w:snapToGrid/>
              <w:spacing w:line="360" w:lineRule="auto"/>
              <w:ind w:left="142"/>
              <w:jc w:val="left"/>
              <w:textAlignment w:val="auto"/>
              <w:rPr>
                <w:color w:val="auto"/>
                <w:spacing w:val="-15"/>
                <w:szCs w:val="21"/>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4E4C7B4">
            <w:pPr>
              <w:pStyle w:val="153"/>
              <w:keepNext w:val="0"/>
              <w:keepLines/>
              <w:pageBreakBefore w:val="0"/>
              <w:widowControl w:val="0"/>
              <w:kinsoku/>
              <w:wordWrap/>
              <w:overflowPunct w:val="0"/>
              <w:topLinePunct w:val="0"/>
              <w:autoSpaceDE/>
              <w:autoSpaceDN/>
              <w:bidi w:val="0"/>
              <w:adjustRightInd/>
              <w:snapToGrid/>
              <w:spacing w:line="360" w:lineRule="auto"/>
              <w:ind w:firstLine="206" w:firstLineChars="100"/>
              <w:textAlignment w:val="auto"/>
              <w:rPr>
                <w:rFonts w:ascii="Times New Roman" w:hAnsi="Times New Roman"/>
                <w:color w:val="auto"/>
                <w:spacing w:val="-7"/>
                <w:highlight w:val="none"/>
                <w:lang w:eastAsia="zh-CN"/>
              </w:rPr>
            </w:pP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264A8970">
            <w:pPr>
              <w:keepNext w:val="0"/>
              <w:keepLines/>
              <w:pageBreakBefore w:val="0"/>
              <w:widowControl w:val="0"/>
              <w:kinsoku/>
              <w:wordWrap/>
              <w:overflowPunct w:val="0"/>
              <w:topLinePunct w:val="0"/>
              <w:autoSpaceDE/>
              <w:autoSpaceDN/>
              <w:bidi w:val="0"/>
              <w:adjustRightInd/>
              <w:snapToGrid/>
              <w:spacing w:line="360" w:lineRule="auto"/>
              <w:textAlignment w:val="auto"/>
              <w:rPr>
                <w:b/>
                <w:bCs/>
                <w:color w:val="auto"/>
                <w:highlight w:val="none"/>
              </w:rPr>
            </w:pPr>
            <w:r>
              <w:rPr>
                <w:color w:val="auto"/>
                <w:highlight w:val="none"/>
              </w:rPr>
              <w:t>2.</w:t>
            </w:r>
            <w:r>
              <w:rPr>
                <w:b/>
                <w:color w:val="auto"/>
                <w:highlight w:val="none"/>
              </w:rPr>
              <w:t xml:space="preserve"> 非专门面向中小企业采购、接受联合体或允许分包的政府采购服务项目</w:t>
            </w:r>
            <w:r>
              <w:rPr>
                <w:b/>
                <w:bCs/>
                <w:color w:val="auto"/>
                <w:highlight w:val="none"/>
              </w:rPr>
              <w:t>报价分加分方法</w:t>
            </w:r>
          </w:p>
          <w:p w14:paraId="2BAA5562">
            <w:pPr>
              <w:keepNext w:val="0"/>
              <w:keepLines/>
              <w:pageBreakBefore w:val="0"/>
              <w:widowControl w:val="0"/>
              <w:kinsoku/>
              <w:wordWrap/>
              <w:overflowPunct w:val="0"/>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按上述两种方法之一计算出报价分后，</w:t>
            </w:r>
          </w:p>
          <w:p w14:paraId="16FECA52">
            <w:pPr>
              <w:keepNext w:val="0"/>
              <w:keepLines/>
              <w:pageBreakBefore w:val="0"/>
              <w:widowControl w:val="0"/>
              <w:kinsoku/>
              <w:wordWrap/>
              <w:overflowPunct w:val="0"/>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如本项目为第二章“投标人须知”第1.4.1项规定的未预留份额专门面向中小企业采购的采购项目，评标委员会应当对满足第二章“投标人须知前附表”10.11项规定的小微企业报价分给予3%的加分，用加分后的报价分计算汇总得分。</w:t>
            </w:r>
          </w:p>
          <w:p w14:paraId="12FF301C">
            <w:pPr>
              <w:keepNext w:val="0"/>
              <w:keepLines/>
              <w:pageBreakBefore w:val="0"/>
              <w:widowControl w:val="0"/>
              <w:kinsoku/>
              <w:wordWrap/>
              <w:overflowPunct w:val="0"/>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如第二章“投标人须知前附表”1.4.2项接受联合体投标时投标人为大中型企业与小微企业组成联合体，且投标文件所附联合协议约定小微企业的合同份额占到合同总金额 30%以上的；或者第二章“投标人须知前附表”1.11项允许分包时投标人为大中型企业并在投标文件中明确向一家或者多家小微企业分包，且投标文件所附分包意向协议约定小微企业的合同份额占到合同总金额 30%以上的；评标委员会应当对联合体或者大中型企业的价格分加权分给予 1%的加分，用加分后的报价分计算汇总得分。组成联合体或者接受分包的小微企业与联合体内其他企业、分包企业之间存在直接控股、管理关系的，不享受以上价格优惠政策。</w:t>
            </w:r>
          </w:p>
          <w:p w14:paraId="2C60CB24">
            <w:pPr>
              <w:keepNext w:val="0"/>
              <w:keepLines/>
              <w:pageBreakBefore w:val="0"/>
              <w:widowControl w:val="0"/>
              <w:kinsoku/>
              <w:wordWrap/>
              <w:overflowPunct w:val="0"/>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注：如某投标人报价分已是满分，符合上述规定时仍给予加分。</w:t>
            </w:r>
          </w:p>
          <w:p w14:paraId="1661C7C3">
            <w:pPr>
              <w:keepNext w:val="0"/>
              <w:keepLines/>
              <w:pageBreakBefore w:val="0"/>
              <w:widowControl w:val="0"/>
              <w:tabs>
                <w:tab w:val="left" w:pos="3234"/>
              </w:tabs>
              <w:kinsoku/>
              <w:wordWrap/>
              <w:overflowPunct w:val="0"/>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例：某项目采用方法一计算价格分，投标报价分满分为70分，某投标人为小微企业，价格分为70分，则其计入汇总得分的价格分应为70*（1+3%）=72.1分。</w:t>
            </w:r>
          </w:p>
          <w:p w14:paraId="47C57AF0">
            <w:pPr>
              <w:keepNext w:val="0"/>
              <w:keepLines/>
              <w:pageBreakBefore w:val="0"/>
              <w:widowControl w:val="0"/>
              <w:kinsoku/>
              <w:wordWrap/>
              <w:overflowPunct w:val="0"/>
              <w:topLinePunct w:val="0"/>
              <w:autoSpaceDE/>
              <w:autoSpaceDN/>
              <w:bidi w:val="0"/>
              <w:adjustRightInd/>
              <w:snapToGrid/>
              <w:spacing w:line="360" w:lineRule="auto"/>
              <w:ind w:firstLine="420" w:firstLineChars="200"/>
              <w:textAlignment w:val="auto"/>
              <w:rPr>
                <w:color w:val="auto"/>
                <w:highlight w:val="none"/>
              </w:rPr>
            </w:pPr>
            <w:r>
              <w:rPr>
                <w:color w:val="auto"/>
                <w:szCs w:val="21"/>
                <w:highlight w:val="none"/>
              </w:rPr>
              <w:t>报价最后得分=报价加权得分+小微企业或残疾人或监狱企业加分（如有）</w:t>
            </w:r>
          </w:p>
          <w:p w14:paraId="3EFDE61E">
            <w:pPr>
              <w:keepNext w:val="0"/>
              <w:keepLines/>
              <w:pageBreakBefore w:val="0"/>
              <w:widowControl w:val="0"/>
              <w:kinsoku/>
              <w:wordWrap/>
              <w:overflowPunct w:val="0"/>
              <w:topLinePunct w:val="0"/>
              <w:autoSpaceDE/>
              <w:autoSpaceDN/>
              <w:bidi w:val="0"/>
              <w:adjustRightInd/>
              <w:snapToGrid/>
              <w:spacing w:line="360" w:lineRule="auto"/>
              <w:textAlignment w:val="auto"/>
              <w:rPr>
                <w:b/>
                <w:color w:val="auto"/>
                <w:spacing w:val="-3"/>
                <w:szCs w:val="21"/>
                <w:highlight w:val="none"/>
              </w:rPr>
            </w:pPr>
          </w:p>
        </w:tc>
      </w:tr>
      <w:tr w14:paraId="2343E97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645" w:hRule="exact"/>
        </w:trPr>
        <w:tc>
          <w:tcPr>
            <w:tcW w:w="990" w:type="dxa"/>
            <w:vMerge w:val="continue"/>
            <w:tcBorders>
              <w:bottom w:val="single" w:color="000000" w:sz="6" w:space="0"/>
              <w:right w:val="single" w:color="000000" w:sz="6" w:space="0"/>
            </w:tcBorders>
            <w:noWrap w:val="0"/>
            <w:tcMar>
              <w:left w:w="0" w:type="dxa"/>
              <w:right w:w="0" w:type="dxa"/>
            </w:tcMar>
            <w:vAlign w:val="center"/>
          </w:tcPr>
          <w:p w14:paraId="307402ED">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spacing w:val="-7"/>
                <w:highlight w:val="none"/>
              </w:rPr>
            </w:pPr>
          </w:p>
        </w:tc>
        <w:tc>
          <w:tcPr>
            <w:tcW w:w="1211" w:type="dxa"/>
            <w:gridSpan w:val="2"/>
            <w:vMerge w:val="continue"/>
            <w:tcBorders>
              <w:left w:val="single" w:color="000000" w:sz="6" w:space="0"/>
              <w:bottom w:val="single" w:color="000000" w:sz="6" w:space="0"/>
              <w:right w:val="single" w:color="000000" w:sz="6" w:space="0"/>
            </w:tcBorders>
            <w:noWrap w:val="0"/>
            <w:tcMar>
              <w:left w:w="0" w:type="dxa"/>
              <w:right w:w="0" w:type="dxa"/>
            </w:tcMar>
            <w:vAlign w:val="center"/>
          </w:tcPr>
          <w:p w14:paraId="46872A99">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spacing w:val="-7"/>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83F045B">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spacing w:val="-7"/>
                <w:highlight w:val="none"/>
              </w:rPr>
            </w:pPr>
            <w:r>
              <w:rPr>
                <w:color w:val="auto"/>
                <w:spacing w:val="-7"/>
                <w:highlight w:val="none"/>
              </w:rPr>
              <w:t>资信业绩</w:t>
            </w:r>
          </w:p>
          <w:p w14:paraId="2D464309">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spacing w:val="-7"/>
                <w:highlight w:val="none"/>
              </w:rPr>
            </w:pPr>
            <w:r>
              <w:rPr>
                <w:color w:val="auto"/>
                <w:spacing w:val="-7"/>
                <w:highlight w:val="none"/>
              </w:rPr>
              <w:t>（分值：20分）</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345B75D4">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r>
              <w:rPr>
                <w:color w:val="auto"/>
                <w:highlight w:val="none"/>
              </w:rPr>
              <w:t>近</w:t>
            </w:r>
            <w:r>
              <w:rPr>
                <w:rFonts w:hint="eastAsia"/>
                <w:color w:val="auto"/>
                <w:highlight w:val="none"/>
                <w:u w:val="single"/>
              </w:rPr>
              <w:t>三</w:t>
            </w:r>
            <w:r>
              <w:rPr>
                <w:rFonts w:hint="eastAsia"/>
                <w:color w:val="auto"/>
                <w:highlight w:val="none"/>
              </w:rPr>
              <w:t>年</w:t>
            </w:r>
            <w:r>
              <w:rPr>
                <w:rFonts w:hint="eastAsia"/>
                <w:color w:val="auto"/>
                <w:szCs w:val="21"/>
                <w:highlight w:val="none"/>
                <w:u w:val="single"/>
              </w:rPr>
              <w:t>（202</w:t>
            </w:r>
            <w:r>
              <w:rPr>
                <w:rFonts w:hint="eastAsia"/>
                <w:color w:val="auto"/>
                <w:szCs w:val="21"/>
                <w:highlight w:val="none"/>
                <w:u w:val="single"/>
                <w:lang w:val="en-US" w:eastAsia="zh-CN"/>
              </w:rPr>
              <w:t>3</w:t>
            </w:r>
            <w:r>
              <w:rPr>
                <w:rFonts w:hint="eastAsia"/>
                <w:color w:val="auto"/>
                <w:szCs w:val="21"/>
                <w:highlight w:val="none"/>
                <w:u w:val="single"/>
              </w:rPr>
              <w:t>年</w:t>
            </w:r>
            <w:r>
              <w:rPr>
                <w:rFonts w:hint="eastAsia"/>
                <w:color w:val="auto"/>
                <w:szCs w:val="21"/>
                <w:highlight w:val="none"/>
                <w:u w:val="single"/>
                <w:lang w:val="en-US" w:eastAsia="zh-CN"/>
              </w:rPr>
              <w:t>1</w:t>
            </w:r>
            <w:r>
              <w:rPr>
                <w:rFonts w:hint="eastAsia"/>
                <w:color w:val="auto"/>
                <w:szCs w:val="21"/>
                <w:highlight w:val="none"/>
                <w:u w:val="single"/>
              </w:rPr>
              <w:t>月1日至投标截止日前）</w:t>
            </w:r>
            <w:r>
              <w:rPr>
                <w:color w:val="auto"/>
                <w:highlight w:val="none"/>
              </w:rPr>
              <w:t>完成的类似工程设计项目情况表、正在实施和新承接的项目情况表（如有）</w:t>
            </w:r>
          </w:p>
          <w:p w14:paraId="16877569">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r>
              <w:rPr>
                <w:color w:val="auto"/>
                <w:highlight w:val="none"/>
              </w:rPr>
              <w:t>评分规则：</w:t>
            </w:r>
            <w:r>
              <w:rPr>
                <w:rFonts w:hint="eastAsia"/>
                <w:color w:val="auto"/>
                <w:highlight w:val="none"/>
                <w:u w:val="single"/>
              </w:rPr>
              <w:t>每有1个类似工程设计项目得</w:t>
            </w:r>
            <w:r>
              <w:rPr>
                <w:rFonts w:hint="eastAsia"/>
                <w:color w:val="auto"/>
                <w:highlight w:val="none"/>
                <w:u w:val="single"/>
                <w:lang w:val="en-US" w:eastAsia="zh-CN"/>
              </w:rPr>
              <w:t>10</w:t>
            </w:r>
            <w:r>
              <w:rPr>
                <w:rFonts w:hint="eastAsia"/>
                <w:color w:val="auto"/>
                <w:highlight w:val="none"/>
                <w:u w:val="single"/>
              </w:rPr>
              <w:t>分，</w:t>
            </w:r>
            <w:r>
              <w:rPr>
                <w:rFonts w:hint="eastAsia"/>
                <w:color w:val="auto"/>
                <w:highlight w:val="none"/>
                <w:u w:val="single"/>
                <w:lang w:eastAsia="zh-CN"/>
              </w:rPr>
              <w:t>最多得</w:t>
            </w:r>
            <w:r>
              <w:rPr>
                <w:rFonts w:hint="eastAsia"/>
                <w:color w:val="auto"/>
                <w:highlight w:val="none"/>
                <w:u w:val="single"/>
                <w:lang w:val="en-US" w:eastAsia="zh-CN"/>
              </w:rPr>
              <w:t>20</w:t>
            </w:r>
            <w:r>
              <w:rPr>
                <w:rFonts w:hint="eastAsia"/>
                <w:color w:val="auto"/>
                <w:highlight w:val="none"/>
                <w:u w:val="single"/>
              </w:rPr>
              <w:t>分，不提供业绩不计分。</w:t>
            </w:r>
            <w:r>
              <w:rPr>
                <w:rFonts w:hint="eastAsia"/>
                <w:color w:val="auto"/>
                <w:highlight w:val="none"/>
                <w:u w:val="single"/>
                <w:lang w:eastAsia="zh-CN"/>
              </w:rPr>
              <w:t>【</w:t>
            </w:r>
            <w:r>
              <w:rPr>
                <w:rFonts w:hint="eastAsia"/>
                <w:color w:val="auto"/>
                <w:highlight w:val="none"/>
                <w:u w:val="single"/>
              </w:rPr>
              <w:t>类似项目业绩是单项合同单项合同总建筑面积</w:t>
            </w:r>
            <w:r>
              <w:rPr>
                <w:rFonts w:hint="eastAsia"/>
                <w:color w:val="auto"/>
                <w:highlight w:val="none"/>
                <w:u w:val="single"/>
                <w:lang w:val="en-US" w:eastAsia="zh-CN"/>
              </w:rPr>
              <w:t>15000</w:t>
            </w:r>
            <w:r>
              <w:rPr>
                <w:rFonts w:hint="eastAsia"/>
                <w:color w:val="auto"/>
                <w:highlight w:val="none"/>
                <w:u w:val="single"/>
              </w:rPr>
              <w:t>平方米（含）以上或单个合同设计费</w:t>
            </w:r>
            <w:r>
              <w:rPr>
                <w:rFonts w:hint="eastAsia"/>
                <w:color w:val="auto"/>
                <w:highlight w:val="none"/>
                <w:u w:val="single"/>
                <w:lang w:val="en-US" w:eastAsia="zh-CN"/>
              </w:rPr>
              <w:t>110</w:t>
            </w:r>
            <w:r>
              <w:rPr>
                <w:rFonts w:hint="eastAsia"/>
                <w:color w:val="auto"/>
                <w:highlight w:val="none"/>
                <w:u w:val="single"/>
              </w:rPr>
              <w:t>万元（含）以上的公共建筑工程设计项目</w:t>
            </w:r>
            <w:r>
              <w:rPr>
                <w:rFonts w:hint="eastAsia"/>
                <w:color w:val="auto"/>
                <w:highlight w:val="none"/>
              </w:rPr>
              <w:t>。</w:t>
            </w:r>
            <w:r>
              <w:rPr>
                <w:rFonts w:hint="eastAsia"/>
                <w:color w:val="auto"/>
                <w:highlight w:val="none"/>
                <w:u w:val="single"/>
              </w:rPr>
              <w:t>（需提供以下材料：广西区内业绩信息评分需以“桂建云”录入的为准，否则在评审时不予承认；广西区外的业绩，经查询桂建云，已于 2025 年 4 月 14 日发布“勘察、设计企业区外业绩录入说明”公告，因此本项目的区外设计业绩已经录入桂建云，仍可以“桂建云”录入的为准。对未能录入桂建云的，已完成过的设计业绩提供“中标(发包)通知书和设计合同并</w:t>
            </w:r>
            <w:r>
              <w:rPr>
                <w:rFonts w:hint="eastAsia"/>
                <w:color w:val="auto"/>
                <w:highlight w:val="none"/>
                <w:u w:val="single"/>
                <w:lang w:val="en-US" w:eastAsia="zh-CN"/>
              </w:rPr>
              <w:t>提供</w:t>
            </w:r>
            <w:r>
              <w:rPr>
                <w:rFonts w:hint="eastAsia"/>
                <w:color w:val="auto"/>
                <w:highlight w:val="none"/>
                <w:u w:val="single"/>
              </w:rPr>
              <w:t>施工图审查合格报告书、方案或初步设计批复等证明材料扫描件”，正在实施和新承接的设计业绩提供“中标(发包)通知书或设计合同扫描件”等证明材料</w:t>
            </w:r>
            <w:r>
              <w:rPr>
                <w:rFonts w:hint="eastAsia"/>
                <w:color w:val="auto"/>
                <w:highlight w:val="none"/>
                <w:u w:val="single"/>
                <w:lang w:eastAsia="zh-CN"/>
              </w:rPr>
              <w:t>。】</w:t>
            </w:r>
            <w:r>
              <w:rPr>
                <w:color w:val="auto"/>
                <w:highlight w:val="none"/>
              </w:rPr>
              <w:t xml:space="preserve"> </w:t>
            </w:r>
          </w:p>
          <w:p w14:paraId="52BE8A47">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szCs w:val="21"/>
                <w:highlight w:val="none"/>
              </w:rPr>
            </w:pPr>
            <w:r>
              <w:rPr>
                <w:rFonts w:eastAsia="楷体"/>
                <w:b/>
                <w:color w:val="auto"/>
                <w:highlight w:val="none"/>
              </w:rPr>
              <w:t>【备注：①</w:t>
            </w:r>
            <w:r>
              <w:rPr>
                <w:rFonts w:eastAsia="楷体"/>
                <w:b/>
                <w:color w:val="auto"/>
                <w:szCs w:val="21"/>
                <w:highlight w:val="none"/>
              </w:rPr>
              <w:t>每张表格只填写一个项目，并标明序号；②完成的业绩以施工图审查合格报告为准，正在实施和新承接的业绩以签订的工程设计合同或中标通知书为准。③评分规则由招标人自拟。】</w:t>
            </w:r>
          </w:p>
        </w:tc>
      </w:tr>
      <w:tr w14:paraId="767A82E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315" w:hRule="atLeast"/>
        </w:trPr>
        <w:tc>
          <w:tcPr>
            <w:tcW w:w="990" w:type="dxa"/>
            <w:vMerge w:val="restart"/>
            <w:tcBorders>
              <w:right w:val="single" w:color="000000" w:sz="6" w:space="0"/>
            </w:tcBorders>
            <w:noWrap w:val="0"/>
            <w:tcMar>
              <w:left w:w="0" w:type="dxa"/>
              <w:right w:w="0" w:type="dxa"/>
            </w:tcMar>
            <w:vAlign w:val="center"/>
          </w:tcPr>
          <w:p w14:paraId="1F95A867">
            <w:pPr>
              <w:keepNext w:val="0"/>
              <w:keepLines/>
              <w:pageBreakBefore w:val="0"/>
              <w:widowControl w:val="0"/>
              <w:kinsoku/>
              <w:wordWrap/>
              <w:overflowPunct w:val="0"/>
              <w:topLinePunct w:val="0"/>
              <w:autoSpaceDE/>
              <w:autoSpaceDN/>
              <w:bidi w:val="0"/>
              <w:adjustRightInd/>
              <w:snapToGrid/>
              <w:spacing w:line="360" w:lineRule="auto"/>
              <w:ind w:left="240"/>
              <w:textAlignment w:val="auto"/>
              <w:rPr>
                <w:color w:val="auto"/>
                <w:spacing w:val="-7"/>
                <w:highlight w:val="none"/>
              </w:rPr>
            </w:pPr>
            <w:r>
              <w:rPr>
                <w:color w:val="auto"/>
                <w:spacing w:val="-7"/>
                <w:highlight w:val="none"/>
              </w:rPr>
              <w:t>2.2.2</w:t>
            </w:r>
          </w:p>
          <w:p w14:paraId="71B46366">
            <w:pPr>
              <w:keepNext w:val="0"/>
              <w:keepLines/>
              <w:pageBreakBefore w:val="0"/>
              <w:widowControl w:val="0"/>
              <w:kinsoku/>
              <w:wordWrap/>
              <w:overflowPunct w:val="0"/>
              <w:topLinePunct w:val="0"/>
              <w:autoSpaceDE/>
              <w:autoSpaceDN/>
              <w:bidi w:val="0"/>
              <w:adjustRightInd/>
              <w:snapToGrid/>
              <w:spacing w:line="360" w:lineRule="auto"/>
              <w:ind w:left="240"/>
              <w:textAlignment w:val="auto"/>
              <w:rPr>
                <w:color w:val="auto"/>
                <w:spacing w:val="-7"/>
                <w:highlight w:val="none"/>
              </w:rPr>
            </w:pPr>
            <w:r>
              <w:rPr>
                <w:color w:val="auto"/>
                <w:spacing w:val="-7"/>
                <w:highlight w:val="none"/>
              </w:rPr>
              <w:t>（2）</w:t>
            </w:r>
          </w:p>
        </w:tc>
        <w:tc>
          <w:tcPr>
            <w:tcW w:w="1211" w:type="dxa"/>
            <w:gridSpan w:val="2"/>
            <w:vMerge w:val="restart"/>
            <w:tcBorders>
              <w:left w:val="single" w:color="000000" w:sz="6" w:space="0"/>
              <w:right w:val="single" w:color="000000" w:sz="6" w:space="0"/>
            </w:tcBorders>
            <w:noWrap w:val="0"/>
            <w:tcMar>
              <w:left w:w="0" w:type="dxa"/>
              <w:right w:w="0" w:type="dxa"/>
            </w:tcMar>
            <w:vAlign w:val="center"/>
          </w:tcPr>
          <w:p w14:paraId="2B90DED4">
            <w:pPr>
              <w:keepNext w:val="0"/>
              <w:keepLines/>
              <w:pageBreakBefore w:val="0"/>
              <w:widowControl w:val="0"/>
              <w:kinsoku/>
              <w:wordWrap/>
              <w:overflowPunct w:val="0"/>
              <w:topLinePunct w:val="0"/>
              <w:autoSpaceDE/>
              <w:autoSpaceDN/>
              <w:bidi w:val="0"/>
              <w:adjustRightInd/>
              <w:snapToGrid/>
              <w:spacing w:line="360" w:lineRule="auto"/>
              <w:textAlignment w:val="auto"/>
              <w:rPr>
                <w:rFonts w:eastAsia="楷体"/>
                <w:color w:val="auto"/>
                <w:spacing w:val="-7"/>
                <w:highlight w:val="none"/>
              </w:rPr>
            </w:pPr>
            <w:r>
              <w:rPr>
                <w:color w:val="auto"/>
                <w:spacing w:val="-7"/>
                <w:highlight w:val="none"/>
              </w:rPr>
              <w:t>技术标（设计组织实施）【（满分100分）；</w:t>
            </w:r>
            <w:r>
              <w:rPr>
                <w:b/>
                <w:color w:val="auto"/>
                <w:spacing w:val="-7"/>
                <w:highlight w:val="none"/>
              </w:rPr>
              <w:t>采用</w:t>
            </w:r>
            <w:r>
              <w:rPr>
                <w:b/>
                <w:color w:val="auto"/>
                <w:spacing w:val="-7"/>
                <w:highlight w:val="none"/>
                <w:u w:val="single"/>
              </w:rPr>
              <w:t>暗标</w:t>
            </w:r>
            <w:r>
              <w:rPr>
                <w:b/>
                <w:color w:val="auto"/>
                <w:spacing w:val="-7"/>
                <w:highlight w:val="none"/>
              </w:rPr>
              <w:t>形式评审】</w:t>
            </w:r>
            <w:r>
              <w:rPr>
                <w:rFonts w:eastAsia="楷体"/>
                <w:b/>
                <w:color w:val="auto"/>
                <w:szCs w:val="21"/>
                <w:highlight w:val="none"/>
              </w:rPr>
              <w:t>【</w:t>
            </w:r>
            <w:r>
              <w:rPr>
                <w:rFonts w:eastAsia="楷体"/>
                <w:b/>
                <w:color w:val="auto"/>
                <w:szCs w:val="21"/>
                <w:highlight w:val="none"/>
                <w:lang w:val="en"/>
              </w:rPr>
              <w:t>备注</w:t>
            </w:r>
            <w:r>
              <w:rPr>
                <w:rFonts w:eastAsia="楷体"/>
                <w:b/>
                <w:color w:val="auto"/>
                <w:szCs w:val="21"/>
                <w:highlight w:val="none"/>
              </w:rPr>
              <w:t>:设优、良、中、一般、差，并对各评分等级设置一个具体分值，不设评分区间；如无特殊要求（如城市</w:t>
            </w:r>
            <w:r>
              <w:rPr>
                <w:rFonts w:eastAsia="楷体_GB2312"/>
                <w:b/>
                <w:color w:val="auto"/>
                <w:szCs w:val="21"/>
                <w:highlight w:val="none"/>
                <w:lang w:val="en"/>
              </w:rPr>
              <w:t>轨道交通工程项目和铁路综合交通枢纽站城一体化项目</w:t>
            </w:r>
            <w:r>
              <w:rPr>
                <w:rFonts w:eastAsia="楷体"/>
                <w:b/>
                <w:color w:val="auto"/>
                <w:szCs w:val="21"/>
                <w:highlight w:val="none"/>
              </w:rPr>
              <w:t>可以采用明标），设计方案采用暗标进行投标。】</w:t>
            </w: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595E7EE">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spacing w:val="-1"/>
                <w:highlight w:val="none"/>
              </w:rPr>
            </w:pPr>
            <w:r>
              <w:rPr>
                <w:color w:val="auto"/>
                <w:spacing w:val="-1"/>
                <w:highlight w:val="none"/>
              </w:rPr>
              <w:t>设计服务方案</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1DC555B2">
            <w:pPr>
              <w:keepNext w:val="0"/>
              <w:keepLines w:val="0"/>
              <w:pageBreakBefore w:val="0"/>
              <w:widowControl w:val="0"/>
              <w:kinsoku/>
              <w:wordWrap/>
              <w:overflowPunct w:val="0"/>
              <w:topLinePunct w:val="0"/>
              <w:autoSpaceDE/>
              <w:autoSpaceDN/>
              <w:bidi w:val="0"/>
              <w:adjustRightInd/>
              <w:snapToGrid/>
              <w:spacing w:line="360" w:lineRule="exact"/>
              <w:textAlignment w:val="auto"/>
              <w:rPr>
                <w:color w:val="auto"/>
                <w:highlight w:val="none"/>
              </w:rPr>
            </w:pPr>
            <w:r>
              <w:rPr>
                <w:rFonts w:hint="eastAsia"/>
                <w:color w:val="auto"/>
                <w:highlight w:val="none"/>
              </w:rPr>
              <w:t>优（</w:t>
            </w:r>
            <w:r>
              <w:rPr>
                <w:rFonts w:hint="eastAsia"/>
                <w:color w:val="auto"/>
                <w:highlight w:val="none"/>
                <w:lang w:val="en-US" w:eastAsia="zh-CN"/>
              </w:rPr>
              <w:t>25</w:t>
            </w:r>
            <w:r>
              <w:rPr>
                <w:rFonts w:hint="eastAsia"/>
                <w:color w:val="auto"/>
                <w:highlight w:val="none"/>
              </w:rPr>
              <w:t>分）：包含但不限于对项目所处区域建设条件的分析、对具体设计工作组织实施分析、对现状分析、能提出合理化建议、对设计造价分析与限额设计措施等内容，内容完善且合理、可行，针对性强。</w:t>
            </w:r>
          </w:p>
          <w:p w14:paraId="40EF40EC">
            <w:pPr>
              <w:keepNext w:val="0"/>
              <w:keepLines w:val="0"/>
              <w:pageBreakBefore w:val="0"/>
              <w:widowControl w:val="0"/>
              <w:kinsoku/>
              <w:wordWrap/>
              <w:overflowPunct w:val="0"/>
              <w:topLinePunct w:val="0"/>
              <w:autoSpaceDE/>
              <w:autoSpaceDN/>
              <w:bidi w:val="0"/>
              <w:adjustRightInd/>
              <w:snapToGrid/>
              <w:spacing w:line="360" w:lineRule="exact"/>
              <w:textAlignment w:val="auto"/>
              <w:rPr>
                <w:color w:val="auto"/>
                <w:highlight w:val="none"/>
              </w:rPr>
            </w:pPr>
            <w:r>
              <w:rPr>
                <w:rFonts w:hint="eastAsia"/>
                <w:color w:val="auto"/>
                <w:highlight w:val="none"/>
              </w:rPr>
              <w:t>良（</w:t>
            </w:r>
            <w:r>
              <w:rPr>
                <w:rFonts w:hint="eastAsia"/>
                <w:color w:val="auto"/>
                <w:highlight w:val="none"/>
                <w:lang w:val="en-US" w:eastAsia="zh-CN"/>
              </w:rPr>
              <w:t>20</w:t>
            </w:r>
            <w:r>
              <w:rPr>
                <w:rFonts w:hint="eastAsia"/>
                <w:color w:val="auto"/>
                <w:highlight w:val="none"/>
              </w:rPr>
              <w:t>分）：包含但不限于对具体设计工作组织实施分析、对设计现状分析、合理化建议、对设计造价分析与限额设计措施等内容，内容基本合理、可行，有一定的针对性。</w:t>
            </w:r>
          </w:p>
          <w:p w14:paraId="643E5B79">
            <w:pPr>
              <w:keepNext w:val="0"/>
              <w:keepLines w:val="0"/>
              <w:pageBreakBefore w:val="0"/>
              <w:widowControl w:val="0"/>
              <w:kinsoku/>
              <w:wordWrap/>
              <w:overflowPunct w:val="0"/>
              <w:topLinePunct w:val="0"/>
              <w:autoSpaceDE/>
              <w:autoSpaceDN/>
              <w:bidi w:val="0"/>
              <w:adjustRightInd/>
              <w:snapToGrid/>
              <w:spacing w:line="360" w:lineRule="exact"/>
              <w:textAlignment w:val="auto"/>
              <w:rPr>
                <w:color w:val="auto"/>
                <w:highlight w:val="none"/>
              </w:rPr>
            </w:pPr>
            <w:r>
              <w:rPr>
                <w:rFonts w:hint="eastAsia"/>
                <w:color w:val="auto"/>
                <w:highlight w:val="none"/>
              </w:rPr>
              <w:t>中（</w:t>
            </w:r>
            <w:r>
              <w:rPr>
                <w:rFonts w:hint="eastAsia"/>
                <w:color w:val="auto"/>
                <w:highlight w:val="none"/>
                <w:lang w:val="en-US" w:eastAsia="zh-CN"/>
              </w:rPr>
              <w:t>15</w:t>
            </w:r>
            <w:r>
              <w:rPr>
                <w:rFonts w:hint="eastAsia"/>
                <w:color w:val="auto"/>
                <w:highlight w:val="none"/>
              </w:rPr>
              <w:t>分）：包含但不限于对具体设计工作组织实施分析、对设计造价分析与限额设计措施等内容，内容基本合理、可行，缺乏针对性。</w:t>
            </w:r>
          </w:p>
          <w:p w14:paraId="64BD65EB">
            <w:pPr>
              <w:keepNext w:val="0"/>
              <w:keepLines w:val="0"/>
              <w:pageBreakBefore w:val="0"/>
              <w:widowControl w:val="0"/>
              <w:kinsoku/>
              <w:wordWrap/>
              <w:overflowPunct w:val="0"/>
              <w:topLinePunct w:val="0"/>
              <w:autoSpaceDE/>
              <w:autoSpaceDN/>
              <w:bidi w:val="0"/>
              <w:adjustRightInd/>
              <w:snapToGrid/>
              <w:spacing w:line="360" w:lineRule="exact"/>
              <w:textAlignment w:val="auto"/>
              <w:rPr>
                <w:color w:val="auto"/>
                <w:highlight w:val="none"/>
              </w:rPr>
            </w:pPr>
            <w:r>
              <w:rPr>
                <w:rFonts w:hint="eastAsia"/>
                <w:color w:val="auto"/>
                <w:highlight w:val="none"/>
              </w:rPr>
              <w:t>一般（</w:t>
            </w:r>
            <w:r>
              <w:rPr>
                <w:rFonts w:hint="eastAsia"/>
                <w:color w:val="auto"/>
                <w:highlight w:val="none"/>
                <w:lang w:val="en-US" w:eastAsia="zh-CN"/>
              </w:rPr>
              <w:t>10</w:t>
            </w:r>
            <w:r>
              <w:rPr>
                <w:rFonts w:hint="eastAsia"/>
                <w:color w:val="auto"/>
                <w:highlight w:val="none"/>
              </w:rPr>
              <w:t>分）：包含但不限于对具体设计工作组织实施分析、对设计造价分析与限额设计措施等内容，内容基本合理，缺乏针对性。</w:t>
            </w:r>
          </w:p>
          <w:p w14:paraId="494D3BC1">
            <w:pPr>
              <w:keepNext w:val="0"/>
              <w:keepLines w:val="0"/>
              <w:pageBreakBefore w:val="0"/>
              <w:widowControl w:val="0"/>
              <w:kinsoku/>
              <w:wordWrap/>
              <w:overflowPunct w:val="0"/>
              <w:topLinePunct w:val="0"/>
              <w:autoSpaceDE/>
              <w:autoSpaceDN/>
              <w:bidi w:val="0"/>
              <w:adjustRightInd/>
              <w:snapToGrid/>
              <w:spacing w:line="360" w:lineRule="exact"/>
              <w:textAlignment w:val="auto"/>
              <w:rPr>
                <w:rFonts w:hint="eastAsia"/>
                <w:color w:val="auto"/>
                <w:highlight w:val="none"/>
              </w:rPr>
            </w:pPr>
            <w:r>
              <w:rPr>
                <w:rFonts w:hint="eastAsia"/>
                <w:color w:val="auto"/>
                <w:highlight w:val="none"/>
              </w:rPr>
              <w:t>差（</w:t>
            </w:r>
            <w:r>
              <w:rPr>
                <w:rFonts w:hint="eastAsia"/>
                <w:color w:val="auto"/>
                <w:highlight w:val="none"/>
                <w:lang w:val="en-US" w:eastAsia="zh-CN"/>
              </w:rPr>
              <w:t>5</w:t>
            </w:r>
            <w:r>
              <w:rPr>
                <w:rFonts w:hint="eastAsia"/>
                <w:color w:val="auto"/>
                <w:highlight w:val="none"/>
              </w:rPr>
              <w:t>分）：不能达到以上优、良、中、一般档次的。</w:t>
            </w:r>
          </w:p>
          <w:p w14:paraId="29D329E9">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r>
              <w:rPr>
                <w:rFonts w:hint="eastAsia" w:cs="宋体" w:asciiTheme="majorEastAsia" w:hAnsiTheme="majorEastAsia" w:eastAsiaTheme="majorEastAsia"/>
                <w:b/>
                <w:bCs w:val="0"/>
                <w:color w:val="auto"/>
                <w:highlight w:val="none"/>
                <w:lang w:eastAsia="zh-CN"/>
              </w:rPr>
              <w:t>注：</w:t>
            </w:r>
            <w:r>
              <w:rPr>
                <w:rFonts w:hint="eastAsia" w:cs="宋体" w:asciiTheme="majorEastAsia" w:hAnsiTheme="majorEastAsia" w:eastAsiaTheme="majorEastAsia"/>
                <w:b/>
                <w:bCs w:val="0"/>
                <w:color w:val="auto"/>
                <w:highlight w:val="none"/>
              </w:rPr>
              <w:t>经评审未达相应评审档次全部标准的,相应降低一个档次</w:t>
            </w:r>
            <w:r>
              <w:rPr>
                <w:rFonts w:hint="eastAsia" w:cs="宋体" w:asciiTheme="majorEastAsia" w:hAnsiTheme="majorEastAsia" w:eastAsiaTheme="majorEastAsia"/>
                <w:b/>
                <w:bCs w:val="0"/>
                <w:color w:val="auto"/>
                <w:highlight w:val="none"/>
                <w:lang w:eastAsia="zh-CN"/>
              </w:rPr>
              <w:t>评分</w:t>
            </w:r>
            <w:r>
              <w:rPr>
                <w:rFonts w:hint="eastAsia" w:cs="宋体" w:asciiTheme="majorEastAsia" w:hAnsiTheme="majorEastAsia" w:eastAsiaTheme="majorEastAsia"/>
                <w:b/>
                <w:bCs w:val="0"/>
                <w:color w:val="auto"/>
                <w:highlight w:val="none"/>
              </w:rPr>
              <w:t>。</w:t>
            </w:r>
          </w:p>
        </w:tc>
      </w:tr>
      <w:tr w14:paraId="235A3B0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942" w:hRule="atLeast"/>
        </w:trPr>
        <w:tc>
          <w:tcPr>
            <w:tcW w:w="990" w:type="dxa"/>
            <w:vMerge w:val="continue"/>
            <w:tcBorders>
              <w:right w:val="single" w:color="000000" w:sz="6" w:space="0"/>
            </w:tcBorders>
            <w:noWrap w:val="0"/>
            <w:tcMar>
              <w:left w:w="0" w:type="dxa"/>
              <w:right w:w="0" w:type="dxa"/>
            </w:tcMar>
            <w:vAlign w:val="center"/>
          </w:tcPr>
          <w:p w14:paraId="54CD21D8">
            <w:pPr>
              <w:keepNext w:val="0"/>
              <w:keepLines/>
              <w:pageBreakBefore w:val="0"/>
              <w:widowControl w:val="0"/>
              <w:kinsoku/>
              <w:wordWrap/>
              <w:overflowPunct w:val="0"/>
              <w:topLinePunct w:val="0"/>
              <w:autoSpaceDE/>
              <w:autoSpaceDN/>
              <w:bidi w:val="0"/>
              <w:adjustRightInd/>
              <w:snapToGrid/>
              <w:spacing w:line="360" w:lineRule="auto"/>
              <w:ind w:left="240"/>
              <w:textAlignment w:val="auto"/>
              <w:rPr>
                <w:color w:val="auto"/>
                <w:spacing w:val="-7"/>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22D13154">
            <w:pPr>
              <w:keepNext w:val="0"/>
              <w:keepLines/>
              <w:pageBreakBefore w:val="0"/>
              <w:widowControl w:val="0"/>
              <w:kinsoku/>
              <w:wordWrap/>
              <w:overflowPunct w:val="0"/>
              <w:topLinePunct w:val="0"/>
              <w:autoSpaceDE/>
              <w:autoSpaceDN/>
              <w:bidi w:val="0"/>
              <w:adjustRightInd/>
              <w:snapToGrid/>
              <w:spacing w:line="360" w:lineRule="auto"/>
              <w:ind w:left="142"/>
              <w:textAlignment w:val="auto"/>
              <w:rPr>
                <w:color w:val="auto"/>
                <w:spacing w:val="-7"/>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0AA6A83">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spacing w:val="-1"/>
                <w:highlight w:val="none"/>
              </w:rPr>
            </w:pPr>
            <w:r>
              <w:rPr>
                <w:color w:val="auto"/>
                <w:spacing w:val="-1"/>
                <w:highlight w:val="none"/>
              </w:rPr>
              <w:t>设计与发包方前期工作的配合</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54EC8DBC">
            <w:pPr>
              <w:keepNext w:val="0"/>
              <w:keepLines w:val="0"/>
              <w:pageBreakBefore w:val="0"/>
              <w:widowControl w:val="0"/>
              <w:kinsoku/>
              <w:wordWrap/>
              <w:overflowPunct w:val="0"/>
              <w:topLinePunct w:val="0"/>
              <w:autoSpaceDE/>
              <w:autoSpaceDN/>
              <w:bidi w:val="0"/>
              <w:adjustRightInd/>
              <w:snapToGrid/>
              <w:spacing w:line="360" w:lineRule="exact"/>
              <w:textAlignment w:val="auto"/>
              <w:rPr>
                <w:color w:val="auto"/>
                <w:highlight w:val="none"/>
              </w:rPr>
            </w:pPr>
            <w:r>
              <w:rPr>
                <w:rFonts w:hint="eastAsia"/>
                <w:color w:val="auto"/>
                <w:highlight w:val="none"/>
              </w:rPr>
              <w:t>优（</w:t>
            </w:r>
            <w:r>
              <w:rPr>
                <w:rFonts w:hint="eastAsia"/>
                <w:color w:val="auto"/>
                <w:highlight w:val="none"/>
                <w:lang w:val="en-US" w:eastAsia="zh-CN"/>
              </w:rPr>
              <w:t>25</w:t>
            </w:r>
            <w:r>
              <w:rPr>
                <w:rFonts w:hint="eastAsia"/>
                <w:color w:val="auto"/>
                <w:highlight w:val="none"/>
              </w:rPr>
              <w:t>分）：包含但不限于对配合招标人完成项目建设前期工作的方案（或承诺）、前期工作配合、具体实施事项（或计划安排），内容完善且合理可行，针对性强，充分满足前期工作需求。</w:t>
            </w:r>
          </w:p>
          <w:p w14:paraId="1087350C">
            <w:pPr>
              <w:keepNext w:val="0"/>
              <w:keepLines w:val="0"/>
              <w:pageBreakBefore w:val="0"/>
              <w:widowControl w:val="0"/>
              <w:kinsoku/>
              <w:wordWrap/>
              <w:overflowPunct w:val="0"/>
              <w:topLinePunct w:val="0"/>
              <w:autoSpaceDE/>
              <w:autoSpaceDN/>
              <w:bidi w:val="0"/>
              <w:adjustRightInd/>
              <w:snapToGrid/>
              <w:spacing w:line="360" w:lineRule="exact"/>
              <w:textAlignment w:val="auto"/>
              <w:rPr>
                <w:color w:val="auto"/>
                <w:highlight w:val="none"/>
              </w:rPr>
            </w:pPr>
            <w:r>
              <w:rPr>
                <w:rFonts w:hint="eastAsia"/>
                <w:color w:val="auto"/>
                <w:highlight w:val="none"/>
              </w:rPr>
              <w:t>良（</w:t>
            </w:r>
            <w:r>
              <w:rPr>
                <w:rFonts w:hint="eastAsia"/>
                <w:color w:val="auto"/>
                <w:highlight w:val="none"/>
                <w:lang w:val="en-US" w:eastAsia="zh-CN"/>
              </w:rPr>
              <w:t>20</w:t>
            </w:r>
            <w:r>
              <w:rPr>
                <w:rFonts w:hint="eastAsia"/>
                <w:color w:val="auto"/>
                <w:highlight w:val="none"/>
              </w:rPr>
              <w:t>分）：包含但不限于对配合招标人完成项目建设前期工作的方案（或承诺）、前期工作配合、实施事项（或计划安排），内容基本完善且合理可行，有一定的针对性，满足前期工作需求。</w:t>
            </w:r>
          </w:p>
          <w:p w14:paraId="48CD78F8">
            <w:pPr>
              <w:keepNext w:val="0"/>
              <w:keepLines w:val="0"/>
              <w:pageBreakBefore w:val="0"/>
              <w:widowControl w:val="0"/>
              <w:kinsoku/>
              <w:wordWrap/>
              <w:overflowPunct w:val="0"/>
              <w:topLinePunct w:val="0"/>
              <w:autoSpaceDE/>
              <w:autoSpaceDN/>
              <w:bidi w:val="0"/>
              <w:adjustRightInd/>
              <w:snapToGrid/>
              <w:spacing w:line="360" w:lineRule="exact"/>
              <w:textAlignment w:val="auto"/>
              <w:rPr>
                <w:color w:val="auto"/>
                <w:highlight w:val="none"/>
              </w:rPr>
            </w:pPr>
            <w:r>
              <w:rPr>
                <w:rFonts w:hint="eastAsia"/>
                <w:color w:val="auto"/>
                <w:highlight w:val="none"/>
              </w:rPr>
              <w:t>中（</w:t>
            </w:r>
            <w:r>
              <w:rPr>
                <w:rFonts w:hint="eastAsia"/>
                <w:color w:val="auto"/>
                <w:highlight w:val="none"/>
                <w:lang w:val="en-US" w:eastAsia="zh-CN"/>
              </w:rPr>
              <w:t>15</w:t>
            </w:r>
            <w:r>
              <w:rPr>
                <w:rFonts w:hint="eastAsia"/>
                <w:color w:val="auto"/>
                <w:highlight w:val="none"/>
              </w:rPr>
              <w:t>分）：包含但不限于对配合招标人完成项目建设前期工作基本的方案（或承诺）、前期工作配合、有实施事项（或计划安排），内容基本合理可行，缺乏针对性，基本满足前期工作需求。</w:t>
            </w:r>
          </w:p>
          <w:p w14:paraId="221FF258">
            <w:pPr>
              <w:keepNext w:val="0"/>
              <w:keepLines w:val="0"/>
              <w:pageBreakBefore w:val="0"/>
              <w:widowControl w:val="0"/>
              <w:kinsoku/>
              <w:wordWrap/>
              <w:overflowPunct w:val="0"/>
              <w:topLinePunct w:val="0"/>
              <w:autoSpaceDE/>
              <w:autoSpaceDN/>
              <w:bidi w:val="0"/>
              <w:adjustRightInd/>
              <w:snapToGrid/>
              <w:spacing w:line="360" w:lineRule="exact"/>
              <w:textAlignment w:val="auto"/>
              <w:rPr>
                <w:color w:val="auto"/>
                <w:highlight w:val="none"/>
              </w:rPr>
            </w:pPr>
            <w:r>
              <w:rPr>
                <w:rFonts w:hint="eastAsia"/>
                <w:color w:val="auto"/>
                <w:highlight w:val="none"/>
              </w:rPr>
              <w:t>一般（</w:t>
            </w:r>
            <w:r>
              <w:rPr>
                <w:rFonts w:hint="eastAsia"/>
                <w:color w:val="auto"/>
                <w:highlight w:val="none"/>
                <w:lang w:val="en-US" w:eastAsia="zh-CN"/>
              </w:rPr>
              <w:t>10</w:t>
            </w:r>
            <w:r>
              <w:rPr>
                <w:rFonts w:hint="eastAsia"/>
                <w:color w:val="auto"/>
                <w:highlight w:val="none"/>
              </w:rPr>
              <w:t>分）：包含但不限于对配合招标人完成项目建设前期工作的方案（或承诺）、前期工作配合，内容缺乏可行，缺乏针对性，基本满足前期工作需求。</w:t>
            </w:r>
          </w:p>
          <w:p w14:paraId="7F2D8825">
            <w:pPr>
              <w:keepNext w:val="0"/>
              <w:keepLines w:val="0"/>
              <w:pageBreakBefore w:val="0"/>
              <w:widowControl w:val="0"/>
              <w:kinsoku/>
              <w:wordWrap/>
              <w:overflowPunct w:val="0"/>
              <w:topLinePunct w:val="0"/>
              <w:autoSpaceDE/>
              <w:autoSpaceDN/>
              <w:bidi w:val="0"/>
              <w:adjustRightInd/>
              <w:snapToGrid/>
              <w:spacing w:line="360" w:lineRule="exact"/>
              <w:textAlignment w:val="auto"/>
              <w:rPr>
                <w:rFonts w:hint="eastAsia"/>
                <w:color w:val="auto"/>
                <w:highlight w:val="none"/>
              </w:rPr>
            </w:pPr>
            <w:r>
              <w:rPr>
                <w:rFonts w:hint="eastAsia"/>
                <w:color w:val="auto"/>
                <w:highlight w:val="none"/>
              </w:rPr>
              <w:t>差（</w:t>
            </w:r>
            <w:r>
              <w:rPr>
                <w:rFonts w:hint="eastAsia"/>
                <w:color w:val="auto"/>
                <w:highlight w:val="none"/>
                <w:lang w:val="en-US" w:eastAsia="zh-CN"/>
              </w:rPr>
              <w:t>5</w:t>
            </w:r>
            <w:r>
              <w:rPr>
                <w:rFonts w:hint="eastAsia"/>
                <w:color w:val="auto"/>
                <w:highlight w:val="none"/>
              </w:rPr>
              <w:t>分）：不能达到以上优、良、中、一般档次的。</w:t>
            </w:r>
          </w:p>
          <w:p w14:paraId="64ABD78B">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r>
              <w:rPr>
                <w:rFonts w:hint="eastAsia" w:cs="宋体" w:asciiTheme="majorEastAsia" w:hAnsiTheme="majorEastAsia" w:eastAsiaTheme="majorEastAsia"/>
                <w:b/>
                <w:bCs w:val="0"/>
                <w:color w:val="auto"/>
                <w:highlight w:val="none"/>
                <w:lang w:eastAsia="zh-CN"/>
              </w:rPr>
              <w:t>注：</w:t>
            </w:r>
            <w:r>
              <w:rPr>
                <w:rFonts w:hint="eastAsia" w:cs="宋体" w:asciiTheme="majorEastAsia" w:hAnsiTheme="majorEastAsia" w:eastAsiaTheme="majorEastAsia"/>
                <w:b/>
                <w:bCs w:val="0"/>
                <w:color w:val="auto"/>
                <w:highlight w:val="none"/>
              </w:rPr>
              <w:t>经评审未达相应评审档次全部标准的,相应降低一个档次</w:t>
            </w:r>
            <w:r>
              <w:rPr>
                <w:rFonts w:hint="eastAsia" w:cs="宋体" w:asciiTheme="majorEastAsia" w:hAnsiTheme="majorEastAsia" w:eastAsiaTheme="majorEastAsia"/>
                <w:b/>
                <w:bCs w:val="0"/>
                <w:color w:val="auto"/>
                <w:highlight w:val="none"/>
                <w:lang w:eastAsia="zh-CN"/>
              </w:rPr>
              <w:t>评分</w:t>
            </w:r>
            <w:r>
              <w:rPr>
                <w:rFonts w:hint="eastAsia" w:cs="宋体" w:asciiTheme="majorEastAsia" w:hAnsiTheme="majorEastAsia" w:eastAsiaTheme="majorEastAsia"/>
                <w:b/>
                <w:bCs w:val="0"/>
                <w:color w:val="auto"/>
                <w:highlight w:val="none"/>
              </w:rPr>
              <w:t>。</w:t>
            </w:r>
          </w:p>
        </w:tc>
      </w:tr>
      <w:tr w14:paraId="4EB1CBB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194" w:hRule="atLeast"/>
        </w:trPr>
        <w:tc>
          <w:tcPr>
            <w:tcW w:w="990" w:type="dxa"/>
            <w:vMerge w:val="continue"/>
            <w:tcBorders>
              <w:right w:val="single" w:color="000000" w:sz="6" w:space="0"/>
            </w:tcBorders>
            <w:noWrap w:val="0"/>
            <w:tcMar>
              <w:left w:w="0" w:type="dxa"/>
              <w:right w:w="0" w:type="dxa"/>
            </w:tcMar>
            <w:vAlign w:val="center"/>
          </w:tcPr>
          <w:p w14:paraId="612C6382">
            <w:pPr>
              <w:keepNext w:val="0"/>
              <w:keepLines/>
              <w:pageBreakBefore w:val="0"/>
              <w:widowControl w:val="0"/>
              <w:kinsoku/>
              <w:wordWrap/>
              <w:overflowPunct w:val="0"/>
              <w:topLinePunct w:val="0"/>
              <w:autoSpaceDE/>
              <w:autoSpaceDN/>
              <w:bidi w:val="0"/>
              <w:adjustRightInd/>
              <w:snapToGrid/>
              <w:spacing w:line="360" w:lineRule="auto"/>
              <w:ind w:left="240"/>
              <w:textAlignment w:val="auto"/>
              <w:rPr>
                <w:color w:val="auto"/>
                <w:spacing w:val="-7"/>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3727C6F9">
            <w:pPr>
              <w:keepNext w:val="0"/>
              <w:keepLines/>
              <w:pageBreakBefore w:val="0"/>
              <w:widowControl w:val="0"/>
              <w:kinsoku/>
              <w:wordWrap/>
              <w:overflowPunct w:val="0"/>
              <w:topLinePunct w:val="0"/>
              <w:autoSpaceDE/>
              <w:autoSpaceDN/>
              <w:bidi w:val="0"/>
              <w:adjustRightInd/>
              <w:snapToGrid/>
              <w:spacing w:line="360" w:lineRule="auto"/>
              <w:ind w:left="142"/>
              <w:textAlignment w:val="auto"/>
              <w:rPr>
                <w:color w:val="auto"/>
                <w:spacing w:val="-7"/>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48DF95C">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spacing w:val="-1"/>
                <w:highlight w:val="none"/>
              </w:rPr>
            </w:pPr>
            <w:r>
              <w:rPr>
                <w:color w:val="auto"/>
                <w:spacing w:val="-1"/>
                <w:highlight w:val="none"/>
              </w:rPr>
              <w:t>设计在项目施工过程中的工作配合</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24713868">
            <w:pPr>
              <w:keepNext w:val="0"/>
              <w:keepLines w:val="0"/>
              <w:pageBreakBefore w:val="0"/>
              <w:widowControl w:val="0"/>
              <w:kinsoku/>
              <w:wordWrap/>
              <w:overflowPunct w:val="0"/>
              <w:topLinePunct w:val="0"/>
              <w:autoSpaceDE/>
              <w:autoSpaceDN/>
              <w:bidi w:val="0"/>
              <w:adjustRightInd/>
              <w:snapToGrid/>
              <w:spacing w:line="360" w:lineRule="exact"/>
              <w:textAlignment w:val="auto"/>
              <w:rPr>
                <w:rFonts w:ascii="宋体" w:hAnsi="宋体"/>
                <w:color w:val="auto"/>
                <w:spacing w:val="-1"/>
                <w:highlight w:val="none"/>
              </w:rPr>
            </w:pPr>
            <w:r>
              <w:rPr>
                <w:rFonts w:hint="eastAsia" w:ascii="宋体" w:hAnsi="宋体"/>
                <w:color w:val="auto"/>
                <w:spacing w:val="-1"/>
                <w:highlight w:val="none"/>
              </w:rPr>
              <w:t>优（</w:t>
            </w:r>
            <w:r>
              <w:rPr>
                <w:rFonts w:hint="eastAsia" w:ascii="宋体" w:hAnsi="宋体"/>
                <w:color w:val="auto"/>
                <w:spacing w:val="-1"/>
                <w:highlight w:val="none"/>
                <w:lang w:val="en-US" w:eastAsia="zh-CN"/>
              </w:rPr>
              <w:t>2</w:t>
            </w:r>
            <w:r>
              <w:rPr>
                <w:rFonts w:hint="eastAsia" w:ascii="宋体" w:hAnsi="宋体"/>
                <w:color w:val="auto"/>
                <w:spacing w:val="-1"/>
                <w:highlight w:val="none"/>
              </w:rPr>
              <w:t>5 分）：对施工阶段至工程竣工验收完毕，针对设计与施工配合有完善的方案或承诺。内容、流程合理且可操作性强，有完善的实施事项或计划安排，完全满足与施工配合的需求。</w:t>
            </w:r>
          </w:p>
          <w:p w14:paraId="51A3269A">
            <w:pPr>
              <w:keepNext w:val="0"/>
              <w:keepLines w:val="0"/>
              <w:pageBreakBefore w:val="0"/>
              <w:widowControl w:val="0"/>
              <w:kinsoku/>
              <w:wordWrap/>
              <w:overflowPunct w:val="0"/>
              <w:topLinePunct w:val="0"/>
              <w:autoSpaceDE/>
              <w:autoSpaceDN/>
              <w:bidi w:val="0"/>
              <w:adjustRightInd/>
              <w:snapToGrid/>
              <w:spacing w:line="360" w:lineRule="exact"/>
              <w:textAlignment w:val="auto"/>
              <w:rPr>
                <w:rFonts w:ascii="宋体" w:hAnsi="宋体"/>
                <w:color w:val="auto"/>
                <w:spacing w:val="-1"/>
                <w:highlight w:val="none"/>
              </w:rPr>
            </w:pPr>
            <w:r>
              <w:rPr>
                <w:rFonts w:hint="eastAsia" w:ascii="宋体" w:hAnsi="宋体"/>
                <w:color w:val="auto"/>
                <w:spacing w:val="-1"/>
                <w:highlight w:val="none"/>
              </w:rPr>
              <w:t>良（</w:t>
            </w:r>
            <w:r>
              <w:rPr>
                <w:rFonts w:hint="eastAsia" w:ascii="宋体" w:hAnsi="宋体"/>
                <w:color w:val="auto"/>
                <w:spacing w:val="-1"/>
                <w:highlight w:val="none"/>
                <w:lang w:val="en-US" w:eastAsia="zh-CN"/>
              </w:rPr>
              <w:t>20</w:t>
            </w:r>
            <w:r>
              <w:rPr>
                <w:rFonts w:hint="eastAsia" w:ascii="宋体" w:hAnsi="宋体"/>
                <w:color w:val="auto"/>
                <w:spacing w:val="-1"/>
                <w:highlight w:val="none"/>
              </w:rPr>
              <w:t>分）：对施工阶段至工程竣工验收完毕，针对设计与施工配合有完整的方案或承诺。内容、流程基本合理且较强的操作性，有完整的实施事项或计划安排，较好的满足与施工配合的需求。</w:t>
            </w:r>
          </w:p>
          <w:p w14:paraId="0F1A1E27">
            <w:pPr>
              <w:keepNext w:val="0"/>
              <w:keepLines w:val="0"/>
              <w:pageBreakBefore w:val="0"/>
              <w:widowControl w:val="0"/>
              <w:kinsoku/>
              <w:wordWrap/>
              <w:overflowPunct w:val="0"/>
              <w:topLinePunct w:val="0"/>
              <w:autoSpaceDE/>
              <w:autoSpaceDN/>
              <w:bidi w:val="0"/>
              <w:adjustRightInd/>
              <w:snapToGrid/>
              <w:spacing w:line="360" w:lineRule="exact"/>
              <w:textAlignment w:val="auto"/>
              <w:rPr>
                <w:rFonts w:ascii="宋体" w:hAnsi="宋体"/>
                <w:color w:val="auto"/>
                <w:spacing w:val="-1"/>
                <w:highlight w:val="none"/>
              </w:rPr>
            </w:pPr>
            <w:r>
              <w:rPr>
                <w:rFonts w:hint="eastAsia" w:ascii="宋体" w:hAnsi="宋体"/>
                <w:color w:val="auto"/>
                <w:spacing w:val="-1"/>
                <w:highlight w:val="none"/>
              </w:rPr>
              <w:t>中（</w:t>
            </w:r>
            <w:r>
              <w:rPr>
                <w:rFonts w:hint="eastAsia" w:ascii="宋体" w:hAnsi="宋体"/>
                <w:color w:val="auto"/>
                <w:spacing w:val="-1"/>
                <w:highlight w:val="none"/>
                <w:lang w:val="en-US" w:eastAsia="zh-CN"/>
              </w:rPr>
              <w:t>15</w:t>
            </w:r>
            <w:r>
              <w:rPr>
                <w:rFonts w:hint="eastAsia" w:ascii="宋体" w:hAnsi="宋体"/>
                <w:color w:val="auto"/>
                <w:spacing w:val="-1"/>
                <w:highlight w:val="none"/>
              </w:rPr>
              <w:t>分）：对施工阶段至工程竣工验收完毕，针对设计与施工配合有基本的方案或承诺。内容、流程有一定的可操作性，有基本的实施事项或计划安排，基本满足与施工配合的需求。</w:t>
            </w:r>
          </w:p>
          <w:p w14:paraId="25EAF87A">
            <w:pPr>
              <w:keepNext w:val="0"/>
              <w:keepLines w:val="0"/>
              <w:pageBreakBefore w:val="0"/>
              <w:widowControl w:val="0"/>
              <w:kinsoku/>
              <w:wordWrap/>
              <w:overflowPunct w:val="0"/>
              <w:topLinePunct w:val="0"/>
              <w:autoSpaceDE/>
              <w:autoSpaceDN/>
              <w:bidi w:val="0"/>
              <w:adjustRightInd/>
              <w:snapToGrid/>
              <w:spacing w:line="360" w:lineRule="exact"/>
              <w:textAlignment w:val="auto"/>
              <w:rPr>
                <w:rFonts w:ascii="宋体" w:hAnsi="宋体"/>
                <w:color w:val="auto"/>
                <w:spacing w:val="-1"/>
                <w:highlight w:val="none"/>
              </w:rPr>
            </w:pPr>
            <w:r>
              <w:rPr>
                <w:rFonts w:hint="eastAsia" w:ascii="宋体" w:hAnsi="宋体"/>
                <w:color w:val="auto"/>
                <w:spacing w:val="-1"/>
                <w:highlight w:val="none"/>
              </w:rPr>
              <w:t>一般（</w:t>
            </w:r>
            <w:r>
              <w:rPr>
                <w:rFonts w:hint="eastAsia" w:ascii="宋体" w:hAnsi="宋体"/>
                <w:color w:val="auto"/>
                <w:spacing w:val="-1"/>
                <w:highlight w:val="none"/>
                <w:lang w:val="en-US" w:eastAsia="zh-CN"/>
              </w:rPr>
              <w:t>10</w:t>
            </w:r>
            <w:r>
              <w:rPr>
                <w:rFonts w:hint="eastAsia" w:ascii="宋体" w:hAnsi="宋体"/>
                <w:color w:val="auto"/>
                <w:spacing w:val="-1"/>
                <w:highlight w:val="none"/>
              </w:rPr>
              <w:t xml:space="preserve"> 分）：对施工阶段至工程竣工验收完毕，针对设计与施工配合有简略的方案或承诺。内容、流程可操作性一般，有简略的实施事项或计划安排，勉强满足与施工配合的需求。</w:t>
            </w:r>
          </w:p>
          <w:p w14:paraId="3923096D">
            <w:pPr>
              <w:keepNext w:val="0"/>
              <w:keepLines w:val="0"/>
              <w:pageBreakBefore w:val="0"/>
              <w:widowControl w:val="0"/>
              <w:kinsoku/>
              <w:wordWrap/>
              <w:overflowPunct w:val="0"/>
              <w:topLinePunct w:val="0"/>
              <w:autoSpaceDE/>
              <w:autoSpaceDN/>
              <w:bidi w:val="0"/>
              <w:adjustRightInd/>
              <w:snapToGrid/>
              <w:spacing w:line="360" w:lineRule="exact"/>
              <w:textAlignment w:val="auto"/>
              <w:rPr>
                <w:rFonts w:hint="eastAsia" w:ascii="宋体" w:hAnsi="宋体"/>
                <w:color w:val="auto"/>
                <w:spacing w:val="-1"/>
                <w:highlight w:val="none"/>
              </w:rPr>
            </w:pPr>
            <w:r>
              <w:rPr>
                <w:rFonts w:hint="eastAsia" w:ascii="宋体" w:hAnsi="宋体"/>
                <w:color w:val="auto"/>
                <w:spacing w:val="-1"/>
                <w:highlight w:val="none"/>
              </w:rPr>
              <w:t>差（</w:t>
            </w:r>
            <w:r>
              <w:rPr>
                <w:rFonts w:hint="eastAsia" w:ascii="宋体" w:hAnsi="宋体"/>
                <w:color w:val="auto"/>
                <w:spacing w:val="-1"/>
                <w:highlight w:val="none"/>
                <w:lang w:val="en-US" w:eastAsia="zh-CN"/>
              </w:rPr>
              <w:t>5</w:t>
            </w:r>
            <w:r>
              <w:rPr>
                <w:rFonts w:hint="eastAsia" w:ascii="宋体" w:hAnsi="宋体"/>
                <w:color w:val="auto"/>
                <w:spacing w:val="-1"/>
                <w:highlight w:val="none"/>
              </w:rPr>
              <w:t>分）：</w:t>
            </w:r>
            <w:r>
              <w:rPr>
                <w:rFonts w:hint="eastAsia"/>
                <w:color w:val="auto"/>
                <w:highlight w:val="none"/>
              </w:rPr>
              <w:t>不能达到以上优、良、中、一般档次的</w:t>
            </w:r>
            <w:r>
              <w:rPr>
                <w:rFonts w:hint="eastAsia" w:ascii="宋体" w:hAnsi="宋体"/>
                <w:color w:val="auto"/>
                <w:spacing w:val="-1"/>
                <w:highlight w:val="none"/>
              </w:rPr>
              <w:t>。</w:t>
            </w:r>
          </w:p>
          <w:p w14:paraId="357B42D1">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r>
              <w:rPr>
                <w:rFonts w:hint="eastAsia" w:cs="宋体" w:asciiTheme="majorEastAsia" w:hAnsiTheme="majorEastAsia" w:eastAsiaTheme="majorEastAsia"/>
                <w:b/>
                <w:bCs w:val="0"/>
                <w:color w:val="auto"/>
                <w:highlight w:val="none"/>
                <w:lang w:eastAsia="zh-CN"/>
              </w:rPr>
              <w:t>注：</w:t>
            </w:r>
            <w:r>
              <w:rPr>
                <w:rFonts w:hint="eastAsia" w:cs="宋体" w:asciiTheme="majorEastAsia" w:hAnsiTheme="majorEastAsia" w:eastAsiaTheme="majorEastAsia"/>
                <w:b/>
                <w:bCs w:val="0"/>
                <w:color w:val="auto"/>
                <w:highlight w:val="none"/>
              </w:rPr>
              <w:t>经评审未达相应评审档次全部标准的,相应降低一个档次</w:t>
            </w:r>
            <w:r>
              <w:rPr>
                <w:rFonts w:hint="eastAsia" w:cs="宋体" w:asciiTheme="majorEastAsia" w:hAnsiTheme="majorEastAsia" w:eastAsiaTheme="majorEastAsia"/>
                <w:b/>
                <w:bCs w:val="0"/>
                <w:color w:val="auto"/>
                <w:highlight w:val="none"/>
                <w:lang w:eastAsia="zh-CN"/>
              </w:rPr>
              <w:t>评分</w:t>
            </w:r>
            <w:r>
              <w:rPr>
                <w:rFonts w:hint="eastAsia" w:cs="宋体" w:asciiTheme="majorEastAsia" w:hAnsiTheme="majorEastAsia" w:eastAsiaTheme="majorEastAsia"/>
                <w:b/>
                <w:bCs w:val="0"/>
                <w:color w:val="auto"/>
                <w:highlight w:val="none"/>
              </w:rPr>
              <w:t>。</w:t>
            </w:r>
          </w:p>
        </w:tc>
      </w:tr>
      <w:tr w14:paraId="3F65492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990" w:type="dxa"/>
            <w:vMerge w:val="continue"/>
            <w:tcBorders>
              <w:right w:val="single" w:color="000000" w:sz="6" w:space="0"/>
            </w:tcBorders>
            <w:noWrap w:val="0"/>
            <w:tcMar>
              <w:left w:w="0" w:type="dxa"/>
              <w:right w:w="0" w:type="dxa"/>
            </w:tcMar>
            <w:vAlign w:val="center"/>
          </w:tcPr>
          <w:p w14:paraId="209E49EE">
            <w:pPr>
              <w:keepNext w:val="0"/>
              <w:keepLines/>
              <w:pageBreakBefore w:val="0"/>
              <w:widowControl w:val="0"/>
              <w:kinsoku/>
              <w:wordWrap/>
              <w:overflowPunct w:val="0"/>
              <w:topLinePunct w:val="0"/>
              <w:autoSpaceDE/>
              <w:autoSpaceDN/>
              <w:bidi w:val="0"/>
              <w:adjustRightInd/>
              <w:snapToGrid/>
              <w:spacing w:line="360" w:lineRule="auto"/>
              <w:ind w:left="240"/>
              <w:textAlignment w:val="auto"/>
              <w:rPr>
                <w:color w:val="auto"/>
                <w:spacing w:val="-7"/>
                <w:highlight w:val="none"/>
              </w:rPr>
            </w:pPr>
          </w:p>
        </w:tc>
        <w:tc>
          <w:tcPr>
            <w:tcW w:w="1211" w:type="dxa"/>
            <w:gridSpan w:val="2"/>
            <w:vMerge w:val="continue"/>
            <w:tcBorders>
              <w:left w:val="single" w:color="000000" w:sz="6" w:space="0"/>
              <w:right w:val="single" w:color="000000" w:sz="6" w:space="0"/>
            </w:tcBorders>
            <w:noWrap w:val="0"/>
            <w:tcMar>
              <w:left w:w="0" w:type="dxa"/>
              <w:right w:w="0" w:type="dxa"/>
            </w:tcMar>
            <w:vAlign w:val="center"/>
          </w:tcPr>
          <w:p w14:paraId="6439C862">
            <w:pPr>
              <w:keepNext w:val="0"/>
              <w:keepLines/>
              <w:pageBreakBefore w:val="0"/>
              <w:widowControl w:val="0"/>
              <w:kinsoku/>
              <w:wordWrap/>
              <w:overflowPunct w:val="0"/>
              <w:topLinePunct w:val="0"/>
              <w:autoSpaceDE/>
              <w:autoSpaceDN/>
              <w:bidi w:val="0"/>
              <w:adjustRightInd/>
              <w:snapToGrid/>
              <w:spacing w:line="360" w:lineRule="auto"/>
              <w:ind w:left="142"/>
              <w:textAlignment w:val="auto"/>
              <w:rPr>
                <w:color w:val="auto"/>
                <w:spacing w:val="-7"/>
                <w:highlight w:val="none"/>
              </w:rPr>
            </w:pP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5BDAA8C">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spacing w:val="-1"/>
                <w:highlight w:val="none"/>
              </w:rPr>
            </w:pPr>
            <w:r>
              <w:rPr>
                <w:color w:val="auto"/>
                <w:spacing w:val="-1"/>
                <w:highlight w:val="none"/>
              </w:rPr>
              <w:t>服务响应管理方案</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6F13052D">
            <w:pPr>
              <w:keepNext w:val="0"/>
              <w:keepLines w:val="0"/>
              <w:pageBreakBefore w:val="0"/>
              <w:widowControl w:val="0"/>
              <w:kinsoku/>
              <w:wordWrap/>
              <w:overflowPunct w:val="0"/>
              <w:topLinePunct w:val="0"/>
              <w:autoSpaceDE/>
              <w:autoSpaceDN/>
              <w:bidi w:val="0"/>
              <w:adjustRightInd/>
              <w:snapToGrid/>
              <w:spacing w:line="360" w:lineRule="exact"/>
              <w:textAlignment w:val="auto"/>
              <w:rPr>
                <w:color w:val="auto"/>
                <w:highlight w:val="none"/>
              </w:rPr>
            </w:pPr>
            <w:r>
              <w:rPr>
                <w:rFonts w:hint="eastAsia" w:ascii="宋体" w:hAnsi="宋体" w:eastAsia="宋体" w:cs="宋体"/>
                <w:color w:val="auto"/>
                <w:kern w:val="0"/>
                <w:sz w:val="21"/>
                <w:szCs w:val="20"/>
                <w:highlight w:val="none"/>
                <w:lang w:val="en-US" w:eastAsia="zh-CN" w:bidi="ar-SA"/>
              </w:rPr>
              <w:t>优 （</w:t>
            </w:r>
            <w:r>
              <w:rPr>
                <w:rFonts w:hint="eastAsia" w:ascii="宋体" w:hAnsi="宋体" w:cs="宋体"/>
                <w:color w:val="auto"/>
                <w:sz w:val="21"/>
                <w:highlight w:val="none"/>
                <w:lang w:val="en-US" w:eastAsia="zh-CN"/>
              </w:rPr>
              <w:t>2</w:t>
            </w:r>
            <w:r>
              <w:rPr>
                <w:rFonts w:ascii="宋体" w:hAnsi="宋体" w:cs="宋体"/>
                <w:color w:val="auto"/>
                <w:sz w:val="21"/>
                <w:highlight w:val="none"/>
              </w:rPr>
              <w:t>5分）：</w:t>
            </w:r>
            <w:r>
              <w:rPr>
                <w:rFonts w:hint="eastAsia" w:ascii="宋体" w:hAnsi="宋体" w:cs="宋体"/>
                <w:color w:val="auto"/>
                <w:sz w:val="21"/>
                <w:highlight w:val="none"/>
                <w:lang w:eastAsia="zh-CN"/>
              </w:rPr>
              <w:t>服务承诺周到、完善、可行性强，充分满足本项目发包人要求，有利于项目实施，</w:t>
            </w:r>
            <w:r>
              <w:rPr>
                <w:rFonts w:hint="eastAsia" w:ascii="宋体" w:hAnsi="宋体" w:cs="宋体"/>
                <w:color w:val="auto"/>
                <w:sz w:val="21"/>
                <w:highlight w:val="none"/>
              </w:rPr>
              <w:t>并能提供相应充分可行的支撑承诺的措施，</w:t>
            </w:r>
            <w:r>
              <w:rPr>
                <w:rFonts w:ascii="宋体" w:hAnsi="宋体" w:cs="宋体"/>
                <w:color w:val="auto"/>
                <w:sz w:val="21"/>
                <w:highlight w:val="none"/>
              </w:rPr>
              <w:t>能为招标人提供完善的服务, 处理工程施工中问题时，2小时</w:t>
            </w:r>
            <w:r>
              <w:rPr>
                <w:rFonts w:hint="eastAsia" w:ascii="宋体" w:hAnsi="宋体" w:cs="宋体"/>
                <w:color w:val="auto"/>
                <w:sz w:val="21"/>
                <w:highlight w:val="none"/>
                <w:lang w:eastAsia="zh-CN"/>
              </w:rPr>
              <w:t>内</w:t>
            </w:r>
            <w:r>
              <w:rPr>
                <w:rFonts w:ascii="宋体" w:hAnsi="宋体" w:cs="宋体"/>
                <w:color w:val="auto"/>
                <w:sz w:val="21"/>
                <w:highlight w:val="none"/>
              </w:rPr>
              <w:t>到达现场，8小时内提供解决方案并主动解决问题，服务保障措施详</w:t>
            </w:r>
            <w:r>
              <w:rPr>
                <w:rFonts w:hint="eastAsia" w:ascii="宋体" w:hAnsi="宋体" w:cs="宋体"/>
                <w:color w:val="auto"/>
                <w:sz w:val="21"/>
                <w:highlight w:val="none"/>
                <w:lang w:eastAsia="zh-CN"/>
              </w:rPr>
              <w:t>尽</w:t>
            </w:r>
            <w:r>
              <w:rPr>
                <w:rFonts w:ascii="宋体" w:hAnsi="宋体" w:cs="宋体"/>
                <w:color w:val="auto"/>
                <w:sz w:val="21"/>
                <w:highlight w:val="none"/>
              </w:rPr>
              <w:t>、到位，</w:t>
            </w:r>
            <w:r>
              <w:rPr>
                <w:rFonts w:hint="eastAsia" w:ascii="宋体" w:hAnsi="宋体" w:cs="宋体"/>
                <w:color w:val="auto"/>
                <w:sz w:val="21"/>
                <w:highlight w:val="none"/>
                <w:lang w:eastAsia="zh-CN"/>
              </w:rPr>
              <w:t>可行性及</w:t>
            </w:r>
            <w:r>
              <w:rPr>
                <w:rFonts w:ascii="宋体" w:hAnsi="宋体" w:cs="宋体"/>
                <w:color w:val="auto"/>
                <w:sz w:val="21"/>
                <w:highlight w:val="none"/>
              </w:rPr>
              <w:t>针对性强。</w:t>
            </w:r>
          </w:p>
          <w:p w14:paraId="2ED54A5F">
            <w:pPr>
              <w:pStyle w:val="157"/>
              <w:keepNext w:val="0"/>
              <w:keepLines w:val="0"/>
              <w:pageBreakBefore w:val="0"/>
              <w:widowControl w:val="0"/>
              <w:kinsoku/>
              <w:wordWrap/>
              <w:overflowPunct w:val="0"/>
              <w:topLinePunct w:val="0"/>
              <w:autoSpaceDE/>
              <w:autoSpaceDN/>
              <w:bidi w:val="0"/>
              <w:adjustRightInd/>
              <w:snapToGrid/>
              <w:spacing w:line="360" w:lineRule="exact"/>
              <w:textAlignment w:val="auto"/>
              <w:rPr>
                <w:rFonts w:ascii="宋体" w:hAnsi="宋体" w:cs="宋体"/>
                <w:color w:val="auto"/>
                <w:sz w:val="21"/>
                <w:highlight w:val="none"/>
              </w:rPr>
            </w:pPr>
            <w:r>
              <w:rPr>
                <w:rFonts w:ascii="宋体" w:hAnsi="宋体" w:cs="宋体"/>
                <w:color w:val="auto"/>
                <w:sz w:val="21"/>
                <w:highlight w:val="none"/>
              </w:rPr>
              <w:t>良（</w:t>
            </w:r>
            <w:r>
              <w:rPr>
                <w:rFonts w:hint="eastAsia" w:ascii="宋体" w:hAnsi="宋体" w:cs="宋体"/>
                <w:color w:val="auto"/>
                <w:sz w:val="21"/>
                <w:highlight w:val="none"/>
                <w:lang w:val="en-US" w:eastAsia="zh-CN"/>
              </w:rPr>
              <w:t>20</w:t>
            </w:r>
            <w:r>
              <w:rPr>
                <w:rFonts w:ascii="宋体" w:hAnsi="宋体" w:cs="宋体"/>
                <w:color w:val="auto"/>
                <w:sz w:val="21"/>
                <w:highlight w:val="none"/>
              </w:rPr>
              <w:t>分）：</w:t>
            </w:r>
            <w:r>
              <w:rPr>
                <w:rFonts w:hint="eastAsia" w:ascii="宋体" w:hAnsi="宋体" w:cs="宋体"/>
                <w:color w:val="auto"/>
                <w:sz w:val="21"/>
                <w:highlight w:val="none"/>
                <w:lang w:eastAsia="zh-CN"/>
              </w:rPr>
              <w:t>服务承诺完整、可行，满足本项目发包人要求，</w:t>
            </w:r>
            <w:r>
              <w:rPr>
                <w:rFonts w:hint="eastAsia" w:ascii="宋体" w:hAnsi="宋体" w:cs="宋体"/>
                <w:color w:val="auto"/>
                <w:sz w:val="21"/>
                <w:highlight w:val="none"/>
              </w:rPr>
              <w:t>并能提供相应充分可行的支撑承诺的措施，</w:t>
            </w:r>
            <w:r>
              <w:rPr>
                <w:rFonts w:ascii="宋体" w:hAnsi="宋体" w:cs="宋体"/>
                <w:color w:val="auto"/>
                <w:sz w:val="21"/>
                <w:highlight w:val="none"/>
              </w:rPr>
              <w:t>并在处理工程施工中问题时，4小时</w:t>
            </w:r>
            <w:r>
              <w:rPr>
                <w:rFonts w:hint="eastAsia" w:ascii="宋体" w:hAnsi="宋体" w:cs="宋体"/>
                <w:color w:val="auto"/>
                <w:sz w:val="21"/>
                <w:highlight w:val="none"/>
                <w:lang w:eastAsia="zh-CN"/>
              </w:rPr>
              <w:t>内</w:t>
            </w:r>
            <w:r>
              <w:rPr>
                <w:rFonts w:ascii="宋体" w:hAnsi="宋体" w:cs="宋体"/>
                <w:color w:val="auto"/>
                <w:sz w:val="21"/>
                <w:highlight w:val="none"/>
              </w:rPr>
              <w:t>到达现场，12小时内并主动解决问题，服务保障措施较详细</w:t>
            </w:r>
            <w:r>
              <w:rPr>
                <w:rFonts w:hint="eastAsia" w:ascii="宋体" w:hAnsi="宋体" w:cs="宋体"/>
                <w:color w:val="auto"/>
                <w:sz w:val="21"/>
                <w:highlight w:val="none"/>
                <w:lang w:eastAsia="zh-CN"/>
              </w:rPr>
              <w:t>，有一定的可行性及针对性</w:t>
            </w:r>
            <w:r>
              <w:rPr>
                <w:rFonts w:ascii="宋体" w:hAnsi="宋体" w:cs="宋体"/>
                <w:color w:val="auto"/>
                <w:sz w:val="21"/>
                <w:highlight w:val="none"/>
              </w:rPr>
              <w:t xml:space="preserve">。 </w:t>
            </w:r>
          </w:p>
          <w:p w14:paraId="1C6FFECE">
            <w:pPr>
              <w:pStyle w:val="157"/>
              <w:keepNext w:val="0"/>
              <w:keepLines w:val="0"/>
              <w:pageBreakBefore w:val="0"/>
              <w:widowControl w:val="0"/>
              <w:kinsoku/>
              <w:wordWrap/>
              <w:overflowPunct w:val="0"/>
              <w:topLinePunct w:val="0"/>
              <w:autoSpaceDE/>
              <w:autoSpaceDN/>
              <w:bidi w:val="0"/>
              <w:adjustRightInd/>
              <w:snapToGrid/>
              <w:spacing w:line="360" w:lineRule="exact"/>
              <w:textAlignment w:val="auto"/>
              <w:rPr>
                <w:rFonts w:ascii="宋体" w:hAnsi="宋体" w:cs="宋体"/>
                <w:color w:val="auto"/>
                <w:sz w:val="21"/>
                <w:highlight w:val="none"/>
              </w:rPr>
            </w:pPr>
            <w:r>
              <w:rPr>
                <w:rFonts w:ascii="宋体" w:hAnsi="宋体" w:cs="宋体"/>
                <w:color w:val="auto"/>
                <w:sz w:val="21"/>
                <w:highlight w:val="none"/>
              </w:rPr>
              <w:t>中（</w:t>
            </w:r>
            <w:r>
              <w:rPr>
                <w:rFonts w:hint="eastAsia" w:ascii="宋体" w:hAnsi="宋体" w:cs="宋体"/>
                <w:color w:val="auto"/>
                <w:sz w:val="21"/>
                <w:highlight w:val="none"/>
                <w:lang w:val="en-US" w:eastAsia="zh-CN"/>
              </w:rPr>
              <w:t>15</w:t>
            </w:r>
            <w:r>
              <w:rPr>
                <w:rFonts w:ascii="宋体" w:hAnsi="宋体" w:cs="宋体"/>
                <w:color w:val="auto"/>
                <w:sz w:val="21"/>
                <w:highlight w:val="none"/>
              </w:rPr>
              <w:t>分）：</w:t>
            </w:r>
            <w:r>
              <w:rPr>
                <w:rFonts w:hint="eastAsia" w:ascii="宋体" w:hAnsi="宋体" w:cs="宋体"/>
                <w:color w:val="auto"/>
                <w:sz w:val="21"/>
                <w:highlight w:val="none"/>
                <w:lang w:eastAsia="zh-CN"/>
              </w:rPr>
              <w:t>服务承诺完整但缺乏可行性，勉强满足本项目发包人要求</w:t>
            </w:r>
            <w:r>
              <w:rPr>
                <w:rFonts w:ascii="宋体" w:hAnsi="宋体" w:cs="宋体"/>
                <w:color w:val="auto"/>
                <w:sz w:val="21"/>
                <w:highlight w:val="none"/>
              </w:rPr>
              <w:t>,</w:t>
            </w:r>
            <w:r>
              <w:rPr>
                <w:rFonts w:hint="eastAsia" w:ascii="宋体" w:hAnsi="宋体" w:cs="宋体"/>
                <w:color w:val="auto"/>
                <w:sz w:val="21"/>
                <w:highlight w:val="none"/>
              </w:rPr>
              <w:t>并能提供相应充分可行的支撑承诺的措施，</w:t>
            </w:r>
            <w:r>
              <w:rPr>
                <w:rFonts w:ascii="宋体" w:hAnsi="宋体" w:cs="宋体"/>
                <w:color w:val="auto"/>
                <w:sz w:val="21"/>
                <w:highlight w:val="none"/>
              </w:rPr>
              <w:t>并在处理工程施工中问题时，8小时</w:t>
            </w:r>
            <w:r>
              <w:rPr>
                <w:rFonts w:hint="eastAsia" w:ascii="宋体" w:hAnsi="宋体" w:cs="宋体"/>
                <w:color w:val="auto"/>
                <w:sz w:val="21"/>
                <w:highlight w:val="none"/>
                <w:lang w:eastAsia="zh-CN"/>
              </w:rPr>
              <w:t>内</w:t>
            </w:r>
            <w:r>
              <w:rPr>
                <w:rFonts w:ascii="宋体" w:hAnsi="宋体" w:cs="宋体"/>
                <w:color w:val="auto"/>
                <w:sz w:val="21"/>
                <w:highlight w:val="none"/>
              </w:rPr>
              <w:t>到达现场，16小时内并主动解决问题，服务保障措施粗略</w:t>
            </w:r>
            <w:r>
              <w:rPr>
                <w:rFonts w:hint="eastAsia" w:ascii="宋体" w:hAnsi="宋体" w:cs="宋体"/>
                <w:color w:val="auto"/>
                <w:sz w:val="21"/>
                <w:highlight w:val="none"/>
                <w:lang w:eastAsia="zh-CN"/>
              </w:rPr>
              <w:t>，缺乏可行性及针对性</w:t>
            </w:r>
            <w:r>
              <w:rPr>
                <w:rFonts w:ascii="宋体" w:hAnsi="宋体" w:cs="宋体"/>
                <w:color w:val="auto"/>
                <w:sz w:val="21"/>
                <w:highlight w:val="none"/>
              </w:rPr>
              <w:t>。</w:t>
            </w:r>
          </w:p>
          <w:p w14:paraId="4F493423">
            <w:pPr>
              <w:pStyle w:val="157"/>
              <w:keepNext w:val="0"/>
              <w:keepLines w:val="0"/>
              <w:pageBreakBefore w:val="0"/>
              <w:widowControl w:val="0"/>
              <w:kinsoku/>
              <w:wordWrap/>
              <w:overflowPunct w:val="0"/>
              <w:topLinePunct w:val="0"/>
              <w:autoSpaceDE/>
              <w:autoSpaceDN/>
              <w:bidi w:val="0"/>
              <w:adjustRightInd/>
              <w:snapToGrid/>
              <w:spacing w:line="360" w:lineRule="exact"/>
              <w:textAlignment w:val="auto"/>
              <w:rPr>
                <w:rFonts w:ascii="宋体" w:hAnsi="宋体" w:cs="宋体"/>
                <w:color w:val="auto"/>
                <w:sz w:val="21"/>
                <w:highlight w:val="none"/>
              </w:rPr>
            </w:pPr>
            <w:r>
              <w:rPr>
                <w:rFonts w:ascii="宋体" w:hAnsi="宋体" w:cs="宋体"/>
                <w:color w:val="auto"/>
                <w:sz w:val="21"/>
                <w:highlight w:val="none"/>
              </w:rPr>
              <w:t>一般（</w:t>
            </w:r>
            <w:r>
              <w:rPr>
                <w:rFonts w:hint="eastAsia" w:ascii="宋体" w:hAnsi="宋体" w:cs="宋体"/>
                <w:color w:val="auto"/>
                <w:sz w:val="21"/>
                <w:highlight w:val="none"/>
                <w:lang w:val="en-US" w:eastAsia="zh-CN"/>
              </w:rPr>
              <w:t>10</w:t>
            </w:r>
            <w:r>
              <w:rPr>
                <w:rFonts w:ascii="宋体" w:hAnsi="宋体" w:cs="宋体"/>
                <w:color w:val="auto"/>
                <w:sz w:val="21"/>
                <w:highlight w:val="none"/>
              </w:rPr>
              <w:t>分）：</w:t>
            </w:r>
            <w:r>
              <w:rPr>
                <w:rFonts w:hint="eastAsia" w:ascii="宋体" w:hAnsi="宋体" w:cs="宋体"/>
                <w:color w:val="auto"/>
                <w:sz w:val="21"/>
                <w:highlight w:val="none"/>
                <w:lang w:eastAsia="zh-CN"/>
              </w:rPr>
              <w:t>服务承诺完整但缺乏可行性，勉强满足本项目发包人要求</w:t>
            </w:r>
            <w:r>
              <w:rPr>
                <w:rFonts w:ascii="宋体" w:hAnsi="宋体" w:cs="宋体"/>
                <w:color w:val="auto"/>
                <w:sz w:val="21"/>
                <w:highlight w:val="none"/>
              </w:rPr>
              <w:t>, 并承诺在处理工程施工中问题时，12小时</w:t>
            </w:r>
            <w:r>
              <w:rPr>
                <w:rFonts w:hint="eastAsia" w:ascii="宋体" w:hAnsi="宋体" w:cs="宋体"/>
                <w:color w:val="auto"/>
                <w:sz w:val="21"/>
                <w:highlight w:val="none"/>
                <w:lang w:eastAsia="zh-CN"/>
              </w:rPr>
              <w:t>内</w:t>
            </w:r>
            <w:r>
              <w:rPr>
                <w:rFonts w:ascii="宋体" w:hAnsi="宋体" w:cs="宋体"/>
                <w:color w:val="auto"/>
                <w:sz w:val="21"/>
                <w:highlight w:val="none"/>
              </w:rPr>
              <w:t>到达现场，18小时内并主动解决问题，</w:t>
            </w:r>
            <w:r>
              <w:rPr>
                <w:rFonts w:hint="eastAsia" w:ascii="宋体" w:hAnsi="宋体" w:cs="宋体"/>
                <w:color w:val="auto"/>
                <w:sz w:val="21"/>
                <w:highlight w:val="none"/>
                <w:lang w:eastAsia="zh-CN"/>
              </w:rPr>
              <w:t>无</w:t>
            </w:r>
            <w:r>
              <w:rPr>
                <w:rFonts w:ascii="宋体" w:hAnsi="宋体" w:cs="宋体"/>
                <w:color w:val="auto"/>
                <w:sz w:val="21"/>
                <w:highlight w:val="none"/>
              </w:rPr>
              <w:t>服务保障措施</w:t>
            </w:r>
            <w:r>
              <w:rPr>
                <w:rFonts w:hint="eastAsia" w:ascii="宋体" w:hAnsi="宋体" w:cs="宋体"/>
                <w:color w:val="auto"/>
                <w:sz w:val="21"/>
                <w:highlight w:val="none"/>
              </w:rPr>
              <w:t>。</w:t>
            </w:r>
          </w:p>
          <w:p w14:paraId="5ABAC5D3">
            <w:pPr>
              <w:keepNext w:val="0"/>
              <w:keepLines w:val="0"/>
              <w:pageBreakBefore w:val="0"/>
              <w:widowControl w:val="0"/>
              <w:kinsoku/>
              <w:wordWrap/>
              <w:overflowPunct w:val="0"/>
              <w:topLinePunct w:val="0"/>
              <w:autoSpaceDE/>
              <w:autoSpaceDN/>
              <w:bidi w:val="0"/>
              <w:adjustRightInd/>
              <w:snapToGrid/>
              <w:spacing w:line="360" w:lineRule="exact"/>
              <w:textAlignment w:val="auto"/>
              <w:rPr>
                <w:rFonts w:ascii="宋体" w:hAnsi="宋体" w:cs="宋体"/>
                <w:color w:val="auto"/>
                <w:sz w:val="21"/>
                <w:highlight w:val="none"/>
              </w:rPr>
            </w:pPr>
            <w:r>
              <w:rPr>
                <w:rFonts w:ascii="宋体" w:hAnsi="宋体" w:cs="宋体"/>
                <w:color w:val="auto"/>
                <w:sz w:val="21"/>
                <w:highlight w:val="none"/>
              </w:rPr>
              <w:t>差（</w:t>
            </w:r>
            <w:r>
              <w:rPr>
                <w:rFonts w:hint="eastAsia" w:ascii="宋体" w:hAnsi="宋体" w:cs="宋体"/>
                <w:color w:val="auto"/>
                <w:sz w:val="21"/>
                <w:highlight w:val="none"/>
                <w:lang w:val="en-US" w:eastAsia="zh-CN"/>
              </w:rPr>
              <w:t>5</w:t>
            </w:r>
            <w:r>
              <w:rPr>
                <w:rFonts w:ascii="宋体" w:hAnsi="宋体" w:cs="宋体"/>
                <w:color w:val="auto"/>
                <w:sz w:val="21"/>
                <w:highlight w:val="none"/>
              </w:rPr>
              <w:t>分）：</w:t>
            </w:r>
            <w:r>
              <w:rPr>
                <w:rFonts w:hint="eastAsia"/>
                <w:color w:val="auto"/>
                <w:highlight w:val="none"/>
              </w:rPr>
              <w:t>不能达到以上优、良、中、一般档次的</w:t>
            </w:r>
            <w:r>
              <w:rPr>
                <w:rFonts w:ascii="宋体" w:hAnsi="宋体" w:cs="宋体"/>
                <w:color w:val="auto"/>
                <w:sz w:val="21"/>
                <w:highlight w:val="none"/>
              </w:rPr>
              <w:t>。</w:t>
            </w:r>
          </w:p>
          <w:p w14:paraId="2F6A7CB7">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r>
              <w:rPr>
                <w:rFonts w:hint="eastAsia" w:cs="宋体" w:asciiTheme="majorEastAsia" w:hAnsiTheme="majorEastAsia" w:eastAsiaTheme="majorEastAsia"/>
                <w:b/>
                <w:bCs w:val="0"/>
                <w:color w:val="auto"/>
                <w:highlight w:val="none"/>
                <w:lang w:eastAsia="zh-CN"/>
              </w:rPr>
              <w:t>注：</w:t>
            </w:r>
            <w:r>
              <w:rPr>
                <w:rFonts w:hint="eastAsia" w:cs="宋体" w:asciiTheme="majorEastAsia" w:hAnsiTheme="majorEastAsia" w:eastAsiaTheme="majorEastAsia"/>
                <w:b/>
                <w:bCs w:val="0"/>
                <w:color w:val="auto"/>
                <w:highlight w:val="none"/>
              </w:rPr>
              <w:t>经评审未达相应评审档次全部标准的,相应降低一个档次</w:t>
            </w:r>
            <w:r>
              <w:rPr>
                <w:rFonts w:hint="eastAsia" w:cs="宋体" w:asciiTheme="majorEastAsia" w:hAnsiTheme="majorEastAsia" w:eastAsiaTheme="majorEastAsia"/>
                <w:b/>
                <w:bCs w:val="0"/>
                <w:color w:val="auto"/>
                <w:highlight w:val="none"/>
                <w:lang w:eastAsia="zh-CN"/>
              </w:rPr>
              <w:t>评分</w:t>
            </w:r>
            <w:r>
              <w:rPr>
                <w:rFonts w:hint="eastAsia" w:cs="宋体" w:asciiTheme="majorEastAsia" w:hAnsiTheme="majorEastAsia" w:eastAsiaTheme="majorEastAsia"/>
                <w:b/>
                <w:bCs w:val="0"/>
                <w:color w:val="auto"/>
                <w:highlight w:val="none"/>
              </w:rPr>
              <w:t>。</w:t>
            </w:r>
          </w:p>
        </w:tc>
      </w:tr>
      <w:tr w14:paraId="5D9F2D7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91" w:hRule="exact"/>
        </w:trPr>
        <w:tc>
          <w:tcPr>
            <w:tcW w:w="990" w:type="dxa"/>
            <w:vMerge w:val="restart"/>
            <w:tcBorders>
              <w:top w:val="single" w:color="000000" w:sz="6" w:space="0"/>
              <w:right w:val="single" w:color="000000" w:sz="6" w:space="0"/>
            </w:tcBorders>
            <w:noWrap w:val="0"/>
            <w:tcMar>
              <w:left w:w="0" w:type="dxa"/>
              <w:right w:w="0" w:type="dxa"/>
            </w:tcMar>
            <w:vAlign w:val="center"/>
          </w:tcPr>
          <w:p w14:paraId="670FC44C">
            <w:pPr>
              <w:keepNext w:val="0"/>
              <w:keepLines/>
              <w:pageBreakBefore w:val="0"/>
              <w:widowControl w:val="0"/>
              <w:kinsoku/>
              <w:wordWrap/>
              <w:overflowPunct w:val="0"/>
              <w:topLinePunct w:val="0"/>
              <w:autoSpaceDE/>
              <w:autoSpaceDN/>
              <w:bidi w:val="0"/>
              <w:adjustRightInd/>
              <w:snapToGrid/>
              <w:spacing w:line="360" w:lineRule="auto"/>
              <w:ind w:left="240"/>
              <w:textAlignment w:val="auto"/>
              <w:rPr>
                <w:color w:val="auto"/>
                <w:spacing w:val="-7"/>
                <w:highlight w:val="none"/>
              </w:rPr>
            </w:pPr>
            <w:r>
              <w:rPr>
                <w:color w:val="auto"/>
                <w:spacing w:val="-7"/>
                <w:highlight w:val="none"/>
              </w:rPr>
              <w:t>2.2.2</w:t>
            </w:r>
          </w:p>
          <w:p w14:paraId="48CD7D37">
            <w:pPr>
              <w:keepNext w:val="0"/>
              <w:keepLines/>
              <w:pageBreakBefore w:val="0"/>
              <w:widowControl w:val="0"/>
              <w:kinsoku/>
              <w:wordWrap/>
              <w:overflowPunct w:val="0"/>
              <w:topLinePunct w:val="0"/>
              <w:autoSpaceDE/>
              <w:autoSpaceDN/>
              <w:bidi w:val="0"/>
              <w:adjustRightInd/>
              <w:snapToGrid/>
              <w:spacing w:line="360" w:lineRule="auto"/>
              <w:ind w:left="240"/>
              <w:textAlignment w:val="auto"/>
              <w:rPr>
                <w:rFonts w:hint="eastAsia"/>
                <w:color w:val="auto"/>
                <w:spacing w:val="-7"/>
                <w:highlight w:val="none"/>
              </w:rPr>
            </w:pPr>
            <w:r>
              <w:rPr>
                <w:color w:val="auto"/>
                <w:spacing w:val="-7"/>
                <w:highlight w:val="none"/>
              </w:rPr>
              <w:t>（3）</w:t>
            </w:r>
          </w:p>
        </w:tc>
        <w:tc>
          <w:tcPr>
            <w:tcW w:w="1211" w:type="dxa"/>
            <w:gridSpan w:val="2"/>
            <w:vMerge w:val="restart"/>
            <w:tcBorders>
              <w:top w:val="single" w:color="000000" w:sz="6" w:space="0"/>
              <w:left w:val="single" w:color="000000" w:sz="6" w:space="0"/>
              <w:right w:val="single" w:color="000000" w:sz="6" w:space="0"/>
            </w:tcBorders>
            <w:noWrap w:val="0"/>
            <w:vAlign w:val="center"/>
          </w:tcPr>
          <w:p w14:paraId="17E57505">
            <w:pPr>
              <w:keepNext w:val="0"/>
              <w:keepLines/>
              <w:pageBreakBefore w:val="0"/>
              <w:widowControl w:val="0"/>
              <w:kinsoku/>
              <w:wordWrap/>
              <w:overflowPunct w:val="0"/>
              <w:topLinePunct w:val="0"/>
              <w:autoSpaceDE/>
              <w:autoSpaceDN/>
              <w:bidi w:val="0"/>
              <w:adjustRightInd/>
              <w:snapToGrid/>
              <w:spacing w:line="240" w:lineRule="exact"/>
              <w:ind w:left="142"/>
              <w:textAlignment w:val="auto"/>
              <w:rPr>
                <w:color w:val="auto"/>
                <w:spacing w:val="-7"/>
                <w:highlight w:val="none"/>
              </w:rPr>
            </w:pPr>
            <w:r>
              <w:rPr>
                <w:rFonts w:hint="eastAsia"/>
                <w:b/>
                <w:color w:val="auto"/>
                <w:spacing w:val="12"/>
                <w:szCs w:val="21"/>
                <w:highlight w:val="none"/>
                <w:lang w:eastAsia="zh-CN"/>
              </w:rPr>
              <w:t>☑</w:t>
            </w:r>
            <w:r>
              <w:rPr>
                <w:color w:val="auto"/>
                <w:spacing w:val="12"/>
                <w:szCs w:val="21"/>
                <w:highlight w:val="none"/>
              </w:rPr>
              <w:t>设计团队评分标准（满分100分）</w:t>
            </w:r>
            <w:r>
              <w:rPr>
                <w:rFonts w:ascii="Times New Roman" w:hAnsi="Times New Roman" w:eastAsia="楷体" w:cs="Times New Roman"/>
                <w:b/>
                <w:color w:val="auto"/>
                <w:szCs w:val="21"/>
                <w:highlight w:val="none"/>
              </w:rPr>
              <w:t>【</w:t>
            </w:r>
            <w:r>
              <w:rPr>
                <w:rFonts w:ascii="Times New Roman" w:hAnsi="Times New Roman" w:eastAsia="楷体" w:cs="Times New Roman"/>
                <w:b/>
                <w:color w:val="auto"/>
                <w:szCs w:val="21"/>
                <w:highlight w:val="none"/>
                <w:lang w:val="en"/>
              </w:rPr>
              <w:t>备注</w:t>
            </w:r>
            <w:r>
              <w:rPr>
                <w:rFonts w:ascii="Times New Roman" w:hAnsi="Times New Roman" w:eastAsia="楷体" w:cs="Times New Roman"/>
                <w:b/>
                <w:color w:val="auto"/>
                <w:szCs w:val="21"/>
                <w:highlight w:val="none"/>
              </w:rPr>
              <w:t>:设优、良、中、一般、差，并对各评分等级设置一个具体分</w:t>
            </w:r>
            <w:r>
              <w:rPr>
                <w:rFonts w:eastAsia="楷体"/>
                <w:b/>
                <w:color w:val="auto"/>
                <w:szCs w:val="21"/>
                <w:highlight w:val="none"/>
              </w:rPr>
              <w:t>值，不设评分区间】</w:t>
            </w:r>
          </w:p>
        </w:tc>
        <w:tc>
          <w:tcPr>
            <w:tcW w:w="6980" w:type="dxa"/>
            <w:gridSpan w:val="2"/>
            <w:tcBorders>
              <w:top w:val="single" w:color="000000" w:sz="6" w:space="0"/>
              <w:left w:val="single" w:color="000000" w:sz="6" w:space="0"/>
              <w:bottom w:val="single" w:color="000000" w:sz="6" w:space="0"/>
            </w:tcBorders>
            <w:noWrap w:val="0"/>
            <w:tcMar>
              <w:left w:w="0" w:type="dxa"/>
              <w:right w:w="0" w:type="dxa"/>
            </w:tcMar>
            <w:vAlign w:val="center"/>
          </w:tcPr>
          <w:p w14:paraId="32832FF5">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szCs w:val="21"/>
                <w:highlight w:val="none"/>
              </w:rPr>
            </w:pPr>
            <w:r>
              <w:rPr>
                <w:color w:val="auto"/>
                <w:szCs w:val="21"/>
                <w:highlight w:val="none"/>
              </w:rPr>
              <w:t>设计团队得分不及格（低于满分的60%）的，视作未对招标文件进行实质性响应，否决其投标。</w:t>
            </w:r>
          </w:p>
        </w:tc>
      </w:tr>
      <w:tr w14:paraId="3867380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4102" w:hRule="exact"/>
        </w:trPr>
        <w:tc>
          <w:tcPr>
            <w:tcW w:w="990" w:type="dxa"/>
            <w:vMerge w:val="continue"/>
            <w:tcBorders>
              <w:right w:val="single" w:color="000000" w:sz="6" w:space="0"/>
            </w:tcBorders>
            <w:noWrap w:val="0"/>
            <w:tcMar>
              <w:left w:w="0" w:type="dxa"/>
              <w:right w:w="0" w:type="dxa"/>
            </w:tcMar>
            <w:vAlign w:val="center"/>
          </w:tcPr>
          <w:p w14:paraId="0838E410">
            <w:pPr>
              <w:keepNext w:val="0"/>
              <w:keepLines/>
              <w:pageBreakBefore w:val="0"/>
              <w:widowControl w:val="0"/>
              <w:kinsoku/>
              <w:wordWrap/>
              <w:overflowPunct w:val="0"/>
              <w:topLinePunct w:val="0"/>
              <w:autoSpaceDE/>
              <w:autoSpaceDN/>
              <w:bidi w:val="0"/>
              <w:adjustRightInd/>
              <w:snapToGrid/>
              <w:spacing w:line="360" w:lineRule="auto"/>
              <w:ind w:left="240"/>
              <w:textAlignment w:val="auto"/>
              <w:rPr>
                <w:color w:val="auto"/>
                <w:spacing w:val="-7"/>
                <w:highlight w:val="none"/>
              </w:rPr>
            </w:pPr>
          </w:p>
        </w:tc>
        <w:tc>
          <w:tcPr>
            <w:tcW w:w="1211" w:type="dxa"/>
            <w:gridSpan w:val="2"/>
            <w:vMerge w:val="continue"/>
            <w:tcBorders>
              <w:left w:val="single" w:color="000000" w:sz="6" w:space="0"/>
              <w:right w:val="single" w:color="000000" w:sz="6" w:space="0"/>
            </w:tcBorders>
            <w:noWrap w:val="0"/>
            <w:vAlign w:val="center"/>
          </w:tcPr>
          <w:p w14:paraId="2D6EC3C7">
            <w:pPr>
              <w:keepNext w:val="0"/>
              <w:keepLines/>
              <w:pageBreakBefore w:val="0"/>
              <w:widowControl w:val="0"/>
              <w:kinsoku/>
              <w:wordWrap/>
              <w:overflowPunct w:val="0"/>
              <w:topLinePunct w:val="0"/>
              <w:autoSpaceDE/>
              <w:autoSpaceDN/>
              <w:bidi w:val="0"/>
              <w:adjustRightInd/>
              <w:snapToGrid/>
              <w:spacing w:line="360" w:lineRule="auto"/>
              <w:ind w:left="142"/>
              <w:textAlignment w:val="auto"/>
              <w:rPr>
                <w:color w:val="auto"/>
                <w:spacing w:val="12"/>
                <w:szCs w:val="21"/>
                <w:highlight w:val="none"/>
              </w:rPr>
            </w:pPr>
          </w:p>
        </w:tc>
        <w:tc>
          <w:tcPr>
            <w:tcW w:w="1972" w:type="dxa"/>
            <w:tcBorders>
              <w:top w:val="single" w:color="000000" w:sz="6" w:space="0"/>
              <w:left w:val="single" w:color="000000" w:sz="6" w:space="0"/>
              <w:bottom w:val="single" w:color="000000" w:sz="6" w:space="0"/>
              <w:right w:val="single" w:color="auto" w:sz="4" w:space="0"/>
            </w:tcBorders>
            <w:noWrap w:val="0"/>
            <w:tcMar>
              <w:left w:w="0" w:type="dxa"/>
              <w:right w:w="0" w:type="dxa"/>
            </w:tcMar>
            <w:vAlign w:val="center"/>
          </w:tcPr>
          <w:p w14:paraId="41062E0E">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szCs w:val="21"/>
                <w:highlight w:val="none"/>
              </w:rPr>
            </w:pPr>
            <w:r>
              <w:rPr>
                <w:color w:val="auto"/>
                <w:highlight w:val="none"/>
              </w:rPr>
              <w:t>设计项目负责人</w:t>
            </w:r>
          </w:p>
        </w:tc>
        <w:tc>
          <w:tcPr>
            <w:tcW w:w="5008" w:type="dxa"/>
            <w:tcBorders>
              <w:top w:val="single" w:color="000000" w:sz="6" w:space="0"/>
              <w:left w:val="single" w:color="auto" w:sz="4" w:space="0"/>
              <w:bottom w:val="single" w:color="000000" w:sz="6" w:space="0"/>
            </w:tcBorders>
            <w:noWrap w:val="0"/>
            <w:vAlign w:val="center"/>
          </w:tcPr>
          <w:p w14:paraId="01205C90">
            <w:pPr>
              <w:keepNext w:val="0"/>
              <w:keepLines/>
              <w:pageBreakBefore w:val="0"/>
              <w:widowControl w:val="0"/>
              <w:kinsoku/>
              <w:wordWrap/>
              <w:overflowPunct w:val="0"/>
              <w:topLinePunct w:val="0"/>
              <w:autoSpaceDE/>
              <w:autoSpaceDN/>
              <w:bidi w:val="0"/>
              <w:adjustRightInd/>
              <w:snapToGrid/>
              <w:spacing w:line="380" w:lineRule="exact"/>
              <w:textAlignment w:val="auto"/>
              <w:rPr>
                <w:rFonts w:ascii="Times New Roman" w:hAnsi="Times New Roman" w:eastAsia="宋体" w:cs="Times New Roman"/>
                <w:color w:val="auto"/>
                <w:kern w:val="0"/>
                <w:highlight w:val="none"/>
              </w:rPr>
            </w:pPr>
            <w:r>
              <w:rPr>
                <w:color w:val="auto"/>
                <w:kern w:val="0"/>
                <w:highlight w:val="none"/>
              </w:rPr>
              <w:t>必</w:t>
            </w:r>
            <w:r>
              <w:rPr>
                <w:rFonts w:ascii="Times New Roman" w:hAnsi="Times New Roman" w:eastAsia="宋体" w:cs="Times New Roman"/>
                <w:color w:val="auto"/>
                <w:kern w:val="0"/>
                <w:highlight w:val="none"/>
              </w:rPr>
              <w:t>须与资格审查合格通过的项目负责人在名称、专业、执业注册（如有）、业绩和工作经历等方面一致；职称、注册证或学历可作为加分项。</w:t>
            </w:r>
          </w:p>
          <w:p w14:paraId="5EBFED20">
            <w:pPr>
              <w:keepNext w:val="0"/>
              <w:keepLines/>
              <w:pageBreakBefore w:val="0"/>
              <w:widowControl w:val="0"/>
              <w:kinsoku/>
              <w:wordWrap/>
              <w:overflowPunct w:val="0"/>
              <w:topLinePunct w:val="0"/>
              <w:autoSpaceDE/>
              <w:autoSpaceDN/>
              <w:bidi w:val="0"/>
              <w:adjustRightInd/>
              <w:snapToGrid/>
              <w:spacing w:line="380" w:lineRule="exact"/>
              <w:textAlignment w:val="auto"/>
              <w:rPr>
                <w:rFonts w:hint="eastAsia"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优(</w:t>
            </w:r>
            <w:r>
              <w:rPr>
                <w:rFonts w:hint="eastAsia" w:ascii="Times New Roman" w:hAnsi="Times New Roman" w:eastAsia="宋体" w:cs="Times New Roman"/>
                <w:color w:val="auto"/>
                <w:kern w:val="0"/>
                <w:highlight w:val="none"/>
                <w:lang w:val="en-US" w:eastAsia="zh-CN"/>
              </w:rPr>
              <w:t>40</w:t>
            </w:r>
            <w:r>
              <w:rPr>
                <w:rFonts w:hint="eastAsia" w:ascii="Times New Roman" w:hAnsi="Times New Roman" w:eastAsia="宋体" w:cs="Times New Roman"/>
                <w:color w:val="auto"/>
                <w:kern w:val="0"/>
                <w:highlight w:val="none"/>
              </w:rPr>
              <w:t>分)</w:t>
            </w:r>
            <w:r>
              <w:rPr>
                <w:rFonts w:hint="eastAsia" w:ascii="Times New Roman" w:hAnsi="Times New Roman" w:eastAsia="宋体" w:cs="Times New Roman"/>
                <w:color w:val="auto"/>
                <w:kern w:val="0"/>
                <w:highlight w:val="none"/>
                <w:lang w:val="en-US" w:eastAsia="zh-CN"/>
              </w:rPr>
              <w:t>：具有一级注册建筑师执业资格及建筑</w:t>
            </w:r>
            <w:r>
              <w:rPr>
                <w:rFonts w:hint="eastAsia" w:ascii="Times New Roman" w:hAnsi="Times New Roman" w:eastAsia="宋体" w:cs="Times New Roman"/>
                <w:color w:val="auto"/>
                <w:kern w:val="0"/>
                <w:highlight w:val="none"/>
              </w:rPr>
              <w:t>工程</w:t>
            </w:r>
            <w:r>
              <w:rPr>
                <w:rFonts w:hint="eastAsia" w:ascii="Times New Roman" w:hAnsi="Times New Roman" w:eastAsia="宋体" w:cs="Times New Roman"/>
                <w:color w:val="auto"/>
                <w:kern w:val="0"/>
                <w:highlight w:val="none"/>
                <w:lang w:val="en-US" w:eastAsia="zh-CN"/>
              </w:rPr>
              <w:t>相关专业</w:t>
            </w:r>
            <w:r>
              <w:rPr>
                <w:rFonts w:hint="eastAsia" w:ascii="Times New Roman" w:hAnsi="Times New Roman" w:eastAsia="宋体" w:cs="Times New Roman"/>
                <w:color w:val="auto"/>
                <w:kern w:val="0"/>
                <w:highlight w:val="none"/>
              </w:rPr>
              <w:t>高级</w:t>
            </w:r>
            <w:r>
              <w:rPr>
                <w:rFonts w:hint="eastAsia" w:ascii="Times New Roman" w:hAnsi="Times New Roman" w:eastAsia="宋体" w:cs="Times New Roman"/>
                <w:color w:val="auto"/>
                <w:kern w:val="0"/>
                <w:highlight w:val="none"/>
                <w:lang w:val="en-US" w:eastAsia="zh-CN"/>
              </w:rPr>
              <w:t>工程师及以上</w:t>
            </w:r>
            <w:r>
              <w:rPr>
                <w:rFonts w:hint="eastAsia" w:ascii="Times New Roman" w:hAnsi="Times New Roman" w:eastAsia="宋体" w:cs="Times New Roman"/>
                <w:color w:val="auto"/>
                <w:kern w:val="0"/>
                <w:highlight w:val="none"/>
              </w:rPr>
              <w:t>职称，</w:t>
            </w:r>
            <w:r>
              <w:rPr>
                <w:rFonts w:hint="eastAsia" w:ascii="Times New Roman" w:hAnsi="Times New Roman" w:eastAsia="宋体" w:cs="Times New Roman"/>
                <w:color w:val="auto"/>
                <w:kern w:val="0"/>
                <w:highlight w:val="none"/>
                <w:lang w:val="en-US" w:eastAsia="zh-CN"/>
              </w:rPr>
              <w:t>且具有全日制大学本科(含)</w:t>
            </w:r>
            <w:r>
              <w:rPr>
                <w:rFonts w:hint="eastAsia" w:ascii="Times New Roman" w:hAnsi="Times New Roman" w:eastAsia="宋体" w:cs="Times New Roman"/>
                <w:color w:val="auto"/>
                <w:kern w:val="0"/>
                <w:highlight w:val="none"/>
                <w:lang w:eastAsia="zh-CN"/>
              </w:rPr>
              <w:t>以上</w:t>
            </w:r>
            <w:r>
              <w:rPr>
                <w:rFonts w:hint="eastAsia" w:ascii="Times New Roman" w:hAnsi="Times New Roman" w:eastAsia="宋体" w:cs="Times New Roman"/>
                <w:color w:val="auto"/>
                <w:kern w:val="0"/>
                <w:highlight w:val="none"/>
                <w:lang w:val="en-US" w:eastAsia="zh-CN"/>
              </w:rPr>
              <w:t>学历，近</w:t>
            </w:r>
            <w:r>
              <w:rPr>
                <w:rFonts w:hint="eastAsia"/>
                <w:color w:val="auto"/>
                <w:highlight w:val="none"/>
                <w:u w:val="none"/>
              </w:rPr>
              <w:t>三年</w:t>
            </w:r>
            <w:r>
              <w:rPr>
                <w:rFonts w:hint="eastAsia"/>
                <w:color w:val="auto"/>
                <w:szCs w:val="21"/>
                <w:highlight w:val="none"/>
                <w:u w:val="none"/>
              </w:rPr>
              <w:t>（202</w:t>
            </w:r>
            <w:r>
              <w:rPr>
                <w:rFonts w:hint="eastAsia"/>
                <w:color w:val="auto"/>
                <w:szCs w:val="21"/>
                <w:highlight w:val="none"/>
                <w:u w:val="none"/>
                <w:lang w:val="en-US" w:eastAsia="zh-CN"/>
              </w:rPr>
              <w:t>3</w:t>
            </w:r>
            <w:r>
              <w:rPr>
                <w:rFonts w:hint="eastAsia"/>
                <w:color w:val="auto"/>
                <w:szCs w:val="21"/>
                <w:highlight w:val="none"/>
                <w:u w:val="none"/>
              </w:rPr>
              <w:t>年</w:t>
            </w:r>
            <w:r>
              <w:rPr>
                <w:rFonts w:hint="eastAsia"/>
                <w:color w:val="auto"/>
                <w:szCs w:val="21"/>
                <w:highlight w:val="none"/>
                <w:u w:val="none"/>
                <w:lang w:val="en-US" w:eastAsia="zh-CN"/>
              </w:rPr>
              <w:t>1</w:t>
            </w:r>
            <w:r>
              <w:rPr>
                <w:rFonts w:hint="eastAsia"/>
                <w:color w:val="auto"/>
                <w:szCs w:val="21"/>
                <w:highlight w:val="none"/>
                <w:u w:val="none"/>
              </w:rPr>
              <w:t>月1日至投标截止日前）</w:t>
            </w:r>
            <w:r>
              <w:rPr>
                <w:rFonts w:hint="eastAsia"/>
                <w:color w:val="auto"/>
                <w:szCs w:val="21"/>
                <w:highlight w:val="none"/>
                <w:u w:val="none"/>
                <w:lang w:val="en-US" w:eastAsia="zh-CN"/>
              </w:rPr>
              <w:t>以项目负责人的身份</w:t>
            </w:r>
            <w:r>
              <w:rPr>
                <w:color w:val="auto"/>
                <w:highlight w:val="none"/>
              </w:rPr>
              <w:t>完成</w:t>
            </w:r>
            <w:r>
              <w:rPr>
                <w:rFonts w:hint="eastAsia"/>
                <w:color w:val="auto"/>
                <w:highlight w:val="none"/>
                <w:lang w:val="en-US" w:eastAsia="zh-CN"/>
              </w:rPr>
              <w:t>过1个</w:t>
            </w:r>
            <w:r>
              <w:rPr>
                <w:color w:val="auto"/>
                <w:highlight w:val="none"/>
              </w:rPr>
              <w:t>类似工程设计项目</w:t>
            </w:r>
            <w:r>
              <w:rPr>
                <w:rFonts w:hint="eastAsia"/>
                <w:color w:val="auto"/>
                <w:highlight w:val="none"/>
                <w:lang w:val="en-US" w:eastAsia="zh-CN"/>
              </w:rPr>
              <w:t>，或</w:t>
            </w:r>
            <w:r>
              <w:rPr>
                <w:rFonts w:hint="eastAsia"/>
                <w:color w:val="auto"/>
                <w:szCs w:val="21"/>
                <w:highlight w:val="none"/>
                <w:u w:val="none"/>
                <w:lang w:val="en-US" w:eastAsia="zh-CN"/>
              </w:rPr>
              <w:t>以项目负责人的身份具有</w:t>
            </w:r>
            <w:r>
              <w:rPr>
                <w:color w:val="auto"/>
                <w:highlight w:val="none"/>
              </w:rPr>
              <w:t>正在实施</w:t>
            </w:r>
            <w:r>
              <w:rPr>
                <w:rFonts w:hint="eastAsia"/>
                <w:color w:val="auto"/>
                <w:highlight w:val="none"/>
                <w:lang w:val="en-US" w:eastAsia="zh-CN"/>
              </w:rPr>
              <w:t>或</w:t>
            </w:r>
            <w:r>
              <w:rPr>
                <w:color w:val="auto"/>
                <w:highlight w:val="none"/>
              </w:rPr>
              <w:t>新承接</w:t>
            </w:r>
            <w:r>
              <w:rPr>
                <w:rFonts w:hint="eastAsia"/>
                <w:color w:val="auto"/>
                <w:highlight w:val="none"/>
                <w:lang w:val="en-US" w:eastAsia="zh-CN"/>
              </w:rPr>
              <w:t>1类似工程设计项目业绩的</w:t>
            </w:r>
            <w:r>
              <w:rPr>
                <w:rFonts w:hint="eastAsia" w:ascii="Times New Roman" w:hAnsi="Times New Roman" w:eastAsia="宋体" w:cs="Times New Roman"/>
                <w:color w:val="auto"/>
                <w:kern w:val="0"/>
                <w:highlight w:val="none"/>
                <w:lang w:val="en-US" w:eastAsia="zh-CN"/>
              </w:rPr>
              <w:t xml:space="preserve">。 </w:t>
            </w:r>
          </w:p>
          <w:p w14:paraId="64454A91">
            <w:pPr>
              <w:keepNext w:val="0"/>
              <w:keepLines/>
              <w:pageBreakBefore w:val="0"/>
              <w:widowControl w:val="0"/>
              <w:kinsoku/>
              <w:wordWrap/>
              <w:overflowPunct w:val="0"/>
              <w:topLinePunct w:val="0"/>
              <w:autoSpaceDE/>
              <w:autoSpaceDN/>
              <w:bidi w:val="0"/>
              <w:adjustRightInd/>
              <w:snapToGrid/>
              <w:spacing w:line="380" w:lineRule="exact"/>
              <w:textAlignment w:val="auto"/>
              <w:rPr>
                <w:rFonts w:hint="eastAsia"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良</w:t>
            </w:r>
            <w:r>
              <w:rPr>
                <w:rFonts w:hint="eastAsia" w:ascii="Times New Roman" w:hAnsi="Times New Roman" w:eastAsia="宋体" w:cs="Times New Roman"/>
                <w:color w:val="auto"/>
                <w:kern w:val="0"/>
                <w:highlight w:val="none"/>
                <w:lang w:val="en-US" w:eastAsia="zh-CN"/>
              </w:rPr>
              <w:t>（32</w:t>
            </w:r>
            <w:r>
              <w:rPr>
                <w:rFonts w:hint="eastAsia" w:ascii="Times New Roman" w:hAnsi="Times New Roman" w:eastAsia="宋体" w:cs="Times New Roman"/>
                <w:color w:val="auto"/>
                <w:kern w:val="0"/>
                <w:highlight w:val="none"/>
              </w:rPr>
              <w:t>分)</w:t>
            </w:r>
            <w:r>
              <w:rPr>
                <w:rFonts w:hint="eastAsia" w:ascii="Times New Roman" w:hAnsi="Times New Roman" w:eastAsia="宋体" w:cs="Times New Roman"/>
                <w:color w:val="auto"/>
                <w:kern w:val="0"/>
                <w:highlight w:val="none"/>
                <w:lang w:val="en-US" w:eastAsia="zh-CN"/>
              </w:rPr>
              <w:t>：具有一级注册建筑师执业资格及建筑工程相关专业高级工程师及</w:t>
            </w:r>
            <w:r>
              <w:rPr>
                <w:rFonts w:hint="eastAsia" w:ascii="Times New Roman" w:hAnsi="Times New Roman" w:eastAsia="宋体" w:cs="Times New Roman"/>
                <w:color w:val="auto"/>
                <w:kern w:val="0"/>
                <w:highlight w:val="none"/>
              </w:rPr>
              <w:t>以上</w:t>
            </w:r>
            <w:r>
              <w:rPr>
                <w:rFonts w:hint="eastAsia" w:ascii="Times New Roman" w:hAnsi="Times New Roman" w:eastAsia="宋体" w:cs="Times New Roman"/>
                <w:color w:val="auto"/>
                <w:kern w:val="0"/>
                <w:highlight w:val="none"/>
                <w:lang w:val="en-US" w:eastAsia="zh-CN"/>
              </w:rPr>
              <w:t>职称，且具有全日制大学本科(含)</w:t>
            </w:r>
            <w:r>
              <w:rPr>
                <w:rFonts w:hint="eastAsia" w:ascii="Times New Roman" w:hAnsi="Times New Roman" w:eastAsia="宋体" w:cs="Times New Roman"/>
                <w:color w:val="auto"/>
                <w:kern w:val="0"/>
                <w:highlight w:val="none"/>
                <w:lang w:eastAsia="zh-CN"/>
              </w:rPr>
              <w:t>以上</w:t>
            </w:r>
            <w:r>
              <w:rPr>
                <w:rFonts w:hint="eastAsia" w:ascii="Times New Roman" w:hAnsi="Times New Roman" w:eastAsia="宋体" w:cs="Times New Roman"/>
                <w:color w:val="auto"/>
                <w:kern w:val="0"/>
                <w:highlight w:val="none"/>
                <w:lang w:val="en-US" w:eastAsia="zh-CN"/>
              </w:rPr>
              <w:t xml:space="preserve">学历。 </w:t>
            </w:r>
          </w:p>
          <w:p w14:paraId="64EF7C1C">
            <w:pPr>
              <w:keepNext w:val="0"/>
              <w:keepLines/>
              <w:pageBreakBefore w:val="0"/>
              <w:widowControl w:val="0"/>
              <w:kinsoku/>
              <w:wordWrap/>
              <w:overflowPunct w:val="0"/>
              <w:topLinePunct w:val="0"/>
              <w:autoSpaceDE/>
              <w:autoSpaceDN/>
              <w:bidi w:val="0"/>
              <w:adjustRightInd/>
              <w:snapToGrid/>
              <w:spacing w:line="380" w:lineRule="exact"/>
              <w:textAlignment w:val="auto"/>
              <w:rPr>
                <w:rFonts w:hint="eastAsia"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中(</w:t>
            </w:r>
            <w:r>
              <w:rPr>
                <w:rFonts w:hint="eastAsia" w:ascii="Times New Roman" w:hAnsi="Times New Roman" w:eastAsia="宋体" w:cs="Times New Roman"/>
                <w:color w:val="auto"/>
                <w:kern w:val="0"/>
                <w:highlight w:val="none"/>
                <w:lang w:val="en-US" w:eastAsia="zh-CN"/>
              </w:rPr>
              <w:t>24</w:t>
            </w:r>
            <w:r>
              <w:rPr>
                <w:rFonts w:hint="eastAsia" w:ascii="Times New Roman" w:hAnsi="Times New Roman" w:eastAsia="宋体" w:cs="Times New Roman"/>
                <w:color w:val="auto"/>
                <w:kern w:val="0"/>
                <w:highlight w:val="none"/>
              </w:rPr>
              <w:t>分)</w:t>
            </w:r>
            <w:r>
              <w:rPr>
                <w:rFonts w:hint="eastAsia" w:ascii="Times New Roman" w:hAnsi="Times New Roman" w:eastAsia="宋体" w:cs="Times New Roman"/>
                <w:color w:val="auto"/>
                <w:kern w:val="0"/>
                <w:highlight w:val="none"/>
                <w:lang w:val="en-US" w:eastAsia="zh-CN"/>
              </w:rPr>
              <w:t>：具有一级注册建筑师执业资格及建筑工程相关专业高级工程师</w:t>
            </w:r>
            <w:r>
              <w:rPr>
                <w:rFonts w:hint="eastAsia" w:ascii="Times New Roman" w:hAnsi="Times New Roman" w:eastAsia="宋体" w:cs="Times New Roman"/>
                <w:color w:val="auto"/>
                <w:kern w:val="0"/>
                <w:highlight w:val="none"/>
              </w:rPr>
              <w:t>及以上</w:t>
            </w:r>
            <w:r>
              <w:rPr>
                <w:rFonts w:hint="eastAsia" w:ascii="Times New Roman" w:hAnsi="Times New Roman" w:eastAsia="宋体" w:cs="Times New Roman"/>
                <w:color w:val="auto"/>
                <w:kern w:val="0"/>
                <w:highlight w:val="none"/>
                <w:lang w:val="en-US" w:eastAsia="zh-CN"/>
              </w:rPr>
              <w:t>职称，且具有非全日制大学本科(含)</w:t>
            </w:r>
            <w:r>
              <w:rPr>
                <w:rFonts w:hint="eastAsia" w:ascii="Times New Roman" w:hAnsi="Times New Roman" w:eastAsia="宋体" w:cs="Times New Roman"/>
                <w:color w:val="auto"/>
                <w:kern w:val="0"/>
                <w:highlight w:val="none"/>
                <w:lang w:eastAsia="zh-CN"/>
              </w:rPr>
              <w:t>以上</w:t>
            </w:r>
            <w:r>
              <w:rPr>
                <w:rFonts w:hint="eastAsia" w:ascii="Times New Roman" w:hAnsi="Times New Roman" w:eastAsia="宋体" w:cs="Times New Roman"/>
                <w:color w:val="auto"/>
                <w:kern w:val="0"/>
                <w:highlight w:val="none"/>
                <w:lang w:val="en-US" w:eastAsia="zh-CN"/>
              </w:rPr>
              <w:t>学历。</w:t>
            </w:r>
          </w:p>
          <w:p w14:paraId="4EA53B24">
            <w:pPr>
              <w:keepNext w:val="0"/>
              <w:keepLines/>
              <w:pageBreakBefore w:val="0"/>
              <w:widowControl w:val="0"/>
              <w:kinsoku/>
              <w:wordWrap/>
              <w:overflowPunct w:val="0"/>
              <w:topLinePunct w:val="0"/>
              <w:autoSpaceDE/>
              <w:autoSpaceDN/>
              <w:bidi w:val="0"/>
              <w:adjustRightInd/>
              <w:snapToGrid/>
              <w:spacing w:line="380" w:lineRule="exact"/>
              <w:textAlignment w:val="auto"/>
              <w:rPr>
                <w:rFonts w:hint="eastAsia"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一般(</w:t>
            </w:r>
            <w:r>
              <w:rPr>
                <w:rFonts w:hint="eastAsia" w:ascii="Times New Roman" w:hAnsi="Times New Roman" w:eastAsia="宋体" w:cs="Times New Roman"/>
                <w:color w:val="auto"/>
                <w:kern w:val="0"/>
                <w:highlight w:val="none"/>
                <w:lang w:val="en-US" w:eastAsia="zh-CN"/>
              </w:rPr>
              <w:t>16</w:t>
            </w:r>
            <w:r>
              <w:rPr>
                <w:rFonts w:hint="eastAsia" w:ascii="Times New Roman" w:hAnsi="Times New Roman" w:eastAsia="宋体" w:cs="Times New Roman"/>
                <w:color w:val="auto"/>
                <w:kern w:val="0"/>
                <w:highlight w:val="none"/>
              </w:rPr>
              <w:t>分)</w:t>
            </w:r>
            <w:r>
              <w:rPr>
                <w:rFonts w:hint="eastAsia" w:ascii="Times New Roman" w:hAnsi="Times New Roman" w:eastAsia="宋体" w:cs="Times New Roman"/>
                <w:color w:val="auto"/>
                <w:kern w:val="0"/>
                <w:highlight w:val="none"/>
                <w:lang w:val="en-US" w:eastAsia="zh-CN"/>
              </w:rPr>
              <w:t>：具有一级注册建筑师执业资格及建筑工程相关专业高级工程师及以上职称，且具有全日制大学</w:t>
            </w:r>
            <w:r>
              <w:rPr>
                <w:rFonts w:hint="eastAsia" w:ascii="Times New Roman" w:hAnsi="Times New Roman" w:eastAsia="宋体" w:cs="Times New Roman"/>
                <w:color w:val="auto"/>
                <w:kern w:val="0"/>
                <w:highlight w:val="none"/>
              </w:rPr>
              <w:t>专科学历</w:t>
            </w:r>
            <w:r>
              <w:rPr>
                <w:rFonts w:hint="eastAsia" w:ascii="Times New Roman" w:hAnsi="Times New Roman" w:eastAsia="宋体" w:cs="Times New Roman"/>
                <w:color w:val="auto"/>
                <w:kern w:val="0"/>
                <w:highlight w:val="none"/>
                <w:lang w:val="en-US" w:eastAsia="zh-CN"/>
              </w:rPr>
              <w:t xml:space="preserve">。 </w:t>
            </w:r>
          </w:p>
          <w:p w14:paraId="5F92C2BB">
            <w:pPr>
              <w:keepNext w:val="0"/>
              <w:keepLines/>
              <w:pageBreakBefore w:val="0"/>
              <w:widowControl w:val="0"/>
              <w:kinsoku/>
              <w:wordWrap/>
              <w:overflowPunct w:val="0"/>
              <w:topLinePunct w:val="0"/>
              <w:autoSpaceDE/>
              <w:autoSpaceDN/>
              <w:bidi w:val="0"/>
              <w:adjustRightInd/>
              <w:snapToGrid/>
              <w:spacing w:line="380" w:lineRule="exact"/>
              <w:textAlignment w:val="auto"/>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rPr>
              <w:t>差(</w:t>
            </w:r>
            <w:r>
              <w:rPr>
                <w:rFonts w:hint="eastAsia" w:ascii="Times New Roman" w:hAnsi="Times New Roman" w:eastAsia="宋体" w:cs="Times New Roman"/>
                <w:color w:val="auto"/>
                <w:kern w:val="0"/>
                <w:highlight w:val="none"/>
                <w:lang w:val="en-US" w:eastAsia="zh-CN"/>
              </w:rPr>
              <w:t>8</w:t>
            </w:r>
            <w:r>
              <w:rPr>
                <w:rFonts w:hint="eastAsia" w:ascii="Times New Roman" w:hAnsi="Times New Roman" w:eastAsia="宋体" w:cs="Times New Roman"/>
                <w:color w:val="auto"/>
                <w:kern w:val="0"/>
                <w:highlight w:val="none"/>
              </w:rPr>
              <w:t>分)</w:t>
            </w:r>
            <w:r>
              <w:rPr>
                <w:rFonts w:hint="eastAsia" w:ascii="Times New Roman" w:hAnsi="Times New Roman" w:eastAsia="宋体" w:cs="Times New Roman"/>
                <w:color w:val="auto"/>
                <w:kern w:val="0"/>
                <w:highlight w:val="none"/>
                <w:lang w:val="en-US" w:eastAsia="zh-CN"/>
              </w:rPr>
              <w:t>：具有一级注册建筑师执业资格及建筑工程相关专业高级工程师及以上职称，且具有非全日制大学</w:t>
            </w:r>
            <w:r>
              <w:rPr>
                <w:rFonts w:hint="eastAsia" w:ascii="Times New Roman" w:hAnsi="Times New Roman" w:eastAsia="宋体" w:cs="Times New Roman"/>
                <w:color w:val="auto"/>
                <w:kern w:val="0"/>
                <w:highlight w:val="none"/>
              </w:rPr>
              <w:t>专科学历</w:t>
            </w:r>
            <w:r>
              <w:rPr>
                <w:rFonts w:hint="eastAsia" w:cs="Times New Roman"/>
                <w:color w:val="auto"/>
                <w:kern w:val="0"/>
                <w:highlight w:val="none"/>
                <w:lang w:eastAsia="zh-CN"/>
              </w:rPr>
              <w:t>及以下学历</w:t>
            </w:r>
            <w:r>
              <w:rPr>
                <w:rFonts w:hint="eastAsia" w:ascii="Times New Roman" w:hAnsi="Times New Roman" w:eastAsia="宋体" w:cs="Times New Roman"/>
                <w:color w:val="auto"/>
                <w:kern w:val="0"/>
                <w:highlight w:val="none"/>
                <w:lang w:val="en-US" w:eastAsia="zh-CN"/>
              </w:rPr>
              <w:t>。</w:t>
            </w:r>
          </w:p>
          <w:p w14:paraId="53327782">
            <w:pPr>
              <w:keepNext w:val="0"/>
              <w:keepLines/>
              <w:pageBreakBefore w:val="0"/>
              <w:widowControl w:val="0"/>
              <w:kinsoku/>
              <w:wordWrap/>
              <w:overflowPunct w:val="0"/>
              <w:topLinePunct w:val="0"/>
              <w:autoSpaceDE/>
              <w:autoSpaceDN/>
              <w:bidi w:val="0"/>
              <w:adjustRightInd/>
              <w:snapToGrid/>
              <w:spacing w:line="380" w:lineRule="exact"/>
              <w:textAlignment w:val="auto"/>
              <w:rPr>
                <w:rFonts w:hint="eastAsia" w:ascii="Times New Roman" w:hAnsi="Times New Roman" w:eastAsia="宋体" w:cs="Times New Roman"/>
                <w:color w:val="auto"/>
                <w:kern w:val="0"/>
                <w:highlight w:val="none"/>
                <w:lang w:val="en-US" w:eastAsia="zh-CN"/>
              </w:rPr>
            </w:pPr>
            <w:r>
              <w:rPr>
                <w:rFonts w:hint="eastAsia" w:cs="宋体"/>
                <w:b/>
                <w:bCs/>
                <w:color w:val="auto"/>
                <w:kern w:val="0"/>
                <w:highlight w:val="none"/>
              </w:rPr>
              <w:t>以上分值入高不入低，不重复计分。</w:t>
            </w:r>
            <w:r>
              <w:rPr>
                <w:rFonts w:cs="宋体"/>
                <w:b/>
                <w:bCs/>
                <w:color w:val="auto"/>
                <w:kern w:val="0"/>
                <w:highlight w:val="none"/>
              </w:rPr>
              <w:t xml:space="preserve"> </w:t>
            </w:r>
          </w:p>
          <w:p w14:paraId="57EB1CBA">
            <w:pPr>
              <w:keepNext w:val="0"/>
              <w:keepLines/>
              <w:pageBreakBefore w:val="0"/>
              <w:widowControl w:val="0"/>
              <w:kinsoku/>
              <w:wordWrap/>
              <w:overflowPunct w:val="0"/>
              <w:topLinePunct w:val="0"/>
              <w:autoSpaceDE/>
              <w:autoSpaceDN/>
              <w:bidi w:val="0"/>
              <w:adjustRightInd/>
              <w:snapToGrid/>
              <w:spacing w:line="380" w:lineRule="exact"/>
              <w:textAlignment w:val="auto"/>
              <w:rPr>
                <w:rFonts w:hint="eastAsia" w:ascii="Times New Roman" w:hAnsi="Times New Roman" w:eastAsia="宋体" w:cs="Times New Roman"/>
                <w:color w:val="auto"/>
                <w:kern w:val="0"/>
                <w:highlight w:val="none"/>
                <w:lang w:val="en-US" w:eastAsia="zh-CN"/>
              </w:rPr>
            </w:pPr>
            <w:r>
              <w:rPr>
                <w:rFonts w:hint="eastAsia"/>
                <w:color w:val="auto"/>
                <w:highlight w:val="none"/>
                <w:u w:val="none"/>
                <w:lang w:val="en-US" w:eastAsia="zh-CN"/>
              </w:rPr>
              <w:t>注：</w:t>
            </w:r>
            <w:r>
              <w:rPr>
                <w:rFonts w:hint="eastAsia"/>
                <w:color w:val="auto"/>
                <w:highlight w:val="none"/>
                <w:u w:val="none"/>
                <w:lang w:eastAsia="zh-CN"/>
              </w:rPr>
              <w:t>【</w:t>
            </w:r>
            <w:r>
              <w:rPr>
                <w:rFonts w:hint="eastAsia"/>
                <w:color w:val="auto"/>
                <w:highlight w:val="none"/>
                <w:u w:val="none"/>
              </w:rPr>
              <w:t>类似项目业绩是单项合同单项合同总建筑面积</w:t>
            </w:r>
            <w:r>
              <w:rPr>
                <w:rFonts w:hint="eastAsia"/>
                <w:color w:val="auto"/>
                <w:highlight w:val="none"/>
                <w:u w:val="none"/>
                <w:lang w:val="en-US" w:eastAsia="zh-CN"/>
              </w:rPr>
              <w:t>15000</w:t>
            </w:r>
            <w:r>
              <w:rPr>
                <w:rFonts w:hint="eastAsia"/>
                <w:color w:val="auto"/>
                <w:highlight w:val="none"/>
                <w:u w:val="none"/>
              </w:rPr>
              <w:t>平方米（含）以上或单个合同设计费</w:t>
            </w:r>
            <w:r>
              <w:rPr>
                <w:rFonts w:hint="eastAsia"/>
                <w:color w:val="auto"/>
                <w:highlight w:val="none"/>
                <w:u w:val="none"/>
                <w:lang w:val="en-US" w:eastAsia="zh-CN"/>
              </w:rPr>
              <w:t>110</w:t>
            </w:r>
            <w:r>
              <w:rPr>
                <w:rFonts w:hint="eastAsia"/>
                <w:color w:val="auto"/>
                <w:highlight w:val="none"/>
                <w:u w:val="none"/>
              </w:rPr>
              <w:t>万元（含）以上的公共建筑工程设计项目。（需提供以下材料：广西区内业绩信息评分需以“桂建云”录入的为准，否则在评审时不予承认；广西区外的业绩，经查询桂建云，已于 2025 年 4 月 14 日发布“勘察、设计企业区外业绩录入说明”公告，因此本项目的区外设计业绩已经录入桂建云，仍可以“桂建云”录入的为准。对未能录入桂建云的，已完成过的设计业绩提供“中标(发包)通知书和设计合同并</w:t>
            </w:r>
            <w:r>
              <w:rPr>
                <w:rFonts w:hint="eastAsia"/>
                <w:color w:val="auto"/>
                <w:highlight w:val="none"/>
                <w:u w:val="none"/>
                <w:lang w:val="en-US" w:eastAsia="zh-CN"/>
              </w:rPr>
              <w:t>提供</w:t>
            </w:r>
            <w:r>
              <w:rPr>
                <w:rFonts w:hint="eastAsia"/>
                <w:color w:val="auto"/>
                <w:highlight w:val="none"/>
                <w:u w:val="none"/>
              </w:rPr>
              <w:t>施工图审查合格报告书、方案或初步设计批复等证明材料扫描件”，正在实施和新承接的设计业绩提供“中标(发包)通知书或设计合同扫描件”等证明材料</w:t>
            </w:r>
            <w:r>
              <w:rPr>
                <w:rFonts w:hint="eastAsia"/>
                <w:color w:val="auto"/>
                <w:highlight w:val="none"/>
                <w:u w:val="none"/>
                <w:lang w:eastAsia="zh-CN"/>
              </w:rPr>
              <w:t>。】</w:t>
            </w:r>
          </w:p>
          <w:p w14:paraId="645BA383">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spacing w:val="-1"/>
                <w:highlight w:val="none"/>
              </w:rPr>
            </w:pPr>
          </w:p>
          <w:p w14:paraId="0B549004">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spacing w:val="-1"/>
                <w:highlight w:val="none"/>
              </w:rPr>
            </w:pPr>
          </w:p>
          <w:p w14:paraId="61441FDF">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spacing w:val="-1"/>
                <w:highlight w:val="none"/>
              </w:rPr>
            </w:pPr>
          </w:p>
          <w:p w14:paraId="6064E98D">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spacing w:val="-1"/>
                <w:highlight w:val="none"/>
              </w:rPr>
            </w:pPr>
          </w:p>
          <w:p w14:paraId="638DE8CE">
            <w:pPr>
              <w:keepNext w:val="0"/>
              <w:keepLines/>
              <w:pageBreakBefore w:val="0"/>
              <w:widowControl w:val="0"/>
              <w:kinsoku/>
              <w:wordWrap/>
              <w:overflowPunct w:val="0"/>
              <w:topLinePunct w:val="0"/>
              <w:autoSpaceDE/>
              <w:autoSpaceDN/>
              <w:bidi w:val="0"/>
              <w:adjustRightInd/>
              <w:snapToGrid/>
              <w:spacing w:line="360" w:lineRule="auto"/>
              <w:textAlignment w:val="auto"/>
              <w:rPr>
                <w:rFonts w:eastAsia="楷体"/>
                <w:color w:val="auto"/>
                <w:szCs w:val="21"/>
                <w:highlight w:val="none"/>
              </w:rPr>
            </w:pPr>
            <w:r>
              <w:rPr>
                <w:rFonts w:eastAsia="楷体"/>
                <w:b/>
                <w:color w:val="auto"/>
                <w:highlight w:val="none"/>
              </w:rPr>
              <w:t>【备注：</w:t>
            </w:r>
            <w:r>
              <w:rPr>
                <w:rFonts w:eastAsia="楷体"/>
                <w:b/>
                <w:color w:val="auto"/>
                <w:szCs w:val="21"/>
                <w:highlight w:val="none"/>
              </w:rPr>
              <w:t>项目负责人身份证、学历证、职称证、执业注册信息</w:t>
            </w:r>
            <w:r>
              <w:rPr>
                <w:rFonts w:hint="eastAsia" w:eastAsia="楷体"/>
                <w:b/>
                <w:color w:val="auto"/>
                <w:szCs w:val="21"/>
                <w:highlight w:val="none"/>
              </w:rPr>
              <w:t>（</w:t>
            </w:r>
            <w:r>
              <w:rPr>
                <w:rFonts w:hint="eastAsia" w:ascii="楷体" w:hAnsi="楷体" w:eastAsia="楷体"/>
                <w:b/>
                <w:color w:val="auto"/>
                <w:highlight w:val="none"/>
              </w:rPr>
              <w:t>注册类型及等级、证书编号等信息从全国建筑市场监管公共服务平台下行到“桂建云”即可，不需要核验注册证书扫描件</w:t>
            </w:r>
            <w:r>
              <w:rPr>
                <w:rFonts w:hint="eastAsia" w:eastAsia="楷体"/>
                <w:b/>
                <w:color w:val="auto"/>
                <w:szCs w:val="21"/>
                <w:highlight w:val="none"/>
              </w:rPr>
              <w:t>）</w:t>
            </w:r>
            <w:r>
              <w:rPr>
                <w:rFonts w:eastAsia="楷体"/>
                <w:b/>
                <w:color w:val="auto"/>
                <w:szCs w:val="21"/>
                <w:highlight w:val="none"/>
              </w:rPr>
              <w:t>等相关证明材料未通过“桂建云”的，在评审时不予承认，项目负责人应附社保缴费证明原件扫描件，管理过的项目业绩须附合同协议书</w:t>
            </w:r>
            <w:r>
              <w:rPr>
                <w:rFonts w:eastAsia="楷体"/>
                <w:b/>
                <w:bCs/>
                <w:color w:val="auto"/>
                <w:szCs w:val="21"/>
                <w:highlight w:val="none"/>
              </w:rPr>
              <w:t>的封面及相关内容页</w:t>
            </w:r>
            <w:r>
              <w:rPr>
                <w:rFonts w:eastAsia="楷体"/>
                <w:b/>
                <w:color w:val="auto"/>
                <w:szCs w:val="21"/>
                <w:highlight w:val="none"/>
              </w:rPr>
              <w:t>复印件。】</w:t>
            </w:r>
          </w:p>
        </w:tc>
      </w:tr>
      <w:tr w14:paraId="50B0A6E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3874" w:hRule="exact"/>
        </w:trPr>
        <w:tc>
          <w:tcPr>
            <w:tcW w:w="990" w:type="dxa"/>
            <w:vMerge w:val="continue"/>
            <w:tcBorders>
              <w:right w:val="single" w:color="000000" w:sz="6" w:space="0"/>
            </w:tcBorders>
            <w:noWrap w:val="0"/>
            <w:tcMar>
              <w:left w:w="0" w:type="dxa"/>
              <w:right w:w="0" w:type="dxa"/>
            </w:tcMar>
            <w:vAlign w:val="center"/>
          </w:tcPr>
          <w:p w14:paraId="778FD86C">
            <w:pPr>
              <w:keepNext w:val="0"/>
              <w:keepLines/>
              <w:pageBreakBefore w:val="0"/>
              <w:widowControl w:val="0"/>
              <w:kinsoku/>
              <w:wordWrap/>
              <w:overflowPunct w:val="0"/>
              <w:topLinePunct w:val="0"/>
              <w:autoSpaceDE/>
              <w:autoSpaceDN/>
              <w:bidi w:val="0"/>
              <w:adjustRightInd/>
              <w:snapToGrid/>
              <w:spacing w:line="360" w:lineRule="auto"/>
              <w:ind w:left="240"/>
              <w:textAlignment w:val="auto"/>
              <w:rPr>
                <w:color w:val="auto"/>
                <w:spacing w:val="-7"/>
                <w:highlight w:val="none"/>
              </w:rPr>
            </w:pPr>
          </w:p>
        </w:tc>
        <w:tc>
          <w:tcPr>
            <w:tcW w:w="1211" w:type="dxa"/>
            <w:gridSpan w:val="2"/>
            <w:vMerge w:val="continue"/>
            <w:tcBorders>
              <w:left w:val="single" w:color="000000" w:sz="6" w:space="0"/>
              <w:right w:val="single" w:color="000000" w:sz="6" w:space="0"/>
            </w:tcBorders>
            <w:noWrap w:val="0"/>
            <w:vAlign w:val="center"/>
          </w:tcPr>
          <w:p w14:paraId="49A0AB55">
            <w:pPr>
              <w:keepNext w:val="0"/>
              <w:keepLines/>
              <w:pageBreakBefore w:val="0"/>
              <w:widowControl w:val="0"/>
              <w:kinsoku/>
              <w:wordWrap/>
              <w:overflowPunct w:val="0"/>
              <w:topLinePunct w:val="0"/>
              <w:autoSpaceDE/>
              <w:autoSpaceDN/>
              <w:bidi w:val="0"/>
              <w:adjustRightInd/>
              <w:snapToGrid/>
              <w:spacing w:line="360" w:lineRule="auto"/>
              <w:ind w:left="142"/>
              <w:textAlignment w:val="auto"/>
              <w:rPr>
                <w:color w:val="auto"/>
                <w:spacing w:val="12"/>
                <w:szCs w:val="21"/>
                <w:highlight w:val="none"/>
              </w:rPr>
            </w:pPr>
          </w:p>
        </w:tc>
        <w:tc>
          <w:tcPr>
            <w:tcW w:w="1972" w:type="dxa"/>
            <w:tcBorders>
              <w:top w:val="single" w:color="000000" w:sz="6" w:space="0"/>
              <w:left w:val="single" w:color="000000" w:sz="6" w:space="0"/>
              <w:bottom w:val="single" w:color="000000" w:sz="6" w:space="0"/>
              <w:right w:val="single" w:color="auto" w:sz="4" w:space="0"/>
            </w:tcBorders>
            <w:noWrap w:val="0"/>
            <w:tcMar>
              <w:left w:w="0" w:type="dxa"/>
              <w:right w:w="0" w:type="dxa"/>
            </w:tcMar>
            <w:vAlign w:val="center"/>
          </w:tcPr>
          <w:p w14:paraId="2F6345B7">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r>
              <w:rPr>
                <w:color w:val="auto"/>
                <w:highlight w:val="none"/>
              </w:rPr>
              <w:t>项目组人员</w:t>
            </w:r>
          </w:p>
        </w:tc>
        <w:tc>
          <w:tcPr>
            <w:tcW w:w="5008" w:type="dxa"/>
            <w:tcBorders>
              <w:top w:val="single" w:color="000000" w:sz="6" w:space="0"/>
              <w:left w:val="single" w:color="auto" w:sz="4" w:space="0"/>
              <w:bottom w:val="single" w:color="000000" w:sz="6" w:space="0"/>
            </w:tcBorders>
            <w:noWrap w:val="0"/>
            <w:vAlign w:val="center"/>
          </w:tcPr>
          <w:p w14:paraId="2F3A4DEA">
            <w:pPr>
              <w:keepNext w:val="0"/>
              <w:keepLines w:val="0"/>
              <w:pageBreakBefore w:val="0"/>
              <w:widowControl w:val="0"/>
              <w:kinsoku/>
              <w:wordWrap/>
              <w:overflowPunct w:val="0"/>
              <w:topLinePunct w:val="0"/>
              <w:autoSpaceDE/>
              <w:autoSpaceDN/>
              <w:bidi w:val="0"/>
              <w:adjustRightInd/>
              <w:snapToGrid/>
              <w:spacing w:line="360" w:lineRule="auto"/>
              <w:textAlignment w:val="auto"/>
              <w:rPr>
                <w:rFonts w:cs="宋体"/>
                <w:color w:val="auto"/>
                <w:kern w:val="0"/>
                <w:highlight w:val="none"/>
              </w:rPr>
            </w:pPr>
            <w:r>
              <w:rPr>
                <w:rFonts w:hint="eastAsia" w:cs="宋体"/>
                <w:color w:val="auto"/>
                <w:kern w:val="0"/>
                <w:highlight w:val="none"/>
              </w:rPr>
              <w:t>优（</w:t>
            </w:r>
            <w:r>
              <w:rPr>
                <w:rFonts w:hint="eastAsia" w:cs="宋体"/>
                <w:color w:val="auto"/>
                <w:kern w:val="0"/>
                <w:highlight w:val="none"/>
                <w:lang w:val="en-US" w:eastAsia="zh-CN"/>
              </w:rPr>
              <w:t>3</w:t>
            </w:r>
            <w:r>
              <w:rPr>
                <w:rFonts w:hint="eastAsia" w:cs="宋体"/>
                <w:color w:val="auto"/>
                <w:kern w:val="0"/>
                <w:highlight w:val="none"/>
              </w:rPr>
              <w:t>0分）：</w:t>
            </w:r>
            <w:r>
              <w:rPr>
                <w:rFonts w:hint="eastAsia" w:cs="宋体"/>
                <w:color w:val="auto"/>
                <w:kern w:val="0"/>
                <w:highlight w:val="none"/>
                <w:lang w:eastAsia="zh-CN"/>
              </w:rPr>
              <w:t>项目组人员中</w:t>
            </w:r>
            <w:r>
              <w:rPr>
                <w:color w:val="auto"/>
                <w:highlight w:val="none"/>
              </w:rPr>
              <w:t>项目组</w:t>
            </w:r>
            <w:r>
              <w:rPr>
                <w:rFonts w:hint="eastAsia"/>
                <w:color w:val="auto"/>
                <w:highlight w:val="none"/>
                <w:lang w:eastAsia="zh-CN"/>
              </w:rPr>
              <w:t>负责人</w:t>
            </w:r>
            <w:r>
              <w:rPr>
                <w:rFonts w:hint="eastAsia"/>
                <w:color w:val="auto"/>
                <w:spacing w:val="-1"/>
                <w:highlight w:val="none"/>
                <w:lang w:eastAsia="zh-CN"/>
              </w:rPr>
              <w:t>（项目负责人除外，下同）关于</w:t>
            </w:r>
            <w:r>
              <w:rPr>
                <w:rFonts w:hint="eastAsia" w:cs="宋体"/>
                <w:color w:val="auto"/>
                <w:kern w:val="0"/>
                <w:highlight w:val="none"/>
              </w:rPr>
              <w:t>建筑、结构、电气、给排水、造价</w:t>
            </w:r>
            <w:r>
              <w:rPr>
                <w:rFonts w:hint="eastAsia" w:cs="宋体"/>
                <w:color w:val="auto"/>
                <w:kern w:val="0"/>
                <w:highlight w:val="none"/>
                <w:lang w:eastAsia="zh-CN"/>
              </w:rPr>
              <w:t>、暖通各个</w:t>
            </w:r>
            <w:r>
              <w:rPr>
                <w:rFonts w:hint="eastAsia" w:cs="宋体"/>
                <w:color w:val="auto"/>
                <w:kern w:val="0"/>
                <w:highlight w:val="none"/>
              </w:rPr>
              <w:t>专业</w:t>
            </w:r>
            <w:r>
              <w:rPr>
                <w:rFonts w:hint="eastAsia" w:cs="宋体"/>
                <w:color w:val="auto"/>
                <w:kern w:val="0"/>
                <w:highlight w:val="none"/>
                <w:lang w:eastAsia="zh-CN"/>
              </w:rPr>
              <w:t>各</w:t>
            </w:r>
            <w:r>
              <w:rPr>
                <w:rFonts w:hint="eastAsia" w:cs="宋体"/>
                <w:color w:val="auto"/>
                <w:kern w:val="0"/>
                <w:highlight w:val="none"/>
              </w:rPr>
              <w:t>配备</w:t>
            </w:r>
            <w:r>
              <w:rPr>
                <w:rFonts w:hint="eastAsia" w:cs="宋体"/>
                <w:color w:val="auto"/>
                <w:kern w:val="0"/>
                <w:highlight w:val="none"/>
                <w:lang w:eastAsia="zh-CN"/>
              </w:rPr>
              <w:t>至少</w:t>
            </w:r>
            <w:r>
              <w:rPr>
                <w:rFonts w:hint="eastAsia" w:cs="宋体"/>
                <w:color w:val="auto"/>
                <w:kern w:val="0"/>
                <w:highlight w:val="none"/>
              </w:rPr>
              <w:t>1名设计</w:t>
            </w:r>
            <w:r>
              <w:rPr>
                <w:rFonts w:hint="eastAsia" w:cs="宋体"/>
                <w:color w:val="auto"/>
                <w:kern w:val="0"/>
                <w:highlight w:val="none"/>
                <w:lang w:eastAsia="zh-CN"/>
              </w:rPr>
              <w:t>专业</w:t>
            </w:r>
            <w:r>
              <w:rPr>
                <w:rFonts w:hint="eastAsia" w:cs="宋体"/>
                <w:color w:val="auto"/>
                <w:kern w:val="0"/>
                <w:highlight w:val="none"/>
              </w:rPr>
              <w:t>负责人，</w:t>
            </w:r>
            <w:r>
              <w:rPr>
                <w:rFonts w:hint="eastAsia" w:cs="宋体"/>
                <w:color w:val="auto"/>
                <w:kern w:val="0"/>
                <w:highlight w:val="none"/>
                <w:lang w:eastAsia="zh-CN"/>
              </w:rPr>
              <w:t>至少</w:t>
            </w:r>
            <w:r>
              <w:rPr>
                <w:rFonts w:hint="eastAsia" w:cs="宋体"/>
                <w:color w:val="auto"/>
                <w:kern w:val="0"/>
                <w:highlight w:val="none"/>
                <w:lang w:val="en-US" w:eastAsia="zh-CN"/>
              </w:rPr>
              <w:t>6人</w:t>
            </w:r>
            <w:r>
              <w:rPr>
                <w:rFonts w:hint="eastAsia" w:cs="宋体"/>
                <w:color w:val="auto"/>
                <w:kern w:val="0"/>
                <w:highlight w:val="none"/>
              </w:rPr>
              <w:t>具有</w:t>
            </w:r>
            <w:r>
              <w:rPr>
                <w:rFonts w:hint="eastAsia" w:cs="宋体"/>
                <w:color w:val="auto"/>
                <w:kern w:val="0"/>
                <w:highlight w:val="none"/>
                <w:lang w:val="en-US" w:eastAsia="zh-CN"/>
              </w:rPr>
              <w:t>工程类</w:t>
            </w:r>
            <w:r>
              <w:rPr>
                <w:rFonts w:hint="eastAsia" w:cs="宋体"/>
                <w:color w:val="auto"/>
                <w:kern w:val="0"/>
                <w:highlight w:val="none"/>
              </w:rPr>
              <w:t>相关专业</w:t>
            </w:r>
            <w:r>
              <w:rPr>
                <w:rFonts w:hint="eastAsia" w:cs="宋体"/>
                <w:strike w:val="0"/>
                <w:dstrike w:val="0"/>
                <w:color w:val="auto"/>
                <w:kern w:val="0"/>
                <w:highlight w:val="none"/>
                <w:lang w:val="en-US" w:eastAsia="zh-CN"/>
              </w:rPr>
              <w:t>高级</w:t>
            </w:r>
            <w:r>
              <w:rPr>
                <w:rFonts w:hint="eastAsia" w:cs="宋体"/>
                <w:color w:val="auto"/>
                <w:kern w:val="0"/>
                <w:highlight w:val="none"/>
              </w:rPr>
              <w:t>职称。</w:t>
            </w:r>
          </w:p>
          <w:p w14:paraId="017490E5">
            <w:pPr>
              <w:keepNext w:val="0"/>
              <w:keepLines w:val="0"/>
              <w:pageBreakBefore w:val="0"/>
              <w:widowControl w:val="0"/>
              <w:kinsoku/>
              <w:wordWrap/>
              <w:overflowPunct w:val="0"/>
              <w:topLinePunct w:val="0"/>
              <w:autoSpaceDE/>
              <w:autoSpaceDN/>
              <w:bidi w:val="0"/>
              <w:adjustRightInd/>
              <w:snapToGrid/>
              <w:spacing w:line="360" w:lineRule="auto"/>
              <w:textAlignment w:val="auto"/>
              <w:rPr>
                <w:rFonts w:cs="宋体"/>
                <w:color w:val="auto"/>
                <w:kern w:val="0"/>
                <w:highlight w:val="none"/>
              </w:rPr>
            </w:pPr>
            <w:r>
              <w:rPr>
                <w:rFonts w:hint="eastAsia" w:cs="宋体"/>
                <w:color w:val="auto"/>
                <w:kern w:val="0"/>
                <w:highlight w:val="none"/>
              </w:rPr>
              <w:t>良（</w:t>
            </w:r>
            <w:r>
              <w:rPr>
                <w:rFonts w:hint="eastAsia" w:cs="宋体"/>
                <w:color w:val="auto"/>
                <w:kern w:val="0"/>
                <w:highlight w:val="none"/>
                <w:lang w:val="en-US" w:eastAsia="zh-CN"/>
              </w:rPr>
              <w:t>24</w:t>
            </w:r>
            <w:r>
              <w:rPr>
                <w:rFonts w:hint="eastAsia" w:cs="宋体"/>
                <w:color w:val="auto"/>
                <w:kern w:val="0"/>
                <w:highlight w:val="none"/>
              </w:rPr>
              <w:t>分）：</w:t>
            </w:r>
            <w:r>
              <w:rPr>
                <w:rFonts w:hint="eastAsia" w:cs="宋体"/>
                <w:color w:val="auto"/>
                <w:kern w:val="0"/>
                <w:highlight w:val="none"/>
                <w:lang w:eastAsia="zh-CN"/>
              </w:rPr>
              <w:t>项目组人员中</w:t>
            </w:r>
            <w:r>
              <w:rPr>
                <w:color w:val="auto"/>
                <w:highlight w:val="none"/>
              </w:rPr>
              <w:t>项目组</w:t>
            </w:r>
            <w:r>
              <w:rPr>
                <w:rFonts w:hint="eastAsia"/>
                <w:color w:val="auto"/>
                <w:highlight w:val="none"/>
                <w:lang w:eastAsia="zh-CN"/>
              </w:rPr>
              <w:t>负责人</w:t>
            </w:r>
            <w:r>
              <w:rPr>
                <w:rFonts w:hint="eastAsia"/>
                <w:color w:val="auto"/>
                <w:spacing w:val="-1"/>
                <w:highlight w:val="none"/>
                <w:lang w:eastAsia="zh-CN"/>
              </w:rPr>
              <w:t>关于</w:t>
            </w:r>
            <w:r>
              <w:rPr>
                <w:rFonts w:hint="eastAsia" w:cs="宋体"/>
                <w:color w:val="auto"/>
                <w:kern w:val="0"/>
                <w:highlight w:val="none"/>
              </w:rPr>
              <w:t>建筑、结构、电气、给排水、造价</w:t>
            </w:r>
            <w:r>
              <w:rPr>
                <w:rFonts w:hint="eastAsia" w:cs="宋体"/>
                <w:color w:val="auto"/>
                <w:kern w:val="0"/>
                <w:highlight w:val="none"/>
                <w:lang w:eastAsia="zh-CN"/>
              </w:rPr>
              <w:t>、暖通各个专业</w:t>
            </w:r>
            <w:r>
              <w:rPr>
                <w:rFonts w:hint="eastAsia" w:cs="宋体"/>
                <w:color w:val="auto"/>
                <w:kern w:val="0"/>
                <w:highlight w:val="none"/>
              </w:rPr>
              <w:t>各配备</w:t>
            </w:r>
            <w:r>
              <w:rPr>
                <w:rFonts w:hint="eastAsia" w:cs="宋体"/>
                <w:color w:val="auto"/>
                <w:kern w:val="0"/>
                <w:highlight w:val="none"/>
                <w:lang w:eastAsia="zh-CN"/>
              </w:rPr>
              <w:t>至少</w:t>
            </w:r>
            <w:r>
              <w:rPr>
                <w:rFonts w:hint="eastAsia" w:cs="宋体"/>
                <w:color w:val="auto"/>
                <w:kern w:val="0"/>
                <w:highlight w:val="none"/>
              </w:rPr>
              <w:t>1名设计</w:t>
            </w:r>
            <w:r>
              <w:rPr>
                <w:rFonts w:hint="eastAsia" w:cs="宋体"/>
                <w:color w:val="auto"/>
                <w:kern w:val="0"/>
                <w:highlight w:val="none"/>
                <w:lang w:eastAsia="zh-CN"/>
              </w:rPr>
              <w:t>专业</w:t>
            </w:r>
            <w:r>
              <w:rPr>
                <w:rFonts w:hint="eastAsia" w:cs="宋体"/>
                <w:color w:val="auto"/>
                <w:kern w:val="0"/>
                <w:highlight w:val="none"/>
              </w:rPr>
              <w:t>负责人，</w:t>
            </w:r>
            <w:r>
              <w:rPr>
                <w:rFonts w:hint="eastAsia" w:cs="宋体"/>
                <w:color w:val="auto"/>
                <w:kern w:val="0"/>
                <w:highlight w:val="none"/>
                <w:lang w:eastAsia="zh-CN"/>
              </w:rPr>
              <w:t>至少</w:t>
            </w:r>
            <w:r>
              <w:rPr>
                <w:rFonts w:hint="eastAsia" w:cs="宋体"/>
                <w:color w:val="auto"/>
                <w:kern w:val="0"/>
                <w:highlight w:val="none"/>
                <w:lang w:val="en-US" w:eastAsia="zh-CN"/>
              </w:rPr>
              <w:t>5人</w:t>
            </w:r>
            <w:r>
              <w:rPr>
                <w:rFonts w:hint="eastAsia" w:cs="宋体"/>
                <w:color w:val="auto"/>
                <w:kern w:val="0"/>
                <w:highlight w:val="none"/>
              </w:rPr>
              <w:t>具有</w:t>
            </w:r>
            <w:r>
              <w:rPr>
                <w:rFonts w:hint="eastAsia" w:cs="宋体"/>
                <w:color w:val="auto"/>
                <w:kern w:val="0"/>
                <w:highlight w:val="none"/>
                <w:lang w:val="en-US" w:eastAsia="zh-CN"/>
              </w:rPr>
              <w:t>工程类</w:t>
            </w:r>
            <w:r>
              <w:rPr>
                <w:rFonts w:hint="eastAsia" w:cs="宋体"/>
                <w:color w:val="auto"/>
                <w:kern w:val="0"/>
                <w:highlight w:val="none"/>
              </w:rPr>
              <w:t>相关专业</w:t>
            </w:r>
            <w:r>
              <w:rPr>
                <w:rFonts w:hint="eastAsia" w:cs="宋体"/>
                <w:strike w:val="0"/>
                <w:dstrike w:val="0"/>
                <w:color w:val="auto"/>
                <w:kern w:val="0"/>
                <w:highlight w:val="none"/>
                <w:lang w:val="en-US" w:eastAsia="zh-CN"/>
              </w:rPr>
              <w:t>高级职称</w:t>
            </w:r>
            <w:r>
              <w:rPr>
                <w:rFonts w:hint="eastAsia" w:cs="宋体"/>
                <w:color w:val="auto"/>
                <w:kern w:val="0"/>
                <w:highlight w:val="none"/>
              </w:rPr>
              <w:t>。</w:t>
            </w:r>
          </w:p>
          <w:p w14:paraId="78F9D99C">
            <w:pPr>
              <w:keepNext w:val="0"/>
              <w:keepLines w:val="0"/>
              <w:pageBreakBefore w:val="0"/>
              <w:widowControl w:val="0"/>
              <w:kinsoku/>
              <w:wordWrap/>
              <w:overflowPunct w:val="0"/>
              <w:topLinePunct w:val="0"/>
              <w:autoSpaceDE/>
              <w:autoSpaceDN/>
              <w:bidi w:val="0"/>
              <w:adjustRightInd/>
              <w:snapToGrid/>
              <w:spacing w:line="360" w:lineRule="auto"/>
              <w:textAlignment w:val="auto"/>
              <w:rPr>
                <w:rFonts w:cs="宋体"/>
                <w:color w:val="auto"/>
                <w:kern w:val="0"/>
                <w:highlight w:val="none"/>
              </w:rPr>
            </w:pPr>
            <w:r>
              <w:rPr>
                <w:rFonts w:hint="eastAsia" w:cs="宋体"/>
                <w:color w:val="auto"/>
                <w:kern w:val="0"/>
                <w:highlight w:val="none"/>
              </w:rPr>
              <w:t>中（1</w:t>
            </w:r>
            <w:r>
              <w:rPr>
                <w:rFonts w:hint="eastAsia" w:cs="宋体"/>
                <w:color w:val="auto"/>
                <w:kern w:val="0"/>
                <w:highlight w:val="none"/>
                <w:lang w:val="en-US" w:eastAsia="zh-CN"/>
              </w:rPr>
              <w:t>8</w:t>
            </w:r>
            <w:r>
              <w:rPr>
                <w:rFonts w:hint="eastAsia" w:cs="宋体"/>
                <w:color w:val="auto"/>
                <w:kern w:val="0"/>
                <w:highlight w:val="none"/>
              </w:rPr>
              <w:t>分）：</w:t>
            </w:r>
            <w:r>
              <w:rPr>
                <w:rFonts w:hint="eastAsia" w:cs="宋体"/>
                <w:color w:val="auto"/>
                <w:kern w:val="0"/>
                <w:highlight w:val="none"/>
                <w:lang w:eastAsia="zh-CN"/>
              </w:rPr>
              <w:t>项目组人员中</w:t>
            </w:r>
            <w:r>
              <w:rPr>
                <w:color w:val="auto"/>
                <w:highlight w:val="none"/>
              </w:rPr>
              <w:t>项目组</w:t>
            </w:r>
            <w:r>
              <w:rPr>
                <w:rFonts w:hint="eastAsia"/>
                <w:color w:val="auto"/>
                <w:highlight w:val="none"/>
                <w:lang w:eastAsia="zh-CN"/>
              </w:rPr>
              <w:t>负责人</w:t>
            </w:r>
            <w:r>
              <w:rPr>
                <w:rFonts w:hint="eastAsia"/>
                <w:color w:val="auto"/>
                <w:spacing w:val="-1"/>
                <w:highlight w:val="none"/>
                <w:lang w:eastAsia="zh-CN"/>
              </w:rPr>
              <w:t>关于</w:t>
            </w:r>
            <w:r>
              <w:rPr>
                <w:rFonts w:hint="eastAsia" w:cs="宋体"/>
                <w:color w:val="auto"/>
                <w:kern w:val="0"/>
                <w:highlight w:val="none"/>
              </w:rPr>
              <w:t>建筑、结构、电气、给排水、造价</w:t>
            </w:r>
            <w:r>
              <w:rPr>
                <w:rFonts w:hint="eastAsia" w:cs="宋体"/>
                <w:color w:val="auto"/>
                <w:kern w:val="0"/>
                <w:highlight w:val="none"/>
                <w:lang w:eastAsia="zh-CN"/>
              </w:rPr>
              <w:t>、暖通各个专业</w:t>
            </w:r>
            <w:r>
              <w:rPr>
                <w:rFonts w:hint="eastAsia" w:cs="宋体"/>
                <w:color w:val="auto"/>
                <w:kern w:val="0"/>
                <w:highlight w:val="none"/>
              </w:rPr>
              <w:t>各配备</w:t>
            </w:r>
            <w:r>
              <w:rPr>
                <w:rFonts w:hint="eastAsia" w:cs="宋体"/>
                <w:color w:val="auto"/>
                <w:kern w:val="0"/>
                <w:highlight w:val="none"/>
                <w:lang w:eastAsia="zh-CN"/>
              </w:rPr>
              <w:t>至少</w:t>
            </w:r>
            <w:r>
              <w:rPr>
                <w:rFonts w:hint="eastAsia" w:cs="宋体"/>
                <w:color w:val="auto"/>
                <w:kern w:val="0"/>
                <w:highlight w:val="none"/>
              </w:rPr>
              <w:t>1名设计</w:t>
            </w:r>
            <w:r>
              <w:rPr>
                <w:rFonts w:hint="eastAsia" w:cs="宋体"/>
                <w:color w:val="auto"/>
                <w:kern w:val="0"/>
                <w:highlight w:val="none"/>
                <w:lang w:eastAsia="zh-CN"/>
              </w:rPr>
              <w:t>专业</w:t>
            </w:r>
            <w:r>
              <w:rPr>
                <w:rFonts w:hint="eastAsia" w:cs="宋体"/>
                <w:color w:val="auto"/>
                <w:kern w:val="0"/>
                <w:highlight w:val="none"/>
              </w:rPr>
              <w:t>负责人，</w:t>
            </w:r>
            <w:r>
              <w:rPr>
                <w:rFonts w:hint="eastAsia" w:cs="宋体"/>
                <w:color w:val="auto"/>
                <w:kern w:val="0"/>
                <w:highlight w:val="none"/>
                <w:lang w:eastAsia="zh-CN"/>
              </w:rPr>
              <w:t>至少</w:t>
            </w:r>
            <w:r>
              <w:rPr>
                <w:rFonts w:hint="eastAsia" w:cs="宋体"/>
                <w:color w:val="auto"/>
                <w:kern w:val="0"/>
                <w:highlight w:val="none"/>
              </w:rPr>
              <w:t>4人具有</w:t>
            </w:r>
            <w:r>
              <w:rPr>
                <w:rFonts w:hint="eastAsia" w:cs="宋体"/>
                <w:color w:val="auto"/>
                <w:kern w:val="0"/>
                <w:highlight w:val="none"/>
                <w:lang w:val="en-US" w:eastAsia="zh-CN"/>
              </w:rPr>
              <w:t>工程类</w:t>
            </w:r>
            <w:r>
              <w:rPr>
                <w:rFonts w:hint="eastAsia" w:cs="宋体"/>
                <w:color w:val="auto"/>
                <w:kern w:val="0"/>
                <w:highlight w:val="none"/>
              </w:rPr>
              <w:t>相关专业</w:t>
            </w:r>
            <w:r>
              <w:rPr>
                <w:rFonts w:hint="eastAsia" w:cs="宋体"/>
                <w:strike w:val="0"/>
                <w:dstrike w:val="0"/>
                <w:color w:val="auto"/>
                <w:kern w:val="0"/>
                <w:highlight w:val="none"/>
                <w:lang w:val="en-US" w:eastAsia="zh-CN"/>
              </w:rPr>
              <w:t>高级</w:t>
            </w:r>
            <w:r>
              <w:rPr>
                <w:rFonts w:hint="eastAsia" w:cs="宋体"/>
                <w:color w:val="auto"/>
                <w:kern w:val="0"/>
                <w:highlight w:val="none"/>
              </w:rPr>
              <w:t>职称。</w:t>
            </w:r>
          </w:p>
          <w:p w14:paraId="2908B6A6">
            <w:pPr>
              <w:keepNext w:val="0"/>
              <w:keepLines w:val="0"/>
              <w:pageBreakBefore w:val="0"/>
              <w:widowControl w:val="0"/>
              <w:kinsoku/>
              <w:wordWrap/>
              <w:overflowPunct w:val="0"/>
              <w:topLinePunct w:val="0"/>
              <w:autoSpaceDE/>
              <w:autoSpaceDN/>
              <w:bidi w:val="0"/>
              <w:adjustRightInd/>
              <w:snapToGrid/>
              <w:spacing w:line="360" w:lineRule="auto"/>
              <w:textAlignment w:val="auto"/>
              <w:rPr>
                <w:rFonts w:cs="宋体"/>
                <w:color w:val="auto"/>
                <w:kern w:val="0"/>
                <w:highlight w:val="none"/>
              </w:rPr>
            </w:pPr>
            <w:r>
              <w:rPr>
                <w:rFonts w:hint="eastAsia" w:cs="宋体"/>
                <w:color w:val="auto"/>
                <w:kern w:val="0"/>
                <w:highlight w:val="none"/>
              </w:rPr>
              <w:t>一般（</w:t>
            </w:r>
            <w:r>
              <w:rPr>
                <w:rFonts w:hint="eastAsia" w:cs="宋体"/>
                <w:color w:val="auto"/>
                <w:kern w:val="0"/>
                <w:highlight w:val="none"/>
                <w:lang w:val="en-US" w:eastAsia="zh-CN"/>
              </w:rPr>
              <w:t>12</w:t>
            </w:r>
            <w:r>
              <w:rPr>
                <w:rFonts w:hint="eastAsia" w:cs="宋体"/>
                <w:color w:val="auto"/>
                <w:kern w:val="0"/>
                <w:highlight w:val="none"/>
              </w:rPr>
              <w:t>分）：</w:t>
            </w:r>
            <w:r>
              <w:rPr>
                <w:rFonts w:hint="eastAsia" w:cs="宋体"/>
                <w:color w:val="auto"/>
                <w:kern w:val="0"/>
                <w:highlight w:val="none"/>
                <w:lang w:eastAsia="zh-CN"/>
              </w:rPr>
              <w:t>项目组人员中</w:t>
            </w:r>
            <w:r>
              <w:rPr>
                <w:color w:val="auto"/>
                <w:highlight w:val="none"/>
              </w:rPr>
              <w:t>项目组</w:t>
            </w:r>
            <w:r>
              <w:rPr>
                <w:rFonts w:hint="eastAsia"/>
                <w:color w:val="auto"/>
                <w:highlight w:val="none"/>
                <w:lang w:eastAsia="zh-CN"/>
              </w:rPr>
              <w:t>负责人</w:t>
            </w:r>
            <w:r>
              <w:rPr>
                <w:rFonts w:hint="eastAsia"/>
                <w:color w:val="auto"/>
                <w:spacing w:val="-1"/>
                <w:highlight w:val="none"/>
                <w:lang w:eastAsia="zh-CN"/>
              </w:rPr>
              <w:t>关于</w:t>
            </w:r>
            <w:r>
              <w:rPr>
                <w:rFonts w:hint="eastAsia" w:cs="宋体"/>
                <w:color w:val="auto"/>
                <w:kern w:val="0"/>
                <w:highlight w:val="none"/>
              </w:rPr>
              <w:t>建筑、结构、电气、给排水、造价</w:t>
            </w:r>
            <w:r>
              <w:rPr>
                <w:rFonts w:hint="eastAsia" w:cs="宋体"/>
                <w:color w:val="auto"/>
                <w:kern w:val="0"/>
                <w:highlight w:val="none"/>
                <w:lang w:eastAsia="zh-CN"/>
              </w:rPr>
              <w:t>、暖通各个专业</w:t>
            </w:r>
            <w:r>
              <w:rPr>
                <w:rFonts w:hint="eastAsia" w:cs="宋体"/>
                <w:color w:val="auto"/>
                <w:kern w:val="0"/>
                <w:highlight w:val="none"/>
              </w:rPr>
              <w:t>各配备</w:t>
            </w:r>
            <w:r>
              <w:rPr>
                <w:rFonts w:hint="eastAsia" w:cs="宋体"/>
                <w:color w:val="auto"/>
                <w:kern w:val="0"/>
                <w:highlight w:val="none"/>
                <w:lang w:eastAsia="zh-CN"/>
              </w:rPr>
              <w:t>至少</w:t>
            </w:r>
            <w:r>
              <w:rPr>
                <w:rFonts w:hint="eastAsia" w:cs="宋体"/>
                <w:color w:val="auto"/>
                <w:kern w:val="0"/>
                <w:highlight w:val="none"/>
              </w:rPr>
              <w:t>1名设计</w:t>
            </w:r>
            <w:r>
              <w:rPr>
                <w:rFonts w:hint="eastAsia" w:cs="宋体"/>
                <w:color w:val="auto"/>
                <w:kern w:val="0"/>
                <w:highlight w:val="none"/>
                <w:lang w:eastAsia="zh-CN"/>
              </w:rPr>
              <w:t>专业</w:t>
            </w:r>
            <w:r>
              <w:rPr>
                <w:rFonts w:hint="eastAsia" w:cs="宋体"/>
                <w:color w:val="auto"/>
                <w:kern w:val="0"/>
                <w:highlight w:val="none"/>
              </w:rPr>
              <w:t>负责人，</w:t>
            </w:r>
            <w:r>
              <w:rPr>
                <w:rFonts w:hint="eastAsia" w:cs="宋体"/>
                <w:color w:val="auto"/>
                <w:kern w:val="0"/>
                <w:highlight w:val="none"/>
                <w:lang w:eastAsia="zh-CN"/>
              </w:rPr>
              <w:t>至少</w:t>
            </w:r>
            <w:r>
              <w:rPr>
                <w:rFonts w:hint="eastAsia" w:cs="宋体"/>
                <w:color w:val="auto"/>
                <w:kern w:val="0"/>
                <w:highlight w:val="none"/>
              </w:rPr>
              <w:t>3人具有</w:t>
            </w:r>
            <w:r>
              <w:rPr>
                <w:rFonts w:hint="eastAsia" w:cs="宋体"/>
                <w:color w:val="auto"/>
                <w:kern w:val="0"/>
                <w:highlight w:val="none"/>
                <w:lang w:val="en-US" w:eastAsia="zh-CN"/>
              </w:rPr>
              <w:t>工程类</w:t>
            </w:r>
            <w:r>
              <w:rPr>
                <w:rFonts w:hint="eastAsia" w:cs="宋体"/>
                <w:color w:val="auto"/>
                <w:kern w:val="0"/>
                <w:highlight w:val="none"/>
              </w:rPr>
              <w:t>相关专业</w:t>
            </w:r>
            <w:r>
              <w:rPr>
                <w:rFonts w:hint="eastAsia" w:cs="宋体"/>
                <w:strike w:val="0"/>
                <w:dstrike w:val="0"/>
                <w:color w:val="auto"/>
                <w:kern w:val="0"/>
                <w:highlight w:val="none"/>
                <w:lang w:val="en-US" w:eastAsia="zh-CN"/>
              </w:rPr>
              <w:t>高级</w:t>
            </w:r>
            <w:r>
              <w:rPr>
                <w:rFonts w:hint="eastAsia" w:cs="宋体"/>
                <w:color w:val="auto"/>
                <w:kern w:val="0"/>
                <w:highlight w:val="none"/>
              </w:rPr>
              <w:t>职称。</w:t>
            </w:r>
          </w:p>
          <w:p w14:paraId="05D177D6">
            <w:pPr>
              <w:keepNext w:val="0"/>
              <w:keepLines/>
              <w:pageBreakBefore w:val="0"/>
              <w:widowControl w:val="0"/>
              <w:kinsoku/>
              <w:wordWrap/>
              <w:overflowPunct w:val="0"/>
              <w:topLinePunct w:val="0"/>
              <w:autoSpaceDE/>
              <w:autoSpaceDN/>
              <w:bidi w:val="0"/>
              <w:adjustRightInd/>
              <w:snapToGrid/>
              <w:spacing w:line="360" w:lineRule="auto"/>
              <w:textAlignment w:val="auto"/>
              <w:rPr>
                <w:rFonts w:hint="eastAsia" w:cs="宋体"/>
                <w:color w:val="auto"/>
                <w:kern w:val="0"/>
                <w:highlight w:val="none"/>
              </w:rPr>
            </w:pPr>
            <w:r>
              <w:rPr>
                <w:rFonts w:hint="eastAsia" w:cs="宋体"/>
                <w:color w:val="auto"/>
                <w:kern w:val="0"/>
                <w:highlight w:val="none"/>
              </w:rPr>
              <w:t>差（</w:t>
            </w:r>
            <w:r>
              <w:rPr>
                <w:rFonts w:hint="eastAsia" w:cs="宋体"/>
                <w:color w:val="auto"/>
                <w:kern w:val="0"/>
                <w:highlight w:val="none"/>
                <w:lang w:val="en-US" w:eastAsia="zh-CN"/>
              </w:rPr>
              <w:t>6</w:t>
            </w:r>
            <w:r>
              <w:rPr>
                <w:rFonts w:hint="eastAsia" w:cs="宋体"/>
                <w:color w:val="auto"/>
                <w:kern w:val="0"/>
                <w:highlight w:val="none"/>
              </w:rPr>
              <w:t>分）：</w:t>
            </w:r>
            <w:r>
              <w:rPr>
                <w:rFonts w:hint="eastAsia" w:cs="宋体"/>
                <w:color w:val="auto"/>
                <w:kern w:val="0"/>
                <w:highlight w:val="none"/>
                <w:lang w:eastAsia="zh-CN"/>
              </w:rPr>
              <w:t>项目组人员中</w:t>
            </w:r>
            <w:r>
              <w:rPr>
                <w:color w:val="auto"/>
                <w:highlight w:val="none"/>
              </w:rPr>
              <w:t>项目组</w:t>
            </w:r>
            <w:r>
              <w:rPr>
                <w:rFonts w:hint="eastAsia"/>
                <w:color w:val="auto"/>
                <w:highlight w:val="none"/>
                <w:lang w:eastAsia="zh-CN"/>
              </w:rPr>
              <w:t>负责人</w:t>
            </w:r>
            <w:r>
              <w:rPr>
                <w:rFonts w:hint="eastAsia"/>
                <w:color w:val="auto"/>
                <w:spacing w:val="-1"/>
                <w:highlight w:val="none"/>
                <w:lang w:eastAsia="zh-CN"/>
              </w:rPr>
              <w:t>关于</w:t>
            </w:r>
            <w:r>
              <w:rPr>
                <w:rFonts w:hint="eastAsia" w:cs="宋体"/>
                <w:color w:val="auto"/>
                <w:kern w:val="0"/>
                <w:highlight w:val="none"/>
              </w:rPr>
              <w:t>建筑、结构、电气、给排水、造价</w:t>
            </w:r>
            <w:r>
              <w:rPr>
                <w:rFonts w:hint="eastAsia" w:cs="宋体"/>
                <w:color w:val="auto"/>
                <w:kern w:val="0"/>
                <w:highlight w:val="none"/>
                <w:lang w:eastAsia="zh-CN"/>
              </w:rPr>
              <w:t>、暖通各个专业</w:t>
            </w:r>
            <w:r>
              <w:rPr>
                <w:rFonts w:hint="eastAsia" w:cs="宋体"/>
                <w:color w:val="auto"/>
                <w:kern w:val="0"/>
                <w:highlight w:val="none"/>
              </w:rPr>
              <w:t>各配备</w:t>
            </w:r>
            <w:r>
              <w:rPr>
                <w:rFonts w:hint="eastAsia" w:cs="宋体"/>
                <w:color w:val="auto"/>
                <w:kern w:val="0"/>
                <w:highlight w:val="none"/>
                <w:lang w:eastAsia="zh-CN"/>
              </w:rPr>
              <w:t>至少</w:t>
            </w:r>
            <w:r>
              <w:rPr>
                <w:rFonts w:hint="eastAsia" w:cs="宋体"/>
                <w:color w:val="auto"/>
                <w:kern w:val="0"/>
                <w:highlight w:val="none"/>
              </w:rPr>
              <w:t>1名设计</w:t>
            </w:r>
            <w:r>
              <w:rPr>
                <w:rFonts w:hint="eastAsia" w:cs="宋体"/>
                <w:color w:val="auto"/>
                <w:kern w:val="0"/>
                <w:highlight w:val="none"/>
                <w:lang w:eastAsia="zh-CN"/>
              </w:rPr>
              <w:t>专业</w:t>
            </w:r>
            <w:r>
              <w:rPr>
                <w:rFonts w:hint="eastAsia" w:cs="宋体"/>
                <w:color w:val="auto"/>
                <w:kern w:val="0"/>
                <w:highlight w:val="none"/>
              </w:rPr>
              <w:t>负责人，</w:t>
            </w:r>
            <w:r>
              <w:rPr>
                <w:rFonts w:hint="eastAsia" w:cs="宋体"/>
                <w:color w:val="auto"/>
                <w:kern w:val="0"/>
                <w:highlight w:val="none"/>
                <w:lang w:val="en-US" w:eastAsia="zh-CN"/>
              </w:rPr>
              <w:t>2人及以下</w:t>
            </w:r>
            <w:r>
              <w:rPr>
                <w:rFonts w:hint="eastAsia" w:cs="宋体"/>
                <w:color w:val="auto"/>
                <w:kern w:val="0"/>
                <w:highlight w:val="none"/>
              </w:rPr>
              <w:t>具有</w:t>
            </w:r>
            <w:r>
              <w:rPr>
                <w:rFonts w:hint="eastAsia" w:cs="宋体"/>
                <w:color w:val="auto"/>
                <w:kern w:val="0"/>
                <w:highlight w:val="none"/>
                <w:lang w:val="en-US" w:eastAsia="zh-CN"/>
              </w:rPr>
              <w:t>工程类</w:t>
            </w:r>
            <w:r>
              <w:rPr>
                <w:rFonts w:hint="eastAsia" w:cs="宋体"/>
                <w:color w:val="auto"/>
                <w:kern w:val="0"/>
                <w:highlight w:val="none"/>
              </w:rPr>
              <w:t>相关专业</w:t>
            </w:r>
            <w:r>
              <w:rPr>
                <w:rFonts w:hint="eastAsia" w:cs="宋体"/>
                <w:strike w:val="0"/>
                <w:dstrike w:val="0"/>
                <w:color w:val="auto"/>
                <w:kern w:val="0"/>
                <w:highlight w:val="none"/>
                <w:lang w:val="en-US" w:eastAsia="zh-CN"/>
              </w:rPr>
              <w:t>高级</w:t>
            </w:r>
            <w:r>
              <w:rPr>
                <w:rFonts w:hint="eastAsia" w:cs="宋体"/>
                <w:color w:val="auto"/>
                <w:kern w:val="0"/>
                <w:highlight w:val="none"/>
              </w:rPr>
              <w:t>职称。</w:t>
            </w:r>
          </w:p>
          <w:p w14:paraId="3580CB3A">
            <w:pPr>
              <w:keepNext w:val="0"/>
              <w:keepLines/>
              <w:pageBreakBefore w:val="0"/>
              <w:widowControl w:val="0"/>
              <w:kinsoku/>
              <w:wordWrap/>
              <w:overflowPunct w:val="0"/>
              <w:topLinePunct w:val="0"/>
              <w:autoSpaceDE/>
              <w:autoSpaceDN/>
              <w:bidi w:val="0"/>
              <w:adjustRightInd/>
              <w:snapToGrid/>
              <w:spacing w:line="360" w:lineRule="auto"/>
              <w:textAlignment w:val="auto"/>
              <w:rPr>
                <w:rFonts w:hint="eastAsia" w:cs="宋体"/>
                <w:color w:val="auto"/>
                <w:kern w:val="0"/>
                <w:highlight w:val="none"/>
              </w:rPr>
            </w:pPr>
            <w:r>
              <w:rPr>
                <w:rFonts w:hint="eastAsia" w:cs="宋体"/>
                <w:b/>
                <w:bCs/>
                <w:color w:val="auto"/>
                <w:kern w:val="0"/>
                <w:highlight w:val="none"/>
              </w:rPr>
              <w:t>以上分值入高不入低，不重复计分。</w:t>
            </w:r>
            <w:r>
              <w:rPr>
                <w:rFonts w:cs="宋体"/>
                <w:b/>
                <w:bCs/>
                <w:color w:val="auto"/>
                <w:kern w:val="0"/>
                <w:highlight w:val="none"/>
              </w:rPr>
              <w:t xml:space="preserve"> </w:t>
            </w:r>
          </w:p>
          <w:p w14:paraId="3D6A3225">
            <w:pPr>
              <w:keepNext w:val="0"/>
              <w:keepLines/>
              <w:pageBreakBefore w:val="0"/>
              <w:widowControl w:val="0"/>
              <w:kinsoku/>
              <w:wordWrap/>
              <w:overflowPunct w:val="0"/>
              <w:topLinePunct w:val="0"/>
              <w:autoSpaceDE/>
              <w:autoSpaceDN/>
              <w:bidi w:val="0"/>
              <w:adjustRightInd/>
              <w:snapToGrid/>
              <w:spacing w:line="360" w:lineRule="auto"/>
              <w:textAlignment w:val="auto"/>
              <w:rPr>
                <w:rFonts w:hint="eastAsia" w:cs="宋体"/>
                <w:color w:val="auto"/>
                <w:kern w:val="0"/>
                <w:highlight w:val="none"/>
              </w:rPr>
            </w:pPr>
          </w:p>
          <w:p w14:paraId="03AADAC5">
            <w:pPr>
              <w:keepNext w:val="0"/>
              <w:keepLines/>
              <w:pageBreakBefore w:val="0"/>
              <w:widowControl w:val="0"/>
              <w:kinsoku/>
              <w:wordWrap/>
              <w:overflowPunct w:val="0"/>
              <w:topLinePunct w:val="0"/>
              <w:autoSpaceDE/>
              <w:autoSpaceDN/>
              <w:bidi w:val="0"/>
              <w:adjustRightInd/>
              <w:snapToGrid/>
              <w:spacing w:line="360" w:lineRule="auto"/>
              <w:textAlignment w:val="auto"/>
              <w:rPr>
                <w:rFonts w:hint="eastAsia" w:ascii="楷体" w:hAnsi="楷体" w:eastAsia="楷体" w:cs="Times New Roman"/>
                <w:b/>
                <w:color w:val="auto"/>
                <w:highlight w:val="none"/>
              </w:rPr>
            </w:pPr>
            <w:r>
              <w:rPr>
                <w:rFonts w:hint="eastAsia" w:ascii="楷体" w:hAnsi="楷体" w:eastAsia="楷体" w:cs="Times New Roman"/>
                <w:b/>
                <w:color w:val="auto"/>
                <w:highlight w:val="none"/>
              </w:rPr>
              <w:t>【备注：项目组人员身份证、学历证、职称证、执业注册信息（注册类型及等级、证书编号等信息从全国建筑市场监管公共服务平台下行到“桂建云”即可，不需要核验注册证书扫描件）等相关证明材料未通过“桂建云”的，在评审时不予承认，项目组人员应附社保缴费证明原件扫描件。注册城乡规划师，咨询工程师，注册土木工程师（道路）等未在住建部注册或者未实施注册制度的资格证书，可在投标人认为的其他材料内补充上传电子证书，非电子证书，均不予以认可。】</w:t>
            </w:r>
          </w:p>
          <w:p w14:paraId="090D1CCB">
            <w:pPr>
              <w:keepNext w:val="0"/>
              <w:keepLines/>
              <w:pageBreakBefore w:val="0"/>
              <w:widowControl w:val="0"/>
              <w:kinsoku/>
              <w:wordWrap/>
              <w:overflowPunct w:val="0"/>
              <w:topLinePunct w:val="0"/>
              <w:autoSpaceDE/>
              <w:autoSpaceDN/>
              <w:bidi w:val="0"/>
              <w:adjustRightInd/>
              <w:snapToGrid/>
              <w:spacing w:line="360" w:lineRule="auto"/>
              <w:textAlignment w:val="auto"/>
              <w:rPr>
                <w:rFonts w:eastAsia="楷体"/>
                <w:color w:val="auto"/>
                <w:highlight w:val="none"/>
              </w:rPr>
            </w:pPr>
          </w:p>
        </w:tc>
      </w:tr>
      <w:tr w14:paraId="1F8741A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1119" w:hRule="exact"/>
        </w:trPr>
        <w:tc>
          <w:tcPr>
            <w:tcW w:w="990" w:type="dxa"/>
            <w:vMerge w:val="continue"/>
            <w:tcBorders>
              <w:bottom w:val="single" w:color="000000" w:sz="6" w:space="0"/>
              <w:right w:val="single" w:color="000000" w:sz="6" w:space="0"/>
            </w:tcBorders>
            <w:noWrap w:val="0"/>
            <w:tcMar>
              <w:left w:w="0" w:type="dxa"/>
              <w:right w:w="0" w:type="dxa"/>
            </w:tcMar>
            <w:vAlign w:val="center"/>
          </w:tcPr>
          <w:p w14:paraId="7E15B984">
            <w:pPr>
              <w:keepNext w:val="0"/>
              <w:keepLines/>
              <w:pageBreakBefore w:val="0"/>
              <w:widowControl w:val="0"/>
              <w:kinsoku/>
              <w:wordWrap/>
              <w:overflowPunct w:val="0"/>
              <w:topLinePunct w:val="0"/>
              <w:autoSpaceDE/>
              <w:autoSpaceDN/>
              <w:bidi w:val="0"/>
              <w:adjustRightInd/>
              <w:snapToGrid/>
              <w:spacing w:line="360" w:lineRule="auto"/>
              <w:ind w:left="240"/>
              <w:textAlignment w:val="auto"/>
              <w:rPr>
                <w:color w:val="auto"/>
                <w:spacing w:val="-7"/>
                <w:highlight w:val="none"/>
              </w:rPr>
            </w:pPr>
          </w:p>
        </w:tc>
        <w:tc>
          <w:tcPr>
            <w:tcW w:w="1211" w:type="dxa"/>
            <w:gridSpan w:val="2"/>
            <w:vMerge w:val="continue"/>
            <w:tcBorders>
              <w:left w:val="single" w:color="000000" w:sz="6" w:space="0"/>
              <w:bottom w:val="single" w:color="000000" w:sz="6" w:space="0"/>
              <w:right w:val="single" w:color="000000" w:sz="6" w:space="0"/>
            </w:tcBorders>
            <w:noWrap w:val="0"/>
            <w:vAlign w:val="center"/>
          </w:tcPr>
          <w:p w14:paraId="5D71F834">
            <w:pPr>
              <w:keepNext w:val="0"/>
              <w:keepLines/>
              <w:pageBreakBefore w:val="0"/>
              <w:widowControl w:val="0"/>
              <w:kinsoku/>
              <w:wordWrap/>
              <w:overflowPunct w:val="0"/>
              <w:topLinePunct w:val="0"/>
              <w:autoSpaceDE/>
              <w:autoSpaceDN/>
              <w:bidi w:val="0"/>
              <w:adjustRightInd/>
              <w:snapToGrid/>
              <w:spacing w:line="360" w:lineRule="auto"/>
              <w:ind w:left="142"/>
              <w:textAlignment w:val="auto"/>
              <w:rPr>
                <w:color w:val="auto"/>
                <w:spacing w:val="12"/>
                <w:szCs w:val="21"/>
                <w:highlight w:val="none"/>
              </w:rPr>
            </w:pPr>
          </w:p>
        </w:tc>
        <w:tc>
          <w:tcPr>
            <w:tcW w:w="1972" w:type="dxa"/>
            <w:tcBorders>
              <w:top w:val="single" w:color="000000" w:sz="6" w:space="0"/>
              <w:left w:val="single" w:color="000000" w:sz="6" w:space="0"/>
              <w:bottom w:val="single" w:color="000000" w:sz="6" w:space="0"/>
              <w:right w:val="single" w:color="auto" w:sz="4" w:space="0"/>
            </w:tcBorders>
            <w:noWrap w:val="0"/>
            <w:tcMar>
              <w:left w:w="0" w:type="dxa"/>
              <w:right w:w="0" w:type="dxa"/>
            </w:tcMar>
            <w:vAlign w:val="center"/>
          </w:tcPr>
          <w:p w14:paraId="6EB6034C">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r>
              <w:rPr>
                <w:color w:val="auto"/>
                <w:highlight w:val="none"/>
              </w:rPr>
              <w:t>其他要求</w:t>
            </w:r>
          </w:p>
        </w:tc>
        <w:tc>
          <w:tcPr>
            <w:tcW w:w="5008" w:type="dxa"/>
            <w:tcBorders>
              <w:top w:val="single" w:color="000000" w:sz="6" w:space="0"/>
              <w:left w:val="single" w:color="auto" w:sz="4" w:space="0"/>
              <w:bottom w:val="single" w:color="000000" w:sz="6" w:space="0"/>
            </w:tcBorders>
            <w:noWrap w:val="0"/>
            <w:vAlign w:val="center"/>
          </w:tcPr>
          <w:p w14:paraId="55560BEE">
            <w:pPr>
              <w:keepNext w:val="0"/>
              <w:keepLines/>
              <w:pageBreakBefore w:val="0"/>
              <w:widowControl w:val="0"/>
              <w:kinsoku/>
              <w:wordWrap/>
              <w:overflowPunct w:val="0"/>
              <w:topLinePunct w:val="0"/>
              <w:autoSpaceDE/>
              <w:autoSpaceDN/>
              <w:bidi w:val="0"/>
              <w:adjustRightInd/>
              <w:snapToGrid/>
              <w:spacing w:line="360" w:lineRule="auto"/>
              <w:textAlignment w:val="auto"/>
              <w:rPr>
                <w:rFonts w:hint="eastAsia" w:cs="宋体"/>
                <w:color w:val="auto"/>
                <w:kern w:val="0"/>
                <w:highlight w:val="none"/>
                <w:lang w:eastAsia="zh-CN"/>
              </w:rPr>
            </w:pPr>
            <w:r>
              <w:rPr>
                <w:rFonts w:hint="eastAsia" w:cs="宋体"/>
                <w:color w:val="auto"/>
                <w:kern w:val="0"/>
                <w:highlight w:val="none"/>
              </w:rPr>
              <w:t>优（</w:t>
            </w:r>
            <w:r>
              <w:rPr>
                <w:rFonts w:hint="eastAsia" w:cs="宋体"/>
                <w:color w:val="auto"/>
                <w:kern w:val="0"/>
                <w:highlight w:val="none"/>
                <w:lang w:val="en-US" w:eastAsia="zh-CN"/>
              </w:rPr>
              <w:t>3</w:t>
            </w:r>
            <w:r>
              <w:rPr>
                <w:rFonts w:hint="eastAsia" w:cs="宋体"/>
                <w:color w:val="auto"/>
                <w:kern w:val="0"/>
                <w:highlight w:val="none"/>
              </w:rPr>
              <w:t>0分）：项目组人员</w:t>
            </w:r>
            <w:r>
              <w:rPr>
                <w:rFonts w:hint="eastAsia" w:cs="宋体"/>
                <w:color w:val="auto"/>
                <w:kern w:val="0"/>
                <w:highlight w:val="none"/>
                <w:lang w:val="en-US" w:eastAsia="zh-CN"/>
              </w:rPr>
              <w:t>中</w:t>
            </w:r>
            <w:r>
              <w:rPr>
                <w:rFonts w:hint="eastAsia" w:cs="宋体"/>
                <w:color w:val="auto"/>
                <w:kern w:val="0"/>
                <w:highlight w:val="none"/>
              </w:rPr>
              <w:t>其他设计师</w:t>
            </w:r>
            <w:r>
              <w:rPr>
                <w:rFonts w:hint="eastAsia" w:cs="宋体"/>
                <w:color w:val="auto"/>
                <w:kern w:val="0"/>
                <w:highlight w:val="none"/>
                <w:lang w:eastAsia="zh-CN"/>
              </w:rPr>
              <w:t>（</w:t>
            </w:r>
            <w:r>
              <w:rPr>
                <w:rFonts w:hint="eastAsia" w:cs="宋体"/>
                <w:color w:val="auto"/>
                <w:kern w:val="0"/>
                <w:highlight w:val="none"/>
                <w:lang w:val="en-US" w:eastAsia="zh-CN"/>
              </w:rPr>
              <w:t>除项目负责人及</w:t>
            </w:r>
            <w:r>
              <w:rPr>
                <w:rFonts w:hint="eastAsia" w:cs="宋体"/>
                <w:color w:val="auto"/>
                <w:kern w:val="0"/>
                <w:highlight w:val="none"/>
              </w:rPr>
              <w:t>设计</w:t>
            </w:r>
            <w:r>
              <w:rPr>
                <w:rFonts w:hint="eastAsia" w:cs="宋体"/>
                <w:color w:val="auto"/>
                <w:kern w:val="0"/>
                <w:highlight w:val="none"/>
                <w:lang w:eastAsia="zh-CN"/>
              </w:rPr>
              <w:t>专业</w:t>
            </w:r>
            <w:r>
              <w:rPr>
                <w:rFonts w:hint="eastAsia" w:cs="宋体"/>
                <w:color w:val="auto"/>
                <w:kern w:val="0"/>
                <w:highlight w:val="none"/>
              </w:rPr>
              <w:t>负责人</w:t>
            </w:r>
            <w:r>
              <w:rPr>
                <w:rFonts w:hint="eastAsia" w:cs="宋体"/>
                <w:color w:val="auto"/>
                <w:kern w:val="0"/>
                <w:highlight w:val="none"/>
                <w:lang w:val="en-US" w:eastAsia="zh-CN"/>
              </w:rPr>
              <w:t>外，下同）</w:t>
            </w:r>
            <w:r>
              <w:rPr>
                <w:rFonts w:hint="eastAsia" w:cs="宋体"/>
                <w:color w:val="auto"/>
                <w:kern w:val="0"/>
                <w:highlight w:val="none"/>
              </w:rPr>
              <w:t>具备</w:t>
            </w:r>
            <w:r>
              <w:rPr>
                <w:rFonts w:hint="eastAsia" w:cs="宋体"/>
                <w:color w:val="auto"/>
                <w:kern w:val="0"/>
                <w:highlight w:val="none"/>
                <w:lang w:val="en-US" w:eastAsia="zh-CN"/>
              </w:rPr>
              <w:t>与本项目相关</w:t>
            </w:r>
            <w:r>
              <w:rPr>
                <w:rFonts w:hint="eastAsia" w:cs="宋体"/>
                <w:color w:val="auto"/>
                <w:kern w:val="0"/>
                <w:highlight w:val="none"/>
              </w:rPr>
              <w:t>设计专业</w:t>
            </w:r>
            <w:r>
              <w:rPr>
                <w:rFonts w:hint="eastAsia" w:cs="宋体"/>
                <w:color w:val="auto"/>
                <w:kern w:val="0"/>
                <w:highlight w:val="none"/>
                <w:lang w:val="en-US" w:eastAsia="zh-CN"/>
              </w:rPr>
              <w:t>注册执业资格证或工程类</w:t>
            </w:r>
            <w:r>
              <w:rPr>
                <w:rFonts w:hint="eastAsia" w:cs="宋体"/>
                <w:color w:val="auto"/>
                <w:kern w:val="0"/>
                <w:highlight w:val="none"/>
              </w:rPr>
              <w:t>中级及以上职称达</w:t>
            </w:r>
            <w:r>
              <w:rPr>
                <w:rFonts w:hint="eastAsia" w:cs="宋体"/>
                <w:color w:val="auto"/>
                <w:kern w:val="0"/>
                <w:highlight w:val="none"/>
                <w:lang w:val="en-US" w:eastAsia="zh-CN"/>
              </w:rPr>
              <w:t>8</w:t>
            </w:r>
            <w:r>
              <w:rPr>
                <w:rFonts w:hint="eastAsia" w:cs="宋体"/>
                <w:color w:val="auto"/>
                <w:kern w:val="0"/>
                <w:highlight w:val="none"/>
              </w:rPr>
              <w:t>人</w:t>
            </w:r>
            <w:r>
              <w:rPr>
                <w:rFonts w:hint="eastAsia" w:cs="宋体"/>
                <w:color w:val="auto"/>
                <w:kern w:val="0"/>
                <w:highlight w:val="none"/>
                <w:lang w:eastAsia="zh-CN"/>
              </w:rPr>
              <w:t>及</w:t>
            </w:r>
            <w:r>
              <w:rPr>
                <w:rFonts w:hint="eastAsia" w:cs="宋体"/>
                <w:color w:val="auto"/>
                <w:kern w:val="0"/>
                <w:highlight w:val="none"/>
              </w:rPr>
              <w:t>以上</w:t>
            </w:r>
            <w:r>
              <w:rPr>
                <w:rFonts w:hint="eastAsia" w:cs="宋体"/>
                <w:color w:val="auto"/>
                <w:kern w:val="0"/>
                <w:highlight w:val="none"/>
                <w:lang w:val="en-US" w:eastAsia="zh-CN"/>
              </w:rPr>
              <w:t>的。</w:t>
            </w:r>
          </w:p>
          <w:p w14:paraId="4EFC9EAA">
            <w:pPr>
              <w:keepNext w:val="0"/>
              <w:keepLines/>
              <w:pageBreakBefore w:val="0"/>
              <w:widowControl w:val="0"/>
              <w:kinsoku/>
              <w:wordWrap/>
              <w:overflowPunct w:val="0"/>
              <w:topLinePunct w:val="0"/>
              <w:autoSpaceDE/>
              <w:autoSpaceDN/>
              <w:bidi w:val="0"/>
              <w:adjustRightInd/>
              <w:snapToGrid/>
              <w:spacing w:line="360" w:lineRule="auto"/>
              <w:textAlignment w:val="auto"/>
              <w:rPr>
                <w:rFonts w:hint="eastAsia" w:cs="宋体"/>
                <w:color w:val="auto"/>
                <w:kern w:val="0"/>
                <w:highlight w:val="none"/>
              </w:rPr>
            </w:pPr>
            <w:r>
              <w:rPr>
                <w:rFonts w:hint="eastAsia" w:cs="宋体"/>
                <w:color w:val="auto"/>
                <w:kern w:val="0"/>
                <w:highlight w:val="none"/>
              </w:rPr>
              <w:t>良（</w:t>
            </w:r>
            <w:r>
              <w:rPr>
                <w:rFonts w:hint="eastAsia" w:cs="宋体"/>
                <w:color w:val="auto"/>
                <w:kern w:val="0"/>
                <w:highlight w:val="none"/>
                <w:lang w:val="en-US" w:eastAsia="zh-CN"/>
              </w:rPr>
              <w:t>24</w:t>
            </w:r>
            <w:r>
              <w:rPr>
                <w:rFonts w:hint="eastAsia" w:cs="宋体"/>
                <w:color w:val="auto"/>
                <w:kern w:val="0"/>
                <w:highlight w:val="none"/>
              </w:rPr>
              <w:t>分）：项目组人员</w:t>
            </w:r>
            <w:r>
              <w:rPr>
                <w:rFonts w:hint="eastAsia" w:cs="宋体"/>
                <w:color w:val="auto"/>
                <w:kern w:val="0"/>
                <w:highlight w:val="none"/>
                <w:lang w:val="en-US" w:eastAsia="zh-CN"/>
              </w:rPr>
              <w:t>中</w:t>
            </w:r>
            <w:r>
              <w:rPr>
                <w:rFonts w:hint="eastAsia" w:cs="宋体"/>
                <w:color w:val="auto"/>
                <w:kern w:val="0"/>
                <w:highlight w:val="none"/>
              </w:rPr>
              <w:t>其他设</w:t>
            </w:r>
            <w:r>
              <w:rPr>
                <w:rFonts w:hint="eastAsia" w:ascii="Times New Roman" w:hAnsi="Times New Roman" w:eastAsia="宋体" w:cs="宋体"/>
                <w:color w:val="auto"/>
                <w:kern w:val="0"/>
                <w:highlight w:val="none"/>
              </w:rPr>
              <w:t>计师具备</w:t>
            </w:r>
            <w:r>
              <w:rPr>
                <w:rFonts w:hint="eastAsia" w:ascii="Times New Roman" w:hAnsi="Times New Roman" w:eastAsia="宋体" w:cs="宋体"/>
                <w:color w:val="auto"/>
                <w:kern w:val="0"/>
                <w:highlight w:val="none"/>
                <w:lang w:val="en-US" w:eastAsia="zh-CN"/>
              </w:rPr>
              <w:t>与本项目相关</w:t>
            </w:r>
            <w:r>
              <w:rPr>
                <w:rFonts w:hint="eastAsia" w:ascii="Times New Roman" w:hAnsi="Times New Roman" w:eastAsia="宋体" w:cs="宋体"/>
                <w:color w:val="auto"/>
                <w:kern w:val="0"/>
                <w:highlight w:val="none"/>
              </w:rPr>
              <w:t>设计专业</w:t>
            </w:r>
            <w:r>
              <w:rPr>
                <w:rFonts w:hint="eastAsia" w:ascii="Times New Roman" w:hAnsi="Times New Roman" w:eastAsia="宋体" w:cs="宋体"/>
                <w:color w:val="auto"/>
                <w:kern w:val="0"/>
                <w:highlight w:val="none"/>
                <w:lang w:val="en-US" w:eastAsia="zh-CN"/>
              </w:rPr>
              <w:t>注册执业资格证或工程类</w:t>
            </w:r>
            <w:r>
              <w:rPr>
                <w:rFonts w:hint="eastAsia" w:ascii="Times New Roman" w:hAnsi="Times New Roman" w:eastAsia="宋体" w:cs="宋体"/>
                <w:color w:val="auto"/>
                <w:kern w:val="0"/>
                <w:highlight w:val="none"/>
              </w:rPr>
              <w:t>中</w:t>
            </w:r>
            <w:r>
              <w:rPr>
                <w:rFonts w:hint="eastAsia" w:cs="宋体"/>
                <w:color w:val="auto"/>
                <w:kern w:val="0"/>
                <w:highlight w:val="none"/>
              </w:rPr>
              <w:t>级及以上职称达</w:t>
            </w:r>
            <w:r>
              <w:rPr>
                <w:rFonts w:hint="eastAsia" w:cs="宋体"/>
                <w:color w:val="auto"/>
                <w:kern w:val="0"/>
                <w:highlight w:val="none"/>
                <w:lang w:val="en-US" w:eastAsia="zh-CN"/>
              </w:rPr>
              <w:t>6</w:t>
            </w:r>
            <w:r>
              <w:rPr>
                <w:rFonts w:hint="eastAsia" w:cs="宋体"/>
                <w:color w:val="auto"/>
                <w:kern w:val="0"/>
                <w:highlight w:val="none"/>
              </w:rPr>
              <w:t>人</w:t>
            </w:r>
            <w:r>
              <w:rPr>
                <w:rFonts w:hint="eastAsia" w:cs="宋体"/>
                <w:color w:val="auto"/>
                <w:kern w:val="0"/>
                <w:highlight w:val="none"/>
                <w:lang w:eastAsia="zh-CN"/>
              </w:rPr>
              <w:t>及</w:t>
            </w:r>
            <w:r>
              <w:rPr>
                <w:rFonts w:hint="eastAsia" w:cs="宋体"/>
                <w:color w:val="auto"/>
                <w:kern w:val="0"/>
                <w:highlight w:val="none"/>
              </w:rPr>
              <w:t>以上</w:t>
            </w:r>
            <w:r>
              <w:rPr>
                <w:rFonts w:hint="eastAsia" w:cs="宋体"/>
                <w:color w:val="auto"/>
                <w:kern w:val="0"/>
                <w:highlight w:val="none"/>
                <w:lang w:val="en-US" w:eastAsia="zh-CN"/>
              </w:rPr>
              <w:t>的。</w:t>
            </w:r>
          </w:p>
          <w:p w14:paraId="4C1CCFF5">
            <w:pPr>
              <w:keepNext w:val="0"/>
              <w:keepLines/>
              <w:pageBreakBefore w:val="0"/>
              <w:widowControl w:val="0"/>
              <w:kinsoku/>
              <w:wordWrap/>
              <w:overflowPunct w:val="0"/>
              <w:topLinePunct w:val="0"/>
              <w:autoSpaceDE/>
              <w:autoSpaceDN/>
              <w:bidi w:val="0"/>
              <w:adjustRightInd/>
              <w:snapToGrid/>
              <w:spacing w:line="360" w:lineRule="auto"/>
              <w:textAlignment w:val="auto"/>
              <w:rPr>
                <w:rFonts w:hint="eastAsia" w:cs="宋体"/>
                <w:color w:val="auto"/>
                <w:kern w:val="0"/>
                <w:highlight w:val="none"/>
              </w:rPr>
            </w:pPr>
            <w:r>
              <w:rPr>
                <w:rFonts w:hint="eastAsia" w:cs="宋体"/>
                <w:color w:val="auto"/>
                <w:kern w:val="0"/>
                <w:highlight w:val="none"/>
              </w:rPr>
              <w:t>中（1</w:t>
            </w:r>
            <w:r>
              <w:rPr>
                <w:rFonts w:hint="eastAsia" w:cs="宋体"/>
                <w:color w:val="auto"/>
                <w:kern w:val="0"/>
                <w:highlight w:val="none"/>
                <w:lang w:val="en-US" w:eastAsia="zh-CN"/>
              </w:rPr>
              <w:t>8</w:t>
            </w:r>
            <w:r>
              <w:rPr>
                <w:rFonts w:hint="eastAsia" w:cs="宋体"/>
                <w:color w:val="auto"/>
                <w:kern w:val="0"/>
                <w:highlight w:val="none"/>
              </w:rPr>
              <w:t>分）：项目组人员</w:t>
            </w:r>
            <w:r>
              <w:rPr>
                <w:rFonts w:hint="eastAsia" w:cs="宋体"/>
                <w:color w:val="auto"/>
                <w:kern w:val="0"/>
                <w:highlight w:val="none"/>
                <w:lang w:val="en-US" w:eastAsia="zh-CN"/>
              </w:rPr>
              <w:t>中</w:t>
            </w:r>
            <w:r>
              <w:rPr>
                <w:rFonts w:hint="eastAsia" w:cs="宋体"/>
                <w:color w:val="auto"/>
                <w:kern w:val="0"/>
                <w:highlight w:val="none"/>
              </w:rPr>
              <w:t>其他设</w:t>
            </w:r>
            <w:r>
              <w:rPr>
                <w:rFonts w:hint="eastAsia" w:ascii="Times New Roman" w:hAnsi="Times New Roman" w:eastAsia="宋体" w:cs="宋体"/>
                <w:color w:val="auto"/>
                <w:kern w:val="0"/>
                <w:highlight w:val="none"/>
              </w:rPr>
              <w:t>计师具备</w:t>
            </w:r>
            <w:r>
              <w:rPr>
                <w:rFonts w:hint="eastAsia" w:ascii="Times New Roman" w:hAnsi="Times New Roman" w:eastAsia="宋体" w:cs="宋体"/>
                <w:color w:val="auto"/>
                <w:kern w:val="0"/>
                <w:highlight w:val="none"/>
                <w:lang w:val="en-US" w:eastAsia="zh-CN"/>
              </w:rPr>
              <w:t>与本项目相关</w:t>
            </w:r>
            <w:r>
              <w:rPr>
                <w:rFonts w:hint="eastAsia" w:ascii="Times New Roman" w:hAnsi="Times New Roman" w:eastAsia="宋体" w:cs="宋体"/>
                <w:color w:val="auto"/>
                <w:kern w:val="0"/>
                <w:highlight w:val="none"/>
              </w:rPr>
              <w:t>设计专业</w:t>
            </w:r>
            <w:r>
              <w:rPr>
                <w:rFonts w:hint="eastAsia" w:ascii="Times New Roman" w:hAnsi="Times New Roman" w:eastAsia="宋体" w:cs="宋体"/>
                <w:color w:val="auto"/>
                <w:kern w:val="0"/>
                <w:highlight w:val="none"/>
                <w:lang w:val="en-US" w:eastAsia="zh-CN"/>
              </w:rPr>
              <w:t>注册执业资格证或工程类</w:t>
            </w:r>
            <w:r>
              <w:rPr>
                <w:rFonts w:hint="eastAsia" w:ascii="Times New Roman" w:hAnsi="Times New Roman" w:eastAsia="宋体" w:cs="宋体"/>
                <w:color w:val="auto"/>
                <w:kern w:val="0"/>
                <w:highlight w:val="none"/>
              </w:rPr>
              <w:t>中</w:t>
            </w:r>
            <w:r>
              <w:rPr>
                <w:rFonts w:hint="eastAsia" w:cs="宋体"/>
                <w:color w:val="auto"/>
                <w:kern w:val="0"/>
                <w:highlight w:val="none"/>
              </w:rPr>
              <w:t>级及以上职称达</w:t>
            </w:r>
            <w:r>
              <w:rPr>
                <w:rFonts w:hint="eastAsia" w:cs="宋体"/>
                <w:color w:val="auto"/>
                <w:kern w:val="0"/>
                <w:highlight w:val="none"/>
                <w:lang w:val="en-US" w:eastAsia="zh-CN"/>
              </w:rPr>
              <w:t>4</w:t>
            </w:r>
            <w:r>
              <w:rPr>
                <w:rFonts w:hint="eastAsia" w:cs="宋体"/>
                <w:color w:val="auto"/>
                <w:kern w:val="0"/>
                <w:highlight w:val="none"/>
              </w:rPr>
              <w:t>人</w:t>
            </w:r>
            <w:r>
              <w:rPr>
                <w:rFonts w:hint="eastAsia" w:cs="宋体"/>
                <w:color w:val="auto"/>
                <w:kern w:val="0"/>
                <w:highlight w:val="none"/>
                <w:lang w:eastAsia="zh-CN"/>
              </w:rPr>
              <w:t>及</w:t>
            </w:r>
            <w:r>
              <w:rPr>
                <w:rFonts w:hint="eastAsia" w:cs="宋体"/>
                <w:color w:val="auto"/>
                <w:kern w:val="0"/>
                <w:highlight w:val="none"/>
              </w:rPr>
              <w:t>以上</w:t>
            </w:r>
            <w:r>
              <w:rPr>
                <w:rFonts w:hint="eastAsia" w:cs="宋体"/>
                <w:color w:val="auto"/>
                <w:kern w:val="0"/>
                <w:highlight w:val="none"/>
                <w:lang w:val="en-US" w:eastAsia="zh-CN"/>
              </w:rPr>
              <w:t>的。</w:t>
            </w:r>
          </w:p>
          <w:p w14:paraId="2B4AC7C1">
            <w:pPr>
              <w:keepNext w:val="0"/>
              <w:keepLines/>
              <w:pageBreakBefore w:val="0"/>
              <w:widowControl w:val="0"/>
              <w:kinsoku/>
              <w:wordWrap/>
              <w:overflowPunct w:val="0"/>
              <w:topLinePunct w:val="0"/>
              <w:autoSpaceDE/>
              <w:autoSpaceDN/>
              <w:bidi w:val="0"/>
              <w:adjustRightInd/>
              <w:snapToGrid/>
              <w:spacing w:line="360" w:lineRule="auto"/>
              <w:textAlignment w:val="auto"/>
              <w:rPr>
                <w:rFonts w:hint="eastAsia" w:cs="宋体"/>
                <w:color w:val="auto"/>
                <w:kern w:val="0"/>
                <w:highlight w:val="none"/>
                <w:lang w:eastAsia="zh-CN"/>
              </w:rPr>
            </w:pPr>
            <w:r>
              <w:rPr>
                <w:rFonts w:hint="eastAsia" w:cs="宋体"/>
                <w:color w:val="auto"/>
                <w:kern w:val="0"/>
                <w:highlight w:val="none"/>
              </w:rPr>
              <w:t>一般（</w:t>
            </w:r>
            <w:r>
              <w:rPr>
                <w:rFonts w:hint="eastAsia" w:cs="宋体"/>
                <w:color w:val="auto"/>
                <w:kern w:val="0"/>
                <w:highlight w:val="none"/>
                <w:lang w:val="en-US" w:eastAsia="zh-CN"/>
              </w:rPr>
              <w:t>12</w:t>
            </w:r>
            <w:r>
              <w:rPr>
                <w:rFonts w:hint="eastAsia" w:cs="宋体"/>
                <w:color w:val="auto"/>
                <w:kern w:val="0"/>
                <w:highlight w:val="none"/>
              </w:rPr>
              <w:t>分）：项目组人员</w:t>
            </w:r>
            <w:r>
              <w:rPr>
                <w:rFonts w:hint="eastAsia" w:cs="宋体"/>
                <w:color w:val="auto"/>
                <w:kern w:val="0"/>
                <w:highlight w:val="none"/>
                <w:lang w:val="en-US" w:eastAsia="zh-CN"/>
              </w:rPr>
              <w:t>中</w:t>
            </w:r>
            <w:r>
              <w:rPr>
                <w:rFonts w:hint="eastAsia" w:cs="宋体"/>
                <w:color w:val="auto"/>
                <w:kern w:val="0"/>
                <w:highlight w:val="none"/>
              </w:rPr>
              <w:t>其他设</w:t>
            </w:r>
            <w:r>
              <w:rPr>
                <w:rFonts w:hint="eastAsia" w:ascii="Times New Roman" w:hAnsi="Times New Roman" w:eastAsia="宋体" w:cs="宋体"/>
                <w:color w:val="auto"/>
                <w:kern w:val="0"/>
                <w:highlight w:val="none"/>
              </w:rPr>
              <w:t>计师具备</w:t>
            </w:r>
            <w:r>
              <w:rPr>
                <w:rFonts w:hint="eastAsia" w:ascii="Times New Roman" w:hAnsi="Times New Roman" w:eastAsia="宋体" w:cs="宋体"/>
                <w:color w:val="auto"/>
                <w:kern w:val="0"/>
                <w:highlight w:val="none"/>
                <w:lang w:val="en-US" w:eastAsia="zh-CN"/>
              </w:rPr>
              <w:t>与本项目相关</w:t>
            </w:r>
            <w:r>
              <w:rPr>
                <w:rFonts w:hint="eastAsia" w:ascii="Times New Roman" w:hAnsi="Times New Roman" w:eastAsia="宋体" w:cs="宋体"/>
                <w:color w:val="auto"/>
                <w:kern w:val="0"/>
                <w:highlight w:val="none"/>
              </w:rPr>
              <w:t>设计专业</w:t>
            </w:r>
            <w:r>
              <w:rPr>
                <w:rFonts w:hint="eastAsia" w:ascii="Times New Roman" w:hAnsi="Times New Roman" w:eastAsia="宋体" w:cs="宋体"/>
                <w:color w:val="auto"/>
                <w:kern w:val="0"/>
                <w:highlight w:val="none"/>
                <w:lang w:val="en-US" w:eastAsia="zh-CN"/>
              </w:rPr>
              <w:t>注册执业资格证或工程类</w:t>
            </w:r>
            <w:r>
              <w:rPr>
                <w:rFonts w:hint="eastAsia" w:ascii="Times New Roman" w:hAnsi="Times New Roman" w:eastAsia="宋体" w:cs="宋体"/>
                <w:color w:val="auto"/>
                <w:kern w:val="0"/>
                <w:highlight w:val="none"/>
              </w:rPr>
              <w:t>中</w:t>
            </w:r>
            <w:r>
              <w:rPr>
                <w:rFonts w:hint="eastAsia" w:cs="宋体"/>
                <w:color w:val="auto"/>
                <w:kern w:val="0"/>
                <w:highlight w:val="none"/>
              </w:rPr>
              <w:t>级及以上职称达</w:t>
            </w:r>
            <w:r>
              <w:rPr>
                <w:rFonts w:hint="eastAsia" w:cs="宋体"/>
                <w:color w:val="auto"/>
                <w:kern w:val="0"/>
                <w:highlight w:val="none"/>
                <w:lang w:val="en-US" w:eastAsia="zh-CN"/>
              </w:rPr>
              <w:t>2</w:t>
            </w:r>
            <w:r>
              <w:rPr>
                <w:rFonts w:hint="eastAsia" w:cs="宋体"/>
                <w:color w:val="auto"/>
                <w:kern w:val="0"/>
                <w:highlight w:val="none"/>
              </w:rPr>
              <w:t>人</w:t>
            </w:r>
            <w:r>
              <w:rPr>
                <w:rFonts w:hint="eastAsia" w:cs="宋体"/>
                <w:color w:val="auto"/>
                <w:kern w:val="0"/>
                <w:highlight w:val="none"/>
                <w:lang w:eastAsia="zh-CN"/>
              </w:rPr>
              <w:t>及</w:t>
            </w:r>
            <w:r>
              <w:rPr>
                <w:rFonts w:hint="eastAsia" w:cs="宋体"/>
                <w:color w:val="auto"/>
                <w:kern w:val="0"/>
                <w:highlight w:val="none"/>
              </w:rPr>
              <w:t>以上</w:t>
            </w:r>
            <w:r>
              <w:rPr>
                <w:rFonts w:hint="eastAsia" w:cs="宋体"/>
                <w:color w:val="auto"/>
                <w:kern w:val="0"/>
                <w:highlight w:val="none"/>
                <w:lang w:val="en-US" w:eastAsia="zh-CN"/>
              </w:rPr>
              <w:t>的。</w:t>
            </w:r>
          </w:p>
          <w:p w14:paraId="07F754BF">
            <w:pPr>
              <w:keepNext w:val="0"/>
              <w:keepLines/>
              <w:pageBreakBefore w:val="0"/>
              <w:widowControl w:val="0"/>
              <w:kinsoku/>
              <w:wordWrap/>
              <w:overflowPunct w:val="0"/>
              <w:topLinePunct w:val="0"/>
              <w:autoSpaceDE/>
              <w:autoSpaceDN/>
              <w:bidi w:val="0"/>
              <w:adjustRightInd/>
              <w:snapToGrid/>
              <w:spacing w:line="360" w:lineRule="auto"/>
              <w:textAlignment w:val="auto"/>
              <w:rPr>
                <w:rFonts w:hint="eastAsia" w:cs="宋体"/>
                <w:color w:val="auto"/>
                <w:kern w:val="0"/>
                <w:highlight w:val="none"/>
                <w:lang w:eastAsia="zh-CN"/>
              </w:rPr>
            </w:pPr>
            <w:r>
              <w:rPr>
                <w:rFonts w:hint="eastAsia" w:cs="宋体"/>
                <w:color w:val="auto"/>
                <w:kern w:val="0"/>
                <w:highlight w:val="none"/>
              </w:rPr>
              <w:t>差（</w:t>
            </w:r>
            <w:r>
              <w:rPr>
                <w:rFonts w:hint="eastAsia" w:cs="宋体"/>
                <w:color w:val="auto"/>
                <w:kern w:val="0"/>
                <w:highlight w:val="none"/>
                <w:lang w:val="en-US" w:eastAsia="zh-CN"/>
              </w:rPr>
              <w:t>6</w:t>
            </w:r>
            <w:r>
              <w:rPr>
                <w:rFonts w:hint="eastAsia" w:cs="宋体"/>
                <w:color w:val="auto"/>
                <w:kern w:val="0"/>
                <w:highlight w:val="none"/>
              </w:rPr>
              <w:t>分）：项目组人员</w:t>
            </w:r>
            <w:r>
              <w:rPr>
                <w:rFonts w:hint="eastAsia" w:cs="宋体"/>
                <w:color w:val="auto"/>
                <w:kern w:val="0"/>
                <w:highlight w:val="none"/>
                <w:lang w:val="en-US" w:eastAsia="zh-CN"/>
              </w:rPr>
              <w:t>中</w:t>
            </w:r>
            <w:r>
              <w:rPr>
                <w:rFonts w:hint="eastAsia" w:cs="宋体"/>
                <w:color w:val="auto"/>
                <w:kern w:val="0"/>
                <w:highlight w:val="none"/>
              </w:rPr>
              <w:t>其他设</w:t>
            </w:r>
            <w:r>
              <w:rPr>
                <w:rFonts w:hint="eastAsia" w:ascii="Times New Roman" w:hAnsi="Times New Roman" w:eastAsia="宋体" w:cs="宋体"/>
                <w:color w:val="auto"/>
                <w:kern w:val="0"/>
                <w:highlight w:val="none"/>
              </w:rPr>
              <w:t>计师具备</w:t>
            </w:r>
            <w:r>
              <w:rPr>
                <w:rFonts w:hint="eastAsia" w:ascii="Times New Roman" w:hAnsi="Times New Roman" w:eastAsia="宋体" w:cs="宋体"/>
                <w:color w:val="auto"/>
                <w:kern w:val="0"/>
                <w:highlight w:val="none"/>
                <w:lang w:val="en-US" w:eastAsia="zh-CN"/>
              </w:rPr>
              <w:t>与本项目相关</w:t>
            </w:r>
            <w:r>
              <w:rPr>
                <w:rFonts w:hint="eastAsia" w:ascii="Times New Roman" w:hAnsi="Times New Roman" w:eastAsia="宋体" w:cs="宋体"/>
                <w:color w:val="auto"/>
                <w:kern w:val="0"/>
                <w:highlight w:val="none"/>
              </w:rPr>
              <w:t>设计专业</w:t>
            </w:r>
            <w:r>
              <w:rPr>
                <w:rFonts w:hint="eastAsia" w:ascii="Times New Roman" w:hAnsi="Times New Roman" w:eastAsia="宋体" w:cs="宋体"/>
                <w:color w:val="auto"/>
                <w:kern w:val="0"/>
                <w:highlight w:val="none"/>
                <w:lang w:val="en-US" w:eastAsia="zh-CN"/>
              </w:rPr>
              <w:t>注册执业资格证或工程类</w:t>
            </w:r>
            <w:r>
              <w:rPr>
                <w:rFonts w:hint="eastAsia" w:ascii="Times New Roman" w:hAnsi="Times New Roman" w:eastAsia="宋体" w:cs="宋体"/>
                <w:color w:val="auto"/>
                <w:kern w:val="0"/>
                <w:highlight w:val="none"/>
              </w:rPr>
              <w:t>中</w:t>
            </w:r>
            <w:r>
              <w:rPr>
                <w:rFonts w:hint="eastAsia" w:cs="宋体"/>
                <w:color w:val="auto"/>
                <w:kern w:val="0"/>
                <w:highlight w:val="none"/>
              </w:rPr>
              <w:t>级及以上职称</w:t>
            </w:r>
            <w:r>
              <w:rPr>
                <w:rFonts w:hint="eastAsia" w:cs="宋体"/>
                <w:color w:val="auto"/>
                <w:kern w:val="0"/>
                <w:highlight w:val="none"/>
                <w:lang w:eastAsia="zh-CN"/>
              </w:rPr>
              <w:t>≤</w:t>
            </w:r>
            <w:r>
              <w:rPr>
                <w:rFonts w:hint="eastAsia" w:cs="宋体"/>
                <w:color w:val="auto"/>
                <w:kern w:val="0"/>
                <w:highlight w:val="none"/>
                <w:lang w:val="en-US" w:eastAsia="zh-CN"/>
              </w:rPr>
              <w:t>1</w:t>
            </w:r>
            <w:r>
              <w:rPr>
                <w:rFonts w:hint="eastAsia" w:cs="宋体"/>
                <w:color w:val="auto"/>
                <w:kern w:val="0"/>
                <w:highlight w:val="none"/>
              </w:rPr>
              <w:t>人</w:t>
            </w:r>
            <w:r>
              <w:rPr>
                <w:rFonts w:hint="eastAsia" w:cs="宋体"/>
                <w:color w:val="auto"/>
                <w:kern w:val="0"/>
                <w:highlight w:val="none"/>
                <w:lang w:val="en-US" w:eastAsia="zh-CN"/>
              </w:rPr>
              <w:t>。</w:t>
            </w:r>
          </w:p>
          <w:p w14:paraId="504BB2C4">
            <w:pPr>
              <w:keepNext w:val="0"/>
              <w:keepLines/>
              <w:pageBreakBefore w:val="0"/>
              <w:widowControl w:val="0"/>
              <w:kinsoku/>
              <w:wordWrap/>
              <w:overflowPunct w:val="0"/>
              <w:topLinePunct w:val="0"/>
              <w:autoSpaceDE/>
              <w:autoSpaceDN/>
              <w:bidi w:val="0"/>
              <w:adjustRightInd/>
              <w:snapToGrid/>
              <w:spacing w:line="360" w:lineRule="auto"/>
              <w:textAlignment w:val="auto"/>
              <w:rPr>
                <w:rFonts w:hint="eastAsia" w:cs="宋体"/>
                <w:color w:val="auto"/>
                <w:kern w:val="0"/>
                <w:highlight w:val="none"/>
              </w:rPr>
            </w:pPr>
            <w:r>
              <w:rPr>
                <w:rFonts w:hint="eastAsia" w:cs="宋体"/>
                <w:b/>
                <w:bCs/>
                <w:color w:val="auto"/>
                <w:kern w:val="0"/>
                <w:highlight w:val="none"/>
              </w:rPr>
              <w:t>以上分值入高不入低，不重复计分。</w:t>
            </w:r>
            <w:r>
              <w:rPr>
                <w:rFonts w:cs="宋体"/>
                <w:b/>
                <w:bCs/>
                <w:color w:val="auto"/>
                <w:kern w:val="0"/>
                <w:highlight w:val="none"/>
              </w:rPr>
              <w:t xml:space="preserve"> </w:t>
            </w:r>
          </w:p>
          <w:p w14:paraId="44B19225">
            <w:pPr>
              <w:keepNext w:val="0"/>
              <w:keepLines/>
              <w:pageBreakBefore w:val="0"/>
              <w:widowControl w:val="0"/>
              <w:kinsoku/>
              <w:wordWrap/>
              <w:overflowPunct w:val="0"/>
              <w:topLinePunct w:val="0"/>
              <w:autoSpaceDE/>
              <w:autoSpaceDN/>
              <w:bidi w:val="0"/>
              <w:adjustRightInd/>
              <w:snapToGrid/>
              <w:spacing w:line="360" w:lineRule="auto"/>
              <w:textAlignment w:val="auto"/>
              <w:rPr>
                <w:rFonts w:eastAsia="楷体"/>
                <w:color w:val="auto"/>
                <w:kern w:val="0"/>
                <w:highlight w:val="none"/>
              </w:rPr>
            </w:pPr>
            <w:r>
              <w:rPr>
                <w:rFonts w:eastAsia="楷体"/>
                <w:b/>
                <w:color w:val="auto"/>
                <w:szCs w:val="21"/>
                <w:highlight w:val="none"/>
              </w:rPr>
              <w:t>【备注：项目组人员身份证、学历证、职称证、执业注册信息</w:t>
            </w:r>
            <w:r>
              <w:rPr>
                <w:rFonts w:hint="eastAsia" w:eastAsia="楷体"/>
                <w:b/>
                <w:color w:val="auto"/>
                <w:szCs w:val="21"/>
                <w:highlight w:val="none"/>
              </w:rPr>
              <w:t>（</w:t>
            </w:r>
            <w:r>
              <w:rPr>
                <w:rFonts w:hint="eastAsia" w:ascii="楷体" w:hAnsi="楷体" w:eastAsia="楷体"/>
                <w:b/>
                <w:color w:val="auto"/>
                <w:highlight w:val="none"/>
              </w:rPr>
              <w:t>注册类型及等级、证书编号等信息从全国建筑市场监管公共服务平台下行到“桂建云”即可，不需要核验注册证书扫描件</w:t>
            </w:r>
            <w:r>
              <w:rPr>
                <w:rFonts w:hint="eastAsia" w:eastAsia="楷体"/>
                <w:b/>
                <w:color w:val="auto"/>
                <w:szCs w:val="21"/>
                <w:highlight w:val="none"/>
              </w:rPr>
              <w:t>）</w:t>
            </w:r>
            <w:r>
              <w:rPr>
                <w:rFonts w:eastAsia="楷体"/>
                <w:b/>
                <w:color w:val="auto"/>
                <w:szCs w:val="21"/>
                <w:highlight w:val="none"/>
              </w:rPr>
              <w:t>等相关证明材料未通过“桂建云”的，在评审时不予承认，项目组人员应附社保缴费证明原件扫描件。</w:t>
            </w:r>
            <w:r>
              <w:rPr>
                <w:rFonts w:hint="eastAsia" w:ascii="楷体" w:hAnsi="楷体" w:eastAsia="楷体" w:cs="宋体"/>
                <w:b/>
                <w:color w:val="auto"/>
                <w:highlight w:val="none"/>
              </w:rPr>
              <w:t>注册城乡规划师，咨询工程师，注册土木工程师（道路）等未在住建部注册或者未实施注册制度的资格证书，可在投标人认为的其他材料内补充上传电子证书，非电子证书，均不予以认可。</w:t>
            </w:r>
            <w:r>
              <w:rPr>
                <w:rFonts w:eastAsia="楷体"/>
                <w:b/>
                <w:color w:val="auto"/>
                <w:szCs w:val="21"/>
                <w:highlight w:val="none"/>
              </w:rPr>
              <w:t>】</w:t>
            </w:r>
          </w:p>
          <w:p w14:paraId="3D42BF5F">
            <w:pPr>
              <w:keepNext w:val="0"/>
              <w:keepLines/>
              <w:pageBreakBefore w:val="0"/>
              <w:widowControl w:val="0"/>
              <w:kinsoku/>
              <w:wordWrap/>
              <w:overflowPunct w:val="0"/>
              <w:topLinePunct w:val="0"/>
              <w:autoSpaceDE/>
              <w:autoSpaceDN/>
              <w:bidi w:val="0"/>
              <w:adjustRightInd/>
              <w:snapToGrid/>
              <w:spacing w:line="360" w:lineRule="auto"/>
              <w:textAlignment w:val="auto"/>
              <w:rPr>
                <w:rFonts w:hint="eastAsia" w:cs="宋体"/>
                <w:color w:val="auto"/>
                <w:kern w:val="0"/>
                <w:highlight w:val="none"/>
              </w:rPr>
            </w:pPr>
          </w:p>
          <w:p w14:paraId="14A1F04D">
            <w:pPr>
              <w:keepNext w:val="0"/>
              <w:keepLines/>
              <w:pageBreakBefore w:val="0"/>
              <w:widowControl w:val="0"/>
              <w:kinsoku/>
              <w:wordWrap/>
              <w:overflowPunct w:val="0"/>
              <w:topLinePunct w:val="0"/>
              <w:autoSpaceDE/>
              <w:autoSpaceDN/>
              <w:bidi w:val="0"/>
              <w:adjustRightInd/>
              <w:snapToGrid/>
              <w:spacing w:line="360" w:lineRule="auto"/>
              <w:textAlignment w:val="auto"/>
              <w:rPr>
                <w:rFonts w:hint="eastAsia" w:cs="宋体"/>
                <w:color w:val="auto"/>
                <w:kern w:val="0"/>
                <w:highlight w:val="none"/>
              </w:rPr>
            </w:pPr>
          </w:p>
          <w:p w14:paraId="07975175">
            <w:pPr>
              <w:keepNext w:val="0"/>
              <w:keepLines/>
              <w:pageBreakBefore w:val="0"/>
              <w:widowControl w:val="0"/>
              <w:kinsoku/>
              <w:wordWrap/>
              <w:overflowPunct w:val="0"/>
              <w:topLinePunct w:val="0"/>
              <w:autoSpaceDE/>
              <w:autoSpaceDN/>
              <w:bidi w:val="0"/>
              <w:adjustRightInd/>
              <w:snapToGrid/>
              <w:spacing w:line="360" w:lineRule="auto"/>
              <w:textAlignment w:val="auto"/>
              <w:rPr>
                <w:rFonts w:hint="eastAsia" w:cs="宋体"/>
                <w:color w:val="auto"/>
                <w:kern w:val="0"/>
                <w:highlight w:val="none"/>
                <w:lang w:val="en"/>
              </w:rPr>
            </w:pPr>
          </w:p>
        </w:tc>
      </w:tr>
      <w:tr w14:paraId="3AF0648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50" w:hRule="exact"/>
        </w:trPr>
        <w:tc>
          <w:tcPr>
            <w:tcW w:w="9181" w:type="dxa"/>
            <w:gridSpan w:val="5"/>
            <w:tcBorders>
              <w:top w:val="single" w:color="000000" w:sz="6" w:space="0"/>
              <w:bottom w:val="single" w:color="000000" w:sz="6" w:space="0"/>
            </w:tcBorders>
            <w:noWrap w:val="0"/>
            <w:tcMar>
              <w:left w:w="0" w:type="dxa"/>
              <w:right w:w="0" w:type="dxa"/>
            </w:tcMar>
            <w:vAlign w:val="center"/>
          </w:tcPr>
          <w:p w14:paraId="74A73CE9">
            <w:pPr>
              <w:keepNext w:val="0"/>
              <w:keepLines/>
              <w:pageBreakBefore w:val="0"/>
              <w:widowControl w:val="0"/>
              <w:kinsoku/>
              <w:wordWrap/>
              <w:overflowPunct w:val="0"/>
              <w:topLinePunct w:val="0"/>
              <w:autoSpaceDE/>
              <w:autoSpaceDN/>
              <w:bidi w:val="0"/>
              <w:adjustRightInd/>
              <w:snapToGrid/>
              <w:spacing w:line="360" w:lineRule="auto"/>
              <w:textAlignment w:val="auto"/>
              <w:rPr>
                <w:rFonts w:eastAsia="楷体"/>
                <w:color w:val="auto"/>
                <w:highlight w:val="none"/>
              </w:rPr>
            </w:pPr>
            <w:r>
              <w:rPr>
                <w:bCs/>
                <w:color w:val="auto"/>
                <w:kern w:val="0"/>
                <w:highlight w:val="none"/>
              </w:rPr>
              <w:t>评分内容：人员配备情况、人员经验情况、特殊项目其他专业技术人员设置要求等，由招标人根据项目需求调整。</w:t>
            </w:r>
          </w:p>
        </w:tc>
      </w:tr>
      <w:tr w14:paraId="1A8F5EA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4094" w:hRule="exact"/>
        </w:trPr>
        <w:tc>
          <w:tcPr>
            <w:tcW w:w="2201" w:type="dxa"/>
            <w:gridSpan w:val="3"/>
            <w:tcBorders>
              <w:top w:val="single" w:color="000000" w:sz="6" w:space="0"/>
              <w:bottom w:val="single" w:color="000000" w:sz="6" w:space="0"/>
              <w:right w:val="single" w:color="000000" w:sz="6" w:space="0"/>
            </w:tcBorders>
            <w:noWrap w:val="0"/>
            <w:tcMar>
              <w:left w:w="0" w:type="dxa"/>
              <w:right w:w="0" w:type="dxa"/>
            </w:tcMar>
            <w:vAlign w:val="center"/>
          </w:tcPr>
          <w:p w14:paraId="298D9136">
            <w:pPr>
              <w:keepNext w:val="0"/>
              <w:keepLines/>
              <w:pageBreakBefore w:val="0"/>
              <w:widowControl w:val="0"/>
              <w:kinsoku/>
              <w:wordWrap/>
              <w:overflowPunct w:val="0"/>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2.2.2（4）</w:t>
            </w: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C5F3ABA">
            <w:pPr>
              <w:keepNext w:val="0"/>
              <w:keepLines/>
              <w:pageBreakBefore w:val="0"/>
              <w:widowControl w:val="0"/>
              <w:kinsoku/>
              <w:wordWrap/>
              <w:overflowPunct w:val="0"/>
              <w:topLinePunct w:val="0"/>
              <w:autoSpaceDE/>
              <w:autoSpaceDN/>
              <w:bidi w:val="0"/>
              <w:adjustRightInd/>
              <w:snapToGrid/>
              <w:spacing w:line="360" w:lineRule="auto"/>
              <w:jc w:val="center"/>
              <w:textAlignment w:val="auto"/>
              <w:rPr>
                <w:color w:val="auto"/>
                <w:highlight w:val="none"/>
              </w:rPr>
            </w:pPr>
            <w:r>
              <w:rPr>
                <w:color w:val="auto"/>
                <w:highlight w:val="none"/>
              </w:rPr>
              <w:t>企业信誉实力分评分标准（满分100分</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787FCABF">
            <w:pPr>
              <w:keepNext w:val="0"/>
              <w:keepLines/>
              <w:pageBreakBefore w:val="0"/>
              <w:widowControl w:val="0"/>
              <w:kinsoku/>
              <w:wordWrap/>
              <w:overflowPunct w:val="0"/>
              <w:topLinePunct w:val="0"/>
              <w:autoSpaceDE/>
              <w:autoSpaceDN/>
              <w:bidi w:val="0"/>
              <w:adjustRightInd/>
              <w:snapToGrid/>
              <w:spacing w:line="340" w:lineRule="exact"/>
              <w:textAlignment w:val="auto"/>
              <w:rPr>
                <w:color w:val="auto"/>
                <w:szCs w:val="21"/>
                <w:highlight w:val="none"/>
              </w:rPr>
            </w:pPr>
            <w:r>
              <w:rPr>
                <w:rFonts w:hint="eastAsia"/>
                <w:color w:val="auto"/>
                <w:szCs w:val="21"/>
                <w:highlight w:val="none"/>
              </w:rPr>
              <w:t>根据《自治区住房城乡建设厅关于恢复我区房屋建筑和市政基础设施工程勘察设计企业信用评价及评价结果在招标投标中应用的通知》（桂建设计消防〔2025〕6号要求），招标人不应用信用评价结果的，评标时各投标人的此项得分均以满分分值权重或满分分值计。招标文件中“企业信誉实力分”涉及信用评级评价结果应用的，评标时设计企业投标人的此项得分均以满分计。</w:t>
            </w:r>
          </w:p>
          <w:p w14:paraId="57F5615E">
            <w:pPr>
              <w:keepNext w:val="0"/>
              <w:keepLines/>
              <w:pageBreakBefore w:val="0"/>
              <w:widowControl w:val="0"/>
              <w:kinsoku/>
              <w:wordWrap/>
              <w:overflowPunct w:val="0"/>
              <w:topLinePunct w:val="0"/>
              <w:autoSpaceDE/>
              <w:autoSpaceDN/>
              <w:bidi w:val="0"/>
              <w:adjustRightInd/>
              <w:snapToGrid/>
              <w:spacing w:line="340" w:lineRule="exact"/>
              <w:textAlignment w:val="auto"/>
              <w:rPr>
                <w:color w:val="auto"/>
                <w:szCs w:val="21"/>
                <w:highlight w:val="none"/>
              </w:rPr>
            </w:pPr>
            <w:r>
              <w:rPr>
                <w:color w:val="auto"/>
                <w:szCs w:val="21"/>
                <w:highlight w:val="none"/>
              </w:rPr>
              <w:t>（联合体参与投标的，</w:t>
            </w:r>
            <w:r>
              <w:rPr>
                <w:color w:val="auto"/>
                <w:highlight w:val="none"/>
              </w:rPr>
              <w:t>联合体各方应当签订联合体协议书，其中联合体牵头人代表联合体各方成员负责投标和合同实施阶段的主办、协调工作，但联合体其他成员在投标、签约与履行合同过程中，负有连带的和各自的法律责任。联合体的信誉实力分按联合体牵头人的企业认定</w:t>
            </w:r>
            <w:r>
              <w:rPr>
                <w:color w:val="auto"/>
                <w:szCs w:val="21"/>
                <w:highlight w:val="none"/>
              </w:rPr>
              <w:t>）</w:t>
            </w:r>
          </w:p>
          <w:p w14:paraId="019B8EBA">
            <w:pPr>
              <w:keepNext w:val="0"/>
              <w:keepLines/>
              <w:pageBreakBefore w:val="0"/>
              <w:widowControl w:val="0"/>
              <w:kinsoku/>
              <w:wordWrap/>
              <w:overflowPunct w:val="0"/>
              <w:topLinePunct w:val="0"/>
              <w:autoSpaceDE/>
              <w:autoSpaceDN/>
              <w:bidi w:val="0"/>
              <w:adjustRightInd/>
              <w:snapToGrid/>
              <w:spacing w:line="340" w:lineRule="exact"/>
              <w:textAlignment w:val="auto"/>
              <w:rPr>
                <w:color w:val="auto"/>
                <w:szCs w:val="21"/>
                <w:highlight w:val="none"/>
              </w:rPr>
            </w:pPr>
            <w:r>
              <w:rPr>
                <w:color w:val="auto"/>
                <w:highlight w:val="none"/>
              </w:rPr>
              <w:t>企业信誉实力得分=根据实时公布的自治区级诚信综合评价分/</w:t>
            </w:r>
            <w:r>
              <w:rPr>
                <w:rFonts w:hint="eastAsia" w:ascii="宋体" w:hAnsi="宋体" w:cs="宋体"/>
                <w:color w:val="auto"/>
                <w:highlight w:val="none"/>
              </w:rPr>
              <w:t>参与本次投标的所有投标人中最高的自治区级诚信综合评价分</w:t>
            </w:r>
            <w:r>
              <w:rPr>
                <w:color w:val="auto"/>
                <w:szCs w:val="21"/>
                <w:highlight w:val="none"/>
              </w:rPr>
              <w:t>×100×</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color w:val="auto"/>
                <w:highlight w:val="none"/>
              </w:rPr>
              <w:t>（取70%</w:t>
            </w:r>
            <w:r>
              <w:rPr>
                <w:color w:val="auto"/>
                <w:kern w:val="0"/>
                <w:highlight w:val="none"/>
              </w:rPr>
              <w:t>~</w:t>
            </w:r>
            <w:r>
              <w:rPr>
                <w:color w:val="auto"/>
                <w:highlight w:val="none"/>
              </w:rPr>
              <w:t>100%）</w:t>
            </w:r>
            <w:r>
              <w:rPr>
                <w:color w:val="auto"/>
                <w:szCs w:val="21"/>
                <w:highlight w:val="none"/>
              </w:rPr>
              <w:t>+根据实时公布的项目所在地设区市级诚信综合评价分/</w:t>
            </w:r>
            <w:r>
              <w:rPr>
                <w:rFonts w:hint="eastAsia" w:ascii="宋体" w:hAnsi="宋体"/>
                <w:color w:val="auto"/>
                <w:szCs w:val="21"/>
                <w:highlight w:val="none"/>
              </w:rPr>
              <w:t>参与本次投标的所有投标人中</w:t>
            </w:r>
            <w:r>
              <w:rPr>
                <w:rFonts w:hint="eastAsia" w:ascii="宋体" w:hAnsi="宋体" w:cs="宋体"/>
                <w:color w:val="auto"/>
                <w:highlight w:val="none"/>
              </w:rPr>
              <w:t>最高的区市级</w:t>
            </w:r>
            <w:r>
              <w:rPr>
                <w:rFonts w:hint="eastAsia" w:ascii="宋体" w:hAnsi="宋体"/>
                <w:color w:val="auto"/>
                <w:szCs w:val="21"/>
                <w:highlight w:val="none"/>
              </w:rPr>
              <w:t>诚信综合评价分</w:t>
            </w:r>
            <w:r>
              <w:rPr>
                <w:color w:val="auto"/>
                <w:szCs w:val="21"/>
                <w:highlight w:val="none"/>
              </w:rPr>
              <w:t>×100×</w:t>
            </w:r>
            <w:r>
              <w:rPr>
                <w:color w:val="auto"/>
                <w:szCs w:val="21"/>
                <w:highlight w:val="none"/>
                <w:u w:val="single"/>
              </w:rPr>
              <w:t xml:space="preserve">   </w:t>
            </w:r>
            <w:r>
              <w:rPr>
                <w:rFonts w:hint="eastAsia"/>
                <w:color w:val="auto"/>
                <w:szCs w:val="21"/>
                <w:highlight w:val="none"/>
                <w:u w:val="single"/>
                <w:lang w:val="en-US" w:eastAsia="zh-CN"/>
              </w:rPr>
              <w:t>/</w:t>
            </w:r>
            <w:r>
              <w:rPr>
                <w:color w:val="auto"/>
                <w:szCs w:val="21"/>
                <w:highlight w:val="none"/>
                <w:u w:val="single"/>
              </w:rPr>
              <w:t xml:space="preserve">  </w:t>
            </w:r>
            <w:r>
              <w:rPr>
                <w:color w:val="auto"/>
                <w:szCs w:val="21"/>
                <w:highlight w:val="none"/>
              </w:rPr>
              <w:t>%（取</w:t>
            </w:r>
            <w:r>
              <w:rPr>
                <w:color w:val="auto"/>
                <w:highlight w:val="none"/>
              </w:rPr>
              <w:t>0</w:t>
            </w:r>
            <w:r>
              <w:rPr>
                <w:color w:val="auto"/>
                <w:kern w:val="0"/>
                <w:highlight w:val="none"/>
              </w:rPr>
              <w:t>~</w:t>
            </w:r>
            <w:r>
              <w:rPr>
                <w:color w:val="auto"/>
                <w:highlight w:val="none"/>
              </w:rPr>
              <w:t>30%</w:t>
            </w:r>
            <w:r>
              <w:rPr>
                <w:color w:val="auto"/>
                <w:szCs w:val="21"/>
                <w:highlight w:val="none"/>
              </w:rPr>
              <w:t>）。</w:t>
            </w:r>
          </w:p>
          <w:p w14:paraId="7BAC2C5C">
            <w:pPr>
              <w:keepNext w:val="0"/>
              <w:keepLines/>
              <w:pageBreakBefore w:val="0"/>
              <w:widowControl w:val="0"/>
              <w:kinsoku/>
              <w:wordWrap/>
              <w:overflowPunct w:val="0"/>
              <w:topLinePunct w:val="0"/>
              <w:autoSpaceDE/>
              <w:autoSpaceDN/>
              <w:bidi w:val="0"/>
              <w:adjustRightInd/>
              <w:snapToGrid/>
              <w:spacing w:line="340" w:lineRule="exact"/>
              <w:textAlignment w:val="auto"/>
              <w:rPr>
                <w:color w:val="auto"/>
                <w:spacing w:val="-1"/>
                <w:highlight w:val="none"/>
              </w:rPr>
            </w:pPr>
            <w:r>
              <w:rPr>
                <w:rFonts w:eastAsia="楷体"/>
                <w:b/>
                <w:color w:val="auto"/>
                <w:szCs w:val="21"/>
                <w:highlight w:val="none"/>
              </w:rPr>
              <w:t>【备注：①</w:t>
            </w:r>
            <w:r>
              <w:rPr>
                <w:rFonts w:eastAsia="楷体"/>
                <w:b/>
                <w:color w:val="auto"/>
                <w:highlight w:val="none"/>
              </w:rPr>
              <w:t>由招标人决定诚信综合评价分区级、区市级比例，把确定后的区级、区市级比例填入招标文件内；</w:t>
            </w:r>
            <w:r>
              <w:rPr>
                <w:rFonts w:eastAsia="楷体"/>
                <w:b/>
                <w:color w:val="auto"/>
                <w:szCs w:val="21"/>
                <w:highlight w:val="none"/>
              </w:rPr>
              <w:t>②自治区级诚信综合评价分占比与项目所在地设区市级诚信综合评价分占比之和为100%，各设区市的具体权重由各设区市主管部门在发出招标文件前自行决定，把确定后的比例填入招标文件内；③自治区级诚信综合评价分由系统自动读取，评委在“桂建云”信息发布的诚信评分公示栏目中查询、核实。项目所在地设区市级诚信综合评价分由评委在</w:t>
            </w:r>
            <w:r>
              <w:rPr>
                <w:rFonts w:eastAsia="楷体"/>
                <w:b/>
                <w:color w:val="auto"/>
                <w:szCs w:val="21"/>
                <w:highlight w:val="none"/>
                <w:u w:val="single"/>
              </w:rPr>
              <w:t xml:space="preserve">        </w:t>
            </w:r>
            <w:r>
              <w:rPr>
                <w:rFonts w:hint="eastAsia" w:eastAsia="楷体"/>
                <w:b/>
                <w:color w:val="auto"/>
                <w:szCs w:val="21"/>
                <w:highlight w:val="none"/>
                <w:u w:val="single"/>
                <w:lang w:val="en-US" w:eastAsia="zh-CN"/>
              </w:rPr>
              <w:t>/</w:t>
            </w:r>
            <w:r>
              <w:rPr>
                <w:rFonts w:eastAsia="楷体"/>
                <w:b/>
                <w:color w:val="auto"/>
                <w:szCs w:val="21"/>
                <w:highlight w:val="none"/>
                <w:u w:val="single"/>
              </w:rPr>
              <w:t xml:space="preserve">          </w:t>
            </w:r>
            <w:r>
              <w:rPr>
                <w:rFonts w:eastAsia="楷体"/>
                <w:b/>
                <w:color w:val="auto"/>
                <w:szCs w:val="21"/>
                <w:highlight w:val="none"/>
              </w:rPr>
              <w:t>中查询后计分。</w:t>
            </w:r>
            <w:r>
              <w:rPr>
                <w:rFonts w:hint="eastAsia" w:ascii="楷体" w:hAnsi="楷体" w:eastAsia="楷体"/>
                <w:b/>
                <w:color w:val="auto"/>
                <w:szCs w:val="21"/>
                <w:highlight w:val="none"/>
              </w:rPr>
              <w:t>如参与本次投标的所有投标人中最高的区市级诚信综合评价分</w:t>
            </w:r>
            <w:r>
              <w:rPr>
                <w:rFonts w:ascii="楷体" w:hAnsi="楷体" w:eastAsia="楷体"/>
                <w:b/>
                <w:color w:val="auto"/>
                <w:szCs w:val="21"/>
                <w:highlight w:val="none"/>
                <w:lang w:val="en"/>
              </w:rPr>
              <w:t>为0，考虑到0不能作为除数，此时应选择该市最高的</w:t>
            </w:r>
            <w:r>
              <w:rPr>
                <w:rFonts w:hint="eastAsia" w:ascii="楷体" w:hAnsi="楷体" w:eastAsia="楷体"/>
                <w:b/>
                <w:color w:val="auto"/>
                <w:szCs w:val="21"/>
                <w:highlight w:val="none"/>
                <w:lang w:val="en"/>
              </w:rPr>
              <w:t>设计</w:t>
            </w:r>
            <w:r>
              <w:rPr>
                <w:rFonts w:ascii="楷体" w:hAnsi="楷体" w:eastAsia="楷体"/>
                <w:b/>
                <w:color w:val="auto"/>
                <w:szCs w:val="21"/>
                <w:highlight w:val="none"/>
                <w:lang w:val="en"/>
              </w:rPr>
              <w:t>企业</w:t>
            </w:r>
            <w:r>
              <w:rPr>
                <w:rFonts w:hint="eastAsia" w:ascii="楷体" w:hAnsi="楷体" w:eastAsia="楷体"/>
                <w:b/>
                <w:color w:val="auto"/>
                <w:szCs w:val="21"/>
                <w:highlight w:val="none"/>
                <w:lang w:val="en"/>
              </w:rPr>
              <w:t>诚信综合评价得分</w:t>
            </w:r>
            <w:r>
              <w:rPr>
                <w:rFonts w:ascii="楷体" w:hAnsi="楷体" w:eastAsia="楷体"/>
                <w:b/>
                <w:color w:val="auto"/>
                <w:szCs w:val="21"/>
                <w:highlight w:val="none"/>
                <w:lang w:val="en"/>
              </w:rPr>
              <w:t>代替，此</w:t>
            </w:r>
            <w:r>
              <w:rPr>
                <w:rFonts w:hint="eastAsia" w:ascii="楷体" w:hAnsi="楷体" w:eastAsia="楷体"/>
                <w:b/>
                <w:color w:val="auto"/>
                <w:szCs w:val="21"/>
                <w:highlight w:val="none"/>
                <w:lang w:val="en"/>
              </w:rPr>
              <w:t>设计</w:t>
            </w:r>
            <w:r>
              <w:rPr>
                <w:rFonts w:ascii="楷体" w:hAnsi="楷体" w:eastAsia="楷体"/>
                <w:b/>
                <w:color w:val="auto"/>
                <w:szCs w:val="21"/>
                <w:highlight w:val="none"/>
                <w:lang w:val="en"/>
              </w:rPr>
              <w:t>企业可不为此次投标人。</w:t>
            </w:r>
            <w:r>
              <w:rPr>
                <w:rFonts w:hint="eastAsia" w:ascii="楷体" w:hAnsi="楷体" w:eastAsia="楷体"/>
                <w:b/>
                <w:color w:val="auto"/>
                <w:szCs w:val="21"/>
                <w:highlight w:val="none"/>
              </w:rPr>
              <w:t>如，甲、乙、丙投标企业项目所在地市级评分为0分，-5分</w:t>
            </w:r>
            <w:r>
              <w:rPr>
                <w:rFonts w:ascii="楷体" w:hAnsi="楷体" w:eastAsia="楷体"/>
                <w:b/>
                <w:color w:val="auto"/>
                <w:szCs w:val="21"/>
                <w:highlight w:val="none"/>
                <w:lang w:val="en"/>
              </w:rPr>
              <w:t>，-10分</w:t>
            </w:r>
            <w:r>
              <w:rPr>
                <w:rFonts w:hint="eastAsia" w:ascii="楷体" w:hAnsi="楷体" w:eastAsia="楷体"/>
                <w:b/>
                <w:color w:val="auto"/>
                <w:szCs w:val="21"/>
                <w:highlight w:val="none"/>
              </w:rPr>
              <w:t>，</w:t>
            </w:r>
            <w:r>
              <w:rPr>
                <w:rFonts w:ascii="楷体" w:hAnsi="楷体" w:eastAsia="楷体"/>
                <w:b/>
                <w:color w:val="auto"/>
                <w:szCs w:val="21"/>
                <w:highlight w:val="none"/>
                <w:lang w:val="en"/>
              </w:rPr>
              <w:t>该市最高的</w:t>
            </w:r>
            <w:r>
              <w:rPr>
                <w:rFonts w:hint="eastAsia" w:ascii="楷体" w:hAnsi="楷体" w:eastAsia="楷体"/>
                <w:b/>
                <w:color w:val="auto"/>
                <w:szCs w:val="21"/>
                <w:highlight w:val="none"/>
                <w:lang w:val="en"/>
              </w:rPr>
              <w:t>设计</w:t>
            </w:r>
            <w:r>
              <w:rPr>
                <w:rFonts w:ascii="楷体" w:hAnsi="楷体" w:eastAsia="楷体"/>
                <w:b/>
                <w:color w:val="auto"/>
                <w:szCs w:val="21"/>
                <w:highlight w:val="none"/>
                <w:lang w:val="en"/>
              </w:rPr>
              <w:t>企业诚信综合评价得分为20分，</w:t>
            </w:r>
            <w:r>
              <w:rPr>
                <w:rFonts w:hint="eastAsia" w:ascii="楷体" w:hAnsi="楷体" w:eastAsia="楷体"/>
                <w:b/>
                <w:color w:val="auto"/>
                <w:szCs w:val="21"/>
                <w:highlight w:val="none"/>
              </w:rPr>
              <w:t>市级诚信分得权重为30%，则</w:t>
            </w:r>
            <w:r>
              <w:rPr>
                <w:rFonts w:ascii="楷体" w:hAnsi="楷体" w:eastAsia="楷体"/>
                <w:b/>
                <w:color w:val="auto"/>
                <w:szCs w:val="21"/>
                <w:highlight w:val="none"/>
                <w:lang w:val="en"/>
              </w:rPr>
              <w:t>各投标人</w:t>
            </w:r>
            <w:r>
              <w:rPr>
                <w:rFonts w:hint="eastAsia" w:ascii="楷体" w:hAnsi="楷体" w:eastAsia="楷体"/>
                <w:b/>
                <w:color w:val="auto"/>
                <w:szCs w:val="21"/>
                <w:highlight w:val="none"/>
              </w:rPr>
              <w:t>市级企业信誉实力得分为：</w:t>
            </w:r>
            <w:r>
              <w:rPr>
                <w:rFonts w:ascii="楷体" w:hAnsi="楷体" w:eastAsia="楷体"/>
                <w:b/>
                <w:color w:val="auto"/>
                <w:szCs w:val="21"/>
                <w:highlight w:val="none"/>
                <w:lang w:val="en"/>
              </w:rPr>
              <w:t>甲：0/20x100*30%=0分；乙：-5/20x100*30%=-7.5分，丙：-10/20x100*30%=-15分。</w:t>
            </w:r>
            <w:r>
              <w:rPr>
                <w:rFonts w:hint="eastAsia" w:eastAsia="楷体"/>
                <w:b/>
                <w:color w:val="auto"/>
                <w:szCs w:val="21"/>
                <w:highlight w:val="none"/>
                <w:lang w:val="en"/>
              </w:rPr>
              <w:t>】</w:t>
            </w:r>
          </w:p>
        </w:tc>
      </w:tr>
      <w:tr w14:paraId="61A6B4E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975" w:hRule="exact"/>
        </w:trPr>
        <w:tc>
          <w:tcPr>
            <w:tcW w:w="2201" w:type="dxa"/>
            <w:gridSpan w:val="3"/>
            <w:tcBorders>
              <w:top w:val="single" w:color="000000" w:sz="6" w:space="0"/>
              <w:bottom w:val="single" w:color="000000" w:sz="6" w:space="0"/>
              <w:right w:val="single" w:color="000000" w:sz="6" w:space="0"/>
            </w:tcBorders>
            <w:noWrap w:val="0"/>
            <w:tcMar>
              <w:left w:w="0" w:type="dxa"/>
              <w:right w:w="0" w:type="dxa"/>
            </w:tcMar>
            <w:vAlign w:val="center"/>
          </w:tcPr>
          <w:p w14:paraId="7D985E51">
            <w:pPr>
              <w:keepNext w:val="0"/>
              <w:keepLines/>
              <w:pageBreakBefore w:val="0"/>
              <w:widowControl w:val="0"/>
              <w:kinsoku/>
              <w:wordWrap/>
              <w:overflowPunct w:val="0"/>
              <w:topLinePunct w:val="0"/>
              <w:autoSpaceDE/>
              <w:autoSpaceDN/>
              <w:bidi w:val="0"/>
              <w:adjustRightInd/>
              <w:snapToGrid/>
              <w:spacing w:line="360" w:lineRule="auto"/>
              <w:ind w:firstLine="392" w:firstLineChars="200"/>
              <w:jc w:val="center"/>
              <w:textAlignment w:val="auto"/>
              <w:rPr>
                <w:color w:val="auto"/>
                <w:spacing w:val="-7"/>
                <w:highlight w:val="none"/>
              </w:rPr>
            </w:pPr>
            <w:r>
              <w:rPr>
                <w:color w:val="auto"/>
                <w:spacing w:val="-7"/>
                <w:highlight w:val="none"/>
              </w:rPr>
              <w:t>投标人汇总得分</w:t>
            </w:r>
          </w:p>
          <w:p w14:paraId="17160F38">
            <w:pPr>
              <w:keepNext w:val="0"/>
              <w:keepLines/>
              <w:pageBreakBefore w:val="0"/>
              <w:widowControl w:val="0"/>
              <w:kinsoku/>
              <w:wordWrap/>
              <w:overflowPunct w:val="0"/>
              <w:topLinePunct w:val="0"/>
              <w:autoSpaceDE/>
              <w:autoSpaceDN/>
              <w:bidi w:val="0"/>
              <w:adjustRightInd/>
              <w:snapToGrid/>
              <w:spacing w:line="360" w:lineRule="auto"/>
              <w:ind w:firstLine="392" w:firstLineChars="200"/>
              <w:jc w:val="center"/>
              <w:textAlignment w:val="auto"/>
              <w:rPr>
                <w:color w:val="auto"/>
                <w:spacing w:val="-7"/>
                <w:highlight w:val="none"/>
              </w:rPr>
            </w:pPr>
            <w:r>
              <w:rPr>
                <w:color w:val="auto"/>
                <w:spacing w:val="-7"/>
                <w:highlight w:val="none"/>
              </w:rPr>
              <w:t>（满分：100分）</w:t>
            </w:r>
          </w:p>
        </w:tc>
        <w:tc>
          <w:tcPr>
            <w:tcW w:w="6980" w:type="dxa"/>
            <w:gridSpan w:val="2"/>
            <w:tcBorders>
              <w:top w:val="single" w:color="000000" w:sz="6" w:space="0"/>
              <w:left w:val="single" w:color="000000" w:sz="6" w:space="0"/>
              <w:bottom w:val="single" w:color="000000" w:sz="6" w:space="0"/>
            </w:tcBorders>
            <w:noWrap w:val="0"/>
            <w:tcMar>
              <w:left w:w="0" w:type="dxa"/>
              <w:right w:w="0" w:type="dxa"/>
            </w:tcMar>
            <w:vAlign w:val="center"/>
          </w:tcPr>
          <w:p w14:paraId="7A0D47C3">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r>
              <w:rPr>
                <w:color w:val="auto"/>
                <w:highlight w:val="none"/>
              </w:rPr>
              <w:t>投标人最终得分（满分100分）=商务标得分</w:t>
            </w:r>
            <w:r>
              <w:rPr>
                <w:color w:val="auto"/>
                <w:szCs w:val="21"/>
                <w:highlight w:val="none"/>
              </w:rPr>
              <w:t>×</w:t>
            </w:r>
            <w:r>
              <w:rPr>
                <w:color w:val="auto"/>
                <w:highlight w:val="none"/>
              </w:rPr>
              <w:t>商务标权重</w:t>
            </w:r>
            <w:r>
              <w:rPr>
                <w:color w:val="auto"/>
                <w:highlight w:val="none"/>
                <w:u w:val="single"/>
              </w:rPr>
              <w:t xml:space="preserve"> </w:t>
            </w:r>
            <w:r>
              <w:rPr>
                <w:rFonts w:hint="eastAsia"/>
                <w:color w:val="auto"/>
                <w:highlight w:val="none"/>
                <w:u w:val="single"/>
                <w:lang w:val="en-US" w:eastAsia="zh-CN"/>
              </w:rPr>
              <w:t>20</w:t>
            </w:r>
            <w:r>
              <w:rPr>
                <w:color w:val="auto"/>
                <w:highlight w:val="none"/>
                <w:u w:val="single"/>
              </w:rPr>
              <w:t xml:space="preserve">  </w:t>
            </w:r>
            <w:r>
              <w:rPr>
                <w:color w:val="auto"/>
                <w:highlight w:val="none"/>
              </w:rPr>
              <w:t>%+技术标得分</w:t>
            </w:r>
            <w:r>
              <w:rPr>
                <w:color w:val="auto"/>
                <w:szCs w:val="21"/>
                <w:highlight w:val="none"/>
              </w:rPr>
              <w:t>×</w:t>
            </w:r>
            <w:r>
              <w:rPr>
                <w:color w:val="auto"/>
                <w:highlight w:val="none"/>
              </w:rPr>
              <w:t>技术标权重</w:t>
            </w:r>
            <w:r>
              <w:rPr>
                <w:color w:val="auto"/>
                <w:highlight w:val="none"/>
                <w:u w:val="single"/>
              </w:rPr>
              <w:t xml:space="preserve">  </w:t>
            </w:r>
            <w:r>
              <w:rPr>
                <w:rFonts w:hint="eastAsia"/>
                <w:color w:val="auto"/>
                <w:highlight w:val="none"/>
                <w:u w:val="single"/>
                <w:lang w:val="en-US" w:eastAsia="zh-CN"/>
              </w:rPr>
              <w:t>15</w:t>
            </w:r>
            <w:r>
              <w:rPr>
                <w:color w:val="auto"/>
                <w:highlight w:val="none"/>
                <w:u w:val="single"/>
              </w:rPr>
              <w:t xml:space="preserve">  </w:t>
            </w:r>
            <w:r>
              <w:rPr>
                <w:color w:val="auto"/>
                <w:highlight w:val="none"/>
              </w:rPr>
              <w:t>%+设计团队得分</w:t>
            </w:r>
            <w:r>
              <w:rPr>
                <w:color w:val="auto"/>
                <w:szCs w:val="21"/>
                <w:highlight w:val="none"/>
              </w:rPr>
              <w:t>×</w:t>
            </w:r>
            <w:r>
              <w:rPr>
                <w:color w:val="auto"/>
                <w:highlight w:val="none"/>
              </w:rPr>
              <w:t xml:space="preserve">设计团队权重 </w:t>
            </w:r>
            <w:r>
              <w:rPr>
                <w:color w:val="auto"/>
                <w:highlight w:val="none"/>
                <w:u w:val="single"/>
              </w:rPr>
              <w:t xml:space="preserve">  </w:t>
            </w:r>
            <w:r>
              <w:rPr>
                <w:rFonts w:hint="eastAsia"/>
                <w:color w:val="auto"/>
                <w:highlight w:val="none"/>
                <w:u w:val="single"/>
                <w:lang w:val="en-US" w:eastAsia="zh-CN"/>
              </w:rPr>
              <w:t>55</w:t>
            </w:r>
            <w:r>
              <w:rPr>
                <w:color w:val="auto"/>
                <w:highlight w:val="none"/>
                <w:u w:val="single"/>
              </w:rPr>
              <w:t xml:space="preserve">   </w:t>
            </w:r>
            <w:r>
              <w:rPr>
                <w:color w:val="auto"/>
                <w:highlight w:val="none"/>
              </w:rPr>
              <w:t>%+企业信誉实力得分</w:t>
            </w:r>
            <w:r>
              <w:rPr>
                <w:color w:val="auto"/>
                <w:szCs w:val="21"/>
                <w:highlight w:val="none"/>
              </w:rPr>
              <w:t>×</w:t>
            </w:r>
            <w:r>
              <w:rPr>
                <w:color w:val="auto"/>
                <w:highlight w:val="none"/>
              </w:rPr>
              <w:t>企业信誉得分权重10 %</w:t>
            </w:r>
          </w:p>
          <w:p w14:paraId="6D02DB13">
            <w:pPr>
              <w:keepNext w:val="0"/>
              <w:keepLines/>
              <w:pageBreakBefore w:val="0"/>
              <w:widowControl w:val="0"/>
              <w:kinsoku/>
              <w:wordWrap/>
              <w:overflowPunct w:val="0"/>
              <w:topLinePunct w:val="0"/>
              <w:autoSpaceDE/>
              <w:autoSpaceDN/>
              <w:bidi w:val="0"/>
              <w:adjustRightInd/>
              <w:snapToGrid/>
              <w:spacing w:line="360" w:lineRule="auto"/>
              <w:textAlignment w:val="auto"/>
              <w:rPr>
                <w:color w:val="auto"/>
                <w:highlight w:val="none"/>
              </w:rPr>
            </w:pPr>
            <w:r>
              <w:rPr>
                <w:rFonts w:eastAsia="楷体"/>
                <w:b/>
                <w:color w:val="auto"/>
                <w:szCs w:val="21"/>
                <w:highlight w:val="none"/>
              </w:rPr>
              <w:t>【备注：有小微企业、残疾人、监狱企业加分时为最终得分的商务标得分】</w:t>
            </w:r>
          </w:p>
        </w:tc>
      </w:tr>
      <w:tr w14:paraId="3E27CB6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11" w:hRule="exact"/>
        </w:trPr>
        <w:tc>
          <w:tcPr>
            <w:tcW w:w="2201" w:type="dxa"/>
            <w:gridSpan w:val="3"/>
            <w:tcBorders>
              <w:top w:val="single" w:color="000000" w:sz="6" w:space="0"/>
              <w:bottom w:val="single" w:color="000000" w:sz="6" w:space="0"/>
              <w:right w:val="single" w:color="000000" w:sz="6" w:space="0"/>
            </w:tcBorders>
            <w:noWrap w:val="0"/>
            <w:tcMar>
              <w:left w:w="0" w:type="dxa"/>
              <w:right w:w="0" w:type="dxa"/>
            </w:tcMar>
            <w:vAlign w:val="center"/>
          </w:tcPr>
          <w:p w14:paraId="261488ED">
            <w:pPr>
              <w:keepNext w:val="0"/>
              <w:keepLines/>
              <w:pageBreakBefore w:val="0"/>
              <w:widowControl w:val="0"/>
              <w:kinsoku/>
              <w:wordWrap/>
              <w:overflowPunct w:val="0"/>
              <w:topLinePunct w:val="0"/>
              <w:autoSpaceDE/>
              <w:autoSpaceDN/>
              <w:bidi w:val="0"/>
              <w:adjustRightInd/>
              <w:snapToGrid/>
              <w:spacing w:line="360" w:lineRule="auto"/>
              <w:ind w:left="142"/>
              <w:jc w:val="center"/>
              <w:textAlignment w:val="auto"/>
              <w:rPr>
                <w:color w:val="auto"/>
                <w:spacing w:val="-7"/>
                <w:highlight w:val="none"/>
              </w:rPr>
            </w:pPr>
            <w:r>
              <w:rPr>
                <w:color w:val="auto"/>
                <w:spacing w:val="-7"/>
                <w:highlight w:val="none"/>
              </w:rPr>
              <w:t>3</w:t>
            </w: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DC6CA0C">
            <w:pPr>
              <w:keepNext w:val="0"/>
              <w:keepLines/>
              <w:pageBreakBefore w:val="0"/>
              <w:widowControl w:val="0"/>
              <w:kinsoku/>
              <w:wordWrap/>
              <w:overflowPunct w:val="0"/>
              <w:topLinePunct w:val="0"/>
              <w:autoSpaceDE/>
              <w:autoSpaceDN/>
              <w:bidi w:val="0"/>
              <w:adjustRightInd/>
              <w:snapToGrid/>
              <w:spacing w:line="360" w:lineRule="auto"/>
              <w:ind w:left="142"/>
              <w:jc w:val="center"/>
              <w:textAlignment w:val="auto"/>
              <w:rPr>
                <w:color w:val="auto"/>
                <w:spacing w:val="-7"/>
                <w:highlight w:val="none"/>
              </w:rPr>
            </w:pPr>
            <w:r>
              <w:rPr>
                <w:color w:val="auto"/>
                <w:spacing w:val="-7"/>
                <w:highlight w:val="none"/>
              </w:rPr>
              <w:t>评标程序</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1B60520D">
            <w:pPr>
              <w:keepNext w:val="0"/>
              <w:keepLines/>
              <w:pageBreakBefore w:val="0"/>
              <w:widowControl w:val="0"/>
              <w:kinsoku/>
              <w:wordWrap/>
              <w:overflowPunct w:val="0"/>
              <w:topLinePunct w:val="0"/>
              <w:autoSpaceDE/>
              <w:autoSpaceDN/>
              <w:bidi w:val="0"/>
              <w:adjustRightInd/>
              <w:snapToGrid/>
              <w:spacing w:line="360" w:lineRule="auto"/>
              <w:ind w:firstLine="416" w:firstLineChars="200"/>
              <w:textAlignment w:val="auto"/>
              <w:rPr>
                <w:color w:val="auto"/>
                <w:spacing w:val="-1"/>
                <w:highlight w:val="none"/>
              </w:rPr>
            </w:pPr>
            <w:r>
              <w:rPr>
                <w:color w:val="auto"/>
                <w:spacing w:val="-1"/>
                <w:highlight w:val="none"/>
              </w:rPr>
              <w:t>详见本章附件A：评标详细程序</w:t>
            </w:r>
          </w:p>
        </w:tc>
      </w:tr>
      <w:tr w14:paraId="35788B0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5" w:hRule="exact"/>
        </w:trPr>
        <w:tc>
          <w:tcPr>
            <w:tcW w:w="2201" w:type="dxa"/>
            <w:gridSpan w:val="3"/>
            <w:tcBorders>
              <w:top w:val="single" w:color="000000" w:sz="6" w:space="0"/>
              <w:bottom w:val="single" w:color="000000" w:sz="6" w:space="0"/>
              <w:right w:val="single" w:color="000000" w:sz="6" w:space="0"/>
            </w:tcBorders>
            <w:noWrap w:val="0"/>
            <w:tcMar>
              <w:left w:w="0" w:type="dxa"/>
              <w:right w:w="0" w:type="dxa"/>
            </w:tcMar>
            <w:vAlign w:val="center"/>
          </w:tcPr>
          <w:p w14:paraId="14BD0D6E">
            <w:pPr>
              <w:keepNext w:val="0"/>
              <w:keepLines/>
              <w:pageBreakBefore w:val="0"/>
              <w:widowControl w:val="0"/>
              <w:kinsoku/>
              <w:wordWrap/>
              <w:overflowPunct w:val="0"/>
              <w:topLinePunct w:val="0"/>
              <w:autoSpaceDE/>
              <w:autoSpaceDN/>
              <w:bidi w:val="0"/>
              <w:adjustRightInd/>
              <w:snapToGrid/>
              <w:spacing w:line="360" w:lineRule="auto"/>
              <w:ind w:left="142"/>
              <w:jc w:val="center"/>
              <w:textAlignment w:val="auto"/>
              <w:rPr>
                <w:color w:val="auto"/>
                <w:spacing w:val="-7"/>
                <w:highlight w:val="none"/>
              </w:rPr>
            </w:pPr>
            <w:r>
              <w:rPr>
                <w:color w:val="auto"/>
                <w:spacing w:val="-7"/>
                <w:highlight w:val="none"/>
              </w:rPr>
              <w:t>3.1.2</w:t>
            </w:r>
          </w:p>
        </w:tc>
        <w:tc>
          <w:tcPr>
            <w:tcW w:w="1972"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ACD346C">
            <w:pPr>
              <w:keepNext w:val="0"/>
              <w:keepLines/>
              <w:pageBreakBefore w:val="0"/>
              <w:widowControl w:val="0"/>
              <w:kinsoku/>
              <w:wordWrap/>
              <w:overflowPunct w:val="0"/>
              <w:topLinePunct w:val="0"/>
              <w:autoSpaceDE/>
              <w:autoSpaceDN/>
              <w:bidi w:val="0"/>
              <w:adjustRightInd/>
              <w:snapToGrid/>
              <w:spacing w:line="360" w:lineRule="auto"/>
              <w:ind w:left="142"/>
              <w:jc w:val="center"/>
              <w:textAlignment w:val="auto"/>
              <w:rPr>
                <w:color w:val="auto"/>
                <w:spacing w:val="-7"/>
                <w:highlight w:val="none"/>
              </w:rPr>
            </w:pPr>
            <w:r>
              <w:rPr>
                <w:color w:val="auto"/>
                <w:spacing w:val="-7"/>
                <w:highlight w:val="none"/>
              </w:rPr>
              <w:t>否决投标条件</w:t>
            </w:r>
          </w:p>
        </w:tc>
        <w:tc>
          <w:tcPr>
            <w:tcW w:w="5008" w:type="dxa"/>
            <w:tcBorders>
              <w:top w:val="single" w:color="000000" w:sz="6" w:space="0"/>
              <w:left w:val="single" w:color="000000" w:sz="6" w:space="0"/>
              <w:bottom w:val="single" w:color="000000" w:sz="6" w:space="0"/>
            </w:tcBorders>
            <w:noWrap w:val="0"/>
            <w:tcMar>
              <w:left w:w="0" w:type="dxa"/>
              <w:right w:w="0" w:type="dxa"/>
            </w:tcMar>
            <w:vAlign w:val="center"/>
          </w:tcPr>
          <w:p w14:paraId="1F7255F9">
            <w:pPr>
              <w:keepNext w:val="0"/>
              <w:keepLines/>
              <w:pageBreakBefore w:val="0"/>
              <w:widowControl w:val="0"/>
              <w:kinsoku/>
              <w:wordWrap/>
              <w:overflowPunct w:val="0"/>
              <w:topLinePunct w:val="0"/>
              <w:autoSpaceDE/>
              <w:autoSpaceDN/>
              <w:bidi w:val="0"/>
              <w:adjustRightInd/>
              <w:snapToGrid/>
              <w:spacing w:line="360" w:lineRule="auto"/>
              <w:ind w:firstLine="416" w:firstLineChars="200"/>
              <w:textAlignment w:val="auto"/>
              <w:rPr>
                <w:color w:val="auto"/>
                <w:spacing w:val="-1"/>
                <w:highlight w:val="none"/>
              </w:rPr>
            </w:pPr>
            <w:r>
              <w:rPr>
                <w:color w:val="auto"/>
                <w:spacing w:val="-1"/>
                <w:highlight w:val="none"/>
              </w:rPr>
              <w:t>详见本章附件B：否决投标条件</w:t>
            </w:r>
          </w:p>
        </w:tc>
      </w:tr>
      <w:tr w14:paraId="7D82AAB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05" w:hRule="exact"/>
        </w:trPr>
        <w:tc>
          <w:tcPr>
            <w:tcW w:w="2201" w:type="dxa"/>
            <w:gridSpan w:val="3"/>
            <w:tcBorders>
              <w:top w:val="single" w:color="000000" w:sz="6" w:space="0"/>
              <w:right w:val="single" w:color="000000" w:sz="6" w:space="0"/>
            </w:tcBorders>
            <w:noWrap w:val="0"/>
            <w:tcMar>
              <w:left w:w="0" w:type="dxa"/>
              <w:right w:w="0" w:type="dxa"/>
            </w:tcMar>
            <w:vAlign w:val="center"/>
          </w:tcPr>
          <w:p w14:paraId="39011255">
            <w:pPr>
              <w:keepNext w:val="0"/>
              <w:keepLines/>
              <w:pageBreakBefore w:val="0"/>
              <w:widowControl w:val="0"/>
              <w:kinsoku/>
              <w:wordWrap/>
              <w:overflowPunct w:val="0"/>
              <w:topLinePunct w:val="0"/>
              <w:autoSpaceDE/>
              <w:autoSpaceDN/>
              <w:bidi w:val="0"/>
              <w:adjustRightInd/>
              <w:snapToGrid/>
              <w:spacing w:line="360" w:lineRule="auto"/>
              <w:ind w:left="142"/>
              <w:jc w:val="center"/>
              <w:textAlignment w:val="auto"/>
              <w:rPr>
                <w:color w:val="auto"/>
                <w:spacing w:val="-7"/>
                <w:highlight w:val="none"/>
              </w:rPr>
            </w:pPr>
            <w:r>
              <w:rPr>
                <w:color w:val="auto"/>
                <w:spacing w:val="-7"/>
                <w:highlight w:val="none"/>
              </w:rPr>
              <w:t>3.5</w:t>
            </w:r>
          </w:p>
        </w:tc>
        <w:tc>
          <w:tcPr>
            <w:tcW w:w="1972" w:type="dxa"/>
            <w:tcBorders>
              <w:top w:val="single" w:color="000000" w:sz="6" w:space="0"/>
              <w:left w:val="single" w:color="000000" w:sz="6" w:space="0"/>
              <w:right w:val="single" w:color="000000" w:sz="6" w:space="0"/>
            </w:tcBorders>
            <w:noWrap w:val="0"/>
            <w:tcMar>
              <w:left w:w="0" w:type="dxa"/>
              <w:right w:w="0" w:type="dxa"/>
            </w:tcMar>
            <w:vAlign w:val="center"/>
          </w:tcPr>
          <w:p w14:paraId="67FB0C6C">
            <w:pPr>
              <w:keepNext w:val="0"/>
              <w:keepLines/>
              <w:pageBreakBefore w:val="0"/>
              <w:widowControl w:val="0"/>
              <w:kinsoku/>
              <w:wordWrap/>
              <w:overflowPunct w:val="0"/>
              <w:topLinePunct w:val="0"/>
              <w:autoSpaceDE/>
              <w:autoSpaceDN/>
              <w:bidi w:val="0"/>
              <w:adjustRightInd/>
              <w:snapToGrid/>
              <w:spacing w:line="360" w:lineRule="auto"/>
              <w:ind w:left="142"/>
              <w:jc w:val="center"/>
              <w:textAlignment w:val="auto"/>
              <w:rPr>
                <w:color w:val="auto"/>
                <w:spacing w:val="-7"/>
                <w:highlight w:val="none"/>
              </w:rPr>
            </w:pPr>
            <w:r>
              <w:rPr>
                <w:color w:val="auto"/>
                <w:spacing w:val="-7"/>
                <w:highlight w:val="none"/>
              </w:rPr>
              <w:t>其他评审要求</w:t>
            </w:r>
          </w:p>
        </w:tc>
        <w:tc>
          <w:tcPr>
            <w:tcW w:w="5008" w:type="dxa"/>
            <w:tcBorders>
              <w:top w:val="single" w:color="000000" w:sz="6" w:space="0"/>
              <w:left w:val="single" w:color="000000" w:sz="6" w:space="0"/>
            </w:tcBorders>
            <w:noWrap w:val="0"/>
            <w:tcMar>
              <w:left w:w="0" w:type="dxa"/>
              <w:right w:w="0" w:type="dxa"/>
            </w:tcMar>
            <w:vAlign w:val="center"/>
          </w:tcPr>
          <w:p w14:paraId="26D9794E">
            <w:pPr>
              <w:keepNext w:val="0"/>
              <w:keepLines/>
              <w:pageBreakBefore w:val="0"/>
              <w:widowControl w:val="0"/>
              <w:kinsoku/>
              <w:wordWrap/>
              <w:overflowPunct w:val="0"/>
              <w:topLinePunct w:val="0"/>
              <w:autoSpaceDE/>
              <w:autoSpaceDN/>
              <w:bidi w:val="0"/>
              <w:adjustRightInd/>
              <w:snapToGrid/>
              <w:spacing w:line="360" w:lineRule="auto"/>
              <w:ind w:firstLine="416" w:firstLineChars="200"/>
              <w:textAlignment w:val="auto"/>
              <w:rPr>
                <w:color w:val="auto"/>
                <w:spacing w:val="-1"/>
                <w:highlight w:val="none"/>
              </w:rPr>
            </w:pPr>
            <w:r>
              <w:rPr>
                <w:color w:val="auto"/>
                <w:spacing w:val="-1"/>
                <w:highlight w:val="none"/>
              </w:rPr>
              <w:t>详见本章附件A：评标详细程序</w:t>
            </w:r>
          </w:p>
        </w:tc>
      </w:tr>
    </w:tbl>
    <w:p w14:paraId="60522390">
      <w:pPr>
        <w:rPr>
          <w:color w:val="auto"/>
          <w:highlight w:val="none"/>
        </w:rPr>
      </w:pPr>
    </w:p>
    <w:p w14:paraId="726099F3">
      <w:pPr>
        <w:ind w:firstLine="211" w:firstLineChars="100"/>
        <w:rPr>
          <w:rFonts w:hint="eastAsia" w:ascii="楷体" w:hAnsi="楷体" w:eastAsia="楷体" w:cs="宋体"/>
          <w:b/>
          <w:color w:val="auto"/>
          <w:highlight w:val="none"/>
        </w:rPr>
      </w:pPr>
      <w:r>
        <w:rPr>
          <w:rFonts w:ascii="楷体" w:hAnsi="楷体" w:eastAsia="楷体"/>
          <w:b/>
          <w:color w:val="auto"/>
          <w:highlight w:val="none"/>
        </w:rPr>
        <w:t>备注</w:t>
      </w:r>
      <w:r>
        <w:rPr>
          <w:rFonts w:hint="eastAsia" w:ascii="楷体" w:hAnsi="楷体" w:eastAsia="楷体"/>
          <w:b/>
          <w:color w:val="auto"/>
          <w:highlight w:val="none"/>
        </w:rPr>
        <w:t>：</w:t>
      </w:r>
      <w:r>
        <w:rPr>
          <w:rFonts w:hint="eastAsia" w:ascii="楷体" w:hAnsi="楷体" w:eastAsia="楷体" w:cs="宋体"/>
          <w:b/>
          <w:color w:val="auto"/>
          <w:highlight w:val="none"/>
        </w:rPr>
        <w:t>人员资格岗位、职称、业绩、奖项等</w:t>
      </w:r>
      <w:r>
        <w:rPr>
          <w:rFonts w:hint="eastAsia" w:ascii="楷体" w:hAnsi="楷体" w:eastAsia="楷体"/>
          <w:b/>
          <w:color w:val="auto"/>
          <w:highlight w:val="none"/>
        </w:rPr>
        <w:t>信息评分需以“桂</w:t>
      </w:r>
      <w:r>
        <w:rPr>
          <w:rFonts w:ascii="楷体" w:hAnsi="楷体" w:eastAsia="楷体"/>
          <w:b/>
          <w:color w:val="auto"/>
          <w:highlight w:val="none"/>
        </w:rPr>
        <w:t>建云</w:t>
      </w:r>
      <w:r>
        <w:rPr>
          <w:rFonts w:hint="eastAsia" w:ascii="楷体" w:hAnsi="楷体" w:eastAsia="楷体"/>
          <w:b/>
          <w:color w:val="auto"/>
          <w:highlight w:val="none"/>
        </w:rPr>
        <w:t>”录</w:t>
      </w:r>
      <w:r>
        <w:rPr>
          <w:rFonts w:ascii="楷体" w:hAnsi="楷体" w:eastAsia="楷体"/>
          <w:b/>
          <w:color w:val="auto"/>
          <w:highlight w:val="none"/>
        </w:rPr>
        <w:t>入的为准</w:t>
      </w:r>
      <w:r>
        <w:rPr>
          <w:rFonts w:hint="eastAsia" w:ascii="楷体" w:hAnsi="楷体" w:eastAsia="楷体"/>
          <w:b/>
          <w:color w:val="auto"/>
          <w:highlight w:val="none"/>
        </w:rPr>
        <w:t>，否</w:t>
      </w:r>
      <w:r>
        <w:rPr>
          <w:rFonts w:ascii="楷体" w:hAnsi="楷体" w:eastAsia="楷体"/>
          <w:b/>
          <w:color w:val="auto"/>
          <w:highlight w:val="none"/>
        </w:rPr>
        <w:t>则</w:t>
      </w:r>
      <w:r>
        <w:rPr>
          <w:rFonts w:hint="eastAsia" w:ascii="楷体" w:hAnsi="楷体" w:eastAsia="楷体" w:cs="宋体"/>
          <w:b/>
          <w:color w:val="auto"/>
          <w:highlight w:val="none"/>
        </w:rPr>
        <w:t>在评审时不予承认</w:t>
      </w:r>
      <w:r>
        <w:rPr>
          <w:rFonts w:ascii="楷体" w:hAnsi="楷体" w:eastAsia="楷体" w:cs="宋体"/>
          <w:b/>
          <w:color w:val="auto"/>
          <w:highlight w:val="none"/>
        </w:rPr>
        <w:t>。</w:t>
      </w:r>
    </w:p>
    <w:p w14:paraId="6E50B38E">
      <w:pPr>
        <w:ind w:firstLine="211" w:firstLineChars="100"/>
        <w:rPr>
          <w:rFonts w:hint="eastAsia" w:ascii="楷体" w:hAnsi="楷体" w:eastAsia="楷体" w:cs="宋体"/>
          <w:b/>
          <w:color w:val="auto"/>
          <w:highlight w:val="none"/>
        </w:rPr>
      </w:pPr>
    </w:p>
    <w:p w14:paraId="3272A857">
      <w:pPr>
        <w:ind w:firstLine="211" w:firstLineChars="100"/>
        <w:rPr>
          <w:rFonts w:hint="eastAsia" w:ascii="楷体" w:hAnsi="楷体" w:eastAsia="楷体" w:cs="宋体"/>
          <w:b/>
          <w:color w:val="auto"/>
          <w:highlight w:val="none"/>
        </w:rPr>
      </w:pPr>
    </w:p>
    <w:p w14:paraId="532C7BBC">
      <w:pPr>
        <w:ind w:firstLine="211" w:firstLineChars="100"/>
        <w:rPr>
          <w:rFonts w:hint="eastAsia" w:ascii="楷体" w:hAnsi="楷体" w:eastAsia="楷体" w:cs="宋体"/>
          <w:b/>
          <w:color w:val="auto"/>
          <w:highlight w:val="none"/>
        </w:rPr>
      </w:pPr>
    </w:p>
    <w:p w14:paraId="5D24BD82">
      <w:pPr>
        <w:ind w:firstLine="211" w:firstLineChars="100"/>
        <w:rPr>
          <w:rFonts w:hint="eastAsia" w:ascii="楷体" w:hAnsi="楷体" w:eastAsia="楷体" w:cs="宋体"/>
          <w:b/>
          <w:color w:val="auto"/>
          <w:highlight w:val="none"/>
        </w:rPr>
      </w:pPr>
    </w:p>
    <w:p w14:paraId="742683F4">
      <w:pPr>
        <w:ind w:firstLine="211" w:firstLineChars="100"/>
        <w:rPr>
          <w:rFonts w:hint="eastAsia" w:ascii="楷体" w:hAnsi="楷体" w:eastAsia="楷体" w:cs="宋体"/>
          <w:b/>
          <w:color w:val="auto"/>
          <w:highlight w:val="none"/>
        </w:rPr>
      </w:pPr>
    </w:p>
    <w:p w14:paraId="728E3DD1">
      <w:pPr>
        <w:ind w:firstLine="211" w:firstLineChars="100"/>
        <w:rPr>
          <w:rFonts w:hint="eastAsia" w:ascii="楷体" w:hAnsi="楷体" w:eastAsia="楷体" w:cs="宋体"/>
          <w:b/>
          <w:color w:val="auto"/>
          <w:highlight w:val="none"/>
        </w:rPr>
      </w:pPr>
    </w:p>
    <w:p w14:paraId="7816715C">
      <w:pPr>
        <w:ind w:firstLine="211" w:firstLineChars="100"/>
        <w:rPr>
          <w:rFonts w:hint="eastAsia" w:ascii="楷体" w:hAnsi="楷体" w:eastAsia="楷体" w:cs="宋体"/>
          <w:b/>
          <w:color w:val="auto"/>
          <w:highlight w:val="none"/>
        </w:rPr>
      </w:pPr>
    </w:p>
    <w:p w14:paraId="04FB2E8A">
      <w:pPr>
        <w:ind w:firstLine="211" w:firstLineChars="100"/>
        <w:rPr>
          <w:rFonts w:hint="eastAsia" w:ascii="楷体" w:hAnsi="楷体" w:eastAsia="楷体" w:cs="宋体"/>
          <w:b/>
          <w:color w:val="auto"/>
          <w:highlight w:val="none"/>
        </w:rPr>
      </w:pPr>
    </w:p>
    <w:p w14:paraId="3FF0094F">
      <w:pPr>
        <w:ind w:firstLine="211" w:firstLineChars="100"/>
        <w:rPr>
          <w:rFonts w:hint="eastAsia" w:ascii="楷体" w:hAnsi="楷体" w:eastAsia="楷体" w:cs="宋体"/>
          <w:b/>
          <w:color w:val="auto"/>
          <w:highlight w:val="none"/>
        </w:rPr>
      </w:pPr>
    </w:p>
    <w:p w14:paraId="198A3E66">
      <w:pPr>
        <w:ind w:firstLine="211" w:firstLineChars="100"/>
        <w:rPr>
          <w:rFonts w:hint="eastAsia" w:ascii="楷体" w:hAnsi="楷体" w:eastAsia="楷体" w:cs="宋体"/>
          <w:b/>
          <w:color w:val="auto"/>
          <w:highlight w:val="none"/>
        </w:rPr>
      </w:pPr>
    </w:p>
    <w:p w14:paraId="7E0E00BF">
      <w:pPr>
        <w:ind w:firstLine="211" w:firstLineChars="100"/>
        <w:rPr>
          <w:rFonts w:hint="eastAsia" w:ascii="楷体" w:hAnsi="楷体" w:eastAsia="楷体" w:cs="宋体"/>
          <w:b/>
          <w:color w:val="auto"/>
          <w:highlight w:val="none"/>
        </w:rPr>
      </w:pPr>
    </w:p>
    <w:p w14:paraId="27D3AE45">
      <w:pPr>
        <w:ind w:firstLine="211" w:firstLineChars="100"/>
        <w:rPr>
          <w:rFonts w:hint="eastAsia" w:ascii="楷体" w:hAnsi="楷体" w:eastAsia="楷体" w:cs="宋体"/>
          <w:b/>
          <w:color w:val="auto"/>
          <w:highlight w:val="none"/>
        </w:rPr>
      </w:pPr>
    </w:p>
    <w:p w14:paraId="094212F7">
      <w:pPr>
        <w:ind w:firstLine="211" w:firstLineChars="100"/>
        <w:rPr>
          <w:rFonts w:hint="eastAsia" w:ascii="楷体" w:hAnsi="楷体" w:eastAsia="楷体" w:cs="宋体"/>
          <w:b/>
          <w:color w:val="auto"/>
          <w:highlight w:val="none"/>
        </w:rPr>
      </w:pPr>
    </w:p>
    <w:p w14:paraId="130486B9">
      <w:pPr>
        <w:ind w:firstLine="211" w:firstLineChars="100"/>
        <w:rPr>
          <w:rFonts w:hint="eastAsia" w:ascii="楷体" w:hAnsi="楷体" w:eastAsia="楷体" w:cs="宋体"/>
          <w:b/>
          <w:color w:val="auto"/>
          <w:highlight w:val="none"/>
        </w:rPr>
      </w:pPr>
    </w:p>
    <w:p w14:paraId="65A90CD3">
      <w:pPr>
        <w:ind w:firstLine="211" w:firstLineChars="100"/>
        <w:rPr>
          <w:rFonts w:hint="eastAsia" w:ascii="楷体" w:hAnsi="楷体" w:eastAsia="楷体" w:cs="宋体"/>
          <w:b/>
          <w:color w:val="auto"/>
          <w:highlight w:val="none"/>
        </w:rPr>
      </w:pPr>
    </w:p>
    <w:p w14:paraId="1D114523">
      <w:pPr>
        <w:ind w:firstLine="211" w:firstLineChars="100"/>
        <w:rPr>
          <w:rFonts w:hint="eastAsia" w:ascii="楷体" w:hAnsi="楷体" w:eastAsia="楷体" w:cs="宋体"/>
          <w:b/>
          <w:color w:val="auto"/>
          <w:highlight w:val="none"/>
        </w:rPr>
      </w:pPr>
    </w:p>
    <w:p w14:paraId="493AC2C7">
      <w:pPr>
        <w:ind w:firstLine="211" w:firstLineChars="100"/>
        <w:rPr>
          <w:rFonts w:hint="eastAsia" w:ascii="楷体" w:hAnsi="楷体" w:eastAsia="楷体" w:cs="宋体"/>
          <w:b/>
          <w:color w:val="auto"/>
          <w:highlight w:val="none"/>
        </w:rPr>
      </w:pPr>
    </w:p>
    <w:p w14:paraId="32C2FABC">
      <w:pPr>
        <w:ind w:firstLine="211" w:firstLineChars="100"/>
        <w:rPr>
          <w:rFonts w:hint="eastAsia" w:ascii="楷体" w:hAnsi="楷体" w:eastAsia="楷体" w:cs="宋体"/>
          <w:b/>
          <w:color w:val="auto"/>
          <w:highlight w:val="none"/>
        </w:rPr>
      </w:pPr>
    </w:p>
    <w:p w14:paraId="4B2D4654">
      <w:pPr>
        <w:ind w:firstLine="211" w:firstLineChars="100"/>
        <w:rPr>
          <w:rFonts w:hint="eastAsia" w:ascii="楷体" w:hAnsi="楷体" w:eastAsia="楷体" w:cs="宋体"/>
          <w:b/>
          <w:color w:val="auto"/>
          <w:highlight w:val="none"/>
        </w:rPr>
      </w:pPr>
    </w:p>
    <w:p w14:paraId="75D03274">
      <w:pPr>
        <w:ind w:firstLine="211" w:firstLineChars="100"/>
        <w:rPr>
          <w:rFonts w:hint="eastAsia" w:ascii="楷体" w:hAnsi="楷体" w:eastAsia="楷体" w:cs="宋体"/>
          <w:b/>
          <w:color w:val="auto"/>
          <w:highlight w:val="none"/>
        </w:rPr>
      </w:pPr>
    </w:p>
    <w:p w14:paraId="31771D6B">
      <w:pPr>
        <w:ind w:firstLine="211" w:firstLineChars="100"/>
        <w:rPr>
          <w:rFonts w:hint="eastAsia" w:ascii="楷体" w:hAnsi="楷体" w:eastAsia="楷体" w:cs="宋体"/>
          <w:b/>
          <w:color w:val="auto"/>
          <w:highlight w:val="none"/>
        </w:rPr>
      </w:pPr>
    </w:p>
    <w:p w14:paraId="67061517">
      <w:pPr>
        <w:ind w:firstLine="211" w:firstLineChars="100"/>
        <w:rPr>
          <w:rFonts w:hint="eastAsia" w:ascii="楷体" w:hAnsi="楷体" w:eastAsia="楷体" w:cs="宋体"/>
          <w:b/>
          <w:color w:val="auto"/>
          <w:highlight w:val="none"/>
        </w:rPr>
      </w:pPr>
    </w:p>
    <w:p w14:paraId="359B1EC1">
      <w:pPr>
        <w:ind w:firstLine="211" w:firstLineChars="100"/>
        <w:rPr>
          <w:rFonts w:hint="eastAsia" w:ascii="楷体" w:hAnsi="楷体" w:eastAsia="楷体" w:cs="宋体"/>
          <w:b/>
          <w:color w:val="auto"/>
          <w:highlight w:val="none"/>
        </w:rPr>
      </w:pPr>
    </w:p>
    <w:p w14:paraId="17D79B7B">
      <w:pPr>
        <w:ind w:firstLine="211" w:firstLineChars="100"/>
        <w:rPr>
          <w:rFonts w:hint="eastAsia" w:ascii="楷体" w:hAnsi="楷体" w:eastAsia="楷体" w:cs="宋体"/>
          <w:b/>
          <w:color w:val="auto"/>
          <w:highlight w:val="none"/>
        </w:rPr>
      </w:pPr>
    </w:p>
    <w:p w14:paraId="57E4C5BC">
      <w:pPr>
        <w:ind w:firstLine="211" w:firstLineChars="100"/>
        <w:rPr>
          <w:rFonts w:hint="eastAsia" w:ascii="楷体" w:hAnsi="楷体" w:eastAsia="楷体" w:cs="宋体"/>
          <w:b/>
          <w:color w:val="auto"/>
          <w:highlight w:val="none"/>
        </w:rPr>
      </w:pPr>
    </w:p>
    <w:p w14:paraId="00A52153">
      <w:pPr>
        <w:ind w:firstLine="211" w:firstLineChars="100"/>
        <w:rPr>
          <w:rFonts w:hint="eastAsia" w:ascii="楷体" w:hAnsi="楷体" w:eastAsia="楷体" w:cs="宋体"/>
          <w:b/>
          <w:color w:val="auto"/>
          <w:highlight w:val="none"/>
        </w:rPr>
      </w:pPr>
    </w:p>
    <w:p w14:paraId="38F8426C">
      <w:pPr>
        <w:ind w:firstLine="211" w:firstLineChars="100"/>
        <w:rPr>
          <w:rFonts w:hint="eastAsia" w:ascii="楷体" w:hAnsi="楷体" w:eastAsia="楷体" w:cs="宋体"/>
          <w:b/>
          <w:color w:val="auto"/>
          <w:highlight w:val="none"/>
        </w:rPr>
      </w:pPr>
    </w:p>
    <w:p w14:paraId="6BEA1982">
      <w:pPr>
        <w:ind w:firstLine="211" w:firstLineChars="100"/>
        <w:rPr>
          <w:rFonts w:hint="eastAsia" w:ascii="楷体" w:hAnsi="楷体" w:eastAsia="楷体" w:cs="宋体"/>
          <w:b/>
          <w:color w:val="auto"/>
          <w:highlight w:val="none"/>
        </w:rPr>
      </w:pPr>
    </w:p>
    <w:p w14:paraId="632134A8">
      <w:pPr>
        <w:ind w:firstLine="211" w:firstLineChars="100"/>
        <w:rPr>
          <w:rFonts w:hint="eastAsia" w:ascii="楷体" w:hAnsi="楷体" w:eastAsia="楷体" w:cs="宋体"/>
          <w:b/>
          <w:color w:val="auto"/>
          <w:highlight w:val="none"/>
        </w:rPr>
      </w:pPr>
    </w:p>
    <w:p w14:paraId="75A85F8A">
      <w:pPr>
        <w:ind w:firstLine="211" w:firstLineChars="100"/>
        <w:rPr>
          <w:rFonts w:hint="eastAsia" w:ascii="楷体" w:hAnsi="楷体" w:eastAsia="楷体" w:cs="宋体"/>
          <w:b/>
          <w:color w:val="auto"/>
          <w:highlight w:val="none"/>
        </w:rPr>
      </w:pPr>
    </w:p>
    <w:p w14:paraId="5871D44F">
      <w:pPr>
        <w:ind w:firstLine="211" w:firstLineChars="100"/>
        <w:rPr>
          <w:rFonts w:hint="eastAsia" w:ascii="楷体" w:hAnsi="楷体" w:eastAsia="楷体" w:cs="宋体"/>
          <w:b/>
          <w:color w:val="auto"/>
          <w:highlight w:val="none"/>
        </w:rPr>
      </w:pPr>
    </w:p>
    <w:p w14:paraId="67C388FC">
      <w:pPr>
        <w:pStyle w:val="2"/>
        <w:rPr>
          <w:color w:val="auto"/>
          <w:highlight w:val="none"/>
        </w:rPr>
      </w:pPr>
      <w:bookmarkStart w:id="97" w:name="_Toc1683725666"/>
      <w:bookmarkStart w:id="98" w:name="_Toc10243"/>
      <w:r>
        <w:rPr>
          <w:color w:val="auto"/>
          <w:highlight w:val="none"/>
        </w:rPr>
        <w:t>评标办法综合评估法（</w:t>
      </w:r>
      <w:r>
        <w:rPr>
          <w:rFonts w:hint="eastAsia"/>
          <w:color w:val="auto"/>
          <w:highlight w:val="none"/>
        </w:rPr>
        <w:t>设计团队招标</w:t>
      </w:r>
      <w:r>
        <w:rPr>
          <w:color w:val="auto"/>
          <w:highlight w:val="none"/>
        </w:rPr>
        <w:t>）正文部分</w:t>
      </w:r>
      <w:bookmarkEnd w:id="97"/>
      <w:bookmarkEnd w:id="98"/>
    </w:p>
    <w:p w14:paraId="45587B8E">
      <w:pPr>
        <w:pStyle w:val="3"/>
        <w:rPr>
          <w:color w:val="auto"/>
          <w:highlight w:val="none"/>
        </w:rPr>
      </w:pPr>
      <w:bookmarkStart w:id="99" w:name="_Toc1579819595"/>
      <w:bookmarkStart w:id="100" w:name="_Toc8487"/>
      <w:r>
        <w:rPr>
          <w:color w:val="auto"/>
          <w:highlight w:val="none"/>
        </w:rPr>
        <w:t>1 评标方法</w:t>
      </w:r>
      <w:bookmarkEnd w:id="99"/>
      <w:bookmarkEnd w:id="100"/>
    </w:p>
    <w:p w14:paraId="6FDA957D">
      <w:pPr>
        <w:spacing w:line="360" w:lineRule="auto"/>
        <w:ind w:firstLine="420" w:firstLineChars="200"/>
        <w:rPr>
          <w:color w:val="auto"/>
          <w:szCs w:val="21"/>
          <w:highlight w:val="none"/>
        </w:rPr>
      </w:pPr>
      <w:r>
        <w:rPr>
          <w:rFonts w:hint="eastAsia"/>
          <w:color w:val="auto"/>
          <w:szCs w:val="21"/>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以设计团队得分高的优先；如果设计团队得分也相等，按照评标办法前附表的规定确定中标候选人顺序。</w:t>
      </w:r>
    </w:p>
    <w:p w14:paraId="639BE740">
      <w:pPr>
        <w:pStyle w:val="3"/>
        <w:rPr>
          <w:color w:val="auto"/>
          <w:highlight w:val="none"/>
        </w:rPr>
      </w:pPr>
      <w:bookmarkStart w:id="101" w:name="_Toc1899156998"/>
      <w:bookmarkStart w:id="102" w:name="_Toc18225"/>
      <w:r>
        <w:rPr>
          <w:color w:val="auto"/>
          <w:highlight w:val="none"/>
        </w:rPr>
        <w:t>2 评审标准</w:t>
      </w:r>
      <w:bookmarkEnd w:id="101"/>
      <w:bookmarkEnd w:id="102"/>
    </w:p>
    <w:p w14:paraId="51290F51">
      <w:pPr>
        <w:pStyle w:val="4"/>
        <w:rPr>
          <w:color w:val="auto"/>
          <w:highlight w:val="none"/>
        </w:rPr>
      </w:pPr>
      <w:bookmarkStart w:id="103" w:name="_Toc28195"/>
      <w:bookmarkStart w:id="104" w:name="_Toc410371160"/>
      <w:r>
        <w:rPr>
          <w:color w:val="auto"/>
          <w:highlight w:val="none"/>
        </w:rPr>
        <w:t>2.1 初步评审标准</w:t>
      </w:r>
      <w:bookmarkEnd w:id="103"/>
      <w:bookmarkEnd w:id="104"/>
    </w:p>
    <w:p w14:paraId="67E17A9D">
      <w:pPr>
        <w:spacing w:line="360" w:lineRule="auto"/>
        <w:ind w:firstLine="420" w:firstLineChars="200"/>
        <w:rPr>
          <w:color w:val="auto"/>
          <w:highlight w:val="none"/>
        </w:rPr>
      </w:pPr>
      <w:r>
        <w:rPr>
          <w:color w:val="auto"/>
          <w:highlight w:val="none"/>
        </w:rPr>
        <w:t>2.1.</w:t>
      </w:r>
      <w:r>
        <w:rPr>
          <w:rFonts w:hint="eastAsia"/>
          <w:color w:val="auto"/>
          <w:highlight w:val="none"/>
        </w:rPr>
        <w:t>1</w:t>
      </w:r>
      <w:r>
        <w:rPr>
          <w:color w:val="auto"/>
          <w:highlight w:val="none"/>
        </w:rPr>
        <w:t xml:space="preserve"> </w:t>
      </w:r>
      <w:r>
        <w:rPr>
          <w:rFonts w:hint="eastAsia" w:cs="宋体"/>
          <w:color w:val="auto"/>
          <w:highlight w:val="none"/>
        </w:rPr>
        <w:t>资格评审标准：见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。所有在投标截止时间前提交投标文件的投标人均有资格参加资格评审。企业获奖情况中所有奖项均以“桂建云”系统记录内容为准，不录入“桂建云”的，视为自动放弃加分。</w:t>
      </w:r>
    </w:p>
    <w:p w14:paraId="3E17D896">
      <w:pPr>
        <w:spacing w:line="360" w:lineRule="auto"/>
        <w:ind w:firstLine="420" w:firstLineChars="200"/>
        <w:rPr>
          <w:rFonts w:hint="eastAsia"/>
          <w:color w:val="auto"/>
          <w:szCs w:val="21"/>
          <w:highlight w:val="none"/>
        </w:rPr>
      </w:pPr>
      <w:r>
        <w:rPr>
          <w:rFonts w:hint="eastAsia"/>
          <w:color w:val="auto"/>
          <w:szCs w:val="21"/>
          <w:highlight w:val="none"/>
        </w:rPr>
        <w:t>2.1.2形式评审标准：见“评标办法前附表”。</w:t>
      </w:r>
    </w:p>
    <w:p w14:paraId="0CA538E6">
      <w:pPr>
        <w:spacing w:line="360" w:lineRule="auto"/>
        <w:ind w:firstLine="420" w:firstLineChars="200"/>
        <w:rPr>
          <w:rFonts w:hint="eastAsia"/>
          <w:color w:val="auto"/>
          <w:szCs w:val="21"/>
          <w:highlight w:val="none"/>
        </w:rPr>
      </w:pPr>
      <w:r>
        <w:rPr>
          <w:rFonts w:hint="eastAsia"/>
          <w:color w:val="auto"/>
          <w:szCs w:val="21"/>
          <w:highlight w:val="none"/>
        </w:rPr>
        <w:t>2.1.3 响应性评审标准：见“评标办法前附表”。</w:t>
      </w:r>
    </w:p>
    <w:p w14:paraId="64AC3ED7">
      <w:pPr>
        <w:pStyle w:val="4"/>
        <w:rPr>
          <w:color w:val="auto"/>
          <w:highlight w:val="none"/>
        </w:rPr>
      </w:pPr>
      <w:bookmarkStart w:id="105" w:name="_Toc1480"/>
      <w:bookmarkStart w:id="106" w:name="_Toc667878122"/>
      <w:r>
        <w:rPr>
          <w:color w:val="auto"/>
          <w:highlight w:val="none"/>
        </w:rPr>
        <w:t>2.2</w:t>
      </w:r>
      <w:r>
        <w:rPr>
          <w:rFonts w:hint="eastAsia"/>
          <w:color w:val="auto"/>
          <w:highlight w:val="none"/>
        </w:rPr>
        <w:t>详细评审标准</w:t>
      </w:r>
      <w:bookmarkEnd w:id="105"/>
      <w:bookmarkEnd w:id="106"/>
    </w:p>
    <w:p w14:paraId="49D5F4AF">
      <w:pPr>
        <w:spacing w:line="360" w:lineRule="auto"/>
        <w:ind w:firstLine="420" w:firstLineChars="200"/>
        <w:rPr>
          <w:rFonts w:hint="eastAsia" w:cs="宋体"/>
          <w:color w:val="auto"/>
          <w:highlight w:val="none"/>
        </w:rPr>
      </w:pPr>
      <w:r>
        <w:rPr>
          <w:rFonts w:hint="eastAsia" w:cs="宋体"/>
          <w:color w:val="auto"/>
          <w:highlight w:val="none"/>
        </w:rPr>
        <w:t>2.2.1 分值构成：见“评标办法前附表”。</w:t>
      </w:r>
    </w:p>
    <w:p w14:paraId="0C88E220">
      <w:pPr>
        <w:spacing w:line="360" w:lineRule="auto"/>
        <w:ind w:firstLine="420" w:firstLineChars="200"/>
        <w:rPr>
          <w:rFonts w:hint="eastAsia" w:cs="宋体"/>
          <w:color w:val="auto"/>
          <w:highlight w:val="none"/>
        </w:rPr>
      </w:pPr>
      <w:r>
        <w:rPr>
          <w:rFonts w:hint="eastAsia" w:cs="宋体"/>
          <w:color w:val="auto"/>
          <w:highlight w:val="none"/>
        </w:rPr>
        <w:t>2.2.2 评分标准</w:t>
      </w:r>
    </w:p>
    <w:p w14:paraId="5EC7F5BE">
      <w:pPr>
        <w:spacing w:line="360" w:lineRule="auto"/>
        <w:ind w:firstLine="420" w:firstLineChars="200"/>
        <w:rPr>
          <w:rFonts w:hint="eastAsia" w:cs="宋体"/>
          <w:color w:val="auto"/>
          <w:highlight w:val="none"/>
        </w:rPr>
      </w:pPr>
      <w:r>
        <w:rPr>
          <w:rFonts w:hint="eastAsia" w:cs="宋体"/>
          <w:color w:val="auto"/>
          <w:highlight w:val="none"/>
        </w:rPr>
        <w:t>（1）商务标部分：见评标办法前附表。</w:t>
      </w:r>
    </w:p>
    <w:p w14:paraId="7B95F839">
      <w:pPr>
        <w:spacing w:line="360" w:lineRule="auto"/>
        <w:ind w:firstLine="420" w:firstLineChars="200"/>
        <w:rPr>
          <w:rFonts w:hint="eastAsia" w:cs="宋体"/>
          <w:color w:val="auto"/>
          <w:highlight w:val="none"/>
        </w:rPr>
      </w:pPr>
      <w:r>
        <w:rPr>
          <w:rFonts w:hint="eastAsia" w:cs="宋体"/>
          <w:color w:val="auto"/>
          <w:highlight w:val="none"/>
        </w:rPr>
        <w:t>（2）技术标（设计组织实施部分）评分标准：见评标办法前附表；</w:t>
      </w:r>
    </w:p>
    <w:p w14:paraId="29D01843">
      <w:pPr>
        <w:spacing w:line="360" w:lineRule="auto"/>
        <w:ind w:firstLine="420" w:firstLineChars="200"/>
        <w:rPr>
          <w:rFonts w:hint="eastAsia" w:cs="宋体"/>
          <w:color w:val="auto"/>
          <w:highlight w:val="none"/>
        </w:rPr>
      </w:pPr>
      <w:r>
        <w:rPr>
          <w:rFonts w:hint="eastAsia" w:cs="宋体"/>
          <w:color w:val="auto"/>
          <w:highlight w:val="none"/>
        </w:rPr>
        <w:t>（3）设计团队部分：见评标办法前附表；</w:t>
      </w:r>
    </w:p>
    <w:p w14:paraId="0BF98818">
      <w:pPr>
        <w:spacing w:line="360" w:lineRule="auto"/>
        <w:ind w:firstLine="420" w:firstLineChars="200"/>
        <w:rPr>
          <w:rFonts w:hint="eastAsia" w:cs="宋体"/>
          <w:color w:val="auto"/>
          <w:highlight w:val="none"/>
        </w:rPr>
      </w:pPr>
      <w:r>
        <w:rPr>
          <w:rFonts w:hint="eastAsia" w:cs="宋体"/>
          <w:color w:val="auto"/>
          <w:highlight w:val="none"/>
        </w:rPr>
        <w:t>（4）企业信誉实力分评分标准：见“评标办法前附表”。</w:t>
      </w:r>
    </w:p>
    <w:p w14:paraId="79C0FB77">
      <w:pPr>
        <w:pStyle w:val="3"/>
        <w:rPr>
          <w:color w:val="auto"/>
          <w:highlight w:val="none"/>
        </w:rPr>
      </w:pPr>
      <w:bookmarkStart w:id="107" w:name="_Toc21084"/>
      <w:bookmarkStart w:id="108" w:name="_Toc587511858"/>
      <w:r>
        <w:rPr>
          <w:color w:val="auto"/>
          <w:highlight w:val="none"/>
        </w:rPr>
        <w:t>3 评标程序</w:t>
      </w:r>
      <w:bookmarkEnd w:id="107"/>
      <w:bookmarkEnd w:id="108"/>
    </w:p>
    <w:p w14:paraId="75958B03">
      <w:pPr>
        <w:pStyle w:val="4"/>
        <w:rPr>
          <w:color w:val="auto"/>
          <w:highlight w:val="none"/>
        </w:rPr>
      </w:pPr>
      <w:bookmarkStart w:id="109" w:name="_Toc1962855099"/>
      <w:bookmarkStart w:id="110" w:name="_Toc18245"/>
      <w:r>
        <w:rPr>
          <w:color w:val="auto"/>
          <w:highlight w:val="none"/>
        </w:rPr>
        <w:t>3.1 初步评审</w:t>
      </w:r>
      <w:bookmarkEnd w:id="109"/>
      <w:bookmarkEnd w:id="110"/>
    </w:p>
    <w:p w14:paraId="06A39D1F">
      <w:pPr>
        <w:spacing w:line="360" w:lineRule="auto"/>
        <w:ind w:firstLine="420" w:firstLineChars="200"/>
        <w:rPr>
          <w:rFonts w:hint="eastAsia" w:cs="宋体"/>
          <w:color w:val="auto"/>
          <w:highlight w:val="none"/>
        </w:rPr>
      </w:pPr>
      <w:r>
        <w:rPr>
          <w:rFonts w:hint="eastAsia"/>
          <w:color w:val="auto"/>
          <w:szCs w:val="21"/>
          <w:highlight w:val="none"/>
        </w:rPr>
        <w:t>3.1.1</w:t>
      </w:r>
      <w:r>
        <w:rPr>
          <w:rFonts w:hint="eastAsia" w:cs="宋体"/>
          <w:color w:val="auto"/>
          <w:highlight w:val="none"/>
        </w:rPr>
        <w:t>评标委员会依据本章第</w:t>
      </w:r>
      <w:r>
        <w:rPr>
          <w:color w:val="auto"/>
          <w:highlight w:val="none"/>
        </w:rPr>
        <w:t>2.1</w:t>
      </w:r>
      <w:r>
        <w:rPr>
          <w:rFonts w:hint="eastAsia" w:cs="宋体"/>
          <w:color w:val="auto"/>
          <w:highlight w:val="none"/>
        </w:rPr>
        <w:t>款规定的标准对投标文件进行初步评审。有一项不符合评审标准的，作否决投标处理。</w:t>
      </w:r>
    </w:p>
    <w:p w14:paraId="38C3C50C">
      <w:pPr>
        <w:spacing w:line="360" w:lineRule="auto"/>
        <w:ind w:firstLine="420" w:firstLineChars="200"/>
        <w:rPr>
          <w:rFonts w:hint="eastAsia"/>
          <w:color w:val="auto"/>
          <w:szCs w:val="21"/>
          <w:highlight w:val="none"/>
        </w:rPr>
      </w:pPr>
      <w:r>
        <w:rPr>
          <w:rFonts w:hint="eastAsia"/>
          <w:color w:val="auto"/>
          <w:szCs w:val="21"/>
          <w:highlight w:val="none"/>
        </w:rPr>
        <w:t>3.1.2 投标人有以下情形之一的，评标委员会应当否决其投标：</w:t>
      </w:r>
    </w:p>
    <w:p w14:paraId="73AE8555">
      <w:pPr>
        <w:spacing w:line="360" w:lineRule="auto"/>
        <w:ind w:firstLine="420" w:firstLineChars="200"/>
        <w:rPr>
          <w:rFonts w:cs="宋体"/>
          <w:color w:val="auto"/>
          <w:highlight w:val="none"/>
        </w:rPr>
      </w:pPr>
      <w:r>
        <w:rPr>
          <w:rFonts w:hint="eastAsia"/>
          <w:color w:val="auto"/>
          <w:szCs w:val="21"/>
          <w:highlight w:val="none"/>
        </w:rPr>
        <w:t>（1）</w:t>
      </w:r>
      <w:r>
        <w:rPr>
          <w:rFonts w:hint="eastAsia" w:cs="宋体"/>
          <w:color w:val="auto"/>
          <w:highlight w:val="none"/>
        </w:rPr>
        <w:t>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第</w:t>
      </w:r>
      <w:r>
        <w:rPr>
          <w:color w:val="auto"/>
          <w:highlight w:val="none"/>
        </w:rPr>
        <w:t xml:space="preserve">1.4.3 </w:t>
      </w:r>
      <w:r>
        <w:rPr>
          <w:rFonts w:hint="eastAsia" w:cs="宋体"/>
          <w:color w:val="auto"/>
          <w:highlight w:val="none"/>
        </w:rPr>
        <w:t>项规定的任何一种情形的；</w:t>
      </w:r>
    </w:p>
    <w:p w14:paraId="0A9F72F2">
      <w:pPr>
        <w:spacing w:line="360" w:lineRule="auto"/>
        <w:ind w:firstLine="420" w:firstLineChars="200"/>
        <w:rPr>
          <w:rFonts w:hint="eastAsia"/>
          <w:color w:val="auto"/>
          <w:szCs w:val="21"/>
          <w:highlight w:val="none"/>
        </w:rPr>
      </w:pPr>
      <w:r>
        <w:rPr>
          <w:rFonts w:hint="eastAsia"/>
          <w:color w:val="auto"/>
          <w:szCs w:val="21"/>
          <w:highlight w:val="none"/>
        </w:rPr>
        <w:t>（2）有串通投标、弄虚作假、行贿等违法行为。</w:t>
      </w:r>
    </w:p>
    <w:p w14:paraId="244F41F9">
      <w:pPr>
        <w:spacing w:line="360" w:lineRule="auto"/>
        <w:ind w:firstLine="420" w:firstLineChars="200"/>
        <w:rPr>
          <w:rFonts w:cs="宋体"/>
          <w:color w:val="auto"/>
          <w:highlight w:val="none"/>
        </w:rPr>
      </w:pPr>
      <w:r>
        <w:rPr>
          <w:rFonts w:hint="eastAsia"/>
          <w:color w:val="auto"/>
          <w:szCs w:val="21"/>
          <w:highlight w:val="none"/>
        </w:rPr>
        <w:t>3.1.3</w:t>
      </w:r>
      <w:r>
        <w:rPr>
          <w:rFonts w:hint="eastAsia" w:cs="宋体"/>
          <w:color w:val="auto"/>
          <w:highlight w:val="none"/>
        </w:rPr>
        <w:t>投标报价有算术错误的，评标委员会按以下原则对投标报价进行修正，修正的价格经投标人书面确认后具有约束力。投标人不接受修正价格的，其投标作否决投标处理。</w:t>
      </w:r>
    </w:p>
    <w:p w14:paraId="7943F6BF">
      <w:pPr>
        <w:spacing w:line="360" w:lineRule="auto"/>
        <w:ind w:firstLine="420" w:firstLineChars="200"/>
        <w:rPr>
          <w:rFonts w:hint="eastAsia"/>
          <w:color w:val="auto"/>
          <w:szCs w:val="21"/>
          <w:highlight w:val="none"/>
        </w:rPr>
      </w:pPr>
      <w:r>
        <w:rPr>
          <w:rFonts w:hint="eastAsia"/>
          <w:color w:val="auto"/>
          <w:szCs w:val="21"/>
          <w:highlight w:val="none"/>
        </w:rPr>
        <w:t>（1）投标文件中的大写金额与小写金额不一致的，以大写金额为准；</w:t>
      </w:r>
    </w:p>
    <w:p w14:paraId="3036A658">
      <w:pPr>
        <w:spacing w:line="360" w:lineRule="auto"/>
        <w:ind w:firstLine="420" w:firstLineChars="200"/>
        <w:rPr>
          <w:color w:val="auto"/>
          <w:highlight w:val="none"/>
        </w:rPr>
      </w:pPr>
      <w:r>
        <w:rPr>
          <w:rFonts w:hint="eastAsia"/>
          <w:color w:val="auto"/>
          <w:szCs w:val="21"/>
          <w:highlight w:val="none"/>
        </w:rPr>
        <w:t>（2）总价金额与单价金额不一致的，以单价金额为准，但单价金额小数点有明显错误的除外。</w:t>
      </w:r>
    </w:p>
    <w:p w14:paraId="421D6A78">
      <w:pPr>
        <w:pStyle w:val="4"/>
        <w:rPr>
          <w:color w:val="auto"/>
          <w:highlight w:val="none"/>
        </w:rPr>
      </w:pPr>
      <w:bookmarkStart w:id="111" w:name="_Toc22795"/>
      <w:bookmarkStart w:id="112" w:name="_Toc524572187"/>
      <w:r>
        <w:rPr>
          <w:color w:val="auto"/>
          <w:highlight w:val="none"/>
        </w:rPr>
        <w:t>3.2 详细评审</w:t>
      </w:r>
      <w:bookmarkEnd w:id="111"/>
      <w:bookmarkEnd w:id="112"/>
    </w:p>
    <w:p w14:paraId="66B0F8BE">
      <w:pPr>
        <w:spacing w:line="360" w:lineRule="auto"/>
        <w:ind w:firstLine="420" w:firstLineChars="200"/>
        <w:rPr>
          <w:rFonts w:ascii="宋体" w:hAnsi="宋体" w:cs="宋体"/>
          <w:color w:val="auto"/>
          <w:highlight w:val="none"/>
        </w:rPr>
      </w:pPr>
      <w:r>
        <w:rPr>
          <w:rFonts w:hint="eastAsia" w:ascii="宋体" w:hAnsi="宋体"/>
          <w:color w:val="auto"/>
          <w:szCs w:val="21"/>
          <w:highlight w:val="none"/>
        </w:rPr>
        <w:t>3.2.1</w:t>
      </w:r>
      <w:r>
        <w:rPr>
          <w:rFonts w:hint="eastAsia" w:ascii="宋体" w:hAnsi="宋体" w:cs="宋体"/>
          <w:color w:val="auto"/>
          <w:highlight w:val="none"/>
        </w:rPr>
        <w:t>评标委员会按照本章</w:t>
      </w:r>
      <w:r>
        <w:rPr>
          <w:rFonts w:ascii="宋体" w:hAnsi="宋体"/>
          <w:color w:val="auto"/>
          <w:highlight w:val="none"/>
        </w:rPr>
        <w:t>“</w:t>
      </w:r>
      <w:r>
        <w:rPr>
          <w:rFonts w:hint="eastAsia" w:ascii="宋体" w:hAnsi="宋体" w:cs="宋体"/>
          <w:color w:val="auto"/>
          <w:highlight w:val="none"/>
        </w:rPr>
        <w:t>评标办法前附表</w:t>
      </w:r>
      <w:r>
        <w:rPr>
          <w:rFonts w:ascii="宋体" w:hAnsi="宋体"/>
          <w:color w:val="auto"/>
          <w:highlight w:val="none"/>
        </w:rPr>
        <w:t>”</w:t>
      </w:r>
      <w:r>
        <w:rPr>
          <w:rFonts w:hint="eastAsia" w:ascii="宋体" w:hAnsi="宋体" w:cs="宋体"/>
          <w:color w:val="auto"/>
          <w:highlight w:val="none"/>
        </w:rPr>
        <w:t>第</w:t>
      </w:r>
      <w:r>
        <w:rPr>
          <w:rFonts w:ascii="宋体" w:hAnsi="宋体"/>
          <w:color w:val="auto"/>
          <w:highlight w:val="none"/>
        </w:rPr>
        <w:t>2.2</w:t>
      </w:r>
      <w:r>
        <w:rPr>
          <w:rFonts w:hint="eastAsia" w:ascii="宋体" w:hAnsi="宋体" w:cs="宋体"/>
          <w:color w:val="auto"/>
          <w:highlight w:val="none"/>
        </w:rPr>
        <w:t>款规定的量化因素和分值进行打分，并计算出最终得分。</w:t>
      </w:r>
    </w:p>
    <w:p w14:paraId="4BF2D3F6">
      <w:pPr>
        <w:spacing w:line="360" w:lineRule="auto"/>
        <w:ind w:firstLine="420" w:firstLineChars="200"/>
        <w:rPr>
          <w:rFonts w:ascii="宋体" w:hAnsi="宋体" w:cs="宋体"/>
          <w:color w:val="auto"/>
          <w:highlight w:val="none"/>
        </w:rPr>
      </w:pPr>
      <w:r>
        <w:rPr>
          <w:rFonts w:hint="eastAsia" w:ascii="宋体" w:hAnsi="宋体"/>
          <w:color w:val="auto"/>
          <w:szCs w:val="21"/>
          <w:highlight w:val="none"/>
        </w:rPr>
        <w:t>3.2.2</w:t>
      </w:r>
      <w:r>
        <w:rPr>
          <w:rFonts w:hint="eastAsia" w:ascii="宋体" w:hAnsi="宋体"/>
          <w:color w:val="auto"/>
          <w:highlight w:val="none"/>
        </w:rPr>
        <w:t>所</w:t>
      </w:r>
      <w:r>
        <w:rPr>
          <w:rFonts w:ascii="宋体" w:hAnsi="宋体"/>
          <w:color w:val="auto"/>
          <w:highlight w:val="none"/>
        </w:rPr>
        <w:t>有过程</w:t>
      </w:r>
      <w:r>
        <w:rPr>
          <w:rFonts w:hint="eastAsia" w:ascii="宋体" w:hAnsi="宋体" w:cs="宋体"/>
          <w:color w:val="auto"/>
          <w:highlight w:val="none"/>
        </w:rPr>
        <w:t>评分分值计算保留小数点后两位，小数点后第三位</w:t>
      </w:r>
      <w:r>
        <w:rPr>
          <w:rFonts w:ascii="宋体" w:hAnsi="宋体"/>
          <w:color w:val="auto"/>
          <w:highlight w:val="none"/>
        </w:rPr>
        <w:t>“</w:t>
      </w:r>
      <w:r>
        <w:rPr>
          <w:rFonts w:hint="eastAsia" w:ascii="宋体" w:hAnsi="宋体" w:cs="宋体"/>
          <w:color w:val="auto"/>
          <w:highlight w:val="none"/>
        </w:rPr>
        <w:t>四舍五入</w:t>
      </w:r>
      <w:r>
        <w:rPr>
          <w:rFonts w:ascii="宋体" w:hAnsi="宋体"/>
          <w:color w:val="auto"/>
          <w:highlight w:val="none"/>
        </w:rPr>
        <w:t>”</w:t>
      </w:r>
      <w:r>
        <w:rPr>
          <w:rFonts w:hint="eastAsia" w:ascii="宋体" w:hAnsi="宋体" w:cs="宋体"/>
          <w:color w:val="auto"/>
          <w:highlight w:val="none"/>
        </w:rPr>
        <w:t>。</w:t>
      </w:r>
    </w:p>
    <w:p w14:paraId="6DCB4A3A">
      <w:pPr>
        <w:spacing w:line="360" w:lineRule="auto"/>
        <w:ind w:firstLine="420" w:firstLineChars="200"/>
        <w:rPr>
          <w:rFonts w:ascii="宋体" w:hAnsi="宋体"/>
          <w:color w:val="auto"/>
          <w:spacing w:val="-7"/>
          <w:highlight w:val="none"/>
        </w:rPr>
      </w:pPr>
      <w:r>
        <w:rPr>
          <w:rFonts w:hint="eastAsia" w:ascii="宋体" w:hAnsi="宋体"/>
          <w:color w:val="auto"/>
          <w:szCs w:val="21"/>
          <w:highlight w:val="none"/>
        </w:rPr>
        <w:t>3.2.3</w:t>
      </w:r>
      <w:r>
        <w:rPr>
          <w:rFonts w:hint="eastAsia" w:ascii="宋体" w:hAnsi="宋体"/>
          <w:color w:val="auto"/>
          <w:spacing w:val="-7"/>
          <w:highlight w:val="none"/>
        </w:rPr>
        <w:t>投标人最终得分（满分1</w:t>
      </w:r>
      <w:r>
        <w:rPr>
          <w:rFonts w:ascii="宋体" w:hAnsi="宋体"/>
          <w:color w:val="auto"/>
          <w:spacing w:val="-7"/>
          <w:highlight w:val="none"/>
        </w:rPr>
        <w:t>00分</w:t>
      </w:r>
      <w:r>
        <w:rPr>
          <w:rFonts w:hint="eastAsia" w:ascii="宋体" w:hAnsi="宋体"/>
          <w:color w:val="auto"/>
          <w:spacing w:val="-7"/>
          <w:highlight w:val="none"/>
        </w:rPr>
        <w:t>）</w:t>
      </w:r>
      <w:r>
        <w:rPr>
          <w:rFonts w:hint="eastAsia" w:ascii="宋体" w:hAnsi="宋体"/>
          <w:color w:val="auto"/>
          <w:spacing w:val="-1"/>
          <w:highlight w:val="none"/>
        </w:rPr>
        <w:t>=商务标得分+技术标得分+</w:t>
      </w:r>
      <w:r>
        <w:rPr>
          <w:rFonts w:ascii="宋体" w:hAnsi="宋体"/>
          <w:color w:val="auto"/>
          <w:spacing w:val="-1"/>
          <w:highlight w:val="none"/>
        </w:rPr>
        <w:t>设计</w:t>
      </w:r>
      <w:r>
        <w:rPr>
          <w:rFonts w:hint="eastAsia" w:ascii="宋体" w:hAnsi="宋体"/>
          <w:color w:val="auto"/>
          <w:spacing w:val="-1"/>
          <w:highlight w:val="none"/>
        </w:rPr>
        <w:t xml:space="preserve">团队得分+ </w:t>
      </w:r>
      <w:r>
        <w:rPr>
          <w:rFonts w:hint="eastAsia" w:ascii="宋体" w:hAnsi="宋体"/>
          <w:color w:val="auto"/>
          <w:spacing w:val="-7"/>
          <w:highlight w:val="none"/>
        </w:rPr>
        <w:t>企业信誉实力得分。</w:t>
      </w:r>
    </w:p>
    <w:p w14:paraId="5525358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3.2.4 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14:paraId="19B78ECC">
      <w:pPr>
        <w:pStyle w:val="4"/>
        <w:rPr>
          <w:color w:val="auto"/>
          <w:highlight w:val="none"/>
        </w:rPr>
      </w:pPr>
      <w:bookmarkStart w:id="113" w:name="_Toc867489252"/>
      <w:bookmarkStart w:id="114" w:name="_Toc4328"/>
      <w:r>
        <w:rPr>
          <w:color w:val="auto"/>
          <w:highlight w:val="none"/>
        </w:rPr>
        <w:t>3.3 投标文件的澄清、说明和补正</w:t>
      </w:r>
      <w:bookmarkEnd w:id="113"/>
      <w:bookmarkEnd w:id="114"/>
    </w:p>
    <w:p w14:paraId="0693443F">
      <w:pPr>
        <w:spacing w:line="360" w:lineRule="auto"/>
        <w:ind w:firstLine="420" w:firstLineChars="200"/>
        <w:rPr>
          <w:rFonts w:hint="eastAsia"/>
          <w:color w:val="auto"/>
          <w:szCs w:val="21"/>
          <w:highlight w:val="none"/>
        </w:rPr>
      </w:pPr>
      <w:r>
        <w:rPr>
          <w:rFonts w:hint="eastAsia"/>
          <w:color w:val="auto"/>
          <w:szCs w:val="21"/>
          <w:highlight w:val="none"/>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19C978D9">
      <w:pPr>
        <w:spacing w:line="360" w:lineRule="auto"/>
        <w:ind w:firstLine="420" w:firstLineChars="200"/>
        <w:rPr>
          <w:rFonts w:hint="eastAsia"/>
          <w:color w:val="auto"/>
          <w:szCs w:val="21"/>
          <w:highlight w:val="none"/>
        </w:rPr>
      </w:pPr>
      <w:r>
        <w:rPr>
          <w:rFonts w:hint="eastAsia"/>
          <w:color w:val="auto"/>
          <w:szCs w:val="21"/>
          <w:highlight w:val="none"/>
        </w:rPr>
        <w:t>3.3.2 澄清、说明或补正不得超出投标文件的范围且不得改变投标文件的实质性内容，并构成投标文件的组成部分。</w:t>
      </w:r>
    </w:p>
    <w:p w14:paraId="167946A1">
      <w:pPr>
        <w:spacing w:line="360" w:lineRule="auto"/>
        <w:ind w:firstLine="420" w:firstLineChars="200"/>
        <w:rPr>
          <w:color w:val="auto"/>
          <w:szCs w:val="21"/>
          <w:highlight w:val="none"/>
        </w:rPr>
      </w:pPr>
      <w:r>
        <w:rPr>
          <w:rFonts w:hint="eastAsia"/>
          <w:color w:val="auto"/>
          <w:szCs w:val="21"/>
          <w:highlight w:val="none"/>
        </w:rPr>
        <w:t>3.3.3 评标委员会对投标人提交的澄清、说明或补正有疑问的，可以要求投标人进一步澄清、说明或补正，直至满足评标委员会的要求。</w:t>
      </w:r>
    </w:p>
    <w:p w14:paraId="4099CBA8">
      <w:pPr>
        <w:spacing w:line="360" w:lineRule="auto"/>
        <w:ind w:firstLine="420" w:firstLineChars="200"/>
        <w:rPr>
          <w:rFonts w:hint="eastAsia"/>
          <w:color w:val="auto"/>
          <w:highlight w:val="none"/>
        </w:rPr>
      </w:pPr>
      <w:r>
        <w:rPr>
          <w:color w:val="auto"/>
          <w:highlight w:val="none"/>
        </w:rPr>
        <w:t xml:space="preserve">3.3.4 </w:t>
      </w:r>
      <w:r>
        <w:rPr>
          <w:rFonts w:hint="eastAsia" w:cs="宋体"/>
          <w:color w:val="auto"/>
          <w:highlight w:val="none"/>
        </w:rPr>
        <w:t>对投标文件进行澄清、说明和补正时来往的书面材料传递，必须由交易中心的工作人员进行。</w:t>
      </w:r>
    </w:p>
    <w:p w14:paraId="691E8729">
      <w:pPr>
        <w:pStyle w:val="4"/>
        <w:rPr>
          <w:color w:val="auto"/>
          <w:highlight w:val="none"/>
        </w:rPr>
      </w:pPr>
      <w:bookmarkStart w:id="115" w:name="_Toc9651"/>
      <w:bookmarkStart w:id="116" w:name="_Toc659631905"/>
      <w:r>
        <w:rPr>
          <w:color w:val="auto"/>
          <w:highlight w:val="none"/>
        </w:rPr>
        <w:t>3.4 评标结果</w:t>
      </w:r>
      <w:bookmarkEnd w:id="115"/>
      <w:bookmarkEnd w:id="116"/>
    </w:p>
    <w:p w14:paraId="0B272C11">
      <w:pPr>
        <w:spacing w:line="360" w:lineRule="auto"/>
        <w:ind w:firstLine="420" w:firstLineChars="200"/>
        <w:rPr>
          <w:color w:val="auto"/>
          <w:szCs w:val="21"/>
          <w:highlight w:val="none"/>
        </w:rPr>
      </w:pPr>
      <w:r>
        <w:rPr>
          <w:rFonts w:hint="eastAsia"/>
          <w:color w:val="auto"/>
          <w:szCs w:val="21"/>
          <w:highlight w:val="none"/>
        </w:rPr>
        <w:t>3.4.1 除第二章“投标人须知”前附表授权直接确定中标人外，评标委员会按照得分由高到低的顺序推荐中标候选人，并标明排序。</w:t>
      </w:r>
    </w:p>
    <w:p w14:paraId="1BB1A39B">
      <w:pPr>
        <w:spacing w:line="360" w:lineRule="auto"/>
        <w:ind w:firstLine="420" w:firstLineChars="200"/>
        <w:rPr>
          <w:color w:val="auto"/>
          <w:szCs w:val="21"/>
          <w:highlight w:val="none"/>
        </w:rPr>
      </w:pPr>
      <w:r>
        <w:rPr>
          <w:color w:val="auto"/>
          <w:szCs w:val="21"/>
          <w:highlight w:val="none"/>
        </w:rPr>
        <w:t>3.4.2 评标委员会完成评标后，应当向招标人提交书面评标报告</w:t>
      </w:r>
      <w:r>
        <w:rPr>
          <w:rFonts w:hint="eastAsia"/>
          <w:color w:val="auto"/>
          <w:szCs w:val="21"/>
          <w:highlight w:val="none"/>
        </w:rPr>
        <w:t>和中标候选人名单</w:t>
      </w:r>
      <w:r>
        <w:rPr>
          <w:color w:val="auto"/>
          <w:szCs w:val="21"/>
          <w:highlight w:val="none"/>
        </w:rPr>
        <w:t>。</w:t>
      </w:r>
    </w:p>
    <w:p w14:paraId="0BB71738">
      <w:pPr>
        <w:spacing w:line="360" w:lineRule="auto"/>
        <w:ind w:firstLine="420" w:firstLineChars="200"/>
        <w:rPr>
          <w:rFonts w:hint="eastAsia"/>
          <w:color w:val="auto"/>
          <w:szCs w:val="21"/>
          <w:highlight w:val="none"/>
        </w:rPr>
      </w:pPr>
      <w:r>
        <w:rPr>
          <w:color w:val="auto"/>
          <w:szCs w:val="21"/>
          <w:highlight w:val="none"/>
        </w:rPr>
        <w:t>3.4.3 评标委员会应将评标过程中使用的文件、表格以及其他材料即时归还招标人。</w:t>
      </w:r>
      <w:r>
        <w:rPr>
          <w:rFonts w:hint="eastAsia"/>
          <w:color w:val="auto"/>
          <w:szCs w:val="21"/>
          <w:highlight w:val="none"/>
        </w:rPr>
        <w:t>招标人应当按照“投标人须知前附表”规定的</w:t>
      </w:r>
      <w:r>
        <w:rPr>
          <w:color w:val="auto"/>
          <w:szCs w:val="21"/>
          <w:highlight w:val="none"/>
        </w:rPr>
        <w:t>封存方式封存评标资料</w:t>
      </w:r>
      <w:r>
        <w:rPr>
          <w:rFonts w:hint="eastAsia"/>
          <w:color w:val="auto"/>
          <w:szCs w:val="21"/>
          <w:highlight w:val="none"/>
        </w:rPr>
        <w:t>。</w:t>
      </w:r>
    </w:p>
    <w:p w14:paraId="1E4A1860">
      <w:pPr>
        <w:pStyle w:val="4"/>
        <w:spacing w:line="240" w:lineRule="auto"/>
        <w:rPr>
          <w:color w:val="auto"/>
          <w:highlight w:val="none"/>
        </w:rPr>
      </w:pPr>
      <w:bookmarkStart w:id="117" w:name="_Toc881379257"/>
      <w:bookmarkStart w:id="118" w:name="_Toc26212"/>
      <w:r>
        <w:rPr>
          <w:color w:val="auto"/>
          <w:highlight w:val="none"/>
        </w:rPr>
        <w:t>3.5其他评审要求</w:t>
      </w:r>
      <w:bookmarkEnd w:id="117"/>
      <w:bookmarkEnd w:id="118"/>
    </w:p>
    <w:p w14:paraId="6280A24D">
      <w:pPr>
        <w:spacing w:line="360" w:lineRule="auto"/>
        <w:ind w:firstLine="420" w:firstLineChars="200"/>
        <w:rPr>
          <w:rFonts w:hint="eastAsia"/>
          <w:color w:val="auto"/>
          <w:szCs w:val="21"/>
          <w:highlight w:val="none"/>
        </w:rPr>
      </w:pPr>
      <w:r>
        <w:rPr>
          <w:rFonts w:hint="eastAsia"/>
          <w:color w:val="auto"/>
          <w:szCs w:val="21"/>
          <w:highlight w:val="none"/>
        </w:rPr>
        <w:t>对于有特殊需求的项目，招标人根据项目具体情况提出的其他评审要求，具体内容见“投标人须知前附表”。</w:t>
      </w:r>
    </w:p>
    <w:p w14:paraId="5690F940">
      <w:pPr>
        <w:rPr>
          <w:color w:val="auto"/>
          <w:highlight w:val="none"/>
        </w:rPr>
      </w:pPr>
    </w:p>
    <w:p w14:paraId="74CC424D">
      <w:pPr>
        <w:rPr>
          <w:color w:val="auto"/>
          <w:highlight w:val="none"/>
        </w:rPr>
      </w:pPr>
    </w:p>
    <w:p w14:paraId="00BCCF4F">
      <w:pPr>
        <w:pStyle w:val="2"/>
        <w:rPr>
          <w:color w:val="auto"/>
          <w:highlight w:val="none"/>
        </w:rPr>
      </w:pPr>
      <w:bookmarkStart w:id="119" w:name="_Toc19082"/>
      <w:r>
        <w:rPr>
          <w:color w:val="auto"/>
          <w:highlight w:val="none"/>
        </w:rPr>
        <w:t>附件A</w:t>
      </w:r>
      <w:r>
        <w:rPr>
          <w:rFonts w:hint="eastAsia"/>
          <w:color w:val="auto"/>
          <w:highlight w:val="none"/>
        </w:rPr>
        <w:t xml:space="preserve">  评标详细程序</w:t>
      </w:r>
      <w:bookmarkEnd w:id="119"/>
    </w:p>
    <w:p w14:paraId="01F573CF">
      <w:pPr>
        <w:pStyle w:val="3"/>
        <w:rPr>
          <w:color w:val="auto"/>
          <w:highlight w:val="none"/>
        </w:rPr>
      </w:pPr>
      <w:bookmarkStart w:id="120" w:name="_Toc282"/>
      <w:r>
        <w:rPr>
          <w:color w:val="auto"/>
          <w:highlight w:val="none"/>
        </w:rPr>
        <w:t>A0 总  则</w:t>
      </w:r>
      <w:bookmarkEnd w:id="120"/>
    </w:p>
    <w:p w14:paraId="49C3B9CC">
      <w:pPr>
        <w:spacing w:line="360" w:lineRule="auto"/>
        <w:ind w:firstLine="420" w:firstLineChars="200"/>
        <w:rPr>
          <w:color w:val="auto"/>
          <w:highlight w:val="none"/>
        </w:rPr>
      </w:pPr>
      <w:r>
        <w:rPr>
          <w:color w:val="auto"/>
          <w:highlight w:val="none"/>
        </w:rPr>
        <w:t>本附件是本章“评标办法”的组成部分，是对本章第3条所规定的评标程序的进一步细化，评标委员会应当按照本附件所规定的详细程序开展并完成评标工作。</w:t>
      </w:r>
    </w:p>
    <w:p w14:paraId="0E2F28BF">
      <w:pPr>
        <w:pStyle w:val="3"/>
        <w:rPr>
          <w:color w:val="auto"/>
          <w:highlight w:val="none"/>
        </w:rPr>
      </w:pPr>
      <w:bookmarkStart w:id="121" w:name="_Toc29523"/>
      <w:r>
        <w:rPr>
          <w:color w:val="auto"/>
          <w:highlight w:val="none"/>
        </w:rPr>
        <w:t>A1 基本程序</w:t>
      </w:r>
      <w:bookmarkEnd w:id="121"/>
    </w:p>
    <w:p w14:paraId="1D8C9B2D">
      <w:pPr>
        <w:spacing w:line="360" w:lineRule="auto"/>
        <w:ind w:firstLine="420" w:firstLineChars="200"/>
        <w:rPr>
          <w:color w:val="auto"/>
          <w:highlight w:val="none"/>
        </w:rPr>
      </w:pPr>
      <w:r>
        <w:rPr>
          <w:color w:val="auto"/>
          <w:highlight w:val="none"/>
        </w:rPr>
        <w:t>评标活动将按以下五个步骤进行：</w:t>
      </w:r>
    </w:p>
    <w:p w14:paraId="3A88FE51">
      <w:pPr>
        <w:spacing w:line="360" w:lineRule="auto"/>
        <w:ind w:firstLine="420" w:firstLineChars="200"/>
        <w:rPr>
          <w:color w:val="auto"/>
          <w:highlight w:val="none"/>
        </w:rPr>
      </w:pPr>
      <w:r>
        <w:rPr>
          <w:color w:val="auto"/>
          <w:highlight w:val="none"/>
        </w:rPr>
        <w:t>（1）评标准备；</w:t>
      </w:r>
    </w:p>
    <w:p w14:paraId="12E8353F">
      <w:pPr>
        <w:spacing w:line="360" w:lineRule="auto"/>
        <w:ind w:firstLine="420" w:firstLineChars="200"/>
        <w:rPr>
          <w:color w:val="auto"/>
          <w:highlight w:val="none"/>
        </w:rPr>
      </w:pPr>
      <w:r>
        <w:rPr>
          <w:color w:val="auto"/>
          <w:highlight w:val="none"/>
        </w:rPr>
        <w:t>（2）初步评审</w:t>
      </w:r>
      <w:r>
        <w:rPr>
          <w:rFonts w:hint="eastAsia"/>
          <w:color w:val="auto"/>
          <w:highlight w:val="none"/>
        </w:rPr>
        <w:t>；</w:t>
      </w:r>
    </w:p>
    <w:p w14:paraId="08D632C9">
      <w:pPr>
        <w:spacing w:line="360" w:lineRule="auto"/>
        <w:ind w:firstLine="420" w:firstLineChars="200"/>
        <w:rPr>
          <w:color w:val="auto"/>
          <w:highlight w:val="none"/>
        </w:rPr>
      </w:pPr>
      <w:r>
        <w:rPr>
          <w:color w:val="auto"/>
          <w:highlight w:val="none"/>
        </w:rPr>
        <w:t>（3）详细评审；</w:t>
      </w:r>
    </w:p>
    <w:p w14:paraId="4789140F">
      <w:pPr>
        <w:spacing w:line="360" w:lineRule="auto"/>
        <w:ind w:firstLine="420" w:firstLineChars="200"/>
        <w:rPr>
          <w:color w:val="auto"/>
          <w:highlight w:val="none"/>
        </w:rPr>
      </w:pPr>
      <w:r>
        <w:rPr>
          <w:color w:val="auto"/>
          <w:highlight w:val="none"/>
        </w:rPr>
        <w:t>（4）澄清、说明或补正；</w:t>
      </w:r>
    </w:p>
    <w:p w14:paraId="2389AC80">
      <w:pPr>
        <w:spacing w:line="360" w:lineRule="auto"/>
        <w:ind w:firstLine="420" w:firstLineChars="200"/>
        <w:rPr>
          <w:color w:val="auto"/>
          <w:highlight w:val="none"/>
        </w:rPr>
      </w:pPr>
      <w:r>
        <w:rPr>
          <w:color w:val="auto"/>
          <w:highlight w:val="none"/>
        </w:rPr>
        <w:t>（5）推荐中标候选人或者直接确定中标人及提交评标报告。</w:t>
      </w:r>
    </w:p>
    <w:p w14:paraId="3F6D7585">
      <w:pPr>
        <w:pStyle w:val="3"/>
        <w:rPr>
          <w:color w:val="auto"/>
          <w:highlight w:val="none"/>
        </w:rPr>
      </w:pPr>
      <w:bookmarkStart w:id="122" w:name="_Toc24098"/>
      <w:r>
        <w:rPr>
          <w:color w:val="auto"/>
          <w:highlight w:val="none"/>
        </w:rPr>
        <w:t>A2 评标准备</w:t>
      </w:r>
      <w:bookmarkEnd w:id="122"/>
    </w:p>
    <w:p w14:paraId="44429E53">
      <w:pPr>
        <w:spacing w:line="360" w:lineRule="auto"/>
        <w:ind w:firstLine="420" w:firstLineChars="200"/>
        <w:rPr>
          <w:color w:val="auto"/>
          <w:highlight w:val="none"/>
        </w:rPr>
      </w:pPr>
      <w:r>
        <w:rPr>
          <w:color w:val="auto"/>
          <w:highlight w:val="none"/>
        </w:rPr>
        <w:t>A2.1 评标委员会成员签到</w:t>
      </w:r>
    </w:p>
    <w:p w14:paraId="736BEE21">
      <w:pPr>
        <w:spacing w:line="360" w:lineRule="auto"/>
        <w:ind w:firstLine="420" w:firstLineChars="200"/>
        <w:rPr>
          <w:color w:val="auto"/>
          <w:highlight w:val="none"/>
        </w:rPr>
      </w:pPr>
      <w:r>
        <w:rPr>
          <w:color w:val="auto"/>
          <w:highlight w:val="none"/>
        </w:rPr>
        <w:t>评标委员会成员到达评标现场时应在签到表上签到以证明其出席。</w:t>
      </w:r>
    </w:p>
    <w:p w14:paraId="13307F9F">
      <w:pPr>
        <w:spacing w:line="360" w:lineRule="auto"/>
        <w:ind w:firstLine="420" w:firstLineChars="200"/>
        <w:rPr>
          <w:color w:val="auto"/>
          <w:highlight w:val="none"/>
        </w:rPr>
      </w:pPr>
      <w:r>
        <w:rPr>
          <w:color w:val="auto"/>
          <w:highlight w:val="none"/>
        </w:rPr>
        <w:t>A2.2 评标委员会的组建和分工</w:t>
      </w:r>
    </w:p>
    <w:p w14:paraId="5D5EFE64">
      <w:pPr>
        <w:spacing w:line="360" w:lineRule="auto"/>
        <w:ind w:firstLine="420" w:firstLineChars="200"/>
        <w:rPr>
          <w:color w:val="auto"/>
          <w:highlight w:val="none"/>
        </w:rPr>
      </w:pPr>
      <w:r>
        <w:rPr>
          <w:rFonts w:hint="eastAsia" w:cs="宋体"/>
          <w:color w:val="auto"/>
          <w:highlight w:val="none"/>
        </w:rPr>
        <w:t>评标委员会应按照“投标人须知前附表”第</w:t>
      </w:r>
      <w:r>
        <w:rPr>
          <w:color w:val="auto"/>
          <w:highlight w:val="none"/>
        </w:rPr>
        <w:t>6.1</w:t>
      </w:r>
      <w:r>
        <w:rPr>
          <w:rFonts w:hint="eastAsia" w:cs="宋体"/>
          <w:color w:val="auto"/>
          <w:highlight w:val="none"/>
        </w:rPr>
        <w:t>条的规定组建。首先应通过电子评标系统以记名方式推选一名评标委员会主任。评标委员会主任负责评标活动的组织工作。当需要划分技术类、经济类评委时，应按照规定组建为技术组评委和经济组评委。招标人代表参加评标委员会的，应明确参加类别。</w:t>
      </w:r>
    </w:p>
    <w:p w14:paraId="15147262">
      <w:pPr>
        <w:spacing w:line="360" w:lineRule="auto"/>
        <w:ind w:firstLine="420" w:firstLineChars="200"/>
        <w:rPr>
          <w:color w:val="auto"/>
          <w:highlight w:val="none"/>
        </w:rPr>
      </w:pPr>
      <w:r>
        <w:rPr>
          <w:rFonts w:hint="eastAsia" w:cs="宋体"/>
          <w:color w:val="auto"/>
          <w:highlight w:val="none"/>
        </w:rPr>
        <w:t>在本附件的表述中，当评委划分为技术类、经济类时，除标明由技术类或经济类评委实施评审外，其余由评标委员会全体委员进行。</w:t>
      </w:r>
    </w:p>
    <w:p w14:paraId="670B887B">
      <w:pPr>
        <w:spacing w:line="360" w:lineRule="auto"/>
        <w:ind w:firstLine="420" w:firstLineChars="200"/>
        <w:rPr>
          <w:color w:val="auto"/>
          <w:highlight w:val="none"/>
        </w:rPr>
      </w:pPr>
      <w:r>
        <w:rPr>
          <w:color w:val="auto"/>
          <w:highlight w:val="none"/>
        </w:rPr>
        <w:t>A2.3 熟悉文件资料</w:t>
      </w:r>
    </w:p>
    <w:p w14:paraId="43D1BBB5">
      <w:pPr>
        <w:spacing w:line="360" w:lineRule="auto"/>
        <w:ind w:firstLine="420" w:firstLineChars="200"/>
        <w:rPr>
          <w:color w:val="auto"/>
          <w:highlight w:val="none"/>
        </w:rPr>
      </w:pPr>
      <w:r>
        <w:rPr>
          <w:color w:val="auto"/>
          <w:highlight w:val="none"/>
        </w:rPr>
        <w:t>A2.3.1 评标委员会主任应组织评标委员会成员认真研究招标文件，了解和熟悉招标目的、招标范围、主要合同条件、质量</w:t>
      </w:r>
      <w:r>
        <w:rPr>
          <w:rFonts w:hint="eastAsia"/>
          <w:color w:val="auto"/>
          <w:highlight w:val="none"/>
        </w:rPr>
        <w:t>要求</w:t>
      </w:r>
      <w:r>
        <w:rPr>
          <w:color w:val="auto"/>
          <w:highlight w:val="none"/>
        </w:rPr>
        <w:t>和</w:t>
      </w:r>
      <w:r>
        <w:rPr>
          <w:rFonts w:hint="eastAsia"/>
          <w:color w:val="auto"/>
          <w:highlight w:val="none"/>
        </w:rPr>
        <w:t>设计服务期限</w:t>
      </w:r>
      <w:r>
        <w:rPr>
          <w:color w:val="auto"/>
          <w:highlight w:val="none"/>
        </w:rPr>
        <w:t>要求等，掌握评标标准和方法，熟悉本章及附件中包括的评标表格的使用。</w:t>
      </w:r>
    </w:p>
    <w:p w14:paraId="62276891">
      <w:pPr>
        <w:spacing w:line="360" w:lineRule="auto"/>
        <w:ind w:firstLine="420" w:firstLineChars="200"/>
        <w:rPr>
          <w:color w:val="auto"/>
          <w:highlight w:val="none"/>
        </w:rPr>
      </w:pPr>
      <w:r>
        <w:rPr>
          <w:color w:val="auto"/>
          <w:highlight w:val="none"/>
        </w:rPr>
        <w:t>A2.3.2 招标人或招标代理机构应向评标委员会提供评标所需的信息和数据。</w:t>
      </w:r>
    </w:p>
    <w:p w14:paraId="61D43D96">
      <w:pPr>
        <w:pStyle w:val="3"/>
        <w:rPr>
          <w:color w:val="auto"/>
          <w:highlight w:val="none"/>
        </w:rPr>
      </w:pPr>
      <w:bookmarkStart w:id="123" w:name="_Toc4018"/>
      <w:r>
        <w:rPr>
          <w:color w:val="auto"/>
          <w:highlight w:val="none"/>
        </w:rPr>
        <w:t>A3 初步评审</w:t>
      </w:r>
      <w:bookmarkEnd w:id="123"/>
    </w:p>
    <w:p w14:paraId="67A7229B">
      <w:pPr>
        <w:spacing w:line="360" w:lineRule="auto"/>
        <w:ind w:firstLine="420" w:firstLineChars="200"/>
        <w:rPr>
          <w:color w:val="auto"/>
          <w:highlight w:val="none"/>
        </w:rPr>
      </w:pPr>
      <w:r>
        <w:rPr>
          <w:color w:val="auto"/>
          <w:highlight w:val="none"/>
        </w:rPr>
        <w:t>A3.</w:t>
      </w:r>
      <w:r>
        <w:rPr>
          <w:rFonts w:hint="eastAsia"/>
          <w:color w:val="auto"/>
          <w:highlight w:val="none"/>
          <w:lang w:val="en"/>
        </w:rPr>
        <w:t>1</w:t>
      </w:r>
      <w:r>
        <w:rPr>
          <w:color w:val="auto"/>
          <w:highlight w:val="none"/>
        </w:rPr>
        <w:t xml:space="preserve"> 资格评审</w:t>
      </w:r>
    </w:p>
    <w:p w14:paraId="219A9FD9">
      <w:pPr>
        <w:spacing w:line="360" w:lineRule="auto"/>
        <w:ind w:firstLine="420" w:firstLineChars="200"/>
        <w:rPr>
          <w:color w:val="auto"/>
          <w:highlight w:val="none"/>
        </w:rPr>
      </w:pPr>
      <w:r>
        <w:rPr>
          <w:color w:val="auto"/>
          <w:highlight w:val="none"/>
        </w:rPr>
        <w:t>评标委员会所有评委根据“评标办法前附表”中规定的评审因素和评审标准，对投标人的投标文件进行资格评审。</w:t>
      </w:r>
    </w:p>
    <w:p w14:paraId="1E407833">
      <w:pPr>
        <w:spacing w:line="360" w:lineRule="auto"/>
        <w:ind w:firstLine="420" w:firstLineChars="200"/>
        <w:rPr>
          <w:color w:val="auto"/>
          <w:highlight w:val="none"/>
        </w:rPr>
      </w:pPr>
      <w:r>
        <w:rPr>
          <w:color w:val="auto"/>
          <w:highlight w:val="none"/>
        </w:rPr>
        <w:t>A3.</w:t>
      </w:r>
      <w:r>
        <w:rPr>
          <w:rFonts w:hint="eastAsia"/>
          <w:color w:val="auto"/>
          <w:highlight w:val="none"/>
        </w:rPr>
        <w:t>2</w:t>
      </w:r>
      <w:r>
        <w:rPr>
          <w:color w:val="auto"/>
          <w:highlight w:val="none"/>
        </w:rPr>
        <w:t>形式评审</w:t>
      </w:r>
    </w:p>
    <w:p w14:paraId="42DBE255">
      <w:pPr>
        <w:spacing w:line="360" w:lineRule="auto"/>
        <w:ind w:firstLine="420" w:firstLineChars="200"/>
        <w:rPr>
          <w:color w:val="auto"/>
          <w:highlight w:val="none"/>
        </w:rPr>
      </w:pPr>
      <w:r>
        <w:rPr>
          <w:color w:val="auto"/>
          <w:highlight w:val="none"/>
        </w:rPr>
        <w:t>评标委员会所有评委根据“评标办法前附表”中规定的评审因素和评审标准，对投标人的投标文件进行形式评审。</w:t>
      </w:r>
    </w:p>
    <w:p w14:paraId="222F45F7">
      <w:pPr>
        <w:spacing w:line="360" w:lineRule="auto"/>
        <w:ind w:firstLine="420" w:firstLineChars="200"/>
        <w:rPr>
          <w:color w:val="auto"/>
          <w:highlight w:val="none"/>
        </w:rPr>
      </w:pPr>
      <w:r>
        <w:rPr>
          <w:color w:val="auto"/>
          <w:highlight w:val="none"/>
        </w:rPr>
        <w:t>A3.</w:t>
      </w:r>
      <w:r>
        <w:rPr>
          <w:rFonts w:hint="eastAsia"/>
          <w:color w:val="auto"/>
          <w:highlight w:val="none"/>
          <w:lang w:val="en"/>
        </w:rPr>
        <w:t>3</w:t>
      </w:r>
      <w:r>
        <w:rPr>
          <w:color w:val="auto"/>
          <w:highlight w:val="none"/>
        </w:rPr>
        <w:t xml:space="preserve"> 响应性评审</w:t>
      </w:r>
    </w:p>
    <w:p w14:paraId="5F90E6A8">
      <w:pPr>
        <w:spacing w:line="360" w:lineRule="auto"/>
        <w:ind w:firstLine="420" w:firstLineChars="200"/>
        <w:rPr>
          <w:color w:val="auto"/>
          <w:highlight w:val="none"/>
        </w:rPr>
      </w:pPr>
      <w:r>
        <w:rPr>
          <w:color w:val="auto"/>
          <w:highlight w:val="none"/>
        </w:rPr>
        <w:t>评标委员会所有评委根据“评标办法前附表”中规定的评审因素和评审标准，对投标人的投标文件进行响应性评审。</w:t>
      </w:r>
    </w:p>
    <w:p w14:paraId="75014D15">
      <w:pPr>
        <w:spacing w:line="360" w:lineRule="auto"/>
        <w:ind w:firstLine="420" w:firstLineChars="200"/>
        <w:rPr>
          <w:color w:val="auto"/>
          <w:highlight w:val="none"/>
        </w:rPr>
      </w:pPr>
      <w:r>
        <w:rPr>
          <w:color w:val="auto"/>
          <w:highlight w:val="none"/>
        </w:rPr>
        <w:t>A3.4 判断投标是否为否决投标</w:t>
      </w:r>
    </w:p>
    <w:p w14:paraId="5CE88252">
      <w:pPr>
        <w:spacing w:line="360" w:lineRule="auto"/>
        <w:ind w:firstLine="420" w:firstLineChars="200"/>
        <w:rPr>
          <w:color w:val="auto"/>
          <w:highlight w:val="none"/>
        </w:rPr>
      </w:pPr>
      <w:r>
        <w:rPr>
          <w:color w:val="auto"/>
          <w:highlight w:val="none"/>
        </w:rPr>
        <w:t>A3.4.1 判断投标人的投标是否为否决投标的全部条件（包括本章第3.1.2项中规定的条件），在本章附件B中集中列示。</w:t>
      </w:r>
    </w:p>
    <w:p w14:paraId="1843703D">
      <w:pPr>
        <w:spacing w:line="360" w:lineRule="auto"/>
        <w:ind w:firstLine="420" w:firstLineChars="200"/>
        <w:rPr>
          <w:color w:val="auto"/>
          <w:highlight w:val="none"/>
        </w:rPr>
      </w:pPr>
      <w:r>
        <w:rPr>
          <w:color w:val="auto"/>
          <w:highlight w:val="none"/>
        </w:rPr>
        <w:t>A3.4.2 本章附件B集中列示的否决投标条件不应与第二章“投标人须知”和本章正文部分包括的否决投标条件抵触，如果出现相互矛盾的情况，以第二章“投标人须知”和本章正文部分的规定为准。</w:t>
      </w:r>
    </w:p>
    <w:p w14:paraId="12CE793C">
      <w:pPr>
        <w:spacing w:line="360" w:lineRule="auto"/>
        <w:ind w:firstLine="420" w:firstLineChars="200"/>
        <w:rPr>
          <w:color w:val="auto"/>
          <w:highlight w:val="none"/>
        </w:rPr>
      </w:pPr>
      <w:r>
        <w:rPr>
          <w:color w:val="auto"/>
          <w:highlight w:val="none"/>
        </w:rPr>
        <w:t>A3.4.3 评标委员会在评标过程中，依据本章附件B中规定的否决投标条件判断投标人的投标是否为否决投标。</w:t>
      </w:r>
    </w:p>
    <w:p w14:paraId="4DF14A63">
      <w:pPr>
        <w:spacing w:line="360" w:lineRule="auto"/>
        <w:ind w:firstLine="420" w:firstLineChars="200"/>
        <w:rPr>
          <w:color w:val="auto"/>
          <w:highlight w:val="none"/>
        </w:rPr>
      </w:pPr>
      <w:r>
        <w:rPr>
          <w:color w:val="auto"/>
          <w:highlight w:val="none"/>
        </w:rPr>
        <w:t>A3.</w:t>
      </w:r>
      <w:r>
        <w:rPr>
          <w:rFonts w:hint="eastAsia"/>
          <w:color w:val="auto"/>
          <w:highlight w:val="none"/>
        </w:rPr>
        <w:t xml:space="preserve">5 </w:t>
      </w:r>
      <w:r>
        <w:rPr>
          <w:color w:val="auto"/>
          <w:highlight w:val="none"/>
        </w:rPr>
        <w:t>澄清、说明或补正</w:t>
      </w:r>
    </w:p>
    <w:p w14:paraId="24E41C39">
      <w:pPr>
        <w:spacing w:line="360" w:lineRule="auto"/>
        <w:ind w:firstLine="420" w:firstLineChars="200"/>
        <w:rPr>
          <w:color w:val="auto"/>
          <w:highlight w:val="none"/>
        </w:rPr>
      </w:pPr>
      <w:r>
        <w:rPr>
          <w:color w:val="auto"/>
          <w:highlight w:val="none"/>
        </w:rPr>
        <w:t>在初步评审过程中，评标委员会应当就投标文件中不明确的内容要求投标人进行澄清、说明或者补正。投标人应当根据问题澄清通知要求，以书面形式予以澄清、说明或者补正。澄清、说明或补正根据本章第3.3款的规定进行。</w:t>
      </w:r>
    </w:p>
    <w:p w14:paraId="7A544A7B">
      <w:pPr>
        <w:pStyle w:val="3"/>
        <w:rPr>
          <w:color w:val="auto"/>
          <w:highlight w:val="none"/>
        </w:rPr>
      </w:pPr>
      <w:bookmarkStart w:id="124" w:name="_Toc16820"/>
      <w:r>
        <w:rPr>
          <w:color w:val="auto"/>
          <w:highlight w:val="none"/>
        </w:rPr>
        <w:t>A4 详细评审</w:t>
      </w:r>
      <w:bookmarkEnd w:id="124"/>
    </w:p>
    <w:p w14:paraId="08236216">
      <w:pPr>
        <w:spacing w:line="360" w:lineRule="auto"/>
        <w:ind w:firstLine="420" w:firstLineChars="200"/>
        <w:rPr>
          <w:color w:val="auto"/>
          <w:highlight w:val="none"/>
        </w:rPr>
      </w:pPr>
      <w:r>
        <w:rPr>
          <w:color w:val="auto"/>
          <w:highlight w:val="none"/>
        </w:rPr>
        <w:t>只有通过了初步评审、被判定为合格的投标方可进入详细评审。</w:t>
      </w:r>
    </w:p>
    <w:p w14:paraId="4AC2E94D">
      <w:pPr>
        <w:spacing w:line="360" w:lineRule="auto"/>
        <w:ind w:firstLine="420" w:firstLineChars="200"/>
        <w:rPr>
          <w:color w:val="auto"/>
          <w:highlight w:val="none"/>
        </w:rPr>
      </w:pPr>
      <w:r>
        <w:rPr>
          <w:color w:val="auto"/>
          <w:highlight w:val="none"/>
        </w:rPr>
        <w:t>A4.</w:t>
      </w:r>
      <w:r>
        <w:rPr>
          <w:rFonts w:hint="eastAsia"/>
          <w:color w:val="auto"/>
          <w:highlight w:val="none"/>
        </w:rPr>
        <w:t>1</w:t>
      </w:r>
      <w:r>
        <w:rPr>
          <w:color w:val="auto"/>
          <w:highlight w:val="none"/>
        </w:rPr>
        <w:t xml:space="preserve"> 澄清、说明或补正</w:t>
      </w:r>
    </w:p>
    <w:p w14:paraId="6840C618">
      <w:pPr>
        <w:spacing w:line="360" w:lineRule="auto"/>
        <w:ind w:firstLine="420" w:firstLineChars="200"/>
        <w:rPr>
          <w:color w:val="auto"/>
          <w:highlight w:val="none"/>
        </w:rPr>
      </w:pPr>
      <w:r>
        <w:rPr>
          <w:color w:val="auto"/>
          <w:highlight w:val="none"/>
        </w:rPr>
        <w:t>在评审过程中，评标委员会应当就投标文件中不明确的内容要求投标人进行澄清、说明或者补正。投标人应当根据问题澄清通知要求，以书面形式予以澄清、说明或者补正。澄清、说明或补正根据本章第3.3款的规定进行。</w:t>
      </w:r>
    </w:p>
    <w:p w14:paraId="73C99028">
      <w:pPr>
        <w:spacing w:line="360" w:lineRule="auto"/>
        <w:ind w:firstLine="420" w:firstLineChars="200"/>
        <w:rPr>
          <w:color w:val="auto"/>
          <w:highlight w:val="none"/>
        </w:rPr>
      </w:pPr>
      <w:r>
        <w:rPr>
          <w:color w:val="auto"/>
          <w:highlight w:val="none"/>
        </w:rPr>
        <w:t>A4.</w:t>
      </w:r>
      <w:r>
        <w:rPr>
          <w:rFonts w:hint="eastAsia"/>
          <w:color w:val="auto"/>
          <w:highlight w:val="none"/>
        </w:rPr>
        <w:t>2</w:t>
      </w:r>
      <w:r>
        <w:rPr>
          <w:color w:val="auto"/>
          <w:highlight w:val="none"/>
        </w:rPr>
        <w:t xml:space="preserve"> 汇总评分结果</w:t>
      </w:r>
    </w:p>
    <w:p w14:paraId="02CE3D22">
      <w:pPr>
        <w:spacing w:line="360" w:lineRule="auto"/>
        <w:ind w:firstLine="420" w:firstLineChars="200"/>
        <w:rPr>
          <w:color w:val="auto"/>
          <w:highlight w:val="none"/>
        </w:rPr>
      </w:pPr>
      <w:r>
        <w:rPr>
          <w:color w:val="auto"/>
          <w:highlight w:val="none"/>
        </w:rPr>
        <w:t>详细评审工作全部结束后，</w:t>
      </w:r>
      <w:r>
        <w:rPr>
          <w:rFonts w:hint="eastAsia"/>
          <w:color w:val="auto"/>
          <w:highlight w:val="none"/>
        </w:rPr>
        <w:t>汇总</w:t>
      </w:r>
      <w:r>
        <w:rPr>
          <w:color w:val="auto"/>
          <w:highlight w:val="none"/>
        </w:rPr>
        <w:t>评标委员会</w:t>
      </w:r>
      <w:r>
        <w:rPr>
          <w:rFonts w:hint="eastAsia"/>
          <w:color w:val="auto"/>
          <w:highlight w:val="none"/>
        </w:rPr>
        <w:t>各</w:t>
      </w:r>
      <w:r>
        <w:rPr>
          <w:color w:val="auto"/>
          <w:highlight w:val="none"/>
        </w:rPr>
        <w:t>成员的详细评审评分结果，并按照详细评审最终</w:t>
      </w:r>
      <w:r>
        <w:rPr>
          <w:rFonts w:hint="eastAsia"/>
          <w:color w:val="auto"/>
          <w:highlight w:val="none"/>
        </w:rPr>
        <w:t>汇总</w:t>
      </w:r>
      <w:r>
        <w:rPr>
          <w:color w:val="auto"/>
          <w:highlight w:val="none"/>
        </w:rPr>
        <w:t>得分由高至低的次序对投标人进行排序。</w:t>
      </w:r>
    </w:p>
    <w:p w14:paraId="38443AB7">
      <w:pPr>
        <w:spacing w:line="360" w:lineRule="auto"/>
        <w:ind w:firstLine="420" w:firstLineChars="200"/>
        <w:rPr>
          <w:rFonts w:cs="宋体"/>
          <w:color w:val="auto"/>
          <w:highlight w:val="none"/>
        </w:rPr>
      </w:pPr>
      <w:r>
        <w:rPr>
          <w:rFonts w:hint="eastAsia" w:cs="宋体"/>
          <w:color w:val="auto"/>
          <w:highlight w:val="none"/>
        </w:rPr>
        <w:t>评标委员会评审评分结果统计应遵循下列原则：</w:t>
      </w:r>
    </w:p>
    <w:p w14:paraId="3A463633">
      <w:pPr>
        <w:spacing w:line="360" w:lineRule="auto"/>
        <w:ind w:firstLine="420" w:firstLineChars="200"/>
        <w:rPr>
          <w:rFonts w:cs="宋体"/>
          <w:color w:val="auto"/>
          <w:highlight w:val="none"/>
        </w:rPr>
      </w:pPr>
      <w:r>
        <w:rPr>
          <w:rFonts w:hint="eastAsia" w:cs="宋体"/>
          <w:color w:val="auto"/>
          <w:highlight w:val="none"/>
        </w:rPr>
        <w:t>（1）</w:t>
      </w:r>
      <w:r>
        <w:rPr>
          <w:rFonts w:cs="宋体"/>
          <w:color w:val="auto"/>
          <w:highlight w:val="none"/>
        </w:rPr>
        <w:t>每个评分项目（单项）的评分基准值为评标委员会成员评分的算术平均值。</w:t>
      </w:r>
    </w:p>
    <w:p w14:paraId="59BBA01A">
      <w:pPr>
        <w:spacing w:line="360" w:lineRule="auto"/>
        <w:ind w:firstLine="420" w:firstLineChars="200"/>
        <w:rPr>
          <w:color w:val="auto"/>
          <w:highlight w:val="none"/>
        </w:rPr>
      </w:pPr>
      <w:r>
        <w:rPr>
          <w:rFonts w:hint="eastAsia"/>
          <w:color w:val="auto"/>
          <w:highlight w:val="none"/>
        </w:rPr>
        <w:t>（2）每个评分项目</w:t>
      </w:r>
      <w:r>
        <w:rPr>
          <w:color w:val="auto"/>
          <w:highlight w:val="none"/>
        </w:rPr>
        <w:t>（单项）超出</w:t>
      </w:r>
      <w:r>
        <w:rPr>
          <w:rFonts w:hint="eastAsia"/>
          <w:color w:val="auto"/>
          <w:highlight w:val="none"/>
        </w:rPr>
        <w:t>该评分项目</w:t>
      </w:r>
      <w:r>
        <w:rPr>
          <w:color w:val="auto"/>
          <w:highlight w:val="none"/>
        </w:rPr>
        <w:t>评分基准值</w:t>
      </w:r>
      <w:r>
        <w:rPr>
          <w:rFonts w:hint="eastAsia"/>
          <w:color w:val="auto"/>
          <w:highlight w:val="none"/>
        </w:rPr>
        <w:t>±</w:t>
      </w:r>
      <w:r>
        <w:rPr>
          <w:color w:val="auto"/>
          <w:highlight w:val="none"/>
        </w:rPr>
        <w:t>30%（含30%）范围的</w:t>
      </w:r>
      <w:r>
        <w:rPr>
          <w:rFonts w:hint="eastAsia"/>
          <w:color w:val="auto"/>
          <w:highlight w:val="none"/>
        </w:rPr>
        <w:t>，该评委的</w:t>
      </w:r>
      <w:r>
        <w:rPr>
          <w:color w:val="auto"/>
          <w:highlight w:val="none"/>
        </w:rPr>
        <w:t>评分为无效评分。</w:t>
      </w:r>
    </w:p>
    <w:p w14:paraId="73CA49AB">
      <w:pPr>
        <w:spacing w:line="360" w:lineRule="auto"/>
        <w:ind w:firstLine="420" w:firstLineChars="200"/>
        <w:rPr>
          <w:color w:val="auto"/>
          <w:highlight w:val="none"/>
        </w:rPr>
      </w:pPr>
      <w:r>
        <w:rPr>
          <w:rFonts w:hint="eastAsia"/>
          <w:color w:val="auto"/>
          <w:highlight w:val="none"/>
        </w:rPr>
        <w:t>（3）投</w:t>
      </w:r>
      <w:r>
        <w:rPr>
          <w:color w:val="auto"/>
          <w:highlight w:val="none"/>
        </w:rPr>
        <w:t>标人每个评分项目（单项）的最终得分为评标委员会成员有效评分的算术平均值</w:t>
      </w:r>
      <w:r>
        <w:rPr>
          <w:rFonts w:hint="eastAsia"/>
          <w:color w:val="auto"/>
          <w:highlight w:val="none"/>
        </w:rPr>
        <w:t>；全部评委</w:t>
      </w:r>
      <w:r>
        <w:rPr>
          <w:color w:val="auto"/>
          <w:highlight w:val="none"/>
        </w:rPr>
        <w:t>评分</w:t>
      </w:r>
      <w:r>
        <w:rPr>
          <w:rFonts w:hint="eastAsia"/>
          <w:color w:val="auto"/>
          <w:highlight w:val="none"/>
        </w:rPr>
        <w:t>均</w:t>
      </w:r>
      <w:r>
        <w:rPr>
          <w:color w:val="auto"/>
          <w:highlight w:val="none"/>
        </w:rPr>
        <w:t>超出评分基准值</w:t>
      </w:r>
      <w:r>
        <w:rPr>
          <w:rFonts w:hint="eastAsia"/>
          <w:color w:val="auto"/>
          <w:highlight w:val="none"/>
        </w:rPr>
        <w:t>±</w:t>
      </w:r>
      <w:r>
        <w:rPr>
          <w:color w:val="auto"/>
          <w:highlight w:val="none"/>
        </w:rPr>
        <w:t>30%（含30%）范围</w:t>
      </w:r>
      <w:r>
        <w:rPr>
          <w:rFonts w:hint="eastAsia"/>
          <w:color w:val="auto"/>
          <w:highlight w:val="none"/>
        </w:rPr>
        <w:t>时，则认为所有评委的分值有效，投</w:t>
      </w:r>
      <w:r>
        <w:rPr>
          <w:color w:val="auto"/>
          <w:highlight w:val="none"/>
        </w:rPr>
        <w:t>标人</w:t>
      </w:r>
      <w:r>
        <w:rPr>
          <w:rFonts w:hint="eastAsia"/>
          <w:color w:val="auto"/>
          <w:highlight w:val="none"/>
        </w:rPr>
        <w:t>该</w:t>
      </w:r>
      <w:r>
        <w:rPr>
          <w:color w:val="auto"/>
          <w:highlight w:val="none"/>
        </w:rPr>
        <w:t>评分项目（单项）的最终得分为评分基准值。</w:t>
      </w:r>
    </w:p>
    <w:p w14:paraId="38813FB6">
      <w:pPr>
        <w:spacing w:line="360" w:lineRule="auto"/>
        <w:ind w:firstLine="420" w:firstLineChars="200"/>
        <w:rPr>
          <w:color w:val="auto"/>
          <w:highlight w:val="none"/>
        </w:rPr>
      </w:pPr>
      <w:r>
        <w:rPr>
          <w:rFonts w:hint="eastAsia"/>
          <w:color w:val="auto"/>
          <w:highlight w:val="none"/>
        </w:rPr>
        <w:t>（4）综合评估法资格评审也按上述原则统计分数。</w:t>
      </w:r>
    </w:p>
    <w:p w14:paraId="56B9EB27">
      <w:pPr>
        <w:pStyle w:val="3"/>
        <w:rPr>
          <w:color w:val="auto"/>
          <w:highlight w:val="none"/>
        </w:rPr>
      </w:pPr>
      <w:bookmarkStart w:id="125" w:name="_Toc16779"/>
      <w:r>
        <w:rPr>
          <w:color w:val="auto"/>
          <w:highlight w:val="none"/>
        </w:rPr>
        <w:t>A5 推荐中标候选人或者直接确定中标人</w:t>
      </w:r>
      <w:bookmarkEnd w:id="125"/>
    </w:p>
    <w:p w14:paraId="69D426D8">
      <w:pPr>
        <w:spacing w:line="360" w:lineRule="auto"/>
        <w:ind w:firstLine="420" w:firstLineChars="200"/>
        <w:rPr>
          <w:color w:val="auto"/>
          <w:highlight w:val="none"/>
        </w:rPr>
      </w:pPr>
      <w:r>
        <w:rPr>
          <w:color w:val="auto"/>
          <w:highlight w:val="none"/>
        </w:rPr>
        <w:t>A5.1 汇总评标结果</w:t>
      </w:r>
    </w:p>
    <w:p w14:paraId="1ED9A078">
      <w:pPr>
        <w:spacing w:line="360" w:lineRule="auto"/>
        <w:ind w:firstLine="420" w:firstLineChars="200"/>
        <w:rPr>
          <w:color w:val="auto"/>
          <w:highlight w:val="none"/>
        </w:rPr>
      </w:pPr>
      <w:r>
        <w:rPr>
          <w:color w:val="auto"/>
          <w:highlight w:val="none"/>
        </w:rPr>
        <w:t>初步评审和详细评审结束后，评标委员会对评标结果进行汇总。</w:t>
      </w:r>
    </w:p>
    <w:p w14:paraId="068AEF90">
      <w:pPr>
        <w:spacing w:line="360" w:lineRule="auto"/>
        <w:ind w:firstLine="420" w:firstLineChars="200"/>
        <w:rPr>
          <w:color w:val="auto"/>
          <w:highlight w:val="none"/>
        </w:rPr>
      </w:pPr>
      <w:r>
        <w:rPr>
          <w:color w:val="auto"/>
          <w:highlight w:val="none"/>
        </w:rPr>
        <w:t>A5.2 推荐中标候选人</w:t>
      </w:r>
    </w:p>
    <w:p w14:paraId="6C606BC4">
      <w:pPr>
        <w:spacing w:line="360" w:lineRule="auto"/>
        <w:ind w:firstLine="420" w:firstLineChars="200"/>
        <w:rPr>
          <w:color w:val="auto"/>
          <w:highlight w:val="none"/>
        </w:rPr>
      </w:pPr>
      <w:r>
        <w:rPr>
          <w:color w:val="auto"/>
          <w:highlight w:val="none"/>
        </w:rPr>
        <w:t>A5.2.1 除第二章“投标人须知前附表”授权直接确定中标人外，评标委员会在推荐中标候选人时，应遵照以下原则：</w:t>
      </w:r>
    </w:p>
    <w:p w14:paraId="5FBAC21B">
      <w:pPr>
        <w:spacing w:line="360" w:lineRule="auto"/>
        <w:ind w:firstLine="420" w:firstLineChars="200"/>
        <w:rPr>
          <w:color w:val="auto"/>
          <w:highlight w:val="none"/>
        </w:rPr>
      </w:pPr>
      <w:r>
        <w:rPr>
          <w:color w:val="auto"/>
          <w:highlight w:val="none"/>
        </w:rPr>
        <w:t>（1）评标委员会按照最终</w:t>
      </w:r>
      <w:r>
        <w:rPr>
          <w:rFonts w:hint="eastAsia"/>
          <w:color w:val="auto"/>
          <w:highlight w:val="none"/>
        </w:rPr>
        <w:t>汇总</w:t>
      </w:r>
      <w:r>
        <w:rPr>
          <w:color w:val="auto"/>
          <w:highlight w:val="none"/>
        </w:rPr>
        <w:t>得分由高到底的次序排列，根据第二章“投标人须知前附表”第7.1款的规定</w:t>
      </w:r>
      <w:r>
        <w:rPr>
          <w:rFonts w:hint="eastAsia"/>
          <w:color w:val="auto"/>
          <w:highlight w:val="none"/>
        </w:rPr>
        <w:t>及本章的规定</w:t>
      </w:r>
      <w:r>
        <w:rPr>
          <w:color w:val="auto"/>
          <w:highlight w:val="none"/>
        </w:rPr>
        <w:t>推荐中标候选人。</w:t>
      </w:r>
    </w:p>
    <w:p w14:paraId="53240EB7">
      <w:pPr>
        <w:spacing w:line="360" w:lineRule="auto"/>
        <w:ind w:firstLine="420" w:firstLineChars="200"/>
        <w:rPr>
          <w:color w:val="auto"/>
          <w:highlight w:val="none"/>
        </w:rPr>
      </w:pPr>
      <w:r>
        <w:rPr>
          <w:color w:val="auto"/>
          <w:highlight w:val="none"/>
        </w:rPr>
        <w:t>（2）如果评标委员会根据本章的规定作否决投标处理后，有效投标不足三个，且少于第二章</w:t>
      </w:r>
      <w:r>
        <w:rPr>
          <w:rFonts w:ascii="宋体" w:hAnsi="宋体"/>
          <w:color w:val="auto"/>
          <w:highlight w:val="none"/>
        </w:rPr>
        <w:t>“投标人须知前附表”</w:t>
      </w:r>
      <w:r>
        <w:rPr>
          <w:color w:val="auto"/>
          <w:highlight w:val="none"/>
        </w:rPr>
        <w:t>第7.1款规定的中标候选人数量的，</w:t>
      </w:r>
      <w:r>
        <w:rPr>
          <w:rFonts w:hint="eastAsia"/>
          <w:color w:val="auto"/>
          <w:highlight w:val="none"/>
        </w:rPr>
        <w:t>如经</w:t>
      </w:r>
      <w:r>
        <w:rPr>
          <w:color w:val="auto"/>
          <w:highlight w:val="none"/>
        </w:rPr>
        <w:t>评标委员</w:t>
      </w:r>
      <w:r>
        <w:rPr>
          <w:rFonts w:hint="eastAsia"/>
          <w:color w:val="auto"/>
          <w:highlight w:val="none"/>
        </w:rPr>
        <w:t>会评定仍具备竞争性的，</w:t>
      </w:r>
      <w:r>
        <w:rPr>
          <w:color w:val="auto"/>
          <w:highlight w:val="none"/>
        </w:rPr>
        <w:t>可以</w:t>
      </w:r>
      <w:r>
        <w:rPr>
          <w:rFonts w:hint="eastAsia"/>
          <w:color w:val="auto"/>
          <w:highlight w:val="none"/>
        </w:rPr>
        <w:t>继续评审，并</w:t>
      </w:r>
      <w:r>
        <w:rPr>
          <w:color w:val="auto"/>
          <w:highlight w:val="none"/>
        </w:rPr>
        <w:t>按</w:t>
      </w:r>
      <w:r>
        <w:rPr>
          <w:rFonts w:hint="eastAsia"/>
          <w:color w:val="auto"/>
          <w:highlight w:val="none"/>
        </w:rPr>
        <w:t>最终汇总</w:t>
      </w:r>
      <w:r>
        <w:rPr>
          <w:color w:val="auto"/>
          <w:highlight w:val="none"/>
        </w:rPr>
        <w:t>得分由高至低的次序作为中标候选人向招标人推荐。如果因</w:t>
      </w:r>
      <w:r>
        <w:rPr>
          <w:rFonts w:hint="eastAsia"/>
          <w:color w:val="auto"/>
          <w:highlight w:val="none"/>
        </w:rPr>
        <w:t>评标委员会否决投标后</w:t>
      </w:r>
      <w:r>
        <w:rPr>
          <w:color w:val="auto"/>
          <w:highlight w:val="none"/>
        </w:rPr>
        <w:t>有效投标不足三个</w:t>
      </w:r>
      <w:r>
        <w:rPr>
          <w:rFonts w:hint="eastAsia"/>
          <w:color w:val="auto"/>
          <w:highlight w:val="none"/>
        </w:rPr>
        <w:t>且评标委员会评定</w:t>
      </w:r>
      <w:r>
        <w:rPr>
          <w:color w:val="auto"/>
          <w:highlight w:val="none"/>
        </w:rPr>
        <w:t>明显缺乏竞争的，评标委员会可以</w:t>
      </w:r>
      <w:r>
        <w:rPr>
          <w:rFonts w:hint="eastAsia"/>
          <w:color w:val="auto"/>
          <w:highlight w:val="none"/>
        </w:rPr>
        <w:t>否决所有投标</w:t>
      </w:r>
      <w:r>
        <w:rPr>
          <w:color w:val="auto"/>
          <w:highlight w:val="none"/>
        </w:rPr>
        <w:t>。</w:t>
      </w:r>
    </w:p>
    <w:p w14:paraId="0D6877AA">
      <w:pPr>
        <w:spacing w:line="360" w:lineRule="auto"/>
        <w:ind w:firstLine="420" w:firstLineChars="200"/>
        <w:rPr>
          <w:color w:val="auto"/>
          <w:highlight w:val="none"/>
        </w:rPr>
      </w:pPr>
      <w:r>
        <w:rPr>
          <w:color w:val="auto"/>
          <w:highlight w:val="none"/>
        </w:rPr>
        <w:t>A5.2.2 投标截止时间前递交投标文件的投标人数量少于三个或者所有投标被否决的，招标人应当依法重新招标。</w:t>
      </w:r>
    </w:p>
    <w:p w14:paraId="21E8DFB9">
      <w:pPr>
        <w:spacing w:line="360" w:lineRule="auto"/>
        <w:ind w:firstLine="420" w:firstLineChars="200"/>
        <w:rPr>
          <w:color w:val="auto"/>
          <w:highlight w:val="none"/>
        </w:rPr>
      </w:pPr>
      <w:r>
        <w:rPr>
          <w:color w:val="auto"/>
          <w:highlight w:val="none"/>
        </w:rPr>
        <w:t>A5.3 直接确定中标人</w:t>
      </w:r>
    </w:p>
    <w:p w14:paraId="7569567E">
      <w:pPr>
        <w:spacing w:line="360" w:lineRule="auto"/>
        <w:ind w:firstLine="420" w:firstLineChars="200"/>
        <w:rPr>
          <w:color w:val="auto"/>
          <w:highlight w:val="none"/>
        </w:rPr>
      </w:pPr>
      <w:r>
        <w:rPr>
          <w:color w:val="auto"/>
          <w:highlight w:val="none"/>
        </w:rPr>
        <w:t>第二章“投标人须知前附表”授权评标委员会直接确定中标人的，评标委员会对有效的投标按照</w:t>
      </w:r>
      <w:r>
        <w:rPr>
          <w:rFonts w:hint="eastAsia"/>
          <w:color w:val="auto"/>
          <w:highlight w:val="none"/>
        </w:rPr>
        <w:t>最终综合</w:t>
      </w:r>
      <w:r>
        <w:rPr>
          <w:color w:val="auto"/>
          <w:highlight w:val="none"/>
        </w:rPr>
        <w:t>得分由高至低的次序排列，</w:t>
      </w:r>
      <w:r>
        <w:rPr>
          <w:rFonts w:hint="eastAsia"/>
          <w:color w:val="auto"/>
          <w:highlight w:val="none"/>
        </w:rPr>
        <w:t>按照本章的规定直接确定</w:t>
      </w:r>
      <w:r>
        <w:rPr>
          <w:color w:val="auto"/>
          <w:highlight w:val="none"/>
        </w:rPr>
        <w:t>中标人。</w:t>
      </w:r>
    </w:p>
    <w:p w14:paraId="120C1568">
      <w:pPr>
        <w:spacing w:line="360" w:lineRule="auto"/>
        <w:ind w:firstLine="420" w:firstLineChars="200"/>
        <w:rPr>
          <w:color w:val="auto"/>
          <w:highlight w:val="none"/>
        </w:rPr>
      </w:pPr>
      <w:r>
        <w:rPr>
          <w:color w:val="auto"/>
          <w:highlight w:val="none"/>
        </w:rPr>
        <w:t>A5.4</w:t>
      </w:r>
      <w:r>
        <w:rPr>
          <w:rFonts w:hint="eastAsia"/>
          <w:color w:val="auto"/>
          <w:highlight w:val="none"/>
        </w:rPr>
        <w:t xml:space="preserve"> </w:t>
      </w:r>
      <w:r>
        <w:rPr>
          <w:color w:val="auto"/>
          <w:highlight w:val="none"/>
        </w:rPr>
        <w:t>编制及提交评标报告</w:t>
      </w:r>
    </w:p>
    <w:p w14:paraId="1D31BEF7">
      <w:pPr>
        <w:spacing w:line="360" w:lineRule="auto"/>
        <w:ind w:firstLine="420" w:firstLineChars="200"/>
        <w:rPr>
          <w:color w:val="auto"/>
          <w:highlight w:val="none"/>
        </w:rPr>
      </w:pPr>
      <w:r>
        <w:rPr>
          <w:color w:val="auto"/>
          <w:highlight w:val="none"/>
        </w:rPr>
        <w:t>评标委员会应向招标人提交评标报告。评标报告应当由全体评标委员会成员签字，一式三份，招标人、招标代理人、招投标监督管理部门各一份。评标报告应当包括</w:t>
      </w:r>
      <w:r>
        <w:rPr>
          <w:rFonts w:hint="eastAsia"/>
          <w:color w:val="auto"/>
          <w:highlight w:val="none"/>
        </w:rPr>
        <w:t>但不限于</w:t>
      </w:r>
      <w:r>
        <w:rPr>
          <w:color w:val="auto"/>
          <w:highlight w:val="none"/>
        </w:rPr>
        <w:t>以下内容：</w:t>
      </w:r>
    </w:p>
    <w:p w14:paraId="44CB32FC">
      <w:pPr>
        <w:spacing w:line="360" w:lineRule="auto"/>
        <w:ind w:firstLine="420" w:firstLineChars="200"/>
        <w:rPr>
          <w:color w:val="auto"/>
          <w:highlight w:val="none"/>
        </w:rPr>
      </w:pPr>
      <w:r>
        <w:rPr>
          <w:color w:val="auto"/>
          <w:highlight w:val="none"/>
        </w:rPr>
        <w:t>（1）基本情况和数据表；</w:t>
      </w:r>
    </w:p>
    <w:p w14:paraId="45BCFCD3">
      <w:pPr>
        <w:spacing w:line="360" w:lineRule="auto"/>
        <w:ind w:firstLine="420" w:firstLineChars="200"/>
        <w:rPr>
          <w:color w:val="auto"/>
          <w:highlight w:val="none"/>
        </w:rPr>
      </w:pPr>
      <w:r>
        <w:rPr>
          <w:color w:val="auto"/>
          <w:highlight w:val="none"/>
        </w:rPr>
        <w:t>（2）评标委员会成员名单；</w:t>
      </w:r>
    </w:p>
    <w:p w14:paraId="0F3D5BEA">
      <w:pPr>
        <w:spacing w:line="360" w:lineRule="auto"/>
        <w:ind w:firstLine="420" w:firstLineChars="200"/>
        <w:rPr>
          <w:color w:val="auto"/>
          <w:highlight w:val="none"/>
        </w:rPr>
      </w:pPr>
      <w:r>
        <w:rPr>
          <w:color w:val="auto"/>
          <w:highlight w:val="none"/>
        </w:rPr>
        <w:t>（3）开标记录；</w:t>
      </w:r>
    </w:p>
    <w:p w14:paraId="67C118AB">
      <w:pPr>
        <w:spacing w:line="360" w:lineRule="auto"/>
        <w:ind w:firstLine="420" w:firstLineChars="200"/>
        <w:rPr>
          <w:color w:val="auto"/>
          <w:highlight w:val="none"/>
        </w:rPr>
      </w:pPr>
      <w:r>
        <w:rPr>
          <w:color w:val="auto"/>
          <w:highlight w:val="none"/>
        </w:rPr>
        <w:t>（4）符合要求的投标一览表；</w:t>
      </w:r>
    </w:p>
    <w:p w14:paraId="480F754D">
      <w:pPr>
        <w:spacing w:line="360" w:lineRule="auto"/>
        <w:ind w:firstLine="420" w:firstLineChars="200"/>
        <w:rPr>
          <w:color w:val="auto"/>
          <w:highlight w:val="none"/>
        </w:rPr>
      </w:pPr>
      <w:r>
        <w:rPr>
          <w:color w:val="auto"/>
          <w:highlight w:val="none"/>
        </w:rPr>
        <w:t>（5）否决投标情况说明；</w:t>
      </w:r>
    </w:p>
    <w:p w14:paraId="0379B7D7">
      <w:pPr>
        <w:spacing w:line="360" w:lineRule="auto"/>
        <w:ind w:firstLine="420" w:firstLineChars="200"/>
        <w:rPr>
          <w:color w:val="auto"/>
          <w:highlight w:val="none"/>
        </w:rPr>
      </w:pPr>
      <w:r>
        <w:rPr>
          <w:color w:val="auto"/>
          <w:highlight w:val="none"/>
        </w:rPr>
        <w:t>（6）评标标准、评标方法或者评标因素一览表；</w:t>
      </w:r>
    </w:p>
    <w:p w14:paraId="7FFEE194">
      <w:pPr>
        <w:spacing w:line="360" w:lineRule="auto"/>
        <w:ind w:firstLine="420" w:firstLineChars="200"/>
        <w:rPr>
          <w:color w:val="auto"/>
          <w:highlight w:val="none"/>
        </w:rPr>
      </w:pPr>
      <w:r>
        <w:rPr>
          <w:color w:val="auto"/>
          <w:highlight w:val="none"/>
        </w:rPr>
        <w:t>（7）经评审的价格一览表（包括评标委员会在评标过程中所形成的所有记载评标结果、结论的表格、说明、记录等文件）：</w:t>
      </w:r>
    </w:p>
    <w:p w14:paraId="04B8340E">
      <w:pPr>
        <w:spacing w:line="360" w:lineRule="auto"/>
        <w:ind w:firstLine="420" w:firstLineChars="200"/>
        <w:rPr>
          <w:color w:val="auto"/>
          <w:highlight w:val="none"/>
        </w:rPr>
      </w:pPr>
      <w:r>
        <w:rPr>
          <w:color w:val="auto"/>
          <w:highlight w:val="none"/>
        </w:rPr>
        <w:t>（8）经评审的投标人排序；</w:t>
      </w:r>
    </w:p>
    <w:p w14:paraId="6CED19D6">
      <w:pPr>
        <w:spacing w:line="360" w:lineRule="auto"/>
        <w:ind w:firstLine="420" w:firstLineChars="200"/>
        <w:rPr>
          <w:color w:val="auto"/>
          <w:highlight w:val="none"/>
        </w:rPr>
      </w:pPr>
      <w:r>
        <w:rPr>
          <w:color w:val="auto"/>
          <w:highlight w:val="none"/>
        </w:rPr>
        <w:t>（9）推荐的中标候选人名单（如果第二章“投标人须知”前附表授权评标委员会直接确定中标人，则为“确定的中标人”）与签订合同前要处理的事宜；</w:t>
      </w:r>
    </w:p>
    <w:p w14:paraId="4F7CC146">
      <w:pPr>
        <w:spacing w:line="360" w:lineRule="auto"/>
        <w:ind w:firstLine="420" w:firstLineChars="200"/>
        <w:rPr>
          <w:color w:val="auto"/>
          <w:highlight w:val="none"/>
        </w:rPr>
      </w:pPr>
      <w:r>
        <w:rPr>
          <w:color w:val="auto"/>
          <w:highlight w:val="none"/>
        </w:rPr>
        <w:t>（10）澄清、说明或补正事项纪要。</w:t>
      </w:r>
    </w:p>
    <w:p w14:paraId="483DA2F5">
      <w:pPr>
        <w:pStyle w:val="3"/>
        <w:rPr>
          <w:color w:val="auto"/>
          <w:highlight w:val="none"/>
        </w:rPr>
      </w:pPr>
      <w:bookmarkStart w:id="126" w:name="_Toc677"/>
      <w:r>
        <w:rPr>
          <w:color w:val="auto"/>
          <w:highlight w:val="none"/>
        </w:rPr>
        <w:t>A6 特殊情况的处置程序</w:t>
      </w:r>
      <w:bookmarkEnd w:id="126"/>
    </w:p>
    <w:p w14:paraId="6AC17750">
      <w:pPr>
        <w:spacing w:line="360" w:lineRule="auto"/>
        <w:ind w:firstLine="420" w:firstLineChars="200"/>
        <w:rPr>
          <w:color w:val="auto"/>
          <w:highlight w:val="none"/>
        </w:rPr>
      </w:pPr>
      <w:r>
        <w:rPr>
          <w:color w:val="auto"/>
          <w:highlight w:val="none"/>
        </w:rPr>
        <w:t>A6.1 关于评标活动暂停</w:t>
      </w:r>
    </w:p>
    <w:p w14:paraId="2B9B67CE">
      <w:pPr>
        <w:spacing w:line="360" w:lineRule="auto"/>
        <w:ind w:firstLine="420" w:firstLineChars="200"/>
        <w:rPr>
          <w:color w:val="auto"/>
          <w:highlight w:val="none"/>
        </w:rPr>
      </w:pPr>
      <w:r>
        <w:rPr>
          <w:color w:val="auto"/>
          <w:highlight w:val="none"/>
        </w:rPr>
        <w:t>A6.1.1 评标委员会应当执行连续评标的原则，按评标办法中规定的程序、内容、方法、标准完成全部评标工作。只有发生不可抗力导致评标工作无法继续时，评标活动方可暂停。</w:t>
      </w:r>
    </w:p>
    <w:p w14:paraId="3239CC4B">
      <w:pPr>
        <w:spacing w:line="360" w:lineRule="auto"/>
        <w:ind w:firstLine="420" w:firstLineChars="200"/>
        <w:rPr>
          <w:color w:val="auto"/>
          <w:highlight w:val="none"/>
        </w:rPr>
      </w:pPr>
      <w:r>
        <w:rPr>
          <w:color w:val="auto"/>
          <w:highlight w:val="none"/>
        </w:rPr>
        <w:t>A6.1.2 发生评标暂停情况时，评标委员会应当封存全部投标文件和评标记录，待不可抗力的影响结束且具备继续评标的条件时，由原评标委员会继续评标。</w:t>
      </w:r>
    </w:p>
    <w:p w14:paraId="12F7B644">
      <w:pPr>
        <w:spacing w:line="360" w:lineRule="auto"/>
        <w:ind w:firstLine="420" w:firstLineChars="200"/>
        <w:rPr>
          <w:color w:val="auto"/>
          <w:highlight w:val="none"/>
        </w:rPr>
      </w:pPr>
      <w:r>
        <w:rPr>
          <w:color w:val="auto"/>
          <w:highlight w:val="none"/>
        </w:rPr>
        <w:t>A6.2 关于评标中途更换评标委员会成员</w:t>
      </w:r>
    </w:p>
    <w:p w14:paraId="388EBAD9">
      <w:pPr>
        <w:spacing w:line="360" w:lineRule="auto"/>
        <w:ind w:firstLine="420" w:firstLineChars="200"/>
        <w:rPr>
          <w:color w:val="auto"/>
          <w:highlight w:val="none"/>
        </w:rPr>
      </w:pPr>
      <w:r>
        <w:rPr>
          <w:color w:val="auto"/>
          <w:highlight w:val="none"/>
        </w:rPr>
        <w:t>A6.2.1 除非发生下列情况之一，评标委员会成员不得在评标中途更换：</w:t>
      </w:r>
    </w:p>
    <w:p w14:paraId="5964FACC">
      <w:pPr>
        <w:spacing w:line="360" w:lineRule="auto"/>
        <w:ind w:firstLine="420" w:firstLineChars="200"/>
        <w:rPr>
          <w:color w:val="auto"/>
          <w:highlight w:val="none"/>
        </w:rPr>
      </w:pPr>
      <w:r>
        <w:rPr>
          <w:color w:val="auto"/>
          <w:highlight w:val="none"/>
        </w:rPr>
        <w:t>（1）因不可抗拒的客观原因，不能到场或需在评标中途退出评标活动。</w:t>
      </w:r>
    </w:p>
    <w:p w14:paraId="30166319">
      <w:pPr>
        <w:spacing w:line="360" w:lineRule="auto"/>
        <w:ind w:firstLine="420" w:firstLineChars="200"/>
        <w:rPr>
          <w:color w:val="auto"/>
          <w:highlight w:val="none"/>
        </w:rPr>
      </w:pPr>
      <w:r>
        <w:rPr>
          <w:color w:val="auto"/>
          <w:highlight w:val="none"/>
        </w:rPr>
        <w:t>（2）根据法律法规规定，某个或某几个评标委员会成员需要回避。</w:t>
      </w:r>
    </w:p>
    <w:p w14:paraId="7B0FAA18">
      <w:pPr>
        <w:spacing w:line="360" w:lineRule="auto"/>
        <w:ind w:firstLine="420" w:firstLineChars="200"/>
        <w:rPr>
          <w:color w:val="auto"/>
          <w:highlight w:val="none"/>
        </w:rPr>
      </w:pPr>
      <w:r>
        <w:rPr>
          <w:color w:val="auto"/>
          <w:highlight w:val="none"/>
        </w:rPr>
        <w:t>A6.2.2 退出评标的评标委员会成员，其已完成的评标行为无效。由招标人根据本招标文件规定的评标委员会成员产生方式另行确定替代者进行评标。</w:t>
      </w:r>
    </w:p>
    <w:p w14:paraId="622B5DD9">
      <w:pPr>
        <w:spacing w:line="360" w:lineRule="auto"/>
        <w:ind w:firstLine="420" w:firstLineChars="200"/>
        <w:rPr>
          <w:color w:val="auto"/>
          <w:highlight w:val="none"/>
        </w:rPr>
      </w:pPr>
      <w:r>
        <w:rPr>
          <w:color w:val="auto"/>
          <w:highlight w:val="none"/>
        </w:rPr>
        <w:t>A6.3 记名投票</w:t>
      </w:r>
    </w:p>
    <w:p w14:paraId="18F786CD">
      <w:pPr>
        <w:spacing w:line="360" w:lineRule="auto"/>
        <w:ind w:firstLine="420" w:firstLineChars="200"/>
        <w:rPr>
          <w:color w:val="auto"/>
          <w:highlight w:val="none"/>
        </w:rPr>
      </w:pPr>
      <w:r>
        <w:rPr>
          <w:color w:val="auto"/>
          <w:highlight w:val="none"/>
        </w:rPr>
        <w:t>在任何评标环节中，需评标委员会就某项定性的评审结论做出表决的，由评标委员会全体成员按照少数服从多数的原则，以记名投票方式表决。</w:t>
      </w:r>
    </w:p>
    <w:p w14:paraId="660F6346">
      <w:pPr>
        <w:pStyle w:val="3"/>
        <w:rPr>
          <w:color w:val="auto"/>
          <w:highlight w:val="none"/>
        </w:rPr>
      </w:pPr>
      <w:bookmarkStart w:id="127" w:name="_Toc14055"/>
      <w:r>
        <w:rPr>
          <w:color w:val="auto"/>
          <w:highlight w:val="none"/>
        </w:rPr>
        <w:t>A7 补充条款</w:t>
      </w:r>
      <w:bookmarkEnd w:id="127"/>
    </w:p>
    <w:p w14:paraId="2A9BEFAC">
      <w:pPr>
        <w:spacing w:line="360" w:lineRule="auto"/>
        <w:ind w:firstLine="420" w:firstLineChars="200"/>
        <w:rPr>
          <w:color w:val="auto"/>
          <w:highlight w:val="none"/>
        </w:rPr>
      </w:pPr>
      <w:r>
        <w:rPr>
          <w:color w:val="auto"/>
          <w:highlight w:val="none"/>
        </w:rPr>
        <w:t>根据《评标委员会和评标方法暂行规定》《评标专家和评标专家库管理暂行办法》等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32D60488">
      <w:pPr>
        <w:pStyle w:val="2"/>
        <w:rPr>
          <w:color w:val="auto"/>
          <w:highlight w:val="none"/>
        </w:rPr>
      </w:pPr>
      <w:r>
        <w:rPr>
          <w:color w:val="auto"/>
          <w:highlight w:val="none"/>
        </w:rPr>
        <w:br w:type="page"/>
      </w:r>
      <w:bookmarkStart w:id="128" w:name="_Toc18206"/>
      <w:r>
        <w:rPr>
          <w:color w:val="auto"/>
          <w:highlight w:val="none"/>
        </w:rPr>
        <w:t>附件B</w:t>
      </w:r>
      <w:r>
        <w:rPr>
          <w:rFonts w:hint="eastAsia"/>
          <w:color w:val="auto"/>
          <w:highlight w:val="none"/>
        </w:rPr>
        <w:t xml:space="preserve">  </w:t>
      </w:r>
      <w:r>
        <w:rPr>
          <w:color w:val="auto"/>
          <w:highlight w:val="none"/>
        </w:rPr>
        <w:t>否决投标条件</w:t>
      </w:r>
      <w:bookmarkEnd w:id="128"/>
    </w:p>
    <w:p w14:paraId="05F8D31E">
      <w:pPr>
        <w:pStyle w:val="3"/>
        <w:rPr>
          <w:color w:val="auto"/>
          <w:highlight w:val="none"/>
        </w:rPr>
      </w:pPr>
      <w:bookmarkStart w:id="129" w:name="_Toc5235"/>
      <w:r>
        <w:rPr>
          <w:color w:val="auto"/>
          <w:highlight w:val="none"/>
        </w:rPr>
        <w:t xml:space="preserve">B0 </w:t>
      </w:r>
      <w:r>
        <w:rPr>
          <w:rFonts w:hint="eastAsia"/>
          <w:color w:val="auto"/>
          <w:highlight w:val="none"/>
        </w:rPr>
        <w:t>总</w:t>
      </w:r>
      <w:r>
        <w:rPr>
          <w:color w:val="auto"/>
          <w:highlight w:val="none"/>
        </w:rPr>
        <w:t xml:space="preserve">  </w:t>
      </w:r>
      <w:r>
        <w:rPr>
          <w:rFonts w:hint="eastAsia"/>
          <w:color w:val="auto"/>
          <w:highlight w:val="none"/>
        </w:rPr>
        <w:t>则</w:t>
      </w:r>
      <w:bookmarkEnd w:id="129"/>
    </w:p>
    <w:p w14:paraId="45B32CF6">
      <w:pPr>
        <w:spacing w:line="360" w:lineRule="auto"/>
        <w:ind w:firstLine="420" w:firstLineChars="200"/>
        <w:rPr>
          <w:color w:val="auto"/>
          <w:highlight w:val="none"/>
        </w:rPr>
      </w:pPr>
      <w:r>
        <w:rPr>
          <w:rFonts w:hint="eastAsia"/>
          <w:color w:val="auto"/>
          <w:highlight w:val="none"/>
        </w:rPr>
        <w:t>本附件所集中列示的否决投标条件，是本章</w:t>
      </w:r>
      <w:r>
        <w:rPr>
          <w:color w:val="auto"/>
          <w:highlight w:val="none"/>
        </w:rPr>
        <w:t>“</w:t>
      </w:r>
      <w:r>
        <w:rPr>
          <w:rFonts w:hint="eastAsia"/>
          <w:color w:val="auto"/>
          <w:highlight w:val="none"/>
        </w:rPr>
        <w:t>评标办法</w:t>
      </w:r>
      <w:r>
        <w:rPr>
          <w:color w:val="auto"/>
          <w:highlight w:val="none"/>
        </w:rPr>
        <w:t>”</w:t>
      </w:r>
      <w:r>
        <w:rPr>
          <w:rFonts w:hint="eastAsia"/>
          <w:color w:val="auto"/>
          <w:highlight w:val="none"/>
        </w:rPr>
        <w:t>的组成部分，是对第二章</w:t>
      </w:r>
      <w:r>
        <w:rPr>
          <w:color w:val="auto"/>
          <w:highlight w:val="none"/>
        </w:rPr>
        <w:t>“</w:t>
      </w:r>
      <w:r>
        <w:rPr>
          <w:rFonts w:hint="eastAsia"/>
          <w:color w:val="auto"/>
          <w:highlight w:val="none"/>
        </w:rPr>
        <w:t>投标人须知</w:t>
      </w:r>
      <w:r>
        <w:rPr>
          <w:color w:val="auto"/>
          <w:highlight w:val="none"/>
        </w:rPr>
        <w:t>”</w:t>
      </w:r>
      <w:r>
        <w:rPr>
          <w:rFonts w:hint="eastAsia"/>
          <w:color w:val="auto"/>
          <w:highlight w:val="none"/>
        </w:rPr>
        <w:t>和本章正文部分所规定的否决投标条件的总结和补充，如果出现相互矛盾的情况，以第二章</w:t>
      </w:r>
      <w:r>
        <w:rPr>
          <w:color w:val="auto"/>
          <w:highlight w:val="none"/>
        </w:rPr>
        <w:t>“</w:t>
      </w:r>
      <w:r>
        <w:rPr>
          <w:rFonts w:hint="eastAsia"/>
          <w:color w:val="auto"/>
          <w:highlight w:val="none"/>
        </w:rPr>
        <w:t>投标人须知</w:t>
      </w:r>
      <w:r>
        <w:rPr>
          <w:color w:val="auto"/>
          <w:highlight w:val="none"/>
        </w:rPr>
        <w:t>”</w:t>
      </w:r>
      <w:r>
        <w:rPr>
          <w:rFonts w:hint="eastAsia"/>
          <w:color w:val="auto"/>
          <w:highlight w:val="none"/>
        </w:rPr>
        <w:t>和本章正文部分的规定为准。</w:t>
      </w:r>
    </w:p>
    <w:p w14:paraId="245A14CC">
      <w:pPr>
        <w:pStyle w:val="3"/>
        <w:rPr>
          <w:color w:val="auto"/>
          <w:highlight w:val="none"/>
        </w:rPr>
      </w:pPr>
      <w:bookmarkStart w:id="130" w:name="_Toc25525"/>
      <w:r>
        <w:rPr>
          <w:color w:val="auto"/>
          <w:highlight w:val="none"/>
        </w:rPr>
        <w:t xml:space="preserve">B1 </w:t>
      </w:r>
      <w:r>
        <w:rPr>
          <w:rFonts w:hint="eastAsia"/>
          <w:color w:val="auto"/>
          <w:highlight w:val="none"/>
        </w:rPr>
        <w:t>否决投标条件</w:t>
      </w:r>
      <w:bookmarkEnd w:id="130"/>
    </w:p>
    <w:p w14:paraId="43A66EEB">
      <w:pPr>
        <w:spacing w:line="360" w:lineRule="auto"/>
        <w:ind w:firstLine="420" w:firstLineChars="200"/>
        <w:rPr>
          <w:color w:val="auto"/>
          <w:highlight w:val="none"/>
        </w:rPr>
      </w:pPr>
      <w:r>
        <w:rPr>
          <w:rFonts w:hint="eastAsia"/>
          <w:color w:val="auto"/>
          <w:highlight w:val="none"/>
        </w:rPr>
        <w:t>投标人或其投标文件有下列情形之一的，其投标作否决投标处理：</w:t>
      </w:r>
    </w:p>
    <w:p w14:paraId="7BD6C686">
      <w:pPr>
        <w:spacing w:line="360" w:lineRule="auto"/>
        <w:ind w:firstLine="420" w:firstLineChars="200"/>
        <w:rPr>
          <w:color w:val="auto"/>
          <w:highlight w:val="none"/>
        </w:rPr>
      </w:pPr>
      <w:r>
        <w:rPr>
          <w:color w:val="auto"/>
          <w:highlight w:val="none"/>
        </w:rPr>
        <w:t xml:space="preserve">B1.1 </w:t>
      </w:r>
      <w:r>
        <w:rPr>
          <w:rFonts w:hint="eastAsia"/>
          <w:color w:val="auto"/>
          <w:highlight w:val="none"/>
        </w:rPr>
        <w:t>有第二章</w:t>
      </w:r>
      <w:r>
        <w:rPr>
          <w:color w:val="auto"/>
          <w:highlight w:val="none"/>
        </w:rPr>
        <w:t>“</w:t>
      </w:r>
      <w:r>
        <w:rPr>
          <w:rFonts w:hint="eastAsia"/>
          <w:color w:val="auto"/>
          <w:highlight w:val="none"/>
        </w:rPr>
        <w:t>投标人须知</w:t>
      </w:r>
      <w:r>
        <w:rPr>
          <w:color w:val="auto"/>
          <w:highlight w:val="none"/>
        </w:rPr>
        <w:t>”</w:t>
      </w:r>
      <w:r>
        <w:rPr>
          <w:rFonts w:hint="eastAsia"/>
          <w:color w:val="auto"/>
          <w:highlight w:val="none"/>
        </w:rPr>
        <w:t>第</w:t>
      </w:r>
      <w:r>
        <w:rPr>
          <w:color w:val="auto"/>
          <w:highlight w:val="none"/>
        </w:rPr>
        <w:t>1.4.3</w:t>
      </w:r>
      <w:r>
        <w:rPr>
          <w:rFonts w:hint="eastAsia"/>
          <w:color w:val="auto"/>
          <w:highlight w:val="none"/>
        </w:rPr>
        <w:t>项规定的任何一种情形的；</w:t>
      </w:r>
    </w:p>
    <w:p w14:paraId="11333571">
      <w:pPr>
        <w:spacing w:line="360" w:lineRule="auto"/>
        <w:ind w:firstLine="420" w:firstLineChars="200"/>
        <w:rPr>
          <w:color w:val="auto"/>
          <w:highlight w:val="none"/>
        </w:rPr>
      </w:pPr>
      <w:r>
        <w:rPr>
          <w:color w:val="auto"/>
          <w:highlight w:val="none"/>
        </w:rPr>
        <w:t xml:space="preserve">B1.2 </w:t>
      </w:r>
      <w:r>
        <w:rPr>
          <w:rFonts w:hint="eastAsia"/>
          <w:color w:val="auto"/>
          <w:highlight w:val="none"/>
        </w:rPr>
        <w:t>有串通投标或弄虚作假或有其他违法行为的；</w:t>
      </w:r>
    </w:p>
    <w:p w14:paraId="773F7B09">
      <w:pPr>
        <w:spacing w:line="360" w:lineRule="auto"/>
        <w:ind w:firstLine="420" w:firstLineChars="200"/>
        <w:rPr>
          <w:color w:val="auto"/>
          <w:highlight w:val="none"/>
        </w:rPr>
      </w:pPr>
      <w:r>
        <w:rPr>
          <w:color w:val="auto"/>
          <w:highlight w:val="none"/>
        </w:rPr>
        <w:t xml:space="preserve">B1.3 </w:t>
      </w:r>
      <w:r>
        <w:rPr>
          <w:rFonts w:hint="eastAsia"/>
          <w:color w:val="auto"/>
          <w:highlight w:val="none"/>
        </w:rPr>
        <w:t>不按评标委员会要求澄清、说明或补正的；</w:t>
      </w:r>
    </w:p>
    <w:p w14:paraId="70EE7F1A">
      <w:pPr>
        <w:spacing w:line="360" w:lineRule="auto"/>
        <w:ind w:firstLine="420" w:firstLineChars="200"/>
        <w:rPr>
          <w:color w:val="auto"/>
          <w:highlight w:val="none"/>
        </w:rPr>
      </w:pPr>
      <w:r>
        <w:rPr>
          <w:color w:val="auto"/>
          <w:highlight w:val="none"/>
        </w:rPr>
        <w:t xml:space="preserve">B1.4 </w:t>
      </w:r>
      <w:r>
        <w:rPr>
          <w:rFonts w:hint="eastAsia"/>
          <w:color w:val="auto"/>
          <w:highlight w:val="none"/>
        </w:rPr>
        <w:t>在资格评审、形式评审、响应性评审中，评标委员会认定投标人的投标文件不符合</w:t>
      </w:r>
      <w:r>
        <w:rPr>
          <w:color w:val="auto"/>
          <w:highlight w:val="none"/>
        </w:rPr>
        <w:t>“</w:t>
      </w:r>
      <w:r>
        <w:rPr>
          <w:rFonts w:hint="eastAsia"/>
          <w:color w:val="auto"/>
          <w:highlight w:val="none"/>
        </w:rPr>
        <w:t>评标办法前附表</w:t>
      </w:r>
      <w:r>
        <w:rPr>
          <w:color w:val="auto"/>
          <w:highlight w:val="none"/>
        </w:rPr>
        <w:t>”</w:t>
      </w:r>
      <w:r>
        <w:rPr>
          <w:rFonts w:hint="eastAsia"/>
          <w:color w:val="auto"/>
          <w:highlight w:val="none"/>
        </w:rPr>
        <w:t xml:space="preserve">中规定的任何一项评审标准的 </w:t>
      </w:r>
    </w:p>
    <w:p w14:paraId="3A93ABDB">
      <w:pPr>
        <w:spacing w:line="360" w:lineRule="auto"/>
        <w:ind w:firstLine="420" w:firstLineChars="200"/>
        <w:rPr>
          <w:rFonts w:cs="宋体"/>
          <w:color w:val="auto"/>
          <w:highlight w:val="none"/>
        </w:rPr>
      </w:pPr>
      <w:r>
        <w:rPr>
          <w:color w:val="auto"/>
          <w:highlight w:val="none"/>
        </w:rPr>
        <w:t>B1.</w:t>
      </w:r>
      <w:r>
        <w:rPr>
          <w:rFonts w:hint="eastAsia"/>
          <w:color w:val="auto"/>
          <w:highlight w:val="none"/>
        </w:rPr>
        <w:t>5</w:t>
      </w:r>
      <w:r>
        <w:rPr>
          <w:rFonts w:hint="eastAsia" w:cs="宋体"/>
          <w:color w:val="auto"/>
          <w:highlight w:val="none"/>
        </w:rPr>
        <w:t>没有在招标文件规定的电子投标文件相关位置加盖投标人单位及法定代表人电子印章的；</w:t>
      </w:r>
    </w:p>
    <w:p w14:paraId="4AFBEB64">
      <w:pPr>
        <w:spacing w:line="360" w:lineRule="auto"/>
        <w:ind w:firstLine="420" w:firstLineChars="200"/>
        <w:rPr>
          <w:color w:val="auto"/>
          <w:highlight w:val="none"/>
        </w:rPr>
      </w:pPr>
      <w:r>
        <w:rPr>
          <w:color w:val="auto"/>
          <w:highlight w:val="none"/>
        </w:rPr>
        <w:t>B1.</w:t>
      </w:r>
      <w:r>
        <w:rPr>
          <w:rFonts w:hint="eastAsia"/>
          <w:color w:val="auto"/>
          <w:highlight w:val="none"/>
        </w:rPr>
        <w:t>6 以联合体形式投标，未向招标人提交共同签署的联合体协议书的；</w:t>
      </w:r>
    </w:p>
    <w:p w14:paraId="50C7B772">
      <w:pPr>
        <w:pStyle w:val="154"/>
        <w:spacing w:line="360" w:lineRule="auto"/>
        <w:ind w:firstLine="420" w:firstLineChars="200"/>
        <w:rPr>
          <w:color w:val="auto"/>
          <w:highlight w:val="none"/>
        </w:rPr>
      </w:pPr>
      <w:r>
        <w:rPr>
          <w:color w:val="auto"/>
          <w:highlight w:val="none"/>
        </w:rPr>
        <w:t>B1.7</w:t>
      </w:r>
      <w:r>
        <w:rPr>
          <w:rFonts w:hint="eastAsia" w:cs="宋体"/>
          <w:color w:val="auto"/>
          <w:highlight w:val="none"/>
        </w:rPr>
        <w:t>投标人的投标总价超出招标控制价的；</w:t>
      </w:r>
    </w:p>
    <w:p w14:paraId="63C5C0A9">
      <w:pPr>
        <w:spacing w:line="360" w:lineRule="auto"/>
        <w:ind w:firstLine="420" w:firstLineChars="200"/>
        <w:rPr>
          <w:color w:val="auto"/>
          <w:highlight w:val="none"/>
        </w:rPr>
      </w:pPr>
      <w:r>
        <w:rPr>
          <w:color w:val="auto"/>
          <w:highlight w:val="none"/>
        </w:rPr>
        <w:t>B1.8</w:t>
      </w:r>
      <w:r>
        <w:rPr>
          <w:rFonts w:hint="eastAsia"/>
          <w:color w:val="auto"/>
          <w:highlight w:val="none"/>
        </w:rPr>
        <w:t>投标联合体通过资格预审后在组成上发生变化的；</w:t>
      </w:r>
    </w:p>
    <w:p w14:paraId="6FA920C3">
      <w:pPr>
        <w:spacing w:line="360" w:lineRule="auto"/>
        <w:ind w:firstLine="420" w:firstLineChars="200"/>
        <w:rPr>
          <w:color w:val="auto"/>
          <w:highlight w:val="none"/>
        </w:rPr>
      </w:pPr>
      <w:r>
        <w:rPr>
          <w:color w:val="auto"/>
          <w:highlight w:val="none"/>
        </w:rPr>
        <w:t>B1.9</w:t>
      </w:r>
      <w:r>
        <w:rPr>
          <w:rFonts w:hint="eastAsia"/>
          <w:color w:val="auto"/>
          <w:highlight w:val="none"/>
        </w:rPr>
        <w:t>投标文件中标明的投标人与资格预审的申请人在名称和组织结构上存在实质性差别的；</w:t>
      </w:r>
    </w:p>
    <w:p w14:paraId="7BA5BD7D">
      <w:pPr>
        <w:spacing w:line="360" w:lineRule="auto"/>
        <w:ind w:firstLine="420" w:firstLineChars="200"/>
        <w:rPr>
          <w:color w:val="auto"/>
          <w:highlight w:val="none"/>
        </w:rPr>
      </w:pPr>
      <w:r>
        <w:rPr>
          <w:color w:val="auto"/>
          <w:highlight w:val="none"/>
        </w:rPr>
        <w:t>B1.10</w:t>
      </w:r>
      <w:r>
        <w:rPr>
          <w:rFonts w:hint="eastAsia"/>
          <w:color w:val="auto"/>
          <w:highlight w:val="none"/>
        </w:rPr>
        <w:t>未按招标文件规定的格式填写，内容不全，未响应招标文件的实质性要求和条件的，经评标委员会评审未通过的；</w:t>
      </w:r>
    </w:p>
    <w:p w14:paraId="0025E94A">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1</w:t>
      </w:r>
      <w:r>
        <w:rPr>
          <w:rFonts w:hint="eastAsia"/>
          <w:color w:val="auto"/>
          <w:highlight w:val="none"/>
        </w:rPr>
        <w:t>违反编制投标文件的相关规定，可能对评标工作产生实质性影响的；</w:t>
      </w:r>
    </w:p>
    <w:p w14:paraId="7D9CE01D">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2</w:t>
      </w:r>
      <w:r>
        <w:rPr>
          <w:rFonts w:hint="eastAsia"/>
          <w:color w:val="auto"/>
          <w:highlight w:val="none"/>
        </w:rPr>
        <w:t>与其他投标人串通投标，或者与招标人串通投标的；</w:t>
      </w:r>
    </w:p>
    <w:p w14:paraId="44DBB3D6">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3</w:t>
      </w:r>
      <w:r>
        <w:rPr>
          <w:rFonts w:hint="eastAsia"/>
          <w:color w:val="auto"/>
          <w:highlight w:val="none"/>
        </w:rPr>
        <w:t>以他人名义投标，或者以其他方式弄虚作假的；</w:t>
      </w:r>
    </w:p>
    <w:p w14:paraId="7C221A30">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4</w:t>
      </w:r>
      <w:r>
        <w:rPr>
          <w:rFonts w:hint="eastAsia"/>
          <w:color w:val="auto"/>
          <w:highlight w:val="none"/>
        </w:rPr>
        <w:t>未按招标文件的要求提交投标保证金的；</w:t>
      </w:r>
    </w:p>
    <w:p w14:paraId="506D3614">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5</w:t>
      </w:r>
      <w:r>
        <w:rPr>
          <w:rFonts w:hint="eastAsia"/>
          <w:color w:val="auto"/>
          <w:highlight w:val="none"/>
        </w:rPr>
        <w:t>投标文件中承诺的投标有效期短于招标文件规定的；</w:t>
      </w:r>
    </w:p>
    <w:p w14:paraId="74058577">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6</w:t>
      </w:r>
      <w:r>
        <w:rPr>
          <w:rFonts w:hint="eastAsia"/>
          <w:color w:val="auto"/>
          <w:highlight w:val="none"/>
        </w:rPr>
        <w:t>在投标过程中有商业贿赂行为的；</w:t>
      </w:r>
    </w:p>
    <w:p w14:paraId="154BB255">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7</w:t>
      </w:r>
      <w:r>
        <w:rPr>
          <w:rFonts w:hint="eastAsia"/>
          <w:color w:val="auto"/>
          <w:highlight w:val="none"/>
        </w:rPr>
        <w:t>其他违反招标文件规定实质性条款要求的。</w:t>
      </w:r>
    </w:p>
    <w:p w14:paraId="6E121D48">
      <w:pPr>
        <w:spacing w:line="360" w:lineRule="auto"/>
        <w:ind w:firstLine="420" w:firstLineChars="200"/>
        <w:rPr>
          <w:color w:val="auto"/>
          <w:highlight w:val="none"/>
        </w:rPr>
      </w:pPr>
      <w:r>
        <w:rPr>
          <w:color w:val="auto"/>
          <w:highlight w:val="none"/>
        </w:rPr>
        <w:t xml:space="preserve">B1.18 </w:t>
      </w:r>
      <w:r>
        <w:rPr>
          <w:rFonts w:hint="eastAsia"/>
          <w:color w:val="auto"/>
          <w:highlight w:val="none"/>
        </w:rPr>
        <w:t>投标文件实质上没有响应招标文件的要求的；</w:t>
      </w:r>
    </w:p>
    <w:p w14:paraId="717B63E6">
      <w:pPr>
        <w:pStyle w:val="154"/>
        <w:spacing w:line="360" w:lineRule="auto"/>
        <w:ind w:firstLine="420" w:firstLineChars="200"/>
        <w:rPr>
          <w:color w:val="auto"/>
          <w:highlight w:val="none"/>
        </w:rPr>
      </w:pPr>
      <w:r>
        <w:rPr>
          <w:color w:val="auto"/>
          <w:highlight w:val="none"/>
        </w:rPr>
        <w:t>B1.19</w:t>
      </w:r>
      <w:r>
        <w:rPr>
          <w:rFonts w:hint="eastAsia"/>
          <w:color w:val="auto"/>
          <w:highlight w:val="none"/>
        </w:rPr>
        <w:t>投标</w:t>
      </w:r>
      <w:r>
        <w:rPr>
          <w:color w:val="auto"/>
          <w:highlight w:val="none"/>
        </w:rPr>
        <w:t>人编制的技术标</w:t>
      </w:r>
      <w:r>
        <w:rPr>
          <w:rFonts w:hint="eastAsia"/>
          <w:color w:val="auto"/>
          <w:highlight w:val="none"/>
        </w:rPr>
        <w:t>（</w:t>
      </w:r>
      <w:r>
        <w:rPr>
          <w:color w:val="auto"/>
          <w:highlight w:val="none"/>
        </w:rPr>
        <w:t>暗标</w:t>
      </w:r>
      <w:r>
        <w:rPr>
          <w:rFonts w:hint="eastAsia"/>
          <w:color w:val="auto"/>
          <w:highlight w:val="none"/>
        </w:rPr>
        <w:t>）</w:t>
      </w:r>
      <w:r>
        <w:rPr>
          <w:color w:val="auto"/>
          <w:highlight w:val="none"/>
        </w:rPr>
        <w:t>，</w:t>
      </w:r>
      <w:r>
        <w:rPr>
          <w:rFonts w:hint="eastAsia"/>
          <w:color w:val="auto"/>
          <w:highlight w:val="none"/>
        </w:rPr>
        <w:t>其封面</w:t>
      </w:r>
      <w:r>
        <w:rPr>
          <w:color w:val="auto"/>
          <w:highlight w:val="none"/>
        </w:rPr>
        <w:t>或正文中出现投标人名称和其他可识别投标人身份的字符</w:t>
      </w:r>
      <w:r>
        <w:rPr>
          <w:rFonts w:hint="eastAsia"/>
          <w:color w:val="auto"/>
          <w:highlight w:val="none"/>
        </w:rPr>
        <w:t>（图表）</w:t>
      </w:r>
      <w:r>
        <w:rPr>
          <w:color w:val="auto"/>
          <w:highlight w:val="none"/>
        </w:rPr>
        <w:t>、徽标、</w:t>
      </w:r>
      <w:r>
        <w:rPr>
          <w:rFonts w:hint="eastAsia"/>
          <w:color w:val="auto"/>
          <w:highlight w:val="none"/>
        </w:rPr>
        <w:t>业绩</w:t>
      </w:r>
      <w:r>
        <w:rPr>
          <w:color w:val="auto"/>
          <w:highlight w:val="none"/>
        </w:rPr>
        <w:t>、荣誉或人员</w:t>
      </w:r>
      <w:r>
        <w:rPr>
          <w:rFonts w:hint="eastAsia"/>
          <w:color w:val="auto"/>
          <w:highlight w:val="none"/>
        </w:rPr>
        <w:t>姓名</w:t>
      </w:r>
      <w:r>
        <w:rPr>
          <w:color w:val="auto"/>
          <w:highlight w:val="none"/>
        </w:rPr>
        <w:t>以及其他特殊标记等。</w:t>
      </w:r>
    </w:p>
    <w:p w14:paraId="5E571E1B">
      <w:pPr>
        <w:spacing w:line="360" w:lineRule="auto"/>
        <w:ind w:firstLine="420" w:firstLineChars="200"/>
        <w:rPr>
          <w:color w:val="auto"/>
          <w:highlight w:val="none"/>
        </w:rPr>
      </w:pPr>
      <w:r>
        <w:rPr>
          <w:color w:val="auto"/>
          <w:highlight w:val="none"/>
        </w:rPr>
        <w:t xml:space="preserve">B1.20 </w:t>
      </w:r>
      <w:r>
        <w:rPr>
          <w:rFonts w:hint="eastAsia"/>
          <w:color w:val="auto"/>
          <w:highlight w:val="none"/>
        </w:rPr>
        <w:t>法规规定的其他否决投标条款。</w:t>
      </w:r>
    </w:p>
    <w:p w14:paraId="2A845A79">
      <w:pPr>
        <w:pStyle w:val="137"/>
        <w:spacing w:line="360" w:lineRule="auto"/>
        <w:rPr>
          <w:rFonts w:ascii="楷体" w:hAnsi="楷体" w:eastAsia="楷体"/>
          <w:b/>
          <w:color w:val="auto"/>
          <w:highlight w:val="none"/>
        </w:rPr>
      </w:pPr>
      <w:r>
        <w:rPr>
          <w:rFonts w:ascii="楷体" w:hAnsi="楷体" w:eastAsia="楷体"/>
          <w:b/>
          <w:color w:val="auto"/>
          <w:highlight w:val="none"/>
        </w:rPr>
        <w:t>备注：</w:t>
      </w:r>
    </w:p>
    <w:p w14:paraId="01CB39B2">
      <w:pPr>
        <w:pStyle w:val="137"/>
        <w:spacing w:line="360" w:lineRule="auto"/>
        <w:ind w:firstLine="422" w:firstLineChars="200"/>
        <w:rPr>
          <w:rFonts w:ascii="楷体" w:hAnsi="楷体" w:eastAsia="楷体"/>
          <w:b/>
          <w:bCs/>
          <w:color w:val="auto"/>
          <w:highlight w:val="none"/>
        </w:rPr>
      </w:pPr>
      <w:r>
        <w:rPr>
          <w:rFonts w:ascii="楷体" w:hAnsi="楷体" w:eastAsia="楷体"/>
          <w:b/>
          <w:bCs/>
          <w:color w:val="auto"/>
          <w:highlight w:val="none"/>
        </w:rPr>
        <w:t>1、如果工程所在地</w:t>
      </w:r>
      <w:r>
        <w:rPr>
          <w:rFonts w:hint="eastAsia" w:ascii="楷体" w:hAnsi="楷体" w:eastAsia="楷体"/>
          <w:b/>
          <w:bCs/>
          <w:color w:val="auto"/>
          <w:highlight w:val="none"/>
        </w:rPr>
        <w:t>招投标监督管理部门</w:t>
      </w:r>
      <w:r>
        <w:rPr>
          <w:rFonts w:ascii="楷体" w:hAnsi="楷体" w:eastAsia="楷体"/>
          <w:b/>
          <w:bCs/>
          <w:color w:val="auto"/>
          <w:highlight w:val="none"/>
        </w:rPr>
        <w:t>要求评标委员会对判定为否决投标的投标文件说明否决投标情况的，应增加“否决投标情况说明表”格式，否决投标情况说明应当对照招标文件规定的否决投标条件以及投标文件存在的具体问题，并在中标</w:t>
      </w:r>
      <w:r>
        <w:rPr>
          <w:rFonts w:hint="eastAsia" w:ascii="楷体" w:hAnsi="楷体" w:eastAsia="楷体"/>
          <w:b/>
          <w:bCs/>
          <w:color w:val="auto"/>
          <w:highlight w:val="none"/>
        </w:rPr>
        <w:t>候选人</w:t>
      </w:r>
      <w:r>
        <w:rPr>
          <w:rFonts w:ascii="楷体" w:hAnsi="楷体" w:eastAsia="楷体"/>
          <w:b/>
          <w:bCs/>
          <w:color w:val="auto"/>
          <w:highlight w:val="none"/>
        </w:rPr>
        <w:t>公示时予以公开。</w:t>
      </w:r>
    </w:p>
    <w:p w14:paraId="0DB57074">
      <w:pPr>
        <w:pStyle w:val="137"/>
        <w:spacing w:line="360" w:lineRule="auto"/>
        <w:ind w:firstLine="422" w:firstLineChars="200"/>
        <w:rPr>
          <w:rFonts w:ascii="楷体" w:hAnsi="楷体" w:eastAsia="楷体"/>
          <w:b/>
          <w:bCs/>
          <w:color w:val="auto"/>
          <w:highlight w:val="none"/>
        </w:rPr>
      </w:pPr>
      <w:r>
        <w:rPr>
          <w:rFonts w:ascii="楷体" w:hAnsi="楷体" w:eastAsia="楷体"/>
          <w:b/>
          <w:bCs/>
          <w:color w:val="auto"/>
          <w:highlight w:val="none"/>
        </w:rPr>
        <w:t>2、招标人可根据招标项目实际情况对上述否决投标情况进行调整，但不应与第二章“投标人须知”和本章正文部分包括的否决投标条件抵触，如果出现相互矛盾的情况，以第二章“投标人须知”和本章正文部分的规定为准。</w:t>
      </w:r>
    </w:p>
    <w:p w14:paraId="6D496923">
      <w:pPr>
        <w:spacing w:line="360" w:lineRule="auto"/>
        <w:ind w:firstLine="422" w:firstLineChars="200"/>
        <w:rPr>
          <w:rFonts w:ascii="楷体" w:hAnsi="楷体" w:eastAsia="楷体"/>
          <w:b/>
          <w:bCs/>
          <w:color w:val="auto"/>
          <w:highlight w:val="none"/>
        </w:rPr>
      </w:pPr>
      <w:r>
        <w:rPr>
          <w:rFonts w:hint="eastAsia" w:ascii="楷体" w:hAnsi="楷体" w:eastAsia="楷体"/>
          <w:b/>
          <w:bCs/>
          <w:color w:val="auto"/>
          <w:highlight w:val="none"/>
        </w:rPr>
        <w:t>3、评标委员会对投标文件确认为无效投标的，应当由三分之二以上评委签字确认。评标委员会应在评标报告上详细说明所有投标均做否决的理由。</w:t>
      </w:r>
    </w:p>
    <w:p w14:paraId="79DD39E9">
      <w:pPr>
        <w:spacing w:line="440" w:lineRule="exact"/>
        <w:ind w:firstLine="420" w:firstLineChars="200"/>
        <w:rPr>
          <w:color w:val="auto"/>
          <w:highlight w:val="none"/>
        </w:rPr>
      </w:pPr>
    </w:p>
    <w:p w14:paraId="61945BCF">
      <w:pPr>
        <w:spacing w:line="440" w:lineRule="exact"/>
        <w:ind w:firstLine="420" w:firstLineChars="200"/>
        <w:rPr>
          <w:color w:val="auto"/>
          <w:highlight w:val="none"/>
        </w:rPr>
        <w:sectPr>
          <w:pgSz w:w="11906" w:h="16838"/>
          <w:pgMar w:top="1440" w:right="1440" w:bottom="1440" w:left="1797" w:header="851" w:footer="850" w:gutter="0"/>
          <w:cols w:space="720" w:num="1"/>
          <w:docGrid w:linePitch="312" w:charSpace="0"/>
        </w:sectPr>
      </w:pPr>
    </w:p>
    <w:p w14:paraId="2A2D9DD1">
      <w:pPr>
        <w:pStyle w:val="3"/>
        <w:rPr>
          <w:color w:val="auto"/>
          <w:highlight w:val="none"/>
        </w:rPr>
      </w:pPr>
      <w:bookmarkStart w:id="131" w:name="_Toc31902"/>
      <w:r>
        <w:rPr>
          <w:color w:val="auto"/>
          <w:highlight w:val="none"/>
        </w:rPr>
        <w:t>评标附录表格</w:t>
      </w:r>
      <w:bookmarkEnd w:id="131"/>
    </w:p>
    <w:p w14:paraId="259CA70C">
      <w:pPr>
        <w:spacing w:line="440" w:lineRule="exact"/>
        <w:rPr>
          <w:b/>
          <w:bCs/>
          <w:color w:val="auto"/>
          <w:highlight w:val="none"/>
        </w:rPr>
      </w:pPr>
      <w:r>
        <w:rPr>
          <w:b/>
          <w:color w:val="auto"/>
          <w:highlight w:val="none"/>
        </w:rPr>
        <w:t>附表A－</w:t>
      </w:r>
      <w:r>
        <w:rPr>
          <w:rFonts w:hint="eastAsia"/>
          <w:b/>
          <w:color w:val="auto"/>
          <w:highlight w:val="none"/>
        </w:rPr>
        <w:t>1</w:t>
      </w:r>
      <w:r>
        <w:rPr>
          <w:b/>
          <w:color w:val="auto"/>
          <w:highlight w:val="none"/>
        </w:rPr>
        <w:t>：</w:t>
      </w:r>
      <w:r>
        <w:rPr>
          <w:rFonts w:hint="eastAsia"/>
          <w:b/>
          <w:bCs/>
          <w:color w:val="auto"/>
          <w:highlight w:val="none"/>
        </w:rPr>
        <w:t>投标单位签到表</w:t>
      </w:r>
    </w:p>
    <w:p w14:paraId="084618C2">
      <w:pPr>
        <w:adjustRightInd w:val="0"/>
        <w:snapToGrid w:val="0"/>
        <w:jc w:val="center"/>
        <w:rPr>
          <w:rFonts w:eastAsia="黑体"/>
          <w:b/>
          <w:color w:val="auto"/>
          <w:sz w:val="28"/>
          <w:szCs w:val="28"/>
          <w:highlight w:val="none"/>
        </w:rPr>
      </w:pPr>
      <w:r>
        <w:rPr>
          <w:rFonts w:hint="eastAsia" w:eastAsia="黑体" w:cs="黑体"/>
          <w:b/>
          <w:color w:val="auto"/>
          <w:sz w:val="28"/>
          <w:szCs w:val="28"/>
          <w:highlight w:val="none"/>
        </w:rPr>
        <w:t>投标单位签到表</w:t>
      </w:r>
    </w:p>
    <w:p w14:paraId="599F7EFA">
      <w:pPr>
        <w:spacing w:line="440" w:lineRule="exact"/>
        <w:rPr>
          <w:b/>
          <w:bCs/>
          <w:color w:val="auto"/>
          <w:highlight w:val="none"/>
        </w:rPr>
      </w:pPr>
    </w:p>
    <w:p w14:paraId="2668D09B">
      <w:pPr>
        <w:spacing w:line="440" w:lineRule="exact"/>
        <w:rPr>
          <w:color w:val="auto"/>
          <w:highlight w:val="none"/>
        </w:rPr>
      </w:pPr>
      <w:r>
        <w:rPr>
          <w:rFonts w:hint="eastAsia" w:cs="宋体"/>
          <w:color w:val="auto"/>
          <w:highlight w:val="none"/>
        </w:rPr>
        <w:t>项目名称：</w:t>
      </w:r>
      <w:r>
        <w:rPr>
          <w:color w:val="auto"/>
          <w:highlight w:val="none"/>
          <w:u w:val="single"/>
        </w:rPr>
        <w:t xml:space="preserve">             </w:t>
      </w:r>
      <w:r>
        <w:rPr>
          <w:rFonts w:hint="eastAsia" w:cs="宋体"/>
          <w:color w:val="auto"/>
          <w:highlight w:val="none"/>
        </w:rPr>
        <w:t>（项目名称）</w:t>
      </w:r>
      <w:r>
        <w:rPr>
          <w:color w:val="auto"/>
          <w:highlight w:val="none"/>
        </w:rPr>
        <w:t xml:space="preserve">       </w:t>
      </w:r>
      <w:r>
        <w:rPr>
          <w:rFonts w:hint="eastAsia" w:cs="宋体"/>
          <w:color w:val="auto"/>
          <w:highlight w:val="none"/>
        </w:rPr>
        <w:t>项目招标编号：</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487E79A0">
      <w:pPr>
        <w:spacing w:after="72" w:afterLines="30"/>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s="宋体"/>
          <w:color w:val="auto"/>
          <w:highlight w:val="none"/>
        </w:rPr>
        <w:t>招标代理员身份证号：</w:t>
      </w:r>
    </w:p>
    <w:tbl>
      <w:tblPr>
        <w:tblStyle w:val="4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868"/>
        <w:gridCol w:w="1125"/>
        <w:gridCol w:w="2242"/>
        <w:gridCol w:w="1868"/>
        <w:gridCol w:w="5586"/>
      </w:tblGrid>
      <w:tr w14:paraId="53D3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07" w:type="pct"/>
            <w:vMerge w:val="restart"/>
            <w:vAlign w:val="center"/>
          </w:tcPr>
          <w:p w14:paraId="393C4B4A">
            <w:pPr>
              <w:spacing w:line="300" w:lineRule="exact"/>
              <w:jc w:val="center"/>
              <w:rPr>
                <w:b/>
                <w:color w:val="auto"/>
                <w:highlight w:val="none"/>
              </w:rPr>
            </w:pPr>
            <w:r>
              <w:rPr>
                <w:b/>
                <w:color w:val="auto"/>
                <w:highlight w:val="none"/>
              </w:rPr>
              <w:t>序号</w:t>
            </w:r>
          </w:p>
        </w:tc>
        <w:tc>
          <w:tcPr>
            <w:tcW w:w="676" w:type="pct"/>
            <w:vMerge w:val="restart"/>
            <w:vAlign w:val="center"/>
          </w:tcPr>
          <w:p w14:paraId="63E52A2F">
            <w:pPr>
              <w:spacing w:line="300" w:lineRule="exact"/>
              <w:jc w:val="center"/>
              <w:rPr>
                <w:b/>
                <w:color w:val="auto"/>
                <w:highlight w:val="none"/>
              </w:rPr>
            </w:pPr>
            <w:r>
              <w:rPr>
                <w:rFonts w:hint="eastAsia" w:cs="宋体"/>
                <w:b/>
                <w:color w:val="auto"/>
                <w:highlight w:val="none"/>
              </w:rPr>
              <w:t>投标单位</w:t>
            </w:r>
          </w:p>
        </w:tc>
        <w:tc>
          <w:tcPr>
            <w:tcW w:w="1218" w:type="pct"/>
            <w:gridSpan w:val="2"/>
            <w:vAlign w:val="center"/>
          </w:tcPr>
          <w:p w14:paraId="0E2FB847">
            <w:pPr>
              <w:spacing w:line="300" w:lineRule="exact"/>
              <w:jc w:val="center"/>
              <w:rPr>
                <w:b/>
                <w:color w:val="auto"/>
                <w:highlight w:val="none"/>
              </w:rPr>
            </w:pPr>
            <w:r>
              <w:rPr>
                <w:b/>
                <w:color w:val="auto"/>
                <w:highlight w:val="none"/>
              </w:rPr>
              <w:t>投标人代表</w:t>
            </w:r>
          </w:p>
        </w:tc>
        <w:tc>
          <w:tcPr>
            <w:tcW w:w="676" w:type="pct"/>
            <w:vMerge w:val="restart"/>
            <w:vAlign w:val="center"/>
          </w:tcPr>
          <w:p w14:paraId="57AF9AE3">
            <w:pPr>
              <w:spacing w:line="300" w:lineRule="exact"/>
              <w:jc w:val="center"/>
              <w:rPr>
                <w:b/>
                <w:color w:val="auto"/>
                <w:highlight w:val="none"/>
              </w:rPr>
            </w:pPr>
            <w:r>
              <w:rPr>
                <w:b/>
                <w:color w:val="auto"/>
                <w:highlight w:val="none"/>
              </w:rPr>
              <w:t>核查结论</w:t>
            </w:r>
          </w:p>
        </w:tc>
        <w:tc>
          <w:tcPr>
            <w:tcW w:w="2021" w:type="pct"/>
            <w:vMerge w:val="restart"/>
            <w:vAlign w:val="center"/>
          </w:tcPr>
          <w:p w14:paraId="361E8347">
            <w:pPr>
              <w:spacing w:line="300" w:lineRule="exact"/>
              <w:jc w:val="center"/>
              <w:rPr>
                <w:b/>
                <w:color w:val="auto"/>
                <w:highlight w:val="none"/>
              </w:rPr>
            </w:pPr>
            <w:r>
              <w:rPr>
                <w:rFonts w:hint="eastAsia" w:cs="宋体"/>
                <w:b/>
                <w:color w:val="auto"/>
                <w:highlight w:val="none"/>
              </w:rPr>
              <w:t>投标人代表签字或盖单位电子章</w:t>
            </w:r>
          </w:p>
        </w:tc>
      </w:tr>
      <w:tr w14:paraId="3BE4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407" w:type="pct"/>
            <w:vMerge w:val="continue"/>
          </w:tcPr>
          <w:p w14:paraId="1A961820">
            <w:pPr>
              <w:spacing w:line="440" w:lineRule="exact"/>
              <w:rPr>
                <w:b/>
                <w:color w:val="auto"/>
                <w:highlight w:val="none"/>
              </w:rPr>
            </w:pPr>
          </w:p>
        </w:tc>
        <w:tc>
          <w:tcPr>
            <w:tcW w:w="676" w:type="pct"/>
            <w:vMerge w:val="continue"/>
          </w:tcPr>
          <w:p w14:paraId="31F5DB77">
            <w:pPr>
              <w:spacing w:line="440" w:lineRule="exact"/>
              <w:rPr>
                <w:b/>
                <w:color w:val="auto"/>
                <w:highlight w:val="none"/>
              </w:rPr>
            </w:pPr>
          </w:p>
        </w:tc>
        <w:tc>
          <w:tcPr>
            <w:tcW w:w="407" w:type="pct"/>
            <w:vAlign w:val="center"/>
          </w:tcPr>
          <w:p w14:paraId="51F319E4">
            <w:pPr>
              <w:spacing w:line="440" w:lineRule="exact"/>
              <w:jc w:val="center"/>
              <w:rPr>
                <w:b/>
                <w:color w:val="auto"/>
                <w:highlight w:val="none"/>
              </w:rPr>
            </w:pPr>
            <w:r>
              <w:rPr>
                <w:b/>
                <w:color w:val="auto"/>
                <w:highlight w:val="none"/>
              </w:rPr>
              <w:t>姓名</w:t>
            </w:r>
          </w:p>
        </w:tc>
        <w:tc>
          <w:tcPr>
            <w:tcW w:w="811" w:type="pct"/>
            <w:vAlign w:val="center"/>
          </w:tcPr>
          <w:p w14:paraId="315E2168">
            <w:pPr>
              <w:spacing w:line="440" w:lineRule="exact"/>
              <w:jc w:val="center"/>
              <w:rPr>
                <w:b/>
                <w:color w:val="auto"/>
                <w:highlight w:val="none"/>
              </w:rPr>
            </w:pPr>
            <w:r>
              <w:rPr>
                <w:b/>
                <w:color w:val="auto"/>
                <w:highlight w:val="none"/>
              </w:rPr>
              <w:t>身份证号码</w:t>
            </w:r>
          </w:p>
        </w:tc>
        <w:tc>
          <w:tcPr>
            <w:tcW w:w="676" w:type="pct"/>
            <w:vMerge w:val="continue"/>
          </w:tcPr>
          <w:p w14:paraId="33CB596E">
            <w:pPr>
              <w:spacing w:line="440" w:lineRule="exact"/>
              <w:rPr>
                <w:b/>
                <w:color w:val="auto"/>
                <w:highlight w:val="none"/>
              </w:rPr>
            </w:pPr>
          </w:p>
        </w:tc>
        <w:tc>
          <w:tcPr>
            <w:tcW w:w="2021" w:type="pct"/>
            <w:vMerge w:val="continue"/>
          </w:tcPr>
          <w:p w14:paraId="679EBC0A">
            <w:pPr>
              <w:spacing w:line="440" w:lineRule="exact"/>
              <w:rPr>
                <w:b/>
                <w:color w:val="auto"/>
                <w:highlight w:val="none"/>
              </w:rPr>
            </w:pPr>
          </w:p>
        </w:tc>
      </w:tr>
      <w:tr w14:paraId="4232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407" w:type="pct"/>
          </w:tcPr>
          <w:p w14:paraId="4CB9D96F">
            <w:pPr>
              <w:spacing w:line="440" w:lineRule="exact"/>
              <w:jc w:val="center"/>
              <w:rPr>
                <w:color w:val="auto"/>
                <w:highlight w:val="none"/>
              </w:rPr>
            </w:pPr>
            <w:r>
              <w:rPr>
                <w:rFonts w:hint="eastAsia"/>
                <w:color w:val="auto"/>
                <w:highlight w:val="none"/>
              </w:rPr>
              <w:t>1</w:t>
            </w:r>
          </w:p>
        </w:tc>
        <w:tc>
          <w:tcPr>
            <w:tcW w:w="676" w:type="pct"/>
          </w:tcPr>
          <w:p w14:paraId="79A3B4EC">
            <w:pPr>
              <w:spacing w:line="440" w:lineRule="exact"/>
              <w:jc w:val="center"/>
              <w:rPr>
                <w:color w:val="auto"/>
                <w:highlight w:val="none"/>
              </w:rPr>
            </w:pPr>
          </w:p>
        </w:tc>
        <w:tc>
          <w:tcPr>
            <w:tcW w:w="407" w:type="pct"/>
          </w:tcPr>
          <w:p w14:paraId="4FD80D88">
            <w:pPr>
              <w:spacing w:line="440" w:lineRule="exact"/>
              <w:jc w:val="center"/>
              <w:rPr>
                <w:color w:val="auto"/>
                <w:highlight w:val="none"/>
              </w:rPr>
            </w:pPr>
          </w:p>
        </w:tc>
        <w:tc>
          <w:tcPr>
            <w:tcW w:w="811" w:type="pct"/>
          </w:tcPr>
          <w:p w14:paraId="797E9161">
            <w:pPr>
              <w:spacing w:line="440" w:lineRule="exact"/>
              <w:jc w:val="center"/>
              <w:rPr>
                <w:color w:val="auto"/>
                <w:highlight w:val="none"/>
              </w:rPr>
            </w:pPr>
          </w:p>
        </w:tc>
        <w:tc>
          <w:tcPr>
            <w:tcW w:w="676" w:type="pct"/>
          </w:tcPr>
          <w:p w14:paraId="7CB6F77A">
            <w:pPr>
              <w:spacing w:line="440" w:lineRule="exact"/>
              <w:jc w:val="center"/>
              <w:rPr>
                <w:color w:val="auto"/>
                <w:highlight w:val="none"/>
              </w:rPr>
            </w:pPr>
          </w:p>
        </w:tc>
        <w:tc>
          <w:tcPr>
            <w:tcW w:w="2021" w:type="pct"/>
          </w:tcPr>
          <w:p w14:paraId="09A2A495">
            <w:pPr>
              <w:spacing w:line="440" w:lineRule="exact"/>
              <w:jc w:val="center"/>
              <w:rPr>
                <w:color w:val="auto"/>
                <w:highlight w:val="none"/>
              </w:rPr>
            </w:pPr>
          </w:p>
        </w:tc>
      </w:tr>
      <w:tr w14:paraId="58F7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407" w:type="pct"/>
          </w:tcPr>
          <w:p w14:paraId="7CF91BC1">
            <w:pPr>
              <w:spacing w:line="440" w:lineRule="exact"/>
              <w:jc w:val="center"/>
              <w:rPr>
                <w:color w:val="auto"/>
                <w:highlight w:val="none"/>
              </w:rPr>
            </w:pPr>
            <w:r>
              <w:rPr>
                <w:rFonts w:hint="eastAsia"/>
                <w:color w:val="auto"/>
                <w:highlight w:val="none"/>
              </w:rPr>
              <w:t>2</w:t>
            </w:r>
          </w:p>
        </w:tc>
        <w:tc>
          <w:tcPr>
            <w:tcW w:w="676" w:type="pct"/>
          </w:tcPr>
          <w:p w14:paraId="67952474">
            <w:pPr>
              <w:spacing w:line="440" w:lineRule="exact"/>
              <w:jc w:val="center"/>
              <w:rPr>
                <w:color w:val="auto"/>
                <w:highlight w:val="none"/>
              </w:rPr>
            </w:pPr>
          </w:p>
        </w:tc>
        <w:tc>
          <w:tcPr>
            <w:tcW w:w="407" w:type="pct"/>
          </w:tcPr>
          <w:p w14:paraId="1DFB7FB4">
            <w:pPr>
              <w:spacing w:line="440" w:lineRule="exact"/>
              <w:jc w:val="center"/>
              <w:rPr>
                <w:color w:val="auto"/>
                <w:highlight w:val="none"/>
              </w:rPr>
            </w:pPr>
          </w:p>
        </w:tc>
        <w:tc>
          <w:tcPr>
            <w:tcW w:w="811" w:type="pct"/>
          </w:tcPr>
          <w:p w14:paraId="2B406CF5">
            <w:pPr>
              <w:spacing w:line="440" w:lineRule="exact"/>
              <w:jc w:val="center"/>
              <w:rPr>
                <w:color w:val="auto"/>
                <w:highlight w:val="none"/>
              </w:rPr>
            </w:pPr>
          </w:p>
        </w:tc>
        <w:tc>
          <w:tcPr>
            <w:tcW w:w="676" w:type="pct"/>
          </w:tcPr>
          <w:p w14:paraId="7A758BE8">
            <w:pPr>
              <w:spacing w:line="440" w:lineRule="exact"/>
              <w:jc w:val="center"/>
              <w:rPr>
                <w:color w:val="auto"/>
                <w:highlight w:val="none"/>
              </w:rPr>
            </w:pPr>
          </w:p>
        </w:tc>
        <w:tc>
          <w:tcPr>
            <w:tcW w:w="2021" w:type="pct"/>
          </w:tcPr>
          <w:p w14:paraId="0D17FF1E">
            <w:pPr>
              <w:spacing w:line="440" w:lineRule="exact"/>
              <w:jc w:val="center"/>
              <w:rPr>
                <w:color w:val="auto"/>
                <w:highlight w:val="none"/>
              </w:rPr>
            </w:pPr>
          </w:p>
        </w:tc>
      </w:tr>
      <w:tr w14:paraId="57BB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07" w:type="pct"/>
            <w:vAlign w:val="center"/>
          </w:tcPr>
          <w:p w14:paraId="050E811A">
            <w:pPr>
              <w:spacing w:line="440" w:lineRule="exact"/>
              <w:jc w:val="center"/>
              <w:rPr>
                <w:color w:val="auto"/>
                <w:highlight w:val="none"/>
              </w:rPr>
            </w:pPr>
            <w:r>
              <w:rPr>
                <w:rFonts w:eastAsia="黑体"/>
                <w:color w:val="auto"/>
                <w:highlight w:val="none"/>
              </w:rPr>
              <w:t>…</w:t>
            </w:r>
          </w:p>
        </w:tc>
        <w:tc>
          <w:tcPr>
            <w:tcW w:w="676" w:type="pct"/>
          </w:tcPr>
          <w:p w14:paraId="3BCAEF45">
            <w:pPr>
              <w:spacing w:line="440" w:lineRule="exact"/>
              <w:jc w:val="center"/>
              <w:rPr>
                <w:color w:val="auto"/>
                <w:highlight w:val="none"/>
              </w:rPr>
            </w:pPr>
          </w:p>
        </w:tc>
        <w:tc>
          <w:tcPr>
            <w:tcW w:w="407" w:type="pct"/>
          </w:tcPr>
          <w:p w14:paraId="35EA8A5C">
            <w:pPr>
              <w:spacing w:line="440" w:lineRule="exact"/>
              <w:jc w:val="center"/>
              <w:rPr>
                <w:color w:val="auto"/>
                <w:highlight w:val="none"/>
              </w:rPr>
            </w:pPr>
          </w:p>
        </w:tc>
        <w:tc>
          <w:tcPr>
            <w:tcW w:w="811" w:type="pct"/>
          </w:tcPr>
          <w:p w14:paraId="7B1E79F9">
            <w:pPr>
              <w:spacing w:line="440" w:lineRule="exact"/>
              <w:jc w:val="center"/>
              <w:rPr>
                <w:color w:val="auto"/>
                <w:highlight w:val="none"/>
              </w:rPr>
            </w:pPr>
          </w:p>
        </w:tc>
        <w:tc>
          <w:tcPr>
            <w:tcW w:w="676" w:type="pct"/>
          </w:tcPr>
          <w:p w14:paraId="2575871D">
            <w:pPr>
              <w:spacing w:line="440" w:lineRule="exact"/>
              <w:jc w:val="center"/>
              <w:rPr>
                <w:color w:val="auto"/>
                <w:highlight w:val="none"/>
              </w:rPr>
            </w:pPr>
          </w:p>
        </w:tc>
        <w:tc>
          <w:tcPr>
            <w:tcW w:w="2021" w:type="pct"/>
          </w:tcPr>
          <w:p w14:paraId="0B243239">
            <w:pPr>
              <w:spacing w:line="440" w:lineRule="exact"/>
              <w:jc w:val="center"/>
              <w:rPr>
                <w:color w:val="auto"/>
                <w:highlight w:val="none"/>
              </w:rPr>
            </w:pPr>
          </w:p>
        </w:tc>
      </w:tr>
    </w:tbl>
    <w:p w14:paraId="229C28FB">
      <w:pPr>
        <w:rPr>
          <w:rFonts w:ascii="宋体" w:hAnsi="宋体" w:cs="宋体"/>
          <w:color w:val="auto"/>
          <w:highlight w:val="none"/>
        </w:rPr>
      </w:pPr>
    </w:p>
    <w:p w14:paraId="2B701A16">
      <w:pPr>
        <w:rPr>
          <w:rFonts w:ascii="宋体"/>
          <w:color w:val="auto"/>
          <w:highlight w:val="none"/>
        </w:r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hAnsi="宋体" w:cs="宋体"/>
          <w:color w:val="auto"/>
          <w:highlight w:val="none"/>
        </w:rPr>
        <w:t>监督人员（签字）：</w:t>
      </w:r>
    </w:p>
    <w:p w14:paraId="1E6D9679">
      <w:pPr>
        <w:rPr>
          <w:rFonts w:cs="宋体"/>
          <w:color w:val="auto"/>
          <w:highlight w:val="none"/>
        </w:rPr>
      </w:pPr>
    </w:p>
    <w:p w14:paraId="4FA64BA8">
      <w:pPr>
        <w:rPr>
          <w:rFonts w:cs="宋体"/>
          <w:color w:val="auto"/>
          <w:highlight w:val="none"/>
        </w:rPr>
      </w:pPr>
    </w:p>
    <w:p w14:paraId="290E32DF">
      <w:pPr>
        <w:spacing w:line="440" w:lineRule="exact"/>
        <w:rPr>
          <w:b/>
          <w:color w:val="auto"/>
          <w:highlight w:val="none"/>
        </w:rPr>
      </w:pPr>
    </w:p>
    <w:p w14:paraId="026E9E1C">
      <w:pPr>
        <w:spacing w:line="440" w:lineRule="exact"/>
        <w:rPr>
          <w:b/>
          <w:color w:val="auto"/>
          <w:highlight w:val="none"/>
        </w:rPr>
      </w:pPr>
    </w:p>
    <w:p w14:paraId="7C577FF9">
      <w:pPr>
        <w:spacing w:line="440" w:lineRule="exact"/>
        <w:rPr>
          <w:b/>
          <w:color w:val="auto"/>
          <w:highlight w:val="none"/>
        </w:rPr>
      </w:pPr>
    </w:p>
    <w:p w14:paraId="02E03943">
      <w:pPr>
        <w:spacing w:line="440" w:lineRule="exact"/>
        <w:rPr>
          <w:b/>
          <w:color w:val="auto"/>
          <w:highlight w:val="none"/>
        </w:rPr>
      </w:pPr>
      <w:r>
        <w:rPr>
          <w:b/>
          <w:color w:val="auto"/>
          <w:highlight w:val="none"/>
        </w:rPr>
        <w:t>附表A－</w:t>
      </w:r>
      <w:r>
        <w:rPr>
          <w:rFonts w:hint="eastAsia"/>
          <w:b/>
          <w:color w:val="auto"/>
          <w:highlight w:val="none"/>
        </w:rPr>
        <w:t>2</w:t>
      </w:r>
      <w:r>
        <w:rPr>
          <w:b/>
          <w:color w:val="auto"/>
          <w:highlight w:val="none"/>
        </w:rPr>
        <w:t>：</w:t>
      </w:r>
      <w:r>
        <w:rPr>
          <w:rFonts w:hint="eastAsia"/>
          <w:b/>
          <w:color w:val="auto"/>
          <w:highlight w:val="none"/>
        </w:rPr>
        <w:t>开标记录表</w:t>
      </w:r>
    </w:p>
    <w:p w14:paraId="483CFC0E">
      <w:pPr>
        <w:adjustRightInd w:val="0"/>
        <w:snapToGrid w:val="0"/>
        <w:spacing w:line="420" w:lineRule="exact"/>
        <w:jc w:val="center"/>
        <w:rPr>
          <w:rFonts w:eastAsia="黑体"/>
          <w:b/>
          <w:color w:val="auto"/>
          <w:sz w:val="28"/>
          <w:szCs w:val="28"/>
          <w:highlight w:val="none"/>
        </w:rPr>
      </w:pPr>
      <w:r>
        <w:rPr>
          <w:rFonts w:hint="eastAsia" w:eastAsia="黑体"/>
          <w:b/>
          <w:color w:val="auto"/>
          <w:sz w:val="28"/>
          <w:szCs w:val="28"/>
          <w:highlight w:val="none"/>
        </w:rPr>
        <w:t>开标记录表</w:t>
      </w:r>
    </w:p>
    <w:p w14:paraId="51F6259F">
      <w:pPr>
        <w:adjustRightInd w:val="0"/>
        <w:snapToGrid w:val="0"/>
        <w:spacing w:line="420" w:lineRule="exact"/>
        <w:jc w:val="center"/>
        <w:rPr>
          <w:rFonts w:eastAsia="黑体"/>
          <w:color w:val="auto"/>
          <w:sz w:val="28"/>
          <w:szCs w:val="28"/>
          <w:highlight w:val="none"/>
        </w:rPr>
      </w:pPr>
    </w:p>
    <w:p w14:paraId="0CC53ADA">
      <w:pPr>
        <w:rPr>
          <w:color w:val="auto"/>
          <w:highlight w:val="none"/>
        </w:rPr>
      </w:pPr>
      <w:r>
        <w:rPr>
          <w:rFonts w:hint="eastAsia"/>
          <w:color w:val="auto"/>
          <w:highlight w:val="none"/>
        </w:rPr>
        <w:t>项目</w:t>
      </w:r>
      <w:r>
        <w:rPr>
          <w:color w:val="auto"/>
          <w:highlight w:val="none"/>
        </w:rPr>
        <w:t>名称：</w:t>
      </w:r>
      <w:r>
        <w:rPr>
          <w:color w:val="auto"/>
          <w:highlight w:val="none"/>
          <w:u w:val="single"/>
        </w:rPr>
        <w:t xml:space="preserve">            </w:t>
      </w:r>
      <w:r>
        <w:rPr>
          <w:color w:val="auto"/>
          <w:highlight w:val="none"/>
        </w:rPr>
        <w:t xml:space="preserve">       </w:t>
      </w:r>
      <w:r>
        <w:rPr>
          <w:rFonts w:hint="eastAsia"/>
          <w:color w:val="auto"/>
          <w:highlight w:val="none"/>
        </w:rPr>
        <w:t>项目招标编号：</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开</w:t>
      </w:r>
      <w:r>
        <w:rPr>
          <w:color w:val="auto"/>
          <w:highlight w:val="none"/>
        </w:rPr>
        <w:t>标时间：</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w:t>
      </w:r>
    </w:p>
    <w:p w14:paraId="4A281687">
      <w:pPr>
        <w:adjustRightInd w:val="0"/>
        <w:snapToGrid w:val="0"/>
        <w:rPr>
          <w:color w:val="auto"/>
          <w:highlight w:val="none"/>
        </w:rPr>
      </w:pPr>
      <w:r>
        <w:rPr>
          <w:rFonts w:hint="eastAsia"/>
          <w:color w:val="auto"/>
          <w:highlight w:val="none"/>
        </w:rPr>
        <w:t>招标人</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 xml:space="preserve">         招标代理机构</w:t>
      </w:r>
      <w:r>
        <w:rPr>
          <w:color w:val="auto"/>
          <w:highlight w:val="none"/>
        </w:rPr>
        <w:t>：</w:t>
      </w:r>
      <w:r>
        <w:rPr>
          <w:color w:val="auto"/>
          <w:highlight w:val="none"/>
          <w:u w:val="single"/>
        </w:rPr>
        <w:t xml:space="preserve"> </w:t>
      </w:r>
      <w:r>
        <w:rPr>
          <w:rFonts w:hint="eastAsia"/>
          <w:color w:val="auto"/>
          <w:highlight w:val="none"/>
          <w:u w:val="single"/>
        </w:rPr>
        <w:t xml:space="preserve">                        </w:t>
      </w:r>
    </w:p>
    <w:tbl>
      <w:tblPr>
        <w:tblStyle w:val="40"/>
        <w:tblW w:w="13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941"/>
        <w:gridCol w:w="1058"/>
        <w:gridCol w:w="1270"/>
        <w:gridCol w:w="1058"/>
        <w:gridCol w:w="1482"/>
        <w:gridCol w:w="1270"/>
        <w:gridCol w:w="1246"/>
        <w:gridCol w:w="1252"/>
        <w:gridCol w:w="847"/>
        <w:gridCol w:w="1773"/>
      </w:tblGrid>
      <w:tr w14:paraId="52CF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exact"/>
        </w:trPr>
        <w:tc>
          <w:tcPr>
            <w:tcW w:w="667" w:type="dxa"/>
            <w:vAlign w:val="center"/>
          </w:tcPr>
          <w:p w14:paraId="45D5113F">
            <w:pPr>
              <w:spacing w:line="280" w:lineRule="exact"/>
              <w:jc w:val="center"/>
              <w:rPr>
                <w:b/>
                <w:color w:val="auto"/>
                <w:szCs w:val="21"/>
                <w:highlight w:val="none"/>
              </w:rPr>
            </w:pPr>
            <w:r>
              <w:rPr>
                <w:rFonts w:hint="eastAsia"/>
                <w:b/>
                <w:color w:val="auto"/>
                <w:szCs w:val="21"/>
                <w:highlight w:val="none"/>
              </w:rPr>
              <w:t>序号</w:t>
            </w:r>
          </w:p>
        </w:tc>
        <w:tc>
          <w:tcPr>
            <w:tcW w:w="1941" w:type="dxa"/>
            <w:vAlign w:val="center"/>
          </w:tcPr>
          <w:p w14:paraId="0C71459C">
            <w:pPr>
              <w:spacing w:line="280" w:lineRule="exact"/>
              <w:jc w:val="center"/>
              <w:rPr>
                <w:b/>
                <w:color w:val="auto"/>
                <w:szCs w:val="21"/>
                <w:highlight w:val="none"/>
              </w:rPr>
            </w:pPr>
            <w:r>
              <w:rPr>
                <w:rFonts w:hint="eastAsia"/>
                <w:b/>
                <w:color w:val="auto"/>
                <w:szCs w:val="21"/>
                <w:highlight w:val="none"/>
              </w:rPr>
              <w:t>投标单位</w:t>
            </w:r>
          </w:p>
        </w:tc>
        <w:tc>
          <w:tcPr>
            <w:tcW w:w="1058" w:type="dxa"/>
            <w:vAlign w:val="center"/>
          </w:tcPr>
          <w:p w14:paraId="60ED5F69">
            <w:pPr>
              <w:spacing w:line="280" w:lineRule="exact"/>
              <w:jc w:val="center"/>
              <w:rPr>
                <w:b/>
                <w:color w:val="auto"/>
                <w:szCs w:val="21"/>
                <w:highlight w:val="none"/>
              </w:rPr>
            </w:pPr>
            <w:r>
              <w:rPr>
                <w:rFonts w:hint="eastAsia"/>
                <w:b/>
                <w:color w:val="auto"/>
                <w:szCs w:val="21"/>
                <w:highlight w:val="none"/>
              </w:rPr>
              <w:t>是否按时递交投标文件</w:t>
            </w:r>
          </w:p>
        </w:tc>
        <w:tc>
          <w:tcPr>
            <w:tcW w:w="1270" w:type="dxa"/>
            <w:vAlign w:val="center"/>
          </w:tcPr>
          <w:p w14:paraId="31786A76">
            <w:pPr>
              <w:spacing w:line="280" w:lineRule="exact"/>
              <w:jc w:val="center"/>
              <w:rPr>
                <w:b/>
                <w:color w:val="auto"/>
                <w:szCs w:val="21"/>
                <w:highlight w:val="none"/>
              </w:rPr>
            </w:pPr>
            <w:r>
              <w:rPr>
                <w:rFonts w:hint="eastAsia"/>
                <w:b/>
                <w:color w:val="auto"/>
                <w:szCs w:val="21"/>
                <w:highlight w:val="none"/>
              </w:rPr>
              <w:t>资格证件是否有效</w:t>
            </w:r>
          </w:p>
        </w:tc>
        <w:tc>
          <w:tcPr>
            <w:tcW w:w="1058" w:type="dxa"/>
            <w:vAlign w:val="center"/>
          </w:tcPr>
          <w:p w14:paraId="138E1265">
            <w:pPr>
              <w:spacing w:line="280" w:lineRule="exact"/>
              <w:jc w:val="center"/>
              <w:rPr>
                <w:b/>
                <w:color w:val="auto"/>
                <w:szCs w:val="21"/>
                <w:highlight w:val="none"/>
              </w:rPr>
            </w:pPr>
            <w:r>
              <w:rPr>
                <w:rFonts w:hint="eastAsia"/>
                <w:b/>
                <w:color w:val="auto"/>
                <w:szCs w:val="21"/>
                <w:highlight w:val="none"/>
              </w:rPr>
              <w:t>投标文件是否有效</w:t>
            </w:r>
          </w:p>
        </w:tc>
        <w:tc>
          <w:tcPr>
            <w:tcW w:w="1482" w:type="dxa"/>
            <w:vAlign w:val="center"/>
          </w:tcPr>
          <w:p w14:paraId="1D85AB7D">
            <w:pPr>
              <w:spacing w:line="280" w:lineRule="exact"/>
              <w:jc w:val="center"/>
              <w:rPr>
                <w:b/>
                <w:color w:val="auto"/>
                <w:szCs w:val="21"/>
                <w:highlight w:val="none"/>
              </w:rPr>
            </w:pPr>
            <w:r>
              <w:rPr>
                <w:rFonts w:hint="eastAsia"/>
                <w:b/>
                <w:color w:val="auto"/>
                <w:szCs w:val="21"/>
                <w:highlight w:val="none"/>
              </w:rPr>
              <w:t>提交的投标保证金（元）</w:t>
            </w:r>
          </w:p>
        </w:tc>
        <w:tc>
          <w:tcPr>
            <w:tcW w:w="1270" w:type="dxa"/>
            <w:vAlign w:val="center"/>
          </w:tcPr>
          <w:p w14:paraId="5FA783B6">
            <w:pPr>
              <w:spacing w:line="280" w:lineRule="exact"/>
              <w:jc w:val="center"/>
              <w:rPr>
                <w:b/>
                <w:color w:val="auto"/>
                <w:szCs w:val="21"/>
                <w:highlight w:val="none"/>
              </w:rPr>
            </w:pPr>
            <w:r>
              <w:rPr>
                <w:rFonts w:hint="eastAsia"/>
                <w:b/>
                <w:color w:val="auto"/>
                <w:szCs w:val="21"/>
                <w:highlight w:val="none"/>
              </w:rPr>
              <w:t>投标报价（元）</w:t>
            </w:r>
          </w:p>
        </w:tc>
        <w:tc>
          <w:tcPr>
            <w:tcW w:w="1246" w:type="dxa"/>
            <w:vAlign w:val="center"/>
          </w:tcPr>
          <w:p w14:paraId="63669E1F">
            <w:pPr>
              <w:spacing w:line="280" w:lineRule="exact"/>
              <w:jc w:val="center"/>
              <w:rPr>
                <w:b/>
                <w:color w:val="auto"/>
                <w:szCs w:val="21"/>
                <w:highlight w:val="none"/>
              </w:rPr>
            </w:pPr>
            <w:r>
              <w:rPr>
                <w:rFonts w:hint="eastAsia"/>
                <w:b/>
                <w:color w:val="auto"/>
                <w:szCs w:val="21"/>
                <w:highlight w:val="none"/>
              </w:rPr>
              <w:t>设计服务期限</w:t>
            </w:r>
          </w:p>
          <w:p w14:paraId="3BEB953B">
            <w:pPr>
              <w:spacing w:line="280" w:lineRule="exact"/>
              <w:jc w:val="center"/>
              <w:rPr>
                <w:b/>
                <w:color w:val="auto"/>
                <w:szCs w:val="21"/>
                <w:highlight w:val="none"/>
              </w:rPr>
            </w:pPr>
            <w:r>
              <w:rPr>
                <w:rFonts w:hint="eastAsia"/>
                <w:b/>
                <w:color w:val="auto"/>
                <w:szCs w:val="21"/>
                <w:highlight w:val="none"/>
              </w:rPr>
              <w:t>（日历天）</w:t>
            </w:r>
          </w:p>
        </w:tc>
        <w:tc>
          <w:tcPr>
            <w:tcW w:w="1252" w:type="dxa"/>
            <w:vAlign w:val="center"/>
          </w:tcPr>
          <w:p w14:paraId="61C09959">
            <w:pPr>
              <w:spacing w:line="280" w:lineRule="exact"/>
              <w:jc w:val="center"/>
              <w:rPr>
                <w:b/>
                <w:color w:val="auto"/>
                <w:szCs w:val="21"/>
                <w:highlight w:val="none"/>
              </w:rPr>
            </w:pPr>
            <w:r>
              <w:rPr>
                <w:rFonts w:hint="eastAsia"/>
                <w:b/>
                <w:color w:val="auto"/>
                <w:szCs w:val="21"/>
                <w:highlight w:val="none"/>
              </w:rPr>
              <w:t>项目</w:t>
            </w:r>
          </w:p>
          <w:p w14:paraId="509C38B9">
            <w:pPr>
              <w:spacing w:line="280" w:lineRule="exact"/>
              <w:jc w:val="center"/>
              <w:rPr>
                <w:b/>
                <w:color w:val="auto"/>
                <w:szCs w:val="21"/>
                <w:highlight w:val="none"/>
              </w:rPr>
            </w:pPr>
            <w:r>
              <w:rPr>
                <w:rFonts w:hint="eastAsia"/>
                <w:b/>
                <w:color w:val="auto"/>
                <w:szCs w:val="21"/>
                <w:highlight w:val="none"/>
              </w:rPr>
              <w:t>负责人</w:t>
            </w:r>
          </w:p>
        </w:tc>
        <w:tc>
          <w:tcPr>
            <w:tcW w:w="847" w:type="dxa"/>
            <w:vAlign w:val="center"/>
          </w:tcPr>
          <w:p w14:paraId="2EAF9B84">
            <w:pPr>
              <w:spacing w:line="280" w:lineRule="exact"/>
              <w:jc w:val="center"/>
              <w:rPr>
                <w:b/>
                <w:color w:val="auto"/>
                <w:szCs w:val="21"/>
                <w:highlight w:val="none"/>
              </w:rPr>
            </w:pPr>
            <w:r>
              <w:rPr>
                <w:rFonts w:hint="eastAsia"/>
                <w:b/>
                <w:color w:val="auto"/>
                <w:szCs w:val="21"/>
                <w:highlight w:val="none"/>
              </w:rPr>
              <w:t>备注</w:t>
            </w:r>
          </w:p>
        </w:tc>
        <w:tc>
          <w:tcPr>
            <w:tcW w:w="1773" w:type="dxa"/>
            <w:vAlign w:val="center"/>
          </w:tcPr>
          <w:p w14:paraId="1F40E6BA">
            <w:pPr>
              <w:spacing w:line="280" w:lineRule="exact"/>
              <w:jc w:val="center"/>
              <w:rPr>
                <w:b/>
                <w:color w:val="auto"/>
                <w:szCs w:val="21"/>
                <w:highlight w:val="none"/>
              </w:rPr>
            </w:pPr>
            <w:r>
              <w:rPr>
                <w:rFonts w:hint="eastAsia" w:cs="宋体"/>
                <w:b/>
                <w:color w:val="auto"/>
                <w:highlight w:val="none"/>
              </w:rPr>
              <w:t>法定代表人或投标人代表签字或盖单位电子章确认</w:t>
            </w:r>
          </w:p>
        </w:tc>
      </w:tr>
      <w:tr w14:paraId="482E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67" w:type="dxa"/>
            <w:vAlign w:val="center"/>
          </w:tcPr>
          <w:p w14:paraId="7E5BCC2B">
            <w:pPr>
              <w:spacing w:line="440" w:lineRule="exact"/>
              <w:jc w:val="center"/>
              <w:rPr>
                <w:rFonts w:eastAsia="黑体"/>
                <w:color w:val="auto"/>
                <w:highlight w:val="none"/>
              </w:rPr>
            </w:pPr>
            <w:r>
              <w:rPr>
                <w:rFonts w:eastAsia="黑体"/>
                <w:color w:val="auto"/>
                <w:highlight w:val="none"/>
              </w:rPr>
              <w:t>1</w:t>
            </w:r>
          </w:p>
        </w:tc>
        <w:tc>
          <w:tcPr>
            <w:tcW w:w="1941" w:type="dxa"/>
            <w:vAlign w:val="center"/>
          </w:tcPr>
          <w:p w14:paraId="3DAD1448">
            <w:pPr>
              <w:spacing w:line="440" w:lineRule="exact"/>
              <w:jc w:val="center"/>
              <w:rPr>
                <w:color w:val="auto"/>
                <w:highlight w:val="none"/>
              </w:rPr>
            </w:pPr>
          </w:p>
        </w:tc>
        <w:tc>
          <w:tcPr>
            <w:tcW w:w="1058" w:type="dxa"/>
            <w:vAlign w:val="center"/>
          </w:tcPr>
          <w:p w14:paraId="70EB67C1">
            <w:pPr>
              <w:spacing w:line="440" w:lineRule="exact"/>
              <w:jc w:val="center"/>
              <w:rPr>
                <w:color w:val="auto"/>
                <w:highlight w:val="none"/>
              </w:rPr>
            </w:pPr>
          </w:p>
        </w:tc>
        <w:tc>
          <w:tcPr>
            <w:tcW w:w="1270" w:type="dxa"/>
            <w:vAlign w:val="center"/>
          </w:tcPr>
          <w:p w14:paraId="25456DB6">
            <w:pPr>
              <w:spacing w:line="440" w:lineRule="exact"/>
              <w:jc w:val="center"/>
              <w:rPr>
                <w:color w:val="auto"/>
                <w:highlight w:val="none"/>
              </w:rPr>
            </w:pPr>
          </w:p>
        </w:tc>
        <w:tc>
          <w:tcPr>
            <w:tcW w:w="1058" w:type="dxa"/>
            <w:vAlign w:val="center"/>
          </w:tcPr>
          <w:p w14:paraId="4C50D329">
            <w:pPr>
              <w:spacing w:line="440" w:lineRule="exact"/>
              <w:jc w:val="center"/>
              <w:rPr>
                <w:color w:val="auto"/>
                <w:highlight w:val="none"/>
              </w:rPr>
            </w:pPr>
          </w:p>
        </w:tc>
        <w:tc>
          <w:tcPr>
            <w:tcW w:w="1482" w:type="dxa"/>
            <w:vAlign w:val="center"/>
          </w:tcPr>
          <w:p w14:paraId="3819FD1F">
            <w:pPr>
              <w:spacing w:line="440" w:lineRule="exact"/>
              <w:jc w:val="center"/>
              <w:rPr>
                <w:color w:val="auto"/>
                <w:highlight w:val="none"/>
              </w:rPr>
            </w:pPr>
          </w:p>
        </w:tc>
        <w:tc>
          <w:tcPr>
            <w:tcW w:w="1270" w:type="dxa"/>
            <w:vAlign w:val="center"/>
          </w:tcPr>
          <w:p w14:paraId="430003C2">
            <w:pPr>
              <w:spacing w:line="440" w:lineRule="exact"/>
              <w:jc w:val="center"/>
              <w:rPr>
                <w:color w:val="auto"/>
                <w:highlight w:val="none"/>
              </w:rPr>
            </w:pPr>
          </w:p>
        </w:tc>
        <w:tc>
          <w:tcPr>
            <w:tcW w:w="1246" w:type="dxa"/>
            <w:vAlign w:val="center"/>
          </w:tcPr>
          <w:p w14:paraId="673574C3">
            <w:pPr>
              <w:spacing w:line="440" w:lineRule="exact"/>
              <w:jc w:val="center"/>
              <w:rPr>
                <w:color w:val="auto"/>
                <w:highlight w:val="none"/>
              </w:rPr>
            </w:pPr>
          </w:p>
        </w:tc>
        <w:tc>
          <w:tcPr>
            <w:tcW w:w="1252" w:type="dxa"/>
            <w:vAlign w:val="center"/>
          </w:tcPr>
          <w:p w14:paraId="502EABCB">
            <w:pPr>
              <w:spacing w:line="440" w:lineRule="exact"/>
              <w:jc w:val="center"/>
              <w:rPr>
                <w:color w:val="auto"/>
                <w:highlight w:val="none"/>
              </w:rPr>
            </w:pPr>
          </w:p>
        </w:tc>
        <w:tc>
          <w:tcPr>
            <w:tcW w:w="847" w:type="dxa"/>
            <w:vAlign w:val="center"/>
          </w:tcPr>
          <w:p w14:paraId="7BB75536">
            <w:pPr>
              <w:spacing w:line="440" w:lineRule="exact"/>
              <w:jc w:val="center"/>
              <w:rPr>
                <w:color w:val="auto"/>
                <w:highlight w:val="none"/>
              </w:rPr>
            </w:pPr>
          </w:p>
        </w:tc>
        <w:tc>
          <w:tcPr>
            <w:tcW w:w="1773" w:type="dxa"/>
            <w:vAlign w:val="center"/>
          </w:tcPr>
          <w:p w14:paraId="5E9C3628">
            <w:pPr>
              <w:spacing w:line="440" w:lineRule="exact"/>
              <w:jc w:val="center"/>
              <w:rPr>
                <w:color w:val="auto"/>
                <w:highlight w:val="none"/>
              </w:rPr>
            </w:pPr>
          </w:p>
        </w:tc>
      </w:tr>
      <w:tr w14:paraId="33AA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67" w:type="dxa"/>
            <w:vAlign w:val="center"/>
          </w:tcPr>
          <w:p w14:paraId="1BE7B34D">
            <w:pPr>
              <w:spacing w:line="440" w:lineRule="exact"/>
              <w:jc w:val="center"/>
              <w:rPr>
                <w:rFonts w:eastAsia="黑体"/>
                <w:color w:val="auto"/>
                <w:highlight w:val="none"/>
              </w:rPr>
            </w:pPr>
            <w:r>
              <w:rPr>
                <w:rFonts w:eastAsia="黑体"/>
                <w:color w:val="auto"/>
                <w:highlight w:val="none"/>
              </w:rPr>
              <w:t>2</w:t>
            </w:r>
          </w:p>
        </w:tc>
        <w:tc>
          <w:tcPr>
            <w:tcW w:w="1941" w:type="dxa"/>
            <w:vAlign w:val="center"/>
          </w:tcPr>
          <w:p w14:paraId="7C5F50FB">
            <w:pPr>
              <w:spacing w:line="440" w:lineRule="exact"/>
              <w:jc w:val="center"/>
              <w:rPr>
                <w:color w:val="auto"/>
                <w:highlight w:val="none"/>
              </w:rPr>
            </w:pPr>
          </w:p>
        </w:tc>
        <w:tc>
          <w:tcPr>
            <w:tcW w:w="1058" w:type="dxa"/>
            <w:vAlign w:val="center"/>
          </w:tcPr>
          <w:p w14:paraId="406EDF60">
            <w:pPr>
              <w:spacing w:line="440" w:lineRule="exact"/>
              <w:jc w:val="center"/>
              <w:rPr>
                <w:color w:val="auto"/>
                <w:highlight w:val="none"/>
              </w:rPr>
            </w:pPr>
          </w:p>
        </w:tc>
        <w:tc>
          <w:tcPr>
            <w:tcW w:w="1270" w:type="dxa"/>
            <w:vAlign w:val="center"/>
          </w:tcPr>
          <w:p w14:paraId="40FD3106">
            <w:pPr>
              <w:spacing w:line="440" w:lineRule="exact"/>
              <w:jc w:val="center"/>
              <w:rPr>
                <w:color w:val="auto"/>
                <w:highlight w:val="none"/>
              </w:rPr>
            </w:pPr>
          </w:p>
        </w:tc>
        <w:tc>
          <w:tcPr>
            <w:tcW w:w="1058" w:type="dxa"/>
            <w:vAlign w:val="center"/>
          </w:tcPr>
          <w:p w14:paraId="65372E0A">
            <w:pPr>
              <w:spacing w:line="440" w:lineRule="exact"/>
              <w:jc w:val="center"/>
              <w:rPr>
                <w:color w:val="auto"/>
                <w:highlight w:val="none"/>
              </w:rPr>
            </w:pPr>
          </w:p>
        </w:tc>
        <w:tc>
          <w:tcPr>
            <w:tcW w:w="1482" w:type="dxa"/>
            <w:vAlign w:val="center"/>
          </w:tcPr>
          <w:p w14:paraId="10371997">
            <w:pPr>
              <w:spacing w:line="440" w:lineRule="exact"/>
              <w:jc w:val="center"/>
              <w:rPr>
                <w:color w:val="auto"/>
                <w:highlight w:val="none"/>
              </w:rPr>
            </w:pPr>
          </w:p>
        </w:tc>
        <w:tc>
          <w:tcPr>
            <w:tcW w:w="1270" w:type="dxa"/>
            <w:vAlign w:val="center"/>
          </w:tcPr>
          <w:p w14:paraId="05C7C27A">
            <w:pPr>
              <w:spacing w:line="440" w:lineRule="exact"/>
              <w:jc w:val="center"/>
              <w:rPr>
                <w:color w:val="auto"/>
                <w:highlight w:val="none"/>
              </w:rPr>
            </w:pPr>
          </w:p>
        </w:tc>
        <w:tc>
          <w:tcPr>
            <w:tcW w:w="1246" w:type="dxa"/>
            <w:vAlign w:val="center"/>
          </w:tcPr>
          <w:p w14:paraId="40FA0100">
            <w:pPr>
              <w:spacing w:line="440" w:lineRule="exact"/>
              <w:jc w:val="center"/>
              <w:rPr>
                <w:color w:val="auto"/>
                <w:highlight w:val="none"/>
              </w:rPr>
            </w:pPr>
          </w:p>
        </w:tc>
        <w:tc>
          <w:tcPr>
            <w:tcW w:w="1252" w:type="dxa"/>
            <w:vAlign w:val="center"/>
          </w:tcPr>
          <w:p w14:paraId="465EF631">
            <w:pPr>
              <w:spacing w:line="440" w:lineRule="exact"/>
              <w:jc w:val="center"/>
              <w:rPr>
                <w:color w:val="auto"/>
                <w:highlight w:val="none"/>
              </w:rPr>
            </w:pPr>
          </w:p>
        </w:tc>
        <w:tc>
          <w:tcPr>
            <w:tcW w:w="847" w:type="dxa"/>
            <w:vAlign w:val="center"/>
          </w:tcPr>
          <w:p w14:paraId="7E3DD0C6">
            <w:pPr>
              <w:spacing w:line="440" w:lineRule="exact"/>
              <w:jc w:val="center"/>
              <w:rPr>
                <w:color w:val="auto"/>
                <w:highlight w:val="none"/>
              </w:rPr>
            </w:pPr>
          </w:p>
        </w:tc>
        <w:tc>
          <w:tcPr>
            <w:tcW w:w="1773" w:type="dxa"/>
            <w:vAlign w:val="center"/>
          </w:tcPr>
          <w:p w14:paraId="07498B49">
            <w:pPr>
              <w:spacing w:line="440" w:lineRule="exact"/>
              <w:jc w:val="center"/>
              <w:rPr>
                <w:color w:val="auto"/>
                <w:highlight w:val="none"/>
              </w:rPr>
            </w:pPr>
          </w:p>
        </w:tc>
      </w:tr>
      <w:tr w14:paraId="0A93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67" w:type="dxa"/>
            <w:vAlign w:val="center"/>
          </w:tcPr>
          <w:p w14:paraId="2D65F8C8">
            <w:pPr>
              <w:spacing w:line="440" w:lineRule="exact"/>
              <w:jc w:val="center"/>
              <w:rPr>
                <w:rFonts w:eastAsia="黑体"/>
                <w:color w:val="auto"/>
                <w:highlight w:val="none"/>
              </w:rPr>
            </w:pPr>
            <w:r>
              <w:rPr>
                <w:rFonts w:eastAsia="黑体"/>
                <w:color w:val="auto"/>
                <w:highlight w:val="none"/>
              </w:rPr>
              <w:t>3</w:t>
            </w:r>
          </w:p>
        </w:tc>
        <w:tc>
          <w:tcPr>
            <w:tcW w:w="1941" w:type="dxa"/>
            <w:vAlign w:val="center"/>
          </w:tcPr>
          <w:p w14:paraId="421A5485">
            <w:pPr>
              <w:spacing w:line="440" w:lineRule="exact"/>
              <w:jc w:val="center"/>
              <w:rPr>
                <w:color w:val="auto"/>
                <w:highlight w:val="none"/>
              </w:rPr>
            </w:pPr>
          </w:p>
        </w:tc>
        <w:tc>
          <w:tcPr>
            <w:tcW w:w="1058" w:type="dxa"/>
            <w:vAlign w:val="center"/>
          </w:tcPr>
          <w:p w14:paraId="00AC7DA0">
            <w:pPr>
              <w:spacing w:line="440" w:lineRule="exact"/>
              <w:jc w:val="center"/>
              <w:rPr>
                <w:color w:val="auto"/>
                <w:highlight w:val="none"/>
              </w:rPr>
            </w:pPr>
          </w:p>
        </w:tc>
        <w:tc>
          <w:tcPr>
            <w:tcW w:w="1270" w:type="dxa"/>
            <w:vAlign w:val="center"/>
          </w:tcPr>
          <w:p w14:paraId="75B771F4">
            <w:pPr>
              <w:spacing w:line="440" w:lineRule="exact"/>
              <w:jc w:val="center"/>
              <w:rPr>
                <w:color w:val="auto"/>
                <w:highlight w:val="none"/>
              </w:rPr>
            </w:pPr>
          </w:p>
        </w:tc>
        <w:tc>
          <w:tcPr>
            <w:tcW w:w="1058" w:type="dxa"/>
            <w:vAlign w:val="center"/>
          </w:tcPr>
          <w:p w14:paraId="4087FFA0">
            <w:pPr>
              <w:spacing w:line="440" w:lineRule="exact"/>
              <w:jc w:val="center"/>
              <w:rPr>
                <w:color w:val="auto"/>
                <w:highlight w:val="none"/>
              </w:rPr>
            </w:pPr>
          </w:p>
        </w:tc>
        <w:tc>
          <w:tcPr>
            <w:tcW w:w="1482" w:type="dxa"/>
            <w:vAlign w:val="center"/>
          </w:tcPr>
          <w:p w14:paraId="015D7084">
            <w:pPr>
              <w:spacing w:line="440" w:lineRule="exact"/>
              <w:jc w:val="center"/>
              <w:rPr>
                <w:color w:val="auto"/>
                <w:highlight w:val="none"/>
              </w:rPr>
            </w:pPr>
          </w:p>
        </w:tc>
        <w:tc>
          <w:tcPr>
            <w:tcW w:w="1270" w:type="dxa"/>
            <w:vAlign w:val="center"/>
          </w:tcPr>
          <w:p w14:paraId="14D501FC">
            <w:pPr>
              <w:spacing w:line="440" w:lineRule="exact"/>
              <w:jc w:val="center"/>
              <w:rPr>
                <w:color w:val="auto"/>
                <w:highlight w:val="none"/>
              </w:rPr>
            </w:pPr>
          </w:p>
        </w:tc>
        <w:tc>
          <w:tcPr>
            <w:tcW w:w="1246" w:type="dxa"/>
            <w:vAlign w:val="center"/>
          </w:tcPr>
          <w:p w14:paraId="31E91778">
            <w:pPr>
              <w:spacing w:line="440" w:lineRule="exact"/>
              <w:jc w:val="center"/>
              <w:rPr>
                <w:color w:val="auto"/>
                <w:highlight w:val="none"/>
              </w:rPr>
            </w:pPr>
          </w:p>
        </w:tc>
        <w:tc>
          <w:tcPr>
            <w:tcW w:w="1252" w:type="dxa"/>
            <w:vAlign w:val="center"/>
          </w:tcPr>
          <w:p w14:paraId="21D3009C">
            <w:pPr>
              <w:spacing w:line="440" w:lineRule="exact"/>
              <w:jc w:val="center"/>
              <w:rPr>
                <w:color w:val="auto"/>
                <w:highlight w:val="none"/>
              </w:rPr>
            </w:pPr>
          </w:p>
        </w:tc>
        <w:tc>
          <w:tcPr>
            <w:tcW w:w="847" w:type="dxa"/>
            <w:vAlign w:val="center"/>
          </w:tcPr>
          <w:p w14:paraId="61FB9D6D">
            <w:pPr>
              <w:spacing w:line="440" w:lineRule="exact"/>
              <w:jc w:val="center"/>
              <w:rPr>
                <w:color w:val="auto"/>
                <w:highlight w:val="none"/>
              </w:rPr>
            </w:pPr>
          </w:p>
        </w:tc>
        <w:tc>
          <w:tcPr>
            <w:tcW w:w="1773" w:type="dxa"/>
            <w:vAlign w:val="center"/>
          </w:tcPr>
          <w:p w14:paraId="54E0AA31">
            <w:pPr>
              <w:spacing w:line="440" w:lineRule="exact"/>
              <w:jc w:val="center"/>
              <w:rPr>
                <w:color w:val="auto"/>
                <w:highlight w:val="none"/>
              </w:rPr>
            </w:pPr>
          </w:p>
        </w:tc>
      </w:tr>
      <w:tr w14:paraId="48A8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67" w:type="dxa"/>
            <w:vAlign w:val="center"/>
          </w:tcPr>
          <w:p w14:paraId="094ECEE9">
            <w:pPr>
              <w:spacing w:line="440" w:lineRule="exact"/>
              <w:jc w:val="center"/>
              <w:rPr>
                <w:rFonts w:eastAsia="黑体"/>
                <w:color w:val="auto"/>
                <w:highlight w:val="none"/>
              </w:rPr>
            </w:pPr>
            <w:r>
              <w:rPr>
                <w:rFonts w:eastAsia="黑体"/>
                <w:color w:val="auto"/>
                <w:highlight w:val="none"/>
              </w:rPr>
              <w:t>4</w:t>
            </w:r>
          </w:p>
        </w:tc>
        <w:tc>
          <w:tcPr>
            <w:tcW w:w="1941" w:type="dxa"/>
            <w:vAlign w:val="center"/>
          </w:tcPr>
          <w:p w14:paraId="703EF92F">
            <w:pPr>
              <w:spacing w:line="440" w:lineRule="exact"/>
              <w:jc w:val="center"/>
              <w:rPr>
                <w:color w:val="auto"/>
                <w:highlight w:val="none"/>
              </w:rPr>
            </w:pPr>
          </w:p>
        </w:tc>
        <w:tc>
          <w:tcPr>
            <w:tcW w:w="1058" w:type="dxa"/>
            <w:vAlign w:val="center"/>
          </w:tcPr>
          <w:p w14:paraId="1FA85AE0">
            <w:pPr>
              <w:spacing w:line="440" w:lineRule="exact"/>
              <w:jc w:val="center"/>
              <w:rPr>
                <w:color w:val="auto"/>
                <w:highlight w:val="none"/>
              </w:rPr>
            </w:pPr>
          </w:p>
        </w:tc>
        <w:tc>
          <w:tcPr>
            <w:tcW w:w="1270" w:type="dxa"/>
            <w:vAlign w:val="center"/>
          </w:tcPr>
          <w:p w14:paraId="452AE7F6">
            <w:pPr>
              <w:spacing w:line="440" w:lineRule="exact"/>
              <w:jc w:val="center"/>
              <w:rPr>
                <w:color w:val="auto"/>
                <w:highlight w:val="none"/>
              </w:rPr>
            </w:pPr>
          </w:p>
        </w:tc>
        <w:tc>
          <w:tcPr>
            <w:tcW w:w="1058" w:type="dxa"/>
            <w:vAlign w:val="center"/>
          </w:tcPr>
          <w:p w14:paraId="3F13DB45">
            <w:pPr>
              <w:spacing w:line="440" w:lineRule="exact"/>
              <w:jc w:val="center"/>
              <w:rPr>
                <w:color w:val="auto"/>
                <w:highlight w:val="none"/>
              </w:rPr>
            </w:pPr>
          </w:p>
        </w:tc>
        <w:tc>
          <w:tcPr>
            <w:tcW w:w="1482" w:type="dxa"/>
            <w:vAlign w:val="center"/>
          </w:tcPr>
          <w:p w14:paraId="0A87E678">
            <w:pPr>
              <w:spacing w:line="440" w:lineRule="exact"/>
              <w:jc w:val="center"/>
              <w:rPr>
                <w:color w:val="auto"/>
                <w:highlight w:val="none"/>
              </w:rPr>
            </w:pPr>
          </w:p>
        </w:tc>
        <w:tc>
          <w:tcPr>
            <w:tcW w:w="1270" w:type="dxa"/>
            <w:vAlign w:val="center"/>
          </w:tcPr>
          <w:p w14:paraId="529C5CE5">
            <w:pPr>
              <w:spacing w:line="440" w:lineRule="exact"/>
              <w:jc w:val="center"/>
              <w:rPr>
                <w:color w:val="auto"/>
                <w:highlight w:val="none"/>
              </w:rPr>
            </w:pPr>
          </w:p>
        </w:tc>
        <w:tc>
          <w:tcPr>
            <w:tcW w:w="1246" w:type="dxa"/>
            <w:vAlign w:val="center"/>
          </w:tcPr>
          <w:p w14:paraId="142C5768">
            <w:pPr>
              <w:spacing w:line="440" w:lineRule="exact"/>
              <w:jc w:val="center"/>
              <w:rPr>
                <w:color w:val="auto"/>
                <w:highlight w:val="none"/>
              </w:rPr>
            </w:pPr>
          </w:p>
        </w:tc>
        <w:tc>
          <w:tcPr>
            <w:tcW w:w="1252" w:type="dxa"/>
            <w:vAlign w:val="center"/>
          </w:tcPr>
          <w:p w14:paraId="7213EA85">
            <w:pPr>
              <w:spacing w:line="440" w:lineRule="exact"/>
              <w:jc w:val="center"/>
              <w:rPr>
                <w:color w:val="auto"/>
                <w:highlight w:val="none"/>
              </w:rPr>
            </w:pPr>
          </w:p>
        </w:tc>
        <w:tc>
          <w:tcPr>
            <w:tcW w:w="847" w:type="dxa"/>
            <w:vAlign w:val="center"/>
          </w:tcPr>
          <w:p w14:paraId="0613A82E">
            <w:pPr>
              <w:spacing w:line="440" w:lineRule="exact"/>
              <w:jc w:val="center"/>
              <w:rPr>
                <w:color w:val="auto"/>
                <w:highlight w:val="none"/>
              </w:rPr>
            </w:pPr>
          </w:p>
        </w:tc>
        <w:tc>
          <w:tcPr>
            <w:tcW w:w="1773" w:type="dxa"/>
            <w:vAlign w:val="center"/>
          </w:tcPr>
          <w:p w14:paraId="3E052286">
            <w:pPr>
              <w:spacing w:line="440" w:lineRule="exact"/>
              <w:jc w:val="center"/>
              <w:rPr>
                <w:color w:val="auto"/>
                <w:highlight w:val="none"/>
              </w:rPr>
            </w:pPr>
          </w:p>
        </w:tc>
      </w:tr>
      <w:tr w14:paraId="245C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67" w:type="dxa"/>
            <w:vAlign w:val="center"/>
          </w:tcPr>
          <w:p w14:paraId="1976756D">
            <w:pPr>
              <w:spacing w:line="440" w:lineRule="exact"/>
              <w:jc w:val="center"/>
              <w:rPr>
                <w:rFonts w:eastAsia="黑体"/>
                <w:color w:val="auto"/>
                <w:highlight w:val="none"/>
              </w:rPr>
            </w:pPr>
            <w:r>
              <w:rPr>
                <w:rFonts w:eastAsia="黑体"/>
                <w:color w:val="auto"/>
                <w:highlight w:val="none"/>
              </w:rPr>
              <w:t>5</w:t>
            </w:r>
          </w:p>
        </w:tc>
        <w:tc>
          <w:tcPr>
            <w:tcW w:w="1941" w:type="dxa"/>
            <w:vAlign w:val="center"/>
          </w:tcPr>
          <w:p w14:paraId="3C6CB7E7">
            <w:pPr>
              <w:spacing w:line="440" w:lineRule="exact"/>
              <w:jc w:val="center"/>
              <w:rPr>
                <w:color w:val="auto"/>
                <w:highlight w:val="none"/>
              </w:rPr>
            </w:pPr>
          </w:p>
        </w:tc>
        <w:tc>
          <w:tcPr>
            <w:tcW w:w="1058" w:type="dxa"/>
            <w:vAlign w:val="center"/>
          </w:tcPr>
          <w:p w14:paraId="6D10D006">
            <w:pPr>
              <w:spacing w:line="440" w:lineRule="exact"/>
              <w:jc w:val="center"/>
              <w:rPr>
                <w:color w:val="auto"/>
                <w:highlight w:val="none"/>
              </w:rPr>
            </w:pPr>
          </w:p>
        </w:tc>
        <w:tc>
          <w:tcPr>
            <w:tcW w:w="1270" w:type="dxa"/>
            <w:vAlign w:val="center"/>
          </w:tcPr>
          <w:p w14:paraId="60576127">
            <w:pPr>
              <w:spacing w:line="440" w:lineRule="exact"/>
              <w:jc w:val="center"/>
              <w:rPr>
                <w:color w:val="auto"/>
                <w:highlight w:val="none"/>
              </w:rPr>
            </w:pPr>
          </w:p>
        </w:tc>
        <w:tc>
          <w:tcPr>
            <w:tcW w:w="1058" w:type="dxa"/>
            <w:vAlign w:val="center"/>
          </w:tcPr>
          <w:p w14:paraId="3B9F072D">
            <w:pPr>
              <w:spacing w:line="440" w:lineRule="exact"/>
              <w:jc w:val="center"/>
              <w:rPr>
                <w:color w:val="auto"/>
                <w:highlight w:val="none"/>
              </w:rPr>
            </w:pPr>
          </w:p>
        </w:tc>
        <w:tc>
          <w:tcPr>
            <w:tcW w:w="1482" w:type="dxa"/>
            <w:vAlign w:val="center"/>
          </w:tcPr>
          <w:p w14:paraId="20941C97">
            <w:pPr>
              <w:spacing w:line="440" w:lineRule="exact"/>
              <w:jc w:val="center"/>
              <w:rPr>
                <w:color w:val="auto"/>
                <w:highlight w:val="none"/>
              </w:rPr>
            </w:pPr>
          </w:p>
        </w:tc>
        <w:tc>
          <w:tcPr>
            <w:tcW w:w="1270" w:type="dxa"/>
            <w:vAlign w:val="center"/>
          </w:tcPr>
          <w:p w14:paraId="4CBB447E">
            <w:pPr>
              <w:spacing w:line="440" w:lineRule="exact"/>
              <w:jc w:val="center"/>
              <w:rPr>
                <w:color w:val="auto"/>
                <w:highlight w:val="none"/>
              </w:rPr>
            </w:pPr>
          </w:p>
        </w:tc>
        <w:tc>
          <w:tcPr>
            <w:tcW w:w="1246" w:type="dxa"/>
            <w:vAlign w:val="center"/>
          </w:tcPr>
          <w:p w14:paraId="7D999B27">
            <w:pPr>
              <w:spacing w:line="440" w:lineRule="exact"/>
              <w:jc w:val="center"/>
              <w:rPr>
                <w:color w:val="auto"/>
                <w:highlight w:val="none"/>
              </w:rPr>
            </w:pPr>
          </w:p>
        </w:tc>
        <w:tc>
          <w:tcPr>
            <w:tcW w:w="1252" w:type="dxa"/>
            <w:vAlign w:val="center"/>
          </w:tcPr>
          <w:p w14:paraId="67E474D8">
            <w:pPr>
              <w:spacing w:line="440" w:lineRule="exact"/>
              <w:jc w:val="center"/>
              <w:rPr>
                <w:color w:val="auto"/>
                <w:highlight w:val="none"/>
              </w:rPr>
            </w:pPr>
          </w:p>
        </w:tc>
        <w:tc>
          <w:tcPr>
            <w:tcW w:w="847" w:type="dxa"/>
            <w:vAlign w:val="center"/>
          </w:tcPr>
          <w:p w14:paraId="5F4E66D5">
            <w:pPr>
              <w:spacing w:line="440" w:lineRule="exact"/>
              <w:jc w:val="center"/>
              <w:rPr>
                <w:color w:val="auto"/>
                <w:highlight w:val="none"/>
              </w:rPr>
            </w:pPr>
          </w:p>
        </w:tc>
        <w:tc>
          <w:tcPr>
            <w:tcW w:w="1773" w:type="dxa"/>
            <w:vAlign w:val="center"/>
          </w:tcPr>
          <w:p w14:paraId="0043FDFE">
            <w:pPr>
              <w:spacing w:line="440" w:lineRule="exact"/>
              <w:jc w:val="center"/>
              <w:rPr>
                <w:color w:val="auto"/>
                <w:highlight w:val="none"/>
              </w:rPr>
            </w:pPr>
          </w:p>
        </w:tc>
      </w:tr>
      <w:tr w14:paraId="3F80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67" w:type="dxa"/>
            <w:vAlign w:val="center"/>
          </w:tcPr>
          <w:p w14:paraId="0586EF9E">
            <w:pPr>
              <w:spacing w:line="440" w:lineRule="exact"/>
              <w:jc w:val="center"/>
              <w:rPr>
                <w:rFonts w:eastAsia="黑体"/>
                <w:color w:val="auto"/>
                <w:highlight w:val="none"/>
              </w:rPr>
            </w:pPr>
            <w:r>
              <w:rPr>
                <w:rFonts w:eastAsia="黑体"/>
                <w:color w:val="auto"/>
                <w:highlight w:val="none"/>
              </w:rPr>
              <w:t>6</w:t>
            </w:r>
          </w:p>
        </w:tc>
        <w:tc>
          <w:tcPr>
            <w:tcW w:w="1941" w:type="dxa"/>
            <w:vAlign w:val="center"/>
          </w:tcPr>
          <w:p w14:paraId="69AF8594">
            <w:pPr>
              <w:spacing w:line="440" w:lineRule="exact"/>
              <w:jc w:val="center"/>
              <w:rPr>
                <w:color w:val="auto"/>
                <w:highlight w:val="none"/>
              </w:rPr>
            </w:pPr>
          </w:p>
        </w:tc>
        <w:tc>
          <w:tcPr>
            <w:tcW w:w="1058" w:type="dxa"/>
            <w:vAlign w:val="center"/>
          </w:tcPr>
          <w:p w14:paraId="23A2E6A7">
            <w:pPr>
              <w:spacing w:line="440" w:lineRule="exact"/>
              <w:jc w:val="center"/>
              <w:rPr>
                <w:color w:val="auto"/>
                <w:highlight w:val="none"/>
              </w:rPr>
            </w:pPr>
          </w:p>
        </w:tc>
        <w:tc>
          <w:tcPr>
            <w:tcW w:w="1270" w:type="dxa"/>
            <w:vAlign w:val="center"/>
          </w:tcPr>
          <w:p w14:paraId="16085D6B">
            <w:pPr>
              <w:spacing w:line="440" w:lineRule="exact"/>
              <w:jc w:val="center"/>
              <w:rPr>
                <w:color w:val="auto"/>
                <w:highlight w:val="none"/>
              </w:rPr>
            </w:pPr>
          </w:p>
        </w:tc>
        <w:tc>
          <w:tcPr>
            <w:tcW w:w="1058" w:type="dxa"/>
            <w:vAlign w:val="center"/>
          </w:tcPr>
          <w:p w14:paraId="2612BC82">
            <w:pPr>
              <w:spacing w:line="440" w:lineRule="exact"/>
              <w:jc w:val="center"/>
              <w:rPr>
                <w:color w:val="auto"/>
                <w:highlight w:val="none"/>
              </w:rPr>
            </w:pPr>
          </w:p>
        </w:tc>
        <w:tc>
          <w:tcPr>
            <w:tcW w:w="1482" w:type="dxa"/>
            <w:vAlign w:val="center"/>
          </w:tcPr>
          <w:p w14:paraId="7965CF18">
            <w:pPr>
              <w:spacing w:line="440" w:lineRule="exact"/>
              <w:jc w:val="center"/>
              <w:rPr>
                <w:color w:val="auto"/>
                <w:highlight w:val="none"/>
              </w:rPr>
            </w:pPr>
          </w:p>
        </w:tc>
        <w:tc>
          <w:tcPr>
            <w:tcW w:w="1270" w:type="dxa"/>
            <w:vAlign w:val="center"/>
          </w:tcPr>
          <w:p w14:paraId="697E2A60">
            <w:pPr>
              <w:spacing w:line="440" w:lineRule="exact"/>
              <w:jc w:val="center"/>
              <w:rPr>
                <w:color w:val="auto"/>
                <w:highlight w:val="none"/>
              </w:rPr>
            </w:pPr>
          </w:p>
        </w:tc>
        <w:tc>
          <w:tcPr>
            <w:tcW w:w="1246" w:type="dxa"/>
            <w:vAlign w:val="center"/>
          </w:tcPr>
          <w:p w14:paraId="76888109">
            <w:pPr>
              <w:spacing w:line="440" w:lineRule="exact"/>
              <w:jc w:val="center"/>
              <w:rPr>
                <w:color w:val="auto"/>
                <w:highlight w:val="none"/>
              </w:rPr>
            </w:pPr>
          </w:p>
        </w:tc>
        <w:tc>
          <w:tcPr>
            <w:tcW w:w="1252" w:type="dxa"/>
            <w:vAlign w:val="center"/>
          </w:tcPr>
          <w:p w14:paraId="085857BE">
            <w:pPr>
              <w:spacing w:line="440" w:lineRule="exact"/>
              <w:jc w:val="center"/>
              <w:rPr>
                <w:color w:val="auto"/>
                <w:highlight w:val="none"/>
              </w:rPr>
            </w:pPr>
          </w:p>
        </w:tc>
        <w:tc>
          <w:tcPr>
            <w:tcW w:w="847" w:type="dxa"/>
            <w:vAlign w:val="center"/>
          </w:tcPr>
          <w:p w14:paraId="3F348C76">
            <w:pPr>
              <w:spacing w:line="440" w:lineRule="exact"/>
              <w:jc w:val="center"/>
              <w:rPr>
                <w:color w:val="auto"/>
                <w:highlight w:val="none"/>
              </w:rPr>
            </w:pPr>
          </w:p>
        </w:tc>
        <w:tc>
          <w:tcPr>
            <w:tcW w:w="1773" w:type="dxa"/>
            <w:vAlign w:val="center"/>
          </w:tcPr>
          <w:p w14:paraId="6E0AFB07">
            <w:pPr>
              <w:spacing w:line="440" w:lineRule="exact"/>
              <w:jc w:val="center"/>
              <w:rPr>
                <w:color w:val="auto"/>
                <w:highlight w:val="none"/>
              </w:rPr>
            </w:pPr>
          </w:p>
        </w:tc>
      </w:tr>
    </w:tbl>
    <w:p w14:paraId="46E8942E">
      <w:pPr>
        <w:rPr>
          <w:rFonts w:ascii="宋体" w:hAnsi="宋体"/>
          <w:color w:val="auto"/>
          <w:szCs w:val="44"/>
          <w:highlight w:val="none"/>
        </w:rPr>
      </w:pPr>
    </w:p>
    <w:p w14:paraId="759984AD">
      <w:pPr>
        <w:rPr>
          <w:rFonts w:ascii="宋体"/>
          <w:color w:val="auto"/>
          <w:highlight w:val="none"/>
        </w:rPr>
        <w:sectPr>
          <w:pgSz w:w="16838" w:h="11906" w:orient="landscape"/>
          <w:pgMar w:top="1440" w:right="1440" w:bottom="1440" w:left="1797" w:header="851" w:footer="851" w:gutter="0"/>
          <w:cols w:space="720" w:num="1"/>
          <w:docGrid w:linePitch="312" w:charSpace="0"/>
        </w:sectPr>
      </w:pPr>
      <w:r>
        <w:rPr>
          <w:rFonts w:hint="eastAsia" w:ascii="宋体" w:hAnsi="宋体"/>
          <w:color w:val="auto"/>
          <w:szCs w:val="44"/>
          <w:highlight w:val="none"/>
        </w:rPr>
        <w:t xml:space="preserve">招标人授权代表（签字）：                    记录人（签字）：            监督人员（签字）： </w:t>
      </w:r>
      <w:r>
        <w:rPr>
          <w:rFonts w:ascii="宋体" w:hAnsi="宋体"/>
          <w:color w:val="auto"/>
          <w:szCs w:val="44"/>
          <w:highlight w:val="none"/>
        </w:rPr>
        <w:t xml:space="preserve">              </w:t>
      </w:r>
      <w:r>
        <w:rPr>
          <w:rFonts w:hint="eastAsia" w:ascii="宋体"/>
          <w:color w:val="auto"/>
          <w:highlight w:val="none"/>
        </w:rPr>
        <w:t>见证人员</w:t>
      </w:r>
      <w:r>
        <w:rPr>
          <w:rFonts w:hint="eastAsia" w:ascii="宋体" w:hAnsi="宋体" w:cs="宋体"/>
          <w:color w:val="auto"/>
          <w:highlight w:val="none"/>
        </w:rPr>
        <w:t>（签字</w:t>
      </w:r>
    </w:p>
    <w:p w14:paraId="1F29658F">
      <w:pPr>
        <w:rPr>
          <w:rFonts w:ascii="宋体" w:hAnsi="宋体"/>
          <w:b/>
          <w:color w:val="auto"/>
          <w:szCs w:val="44"/>
          <w:highlight w:val="none"/>
        </w:rPr>
      </w:pPr>
      <w:r>
        <w:rPr>
          <w:rFonts w:hint="eastAsia" w:ascii="宋体" w:hAnsi="宋体"/>
          <w:b/>
          <w:color w:val="auto"/>
          <w:szCs w:val="44"/>
          <w:highlight w:val="none"/>
        </w:rPr>
        <w:t>附表</w:t>
      </w:r>
      <w:r>
        <w:rPr>
          <w:rFonts w:ascii="宋体" w:hAnsi="宋体"/>
          <w:b/>
          <w:color w:val="auto"/>
          <w:szCs w:val="44"/>
          <w:highlight w:val="none"/>
        </w:rPr>
        <w:t>A－</w:t>
      </w:r>
      <w:r>
        <w:rPr>
          <w:rFonts w:hint="eastAsia" w:ascii="宋体" w:hAnsi="宋体"/>
          <w:b/>
          <w:color w:val="auto"/>
          <w:szCs w:val="44"/>
          <w:highlight w:val="none"/>
        </w:rPr>
        <w:t>2</w:t>
      </w:r>
      <w:r>
        <w:rPr>
          <w:rFonts w:ascii="宋体" w:hAnsi="宋体"/>
          <w:b/>
          <w:color w:val="auto"/>
          <w:szCs w:val="44"/>
          <w:highlight w:val="none"/>
        </w:rPr>
        <w:t>-1：开标会异常记录</w:t>
      </w:r>
      <w:r>
        <w:rPr>
          <w:rFonts w:hint="eastAsia" w:ascii="宋体" w:hAnsi="宋体"/>
          <w:b/>
          <w:color w:val="auto"/>
          <w:szCs w:val="44"/>
          <w:highlight w:val="none"/>
        </w:rPr>
        <w:t>表（如有）</w:t>
      </w:r>
    </w:p>
    <w:p w14:paraId="3AA070D8">
      <w:pPr>
        <w:rPr>
          <w:rFonts w:ascii="宋体" w:hAnsi="宋体"/>
          <w:color w:val="auto"/>
          <w:szCs w:val="44"/>
          <w:highlight w:val="none"/>
        </w:rPr>
      </w:pPr>
    </w:p>
    <w:p w14:paraId="1B4D46FD">
      <w:pPr>
        <w:adjustRightInd w:val="0"/>
        <w:snapToGrid w:val="0"/>
        <w:spacing w:line="420" w:lineRule="exact"/>
        <w:jc w:val="center"/>
        <w:rPr>
          <w:rFonts w:eastAsia="黑体"/>
          <w:b/>
          <w:color w:val="auto"/>
          <w:sz w:val="28"/>
          <w:szCs w:val="28"/>
          <w:highlight w:val="none"/>
        </w:rPr>
      </w:pPr>
      <w:r>
        <w:rPr>
          <w:rFonts w:hint="eastAsia" w:eastAsia="黑体"/>
          <w:b/>
          <w:color w:val="auto"/>
          <w:sz w:val="28"/>
          <w:szCs w:val="28"/>
          <w:highlight w:val="none"/>
        </w:rPr>
        <w:t>开标会异常记录表（如有）</w:t>
      </w:r>
    </w:p>
    <w:p w14:paraId="7975A873">
      <w:pPr>
        <w:rPr>
          <w:rFonts w:ascii="宋体" w:hAnsi="宋体"/>
          <w:color w:val="auto"/>
          <w:szCs w:val="44"/>
          <w:highlight w:val="none"/>
        </w:rPr>
      </w:pPr>
    </w:p>
    <w:p w14:paraId="19E00045">
      <w:pPr>
        <w:rPr>
          <w:color w:val="auto"/>
          <w:highlight w:val="none"/>
        </w:rPr>
      </w:pPr>
      <w:r>
        <w:rPr>
          <w:rFonts w:hint="eastAsia"/>
          <w:color w:val="auto"/>
          <w:highlight w:val="none"/>
        </w:rPr>
        <w:t>工程名称：</w:t>
      </w:r>
      <w:r>
        <w:rPr>
          <w:color w:val="auto"/>
          <w:highlight w:val="none"/>
          <w:u w:val="single"/>
        </w:rPr>
        <w:t xml:space="preserve">             </w:t>
      </w:r>
      <w:r>
        <w:rPr>
          <w:rFonts w:hint="eastAsia"/>
          <w:color w:val="auto"/>
          <w:highlight w:val="none"/>
        </w:rPr>
        <w:t>（项目名称）</w:t>
      </w:r>
      <w:r>
        <w:rPr>
          <w:color w:val="auto"/>
          <w:highlight w:val="none"/>
        </w:rPr>
        <w:t xml:space="preserve">       </w:t>
      </w:r>
      <w:r>
        <w:rPr>
          <w:rFonts w:hint="eastAsia"/>
          <w:color w:val="auto"/>
          <w:highlight w:val="none"/>
        </w:rPr>
        <w:t>项目招标编号：</w:t>
      </w:r>
      <w:r>
        <w:rPr>
          <w:color w:val="auto"/>
          <w:highlight w:val="none"/>
          <w:u w:val="single"/>
        </w:rPr>
        <w:t xml:space="preserve">               </w:t>
      </w:r>
      <w:r>
        <w:rPr>
          <w:color w:val="auto"/>
          <w:highlight w:val="none"/>
        </w:rPr>
        <w:t xml:space="preserve">         </w:t>
      </w:r>
    </w:p>
    <w:p w14:paraId="2B6A4BC4">
      <w:pPr>
        <w:rPr>
          <w:color w:val="auto"/>
          <w:highlight w:val="none"/>
        </w:rPr>
      </w:pPr>
      <w:r>
        <w:rPr>
          <w:rFonts w:hint="eastAsia"/>
          <w:color w:val="auto"/>
          <w:highlight w:val="none"/>
        </w:rPr>
        <w:t>开标时间：</w:t>
      </w:r>
      <w:r>
        <w:rPr>
          <w:color w:val="auto"/>
          <w:highlight w:val="none"/>
          <w:u w:val="single"/>
        </w:rPr>
        <w:t xml:space="preserve">          </w:t>
      </w:r>
      <w:r>
        <w:rPr>
          <w:rFonts w:hint="eastAsia"/>
          <w:color w:val="auto"/>
          <w:highlight w:val="none"/>
        </w:rPr>
        <w:t>年</w:t>
      </w:r>
      <w:r>
        <w:rPr>
          <w:color w:val="auto"/>
          <w:highlight w:val="none"/>
          <w:u w:val="single"/>
        </w:rPr>
        <w:t xml:space="preserve">      </w:t>
      </w:r>
      <w:r>
        <w:rPr>
          <w:rFonts w:hint="eastAsia"/>
          <w:color w:val="auto"/>
          <w:highlight w:val="none"/>
        </w:rPr>
        <w:t>月</w:t>
      </w:r>
      <w:r>
        <w:rPr>
          <w:color w:val="auto"/>
          <w:highlight w:val="none"/>
          <w:u w:val="single"/>
        </w:rPr>
        <w:t xml:space="preserve">      </w:t>
      </w:r>
      <w:r>
        <w:rPr>
          <w:rFonts w:hint="eastAsia"/>
          <w:color w:val="auto"/>
          <w:highlight w:val="none"/>
        </w:rPr>
        <w:t>日</w:t>
      </w:r>
    </w:p>
    <w:p w14:paraId="1331F902">
      <w:pPr>
        <w:adjustRightInd w:val="0"/>
        <w:snapToGrid w:val="0"/>
        <w:rPr>
          <w:color w:val="auto"/>
          <w:highlight w:val="none"/>
        </w:rPr>
      </w:pPr>
      <w:r>
        <w:rPr>
          <w:rFonts w:hint="eastAsia"/>
          <w:color w:val="auto"/>
          <w:highlight w:val="none"/>
        </w:rPr>
        <w:t>建设单位：</w:t>
      </w:r>
      <w:r>
        <w:rPr>
          <w:color w:val="auto"/>
          <w:highlight w:val="none"/>
          <w:u w:val="single"/>
        </w:rPr>
        <w:t xml:space="preserve">                                                         </w:t>
      </w:r>
      <w:r>
        <w:rPr>
          <w:color w:val="auto"/>
          <w:highlight w:val="none"/>
        </w:rPr>
        <w:t xml:space="preserve">         </w:t>
      </w:r>
    </w:p>
    <w:p w14:paraId="2712666F">
      <w:pPr>
        <w:adjustRightInd w:val="0"/>
        <w:snapToGrid w:val="0"/>
        <w:rPr>
          <w:color w:val="auto"/>
          <w:highlight w:val="none"/>
          <w:u w:val="single"/>
        </w:rPr>
      </w:pPr>
      <w:r>
        <w:rPr>
          <w:rFonts w:hint="eastAsia"/>
          <w:color w:val="auto"/>
          <w:highlight w:val="none"/>
        </w:rPr>
        <w:t>招标代理机构：</w:t>
      </w:r>
      <w:r>
        <w:rPr>
          <w:color w:val="auto"/>
          <w:highlight w:val="none"/>
          <w:u w:val="single"/>
        </w:rPr>
        <w:t xml:space="preserve">                         </w:t>
      </w:r>
    </w:p>
    <w:p w14:paraId="4EF00A8B">
      <w:pPr>
        <w:adjustRightInd w:val="0"/>
        <w:snapToGrid w:val="0"/>
        <w:rPr>
          <w:color w:val="auto"/>
          <w:highlight w:val="none"/>
          <w:u w:val="single"/>
        </w:rPr>
      </w:pPr>
    </w:p>
    <w:p w14:paraId="033CAFC9">
      <w:pPr>
        <w:adjustRightInd w:val="0"/>
        <w:snapToGrid w:val="0"/>
        <w:rPr>
          <w:color w:val="auto"/>
          <w:highlight w:val="none"/>
          <w:u w:val="single"/>
        </w:rPr>
      </w:pPr>
    </w:p>
    <w:p w14:paraId="1465AF33">
      <w:pPr>
        <w:adjustRightInd w:val="0"/>
        <w:snapToGrid w:val="0"/>
        <w:rPr>
          <w:color w:val="auto"/>
          <w:highlight w:val="none"/>
          <w:u w:val="single"/>
        </w:rPr>
      </w:pPr>
    </w:p>
    <w:p w14:paraId="22B86B76">
      <w:pPr>
        <w:rPr>
          <w:rFonts w:ascii="宋体" w:hAnsi="宋体"/>
          <w:color w:val="auto"/>
          <w:szCs w:val="44"/>
          <w:highlight w:val="none"/>
        </w:rPr>
      </w:pPr>
      <w:r>
        <w:rPr>
          <w:rFonts w:hint="eastAsia" w:ascii="宋体" w:hAnsi="宋体"/>
          <w:color w:val="auto"/>
          <w:szCs w:val="44"/>
          <w:highlight w:val="none"/>
        </w:rPr>
        <w:t>开标会异常情况记录：</w:t>
      </w:r>
      <w:r>
        <w:rPr>
          <w:rFonts w:ascii="宋体" w:hAnsi="宋体"/>
          <w:color w:val="auto"/>
          <w:szCs w:val="44"/>
          <w:highlight w:val="none"/>
        </w:rPr>
        <w:t xml:space="preserve">  </w:t>
      </w:r>
      <w:r>
        <w:rPr>
          <w:rFonts w:hint="eastAsia" w:ascii="宋体" w:hAnsi="宋体"/>
          <w:color w:val="auto"/>
          <w:szCs w:val="44"/>
          <w:highlight w:val="none"/>
        </w:rPr>
        <w:t>投标人</w:t>
      </w:r>
      <w:r>
        <w:rPr>
          <w:rFonts w:ascii="宋体" w:hAnsi="宋体"/>
          <w:color w:val="auto"/>
          <w:szCs w:val="44"/>
          <w:highlight w:val="none"/>
        </w:rPr>
        <w:t xml:space="preserve">****质疑*************                                                                </w:t>
      </w:r>
    </w:p>
    <w:p w14:paraId="41819CE6">
      <w:pPr>
        <w:rPr>
          <w:rFonts w:ascii="宋体" w:hAnsi="宋体"/>
          <w:color w:val="auto"/>
          <w:szCs w:val="44"/>
          <w:highlight w:val="none"/>
        </w:rPr>
      </w:pPr>
    </w:p>
    <w:p w14:paraId="0AA5063F">
      <w:pPr>
        <w:rPr>
          <w:rFonts w:ascii="宋体" w:hAnsi="宋体"/>
          <w:color w:val="auto"/>
          <w:szCs w:val="44"/>
          <w:highlight w:val="none"/>
        </w:rPr>
      </w:pPr>
    </w:p>
    <w:p w14:paraId="5CC5D10A">
      <w:pPr>
        <w:rPr>
          <w:rFonts w:ascii="宋体" w:hAnsi="宋体"/>
          <w:color w:val="auto"/>
          <w:szCs w:val="44"/>
          <w:highlight w:val="none"/>
        </w:rPr>
      </w:pPr>
    </w:p>
    <w:p w14:paraId="00DF56B5">
      <w:pPr>
        <w:rPr>
          <w:rFonts w:ascii="宋体" w:hAnsi="宋体"/>
          <w:color w:val="auto"/>
          <w:szCs w:val="44"/>
          <w:highlight w:val="none"/>
        </w:rPr>
      </w:pPr>
      <w:r>
        <w:rPr>
          <w:rFonts w:hint="eastAsia" w:ascii="宋体" w:hAnsi="宋体"/>
          <w:color w:val="auto"/>
          <w:szCs w:val="44"/>
          <w:highlight w:val="none"/>
        </w:rPr>
        <w:t>开标现场质疑人：</w:t>
      </w:r>
      <w:r>
        <w:rPr>
          <w:rFonts w:ascii="宋体" w:hAnsi="宋体"/>
          <w:color w:val="auto"/>
          <w:szCs w:val="44"/>
          <w:highlight w:val="none"/>
        </w:rPr>
        <w:t xml:space="preserve">             ***公司         </w:t>
      </w:r>
      <w:r>
        <w:rPr>
          <w:rFonts w:hint="eastAsia" w:ascii="宋体" w:hAnsi="宋体"/>
          <w:color w:val="auto"/>
          <w:szCs w:val="44"/>
          <w:highlight w:val="none"/>
        </w:rPr>
        <w:t>授权代表签字：</w:t>
      </w:r>
      <w:r>
        <w:rPr>
          <w:rFonts w:ascii="宋体" w:hAnsi="宋体"/>
          <w:color w:val="auto"/>
          <w:szCs w:val="44"/>
          <w:highlight w:val="none"/>
        </w:rPr>
        <w:t xml:space="preserve">           </w:t>
      </w:r>
      <w:r>
        <w:rPr>
          <w:rFonts w:hint="eastAsia" w:ascii="宋体" w:hAnsi="宋体"/>
          <w:color w:val="auto"/>
          <w:szCs w:val="44"/>
          <w:highlight w:val="none"/>
        </w:rPr>
        <w:t>日期</w:t>
      </w:r>
    </w:p>
    <w:p w14:paraId="56C36B81">
      <w:pPr>
        <w:rPr>
          <w:rFonts w:ascii="宋体" w:hAnsi="宋体"/>
          <w:color w:val="auto"/>
          <w:szCs w:val="44"/>
          <w:highlight w:val="none"/>
        </w:rPr>
      </w:pPr>
    </w:p>
    <w:p w14:paraId="3373BD20">
      <w:pPr>
        <w:rPr>
          <w:rFonts w:ascii="宋体" w:hAnsi="宋体"/>
          <w:color w:val="auto"/>
          <w:szCs w:val="44"/>
          <w:highlight w:val="none"/>
        </w:rPr>
      </w:pPr>
    </w:p>
    <w:p w14:paraId="1133462F">
      <w:pPr>
        <w:rPr>
          <w:rFonts w:ascii="宋体" w:hAnsi="宋体"/>
          <w:color w:val="auto"/>
          <w:szCs w:val="44"/>
          <w:highlight w:val="none"/>
        </w:rPr>
      </w:pPr>
      <w:r>
        <w:rPr>
          <w:rFonts w:hint="eastAsia" w:ascii="宋体" w:hAnsi="宋体"/>
          <w:color w:val="auto"/>
          <w:szCs w:val="44"/>
          <w:highlight w:val="none"/>
        </w:rPr>
        <w:t>招标人代表：</w:t>
      </w:r>
    </w:p>
    <w:p w14:paraId="6C02C072">
      <w:pPr>
        <w:rPr>
          <w:rFonts w:ascii="宋体" w:hAnsi="宋体"/>
          <w:color w:val="auto"/>
          <w:szCs w:val="44"/>
          <w:highlight w:val="none"/>
        </w:rPr>
      </w:pPr>
      <w:r>
        <w:rPr>
          <w:rFonts w:hint="eastAsia" w:ascii="宋体" w:hAnsi="宋体"/>
          <w:color w:val="auto"/>
          <w:szCs w:val="44"/>
          <w:highlight w:val="none"/>
        </w:rPr>
        <w:t>（情况属实</w:t>
      </w:r>
      <w:r>
        <w:rPr>
          <w:rFonts w:ascii="宋体" w:hAnsi="宋体"/>
          <w:color w:val="auto"/>
          <w:szCs w:val="44"/>
          <w:highlight w:val="none"/>
        </w:rPr>
        <w:t xml:space="preserve">.....）、（招标人简单答复：........）等                     </w:t>
      </w:r>
    </w:p>
    <w:p w14:paraId="73B359D3">
      <w:pPr>
        <w:rPr>
          <w:rFonts w:ascii="宋体" w:hAnsi="宋体"/>
          <w:color w:val="auto"/>
          <w:szCs w:val="44"/>
          <w:highlight w:val="none"/>
        </w:rPr>
      </w:pPr>
      <w:r>
        <w:rPr>
          <w:rFonts w:ascii="宋体" w:hAnsi="宋体"/>
          <w:color w:val="auto"/>
          <w:szCs w:val="44"/>
          <w:highlight w:val="none"/>
        </w:rPr>
        <w:t xml:space="preserve">                         签字：           日期：                        </w:t>
      </w:r>
    </w:p>
    <w:p w14:paraId="3195E231">
      <w:pPr>
        <w:rPr>
          <w:rFonts w:ascii="宋体" w:hAnsi="宋体"/>
          <w:color w:val="auto"/>
          <w:szCs w:val="44"/>
          <w:highlight w:val="none"/>
        </w:rPr>
      </w:pPr>
      <w:r>
        <w:rPr>
          <w:rFonts w:hint="eastAsia" w:ascii="宋体" w:hAnsi="宋体"/>
          <w:color w:val="auto"/>
          <w:szCs w:val="44"/>
          <w:highlight w:val="none"/>
        </w:rPr>
        <w:t>招标代理机构项目负责人：</w:t>
      </w:r>
      <w:r>
        <w:rPr>
          <w:rFonts w:ascii="宋体" w:hAnsi="宋体"/>
          <w:color w:val="auto"/>
          <w:szCs w:val="44"/>
          <w:highlight w:val="none"/>
        </w:rPr>
        <w:t xml:space="preserve"> （情况属实.....）、（招标代理机构简单答复：........）等                     </w:t>
      </w:r>
    </w:p>
    <w:p w14:paraId="2414E85B">
      <w:pPr>
        <w:rPr>
          <w:rFonts w:ascii="宋体" w:hAnsi="宋体"/>
          <w:color w:val="auto"/>
          <w:szCs w:val="44"/>
          <w:highlight w:val="none"/>
        </w:rPr>
      </w:pPr>
      <w:r>
        <w:rPr>
          <w:rFonts w:ascii="宋体" w:hAnsi="宋体"/>
          <w:color w:val="auto"/>
          <w:szCs w:val="44"/>
          <w:highlight w:val="none"/>
        </w:rPr>
        <w:t xml:space="preserve">                         签字：           日期：                        </w:t>
      </w:r>
    </w:p>
    <w:p w14:paraId="59D5C3E9">
      <w:pPr>
        <w:rPr>
          <w:rFonts w:ascii="宋体" w:hAnsi="宋体"/>
          <w:color w:val="auto"/>
          <w:szCs w:val="44"/>
          <w:highlight w:val="none"/>
        </w:rPr>
      </w:pPr>
    </w:p>
    <w:p w14:paraId="7375FB4B">
      <w:pPr>
        <w:rPr>
          <w:rFonts w:ascii="宋体" w:hAnsi="宋体"/>
          <w:color w:val="auto"/>
          <w:szCs w:val="44"/>
          <w:highlight w:val="none"/>
        </w:rPr>
      </w:pPr>
    </w:p>
    <w:p w14:paraId="18BF17A7">
      <w:pPr>
        <w:rPr>
          <w:rFonts w:ascii="宋体" w:hAnsi="宋体"/>
          <w:color w:val="auto"/>
          <w:szCs w:val="44"/>
          <w:highlight w:val="none"/>
        </w:rPr>
      </w:pPr>
    </w:p>
    <w:p w14:paraId="2EF7D69A">
      <w:pPr>
        <w:rPr>
          <w:rFonts w:ascii="宋体" w:hAnsi="宋体"/>
          <w:color w:val="auto"/>
          <w:szCs w:val="44"/>
          <w:highlight w:val="none"/>
        </w:rPr>
      </w:pPr>
    </w:p>
    <w:p w14:paraId="1E41D479">
      <w:pPr>
        <w:rPr>
          <w:rFonts w:ascii="宋体"/>
          <w:color w:val="auto"/>
          <w:highlight w:val="none"/>
        </w:rPr>
        <w:sectPr>
          <w:pgSz w:w="16838" w:h="11906" w:orient="landscape"/>
          <w:pgMar w:top="1440" w:right="1440" w:bottom="1440" w:left="1797" w:header="851" w:footer="851" w:gutter="0"/>
          <w:cols w:space="720" w:num="1"/>
          <w:docGrid w:linePitch="312" w:charSpace="0"/>
        </w:sectPr>
      </w:pPr>
      <w:r>
        <w:rPr>
          <w:rFonts w:hint="eastAsia" w:ascii="宋体" w:hAnsi="宋体" w:cs="宋体"/>
          <w:color w:val="auto"/>
          <w:highlight w:val="none"/>
        </w:rPr>
        <w:t>网上开标室其投标人代表签字或</w:t>
      </w:r>
      <w:r>
        <w:rPr>
          <w:rFonts w:ascii="宋体" w:hAnsi="宋体" w:cs="宋体"/>
          <w:color w:val="auto"/>
          <w:highlight w:val="none"/>
        </w:rPr>
        <w:t>盖单位电子章</w:t>
      </w:r>
    </w:p>
    <w:p w14:paraId="166EE3C3">
      <w:pPr>
        <w:rPr>
          <w:b/>
          <w:color w:val="auto"/>
          <w:highlight w:val="none"/>
        </w:rPr>
      </w:pPr>
      <w:r>
        <w:rPr>
          <w:b/>
          <w:color w:val="auto"/>
          <w:highlight w:val="none"/>
        </w:rPr>
        <w:t>附表A－</w:t>
      </w:r>
      <w:r>
        <w:rPr>
          <w:rFonts w:hint="eastAsia"/>
          <w:b/>
          <w:color w:val="auto"/>
          <w:highlight w:val="none"/>
        </w:rPr>
        <w:t>3</w:t>
      </w:r>
      <w:r>
        <w:rPr>
          <w:b/>
          <w:color w:val="auto"/>
          <w:highlight w:val="none"/>
        </w:rPr>
        <w:t>：评标委员会签到表</w:t>
      </w:r>
    </w:p>
    <w:p w14:paraId="09EDC397">
      <w:pPr>
        <w:spacing w:line="440" w:lineRule="exact"/>
        <w:jc w:val="center"/>
        <w:rPr>
          <w:rFonts w:eastAsia="黑体"/>
          <w:b/>
          <w:color w:val="auto"/>
          <w:sz w:val="28"/>
          <w:szCs w:val="28"/>
          <w:highlight w:val="none"/>
        </w:rPr>
      </w:pPr>
      <w:r>
        <w:rPr>
          <w:rFonts w:eastAsia="黑体"/>
          <w:b/>
          <w:color w:val="auto"/>
          <w:sz w:val="28"/>
          <w:szCs w:val="28"/>
          <w:highlight w:val="none"/>
        </w:rPr>
        <w:t>评标委员会签到表</w:t>
      </w:r>
    </w:p>
    <w:p w14:paraId="353C2A17">
      <w:pPr>
        <w:spacing w:after="72" w:afterLines="30" w:line="440" w:lineRule="exact"/>
        <w:rPr>
          <w:color w:val="auto"/>
          <w:highlight w:val="none"/>
        </w:rPr>
      </w:pPr>
      <w:r>
        <w:rPr>
          <w:rFonts w:hint="eastAsia"/>
          <w:color w:val="auto"/>
          <w:highlight w:val="none"/>
        </w:rPr>
        <w:t>项目</w:t>
      </w:r>
      <w:r>
        <w:rPr>
          <w:color w:val="auto"/>
          <w:highlight w:val="none"/>
        </w:rPr>
        <w:t>名称</w:t>
      </w:r>
      <w:r>
        <w:rPr>
          <w:rFonts w:hint="eastAsia"/>
          <w:color w:val="auto"/>
          <w:highlight w:val="none"/>
        </w:rPr>
        <w:t>及项目招标编号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评标时间：      年      月      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1583"/>
        <w:gridCol w:w="1985"/>
        <w:gridCol w:w="1843"/>
        <w:gridCol w:w="1843"/>
        <w:gridCol w:w="1843"/>
        <w:gridCol w:w="1843"/>
      </w:tblGrid>
      <w:tr w14:paraId="3871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45" w:type="dxa"/>
            <w:vAlign w:val="center"/>
          </w:tcPr>
          <w:p w14:paraId="26BDD587">
            <w:pPr>
              <w:spacing w:line="440" w:lineRule="exact"/>
              <w:jc w:val="center"/>
              <w:rPr>
                <w:color w:val="auto"/>
                <w:highlight w:val="none"/>
              </w:rPr>
            </w:pPr>
            <w:r>
              <w:rPr>
                <w:color w:val="auto"/>
                <w:highlight w:val="none"/>
              </w:rPr>
              <w:t>序号</w:t>
            </w:r>
          </w:p>
        </w:tc>
        <w:tc>
          <w:tcPr>
            <w:tcW w:w="1583" w:type="dxa"/>
            <w:vAlign w:val="center"/>
          </w:tcPr>
          <w:p w14:paraId="6EBE3D2A">
            <w:pPr>
              <w:spacing w:line="440" w:lineRule="exact"/>
              <w:jc w:val="center"/>
              <w:rPr>
                <w:color w:val="auto"/>
                <w:highlight w:val="none"/>
              </w:rPr>
            </w:pPr>
            <w:r>
              <w:rPr>
                <w:color w:val="auto"/>
                <w:highlight w:val="none"/>
              </w:rPr>
              <w:t>姓名</w:t>
            </w:r>
          </w:p>
        </w:tc>
        <w:tc>
          <w:tcPr>
            <w:tcW w:w="1985" w:type="dxa"/>
            <w:vAlign w:val="center"/>
          </w:tcPr>
          <w:p w14:paraId="275B2521">
            <w:pPr>
              <w:spacing w:line="440" w:lineRule="exact"/>
              <w:jc w:val="center"/>
              <w:rPr>
                <w:color w:val="auto"/>
                <w:highlight w:val="none"/>
              </w:rPr>
            </w:pPr>
            <w:r>
              <w:rPr>
                <w:color w:val="auto"/>
                <w:highlight w:val="none"/>
              </w:rPr>
              <w:t>职称</w:t>
            </w:r>
          </w:p>
        </w:tc>
        <w:tc>
          <w:tcPr>
            <w:tcW w:w="1843" w:type="dxa"/>
            <w:vAlign w:val="center"/>
          </w:tcPr>
          <w:p w14:paraId="621BD8D2">
            <w:pPr>
              <w:spacing w:line="440" w:lineRule="exact"/>
              <w:jc w:val="center"/>
              <w:rPr>
                <w:color w:val="auto"/>
                <w:highlight w:val="none"/>
              </w:rPr>
            </w:pPr>
            <w:r>
              <w:rPr>
                <w:rFonts w:hint="eastAsia" w:cs="宋体"/>
                <w:color w:val="auto"/>
                <w:highlight w:val="none"/>
              </w:rPr>
              <w:t>工作单位</w:t>
            </w:r>
          </w:p>
        </w:tc>
        <w:tc>
          <w:tcPr>
            <w:tcW w:w="1843" w:type="dxa"/>
            <w:vAlign w:val="center"/>
          </w:tcPr>
          <w:p w14:paraId="153A9F43">
            <w:pPr>
              <w:spacing w:line="440" w:lineRule="exact"/>
              <w:jc w:val="center"/>
              <w:rPr>
                <w:color w:val="auto"/>
                <w:highlight w:val="none"/>
              </w:rPr>
            </w:pPr>
            <w:r>
              <w:rPr>
                <w:color w:val="auto"/>
                <w:highlight w:val="none"/>
              </w:rPr>
              <w:t>专家</w:t>
            </w:r>
            <w:r>
              <w:rPr>
                <w:rFonts w:hint="eastAsia"/>
                <w:color w:val="auto"/>
                <w:highlight w:val="none"/>
              </w:rPr>
              <w:t>身份</w:t>
            </w:r>
            <w:r>
              <w:rPr>
                <w:color w:val="auto"/>
                <w:highlight w:val="none"/>
              </w:rPr>
              <w:t>证号码</w:t>
            </w:r>
          </w:p>
        </w:tc>
        <w:tc>
          <w:tcPr>
            <w:tcW w:w="1843" w:type="dxa"/>
            <w:vAlign w:val="center"/>
          </w:tcPr>
          <w:p w14:paraId="585BEAF7">
            <w:pPr>
              <w:spacing w:line="440" w:lineRule="exact"/>
              <w:jc w:val="center"/>
              <w:rPr>
                <w:color w:val="auto"/>
                <w:highlight w:val="none"/>
              </w:rPr>
            </w:pPr>
            <w:r>
              <w:rPr>
                <w:rFonts w:hint="eastAsia" w:cs="宋体"/>
                <w:color w:val="auto"/>
                <w:highlight w:val="none"/>
              </w:rPr>
              <w:t>联系电话</w:t>
            </w:r>
          </w:p>
        </w:tc>
        <w:tc>
          <w:tcPr>
            <w:tcW w:w="1843" w:type="dxa"/>
            <w:vAlign w:val="center"/>
          </w:tcPr>
          <w:p w14:paraId="5AD0C839">
            <w:pPr>
              <w:spacing w:line="440" w:lineRule="exact"/>
              <w:jc w:val="center"/>
              <w:rPr>
                <w:color w:val="auto"/>
                <w:highlight w:val="none"/>
              </w:rPr>
            </w:pPr>
            <w:r>
              <w:rPr>
                <w:color w:val="auto"/>
                <w:highlight w:val="none"/>
              </w:rPr>
              <w:t>签到时间</w:t>
            </w:r>
          </w:p>
        </w:tc>
      </w:tr>
      <w:tr w14:paraId="537A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45" w:type="dxa"/>
            <w:vAlign w:val="center"/>
          </w:tcPr>
          <w:p w14:paraId="13408822">
            <w:pPr>
              <w:spacing w:line="440" w:lineRule="exact"/>
              <w:jc w:val="center"/>
              <w:rPr>
                <w:rFonts w:eastAsia="黑体"/>
                <w:color w:val="auto"/>
                <w:highlight w:val="none"/>
              </w:rPr>
            </w:pPr>
            <w:r>
              <w:rPr>
                <w:rFonts w:eastAsia="黑体"/>
                <w:color w:val="auto"/>
                <w:highlight w:val="none"/>
              </w:rPr>
              <w:t>1</w:t>
            </w:r>
          </w:p>
        </w:tc>
        <w:tc>
          <w:tcPr>
            <w:tcW w:w="1583" w:type="dxa"/>
            <w:vAlign w:val="center"/>
          </w:tcPr>
          <w:p w14:paraId="7D892305">
            <w:pPr>
              <w:spacing w:line="440" w:lineRule="exact"/>
              <w:jc w:val="center"/>
              <w:rPr>
                <w:color w:val="auto"/>
                <w:highlight w:val="none"/>
              </w:rPr>
            </w:pPr>
          </w:p>
        </w:tc>
        <w:tc>
          <w:tcPr>
            <w:tcW w:w="1985" w:type="dxa"/>
            <w:vAlign w:val="center"/>
          </w:tcPr>
          <w:p w14:paraId="1753430B">
            <w:pPr>
              <w:spacing w:line="440" w:lineRule="exact"/>
              <w:jc w:val="center"/>
              <w:rPr>
                <w:color w:val="auto"/>
                <w:highlight w:val="none"/>
              </w:rPr>
            </w:pPr>
          </w:p>
        </w:tc>
        <w:tc>
          <w:tcPr>
            <w:tcW w:w="1843" w:type="dxa"/>
          </w:tcPr>
          <w:p w14:paraId="1A672575">
            <w:pPr>
              <w:spacing w:line="440" w:lineRule="exact"/>
              <w:jc w:val="center"/>
              <w:rPr>
                <w:color w:val="auto"/>
                <w:highlight w:val="none"/>
              </w:rPr>
            </w:pPr>
          </w:p>
        </w:tc>
        <w:tc>
          <w:tcPr>
            <w:tcW w:w="1843" w:type="dxa"/>
          </w:tcPr>
          <w:p w14:paraId="0979EDB9">
            <w:pPr>
              <w:spacing w:line="440" w:lineRule="exact"/>
              <w:jc w:val="center"/>
              <w:rPr>
                <w:color w:val="auto"/>
                <w:highlight w:val="none"/>
              </w:rPr>
            </w:pPr>
          </w:p>
        </w:tc>
        <w:tc>
          <w:tcPr>
            <w:tcW w:w="1843" w:type="dxa"/>
          </w:tcPr>
          <w:p w14:paraId="171C9DCD">
            <w:pPr>
              <w:spacing w:line="440" w:lineRule="exact"/>
              <w:jc w:val="center"/>
              <w:rPr>
                <w:color w:val="auto"/>
                <w:highlight w:val="none"/>
              </w:rPr>
            </w:pPr>
          </w:p>
        </w:tc>
        <w:tc>
          <w:tcPr>
            <w:tcW w:w="1843" w:type="dxa"/>
            <w:vAlign w:val="center"/>
          </w:tcPr>
          <w:p w14:paraId="4F4C67A0">
            <w:pPr>
              <w:spacing w:line="440" w:lineRule="exact"/>
              <w:jc w:val="center"/>
              <w:rPr>
                <w:color w:val="auto"/>
                <w:highlight w:val="none"/>
              </w:rPr>
            </w:pPr>
          </w:p>
        </w:tc>
      </w:tr>
      <w:tr w14:paraId="5446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45" w:type="dxa"/>
            <w:vAlign w:val="center"/>
          </w:tcPr>
          <w:p w14:paraId="67FAF67B">
            <w:pPr>
              <w:spacing w:line="440" w:lineRule="exact"/>
              <w:jc w:val="center"/>
              <w:rPr>
                <w:rFonts w:eastAsia="黑体"/>
                <w:color w:val="auto"/>
                <w:highlight w:val="none"/>
              </w:rPr>
            </w:pPr>
            <w:r>
              <w:rPr>
                <w:rFonts w:eastAsia="黑体"/>
                <w:color w:val="auto"/>
                <w:highlight w:val="none"/>
              </w:rPr>
              <w:t>2</w:t>
            </w:r>
          </w:p>
        </w:tc>
        <w:tc>
          <w:tcPr>
            <w:tcW w:w="1583" w:type="dxa"/>
            <w:vAlign w:val="center"/>
          </w:tcPr>
          <w:p w14:paraId="5A15AA48">
            <w:pPr>
              <w:spacing w:line="440" w:lineRule="exact"/>
              <w:jc w:val="center"/>
              <w:rPr>
                <w:color w:val="auto"/>
                <w:highlight w:val="none"/>
              </w:rPr>
            </w:pPr>
          </w:p>
        </w:tc>
        <w:tc>
          <w:tcPr>
            <w:tcW w:w="1985" w:type="dxa"/>
            <w:vAlign w:val="center"/>
          </w:tcPr>
          <w:p w14:paraId="3A5D8E47">
            <w:pPr>
              <w:spacing w:line="440" w:lineRule="exact"/>
              <w:jc w:val="center"/>
              <w:rPr>
                <w:color w:val="auto"/>
                <w:highlight w:val="none"/>
              </w:rPr>
            </w:pPr>
          </w:p>
        </w:tc>
        <w:tc>
          <w:tcPr>
            <w:tcW w:w="1843" w:type="dxa"/>
          </w:tcPr>
          <w:p w14:paraId="13897C35">
            <w:pPr>
              <w:spacing w:line="440" w:lineRule="exact"/>
              <w:jc w:val="center"/>
              <w:rPr>
                <w:color w:val="auto"/>
                <w:highlight w:val="none"/>
              </w:rPr>
            </w:pPr>
          </w:p>
        </w:tc>
        <w:tc>
          <w:tcPr>
            <w:tcW w:w="1843" w:type="dxa"/>
          </w:tcPr>
          <w:p w14:paraId="3A137D38">
            <w:pPr>
              <w:spacing w:line="440" w:lineRule="exact"/>
              <w:jc w:val="center"/>
              <w:rPr>
                <w:color w:val="auto"/>
                <w:highlight w:val="none"/>
              </w:rPr>
            </w:pPr>
          </w:p>
        </w:tc>
        <w:tc>
          <w:tcPr>
            <w:tcW w:w="1843" w:type="dxa"/>
          </w:tcPr>
          <w:p w14:paraId="5252FA28">
            <w:pPr>
              <w:spacing w:line="440" w:lineRule="exact"/>
              <w:jc w:val="center"/>
              <w:rPr>
                <w:color w:val="auto"/>
                <w:highlight w:val="none"/>
              </w:rPr>
            </w:pPr>
          </w:p>
        </w:tc>
        <w:tc>
          <w:tcPr>
            <w:tcW w:w="1843" w:type="dxa"/>
            <w:vAlign w:val="center"/>
          </w:tcPr>
          <w:p w14:paraId="1C3A6EEA">
            <w:pPr>
              <w:spacing w:line="440" w:lineRule="exact"/>
              <w:jc w:val="center"/>
              <w:rPr>
                <w:color w:val="auto"/>
                <w:highlight w:val="none"/>
              </w:rPr>
            </w:pPr>
          </w:p>
        </w:tc>
      </w:tr>
      <w:tr w14:paraId="0144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45" w:type="dxa"/>
            <w:vAlign w:val="center"/>
          </w:tcPr>
          <w:p w14:paraId="04214D07">
            <w:pPr>
              <w:spacing w:line="440" w:lineRule="exact"/>
              <w:jc w:val="center"/>
              <w:rPr>
                <w:rFonts w:eastAsia="黑体"/>
                <w:color w:val="auto"/>
                <w:highlight w:val="none"/>
              </w:rPr>
            </w:pPr>
            <w:r>
              <w:rPr>
                <w:rFonts w:eastAsia="黑体"/>
                <w:color w:val="auto"/>
                <w:highlight w:val="none"/>
              </w:rPr>
              <w:t>3</w:t>
            </w:r>
          </w:p>
        </w:tc>
        <w:tc>
          <w:tcPr>
            <w:tcW w:w="1583" w:type="dxa"/>
            <w:vAlign w:val="center"/>
          </w:tcPr>
          <w:p w14:paraId="7206F138">
            <w:pPr>
              <w:spacing w:line="440" w:lineRule="exact"/>
              <w:jc w:val="center"/>
              <w:rPr>
                <w:color w:val="auto"/>
                <w:highlight w:val="none"/>
              </w:rPr>
            </w:pPr>
          </w:p>
        </w:tc>
        <w:tc>
          <w:tcPr>
            <w:tcW w:w="1985" w:type="dxa"/>
            <w:vAlign w:val="center"/>
          </w:tcPr>
          <w:p w14:paraId="2E6846BA">
            <w:pPr>
              <w:spacing w:line="440" w:lineRule="exact"/>
              <w:jc w:val="center"/>
              <w:rPr>
                <w:color w:val="auto"/>
                <w:highlight w:val="none"/>
              </w:rPr>
            </w:pPr>
          </w:p>
        </w:tc>
        <w:tc>
          <w:tcPr>
            <w:tcW w:w="1843" w:type="dxa"/>
          </w:tcPr>
          <w:p w14:paraId="49CBA7F0">
            <w:pPr>
              <w:spacing w:line="440" w:lineRule="exact"/>
              <w:jc w:val="center"/>
              <w:rPr>
                <w:color w:val="auto"/>
                <w:highlight w:val="none"/>
              </w:rPr>
            </w:pPr>
          </w:p>
        </w:tc>
        <w:tc>
          <w:tcPr>
            <w:tcW w:w="1843" w:type="dxa"/>
          </w:tcPr>
          <w:p w14:paraId="5AAEECC6">
            <w:pPr>
              <w:spacing w:line="440" w:lineRule="exact"/>
              <w:jc w:val="center"/>
              <w:rPr>
                <w:color w:val="auto"/>
                <w:highlight w:val="none"/>
              </w:rPr>
            </w:pPr>
          </w:p>
        </w:tc>
        <w:tc>
          <w:tcPr>
            <w:tcW w:w="1843" w:type="dxa"/>
          </w:tcPr>
          <w:p w14:paraId="3736071E">
            <w:pPr>
              <w:spacing w:line="440" w:lineRule="exact"/>
              <w:jc w:val="center"/>
              <w:rPr>
                <w:color w:val="auto"/>
                <w:highlight w:val="none"/>
              </w:rPr>
            </w:pPr>
          </w:p>
        </w:tc>
        <w:tc>
          <w:tcPr>
            <w:tcW w:w="1843" w:type="dxa"/>
            <w:vAlign w:val="center"/>
          </w:tcPr>
          <w:p w14:paraId="1B8BABB6">
            <w:pPr>
              <w:spacing w:line="440" w:lineRule="exact"/>
              <w:jc w:val="center"/>
              <w:rPr>
                <w:color w:val="auto"/>
                <w:highlight w:val="none"/>
              </w:rPr>
            </w:pPr>
          </w:p>
        </w:tc>
      </w:tr>
      <w:tr w14:paraId="2F05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45" w:type="dxa"/>
            <w:vAlign w:val="center"/>
          </w:tcPr>
          <w:p w14:paraId="45BB6F34">
            <w:pPr>
              <w:spacing w:line="440" w:lineRule="exact"/>
              <w:jc w:val="center"/>
              <w:rPr>
                <w:rFonts w:eastAsia="黑体"/>
                <w:color w:val="auto"/>
                <w:highlight w:val="none"/>
              </w:rPr>
            </w:pPr>
            <w:r>
              <w:rPr>
                <w:rFonts w:eastAsia="黑体"/>
                <w:color w:val="auto"/>
                <w:highlight w:val="none"/>
              </w:rPr>
              <w:t>4</w:t>
            </w:r>
          </w:p>
        </w:tc>
        <w:tc>
          <w:tcPr>
            <w:tcW w:w="1583" w:type="dxa"/>
            <w:vAlign w:val="center"/>
          </w:tcPr>
          <w:p w14:paraId="59AAEE9B">
            <w:pPr>
              <w:spacing w:line="440" w:lineRule="exact"/>
              <w:jc w:val="center"/>
              <w:rPr>
                <w:color w:val="auto"/>
                <w:highlight w:val="none"/>
              </w:rPr>
            </w:pPr>
          </w:p>
        </w:tc>
        <w:tc>
          <w:tcPr>
            <w:tcW w:w="1985" w:type="dxa"/>
            <w:vAlign w:val="center"/>
          </w:tcPr>
          <w:p w14:paraId="506D41BD">
            <w:pPr>
              <w:spacing w:line="440" w:lineRule="exact"/>
              <w:jc w:val="center"/>
              <w:rPr>
                <w:color w:val="auto"/>
                <w:highlight w:val="none"/>
              </w:rPr>
            </w:pPr>
          </w:p>
        </w:tc>
        <w:tc>
          <w:tcPr>
            <w:tcW w:w="1843" w:type="dxa"/>
          </w:tcPr>
          <w:p w14:paraId="708CB9D4">
            <w:pPr>
              <w:spacing w:line="440" w:lineRule="exact"/>
              <w:jc w:val="center"/>
              <w:rPr>
                <w:color w:val="auto"/>
                <w:highlight w:val="none"/>
              </w:rPr>
            </w:pPr>
          </w:p>
        </w:tc>
        <w:tc>
          <w:tcPr>
            <w:tcW w:w="1843" w:type="dxa"/>
          </w:tcPr>
          <w:p w14:paraId="6E57D625">
            <w:pPr>
              <w:spacing w:line="440" w:lineRule="exact"/>
              <w:jc w:val="center"/>
              <w:rPr>
                <w:color w:val="auto"/>
                <w:highlight w:val="none"/>
              </w:rPr>
            </w:pPr>
          </w:p>
        </w:tc>
        <w:tc>
          <w:tcPr>
            <w:tcW w:w="1843" w:type="dxa"/>
          </w:tcPr>
          <w:p w14:paraId="46297C3B">
            <w:pPr>
              <w:spacing w:line="440" w:lineRule="exact"/>
              <w:jc w:val="center"/>
              <w:rPr>
                <w:color w:val="auto"/>
                <w:highlight w:val="none"/>
              </w:rPr>
            </w:pPr>
          </w:p>
        </w:tc>
        <w:tc>
          <w:tcPr>
            <w:tcW w:w="1843" w:type="dxa"/>
            <w:vAlign w:val="center"/>
          </w:tcPr>
          <w:p w14:paraId="6457860A">
            <w:pPr>
              <w:spacing w:line="440" w:lineRule="exact"/>
              <w:jc w:val="center"/>
              <w:rPr>
                <w:color w:val="auto"/>
                <w:highlight w:val="none"/>
              </w:rPr>
            </w:pPr>
          </w:p>
        </w:tc>
      </w:tr>
      <w:tr w14:paraId="772D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45" w:type="dxa"/>
            <w:vAlign w:val="center"/>
          </w:tcPr>
          <w:p w14:paraId="6622581F">
            <w:pPr>
              <w:spacing w:line="440" w:lineRule="exact"/>
              <w:jc w:val="center"/>
              <w:rPr>
                <w:rFonts w:eastAsia="黑体"/>
                <w:color w:val="auto"/>
                <w:highlight w:val="none"/>
              </w:rPr>
            </w:pPr>
            <w:r>
              <w:rPr>
                <w:rFonts w:eastAsia="黑体"/>
                <w:color w:val="auto"/>
                <w:highlight w:val="none"/>
              </w:rPr>
              <w:t>5</w:t>
            </w:r>
          </w:p>
        </w:tc>
        <w:tc>
          <w:tcPr>
            <w:tcW w:w="1583" w:type="dxa"/>
            <w:vAlign w:val="center"/>
          </w:tcPr>
          <w:p w14:paraId="6EEA8F8D">
            <w:pPr>
              <w:spacing w:line="440" w:lineRule="exact"/>
              <w:jc w:val="center"/>
              <w:rPr>
                <w:color w:val="auto"/>
                <w:highlight w:val="none"/>
              </w:rPr>
            </w:pPr>
          </w:p>
        </w:tc>
        <w:tc>
          <w:tcPr>
            <w:tcW w:w="1985" w:type="dxa"/>
            <w:vAlign w:val="center"/>
          </w:tcPr>
          <w:p w14:paraId="790473F5">
            <w:pPr>
              <w:spacing w:line="440" w:lineRule="exact"/>
              <w:jc w:val="center"/>
              <w:rPr>
                <w:color w:val="auto"/>
                <w:highlight w:val="none"/>
              </w:rPr>
            </w:pPr>
          </w:p>
        </w:tc>
        <w:tc>
          <w:tcPr>
            <w:tcW w:w="1843" w:type="dxa"/>
          </w:tcPr>
          <w:p w14:paraId="7A839A9B">
            <w:pPr>
              <w:spacing w:line="440" w:lineRule="exact"/>
              <w:jc w:val="center"/>
              <w:rPr>
                <w:color w:val="auto"/>
                <w:highlight w:val="none"/>
              </w:rPr>
            </w:pPr>
          </w:p>
        </w:tc>
        <w:tc>
          <w:tcPr>
            <w:tcW w:w="1843" w:type="dxa"/>
          </w:tcPr>
          <w:p w14:paraId="2ADDF0FF">
            <w:pPr>
              <w:spacing w:line="440" w:lineRule="exact"/>
              <w:jc w:val="center"/>
              <w:rPr>
                <w:color w:val="auto"/>
                <w:highlight w:val="none"/>
              </w:rPr>
            </w:pPr>
          </w:p>
        </w:tc>
        <w:tc>
          <w:tcPr>
            <w:tcW w:w="1843" w:type="dxa"/>
          </w:tcPr>
          <w:p w14:paraId="4F2ED518">
            <w:pPr>
              <w:spacing w:line="440" w:lineRule="exact"/>
              <w:jc w:val="center"/>
              <w:rPr>
                <w:color w:val="auto"/>
                <w:highlight w:val="none"/>
              </w:rPr>
            </w:pPr>
          </w:p>
        </w:tc>
        <w:tc>
          <w:tcPr>
            <w:tcW w:w="1843" w:type="dxa"/>
            <w:vAlign w:val="center"/>
          </w:tcPr>
          <w:p w14:paraId="00B19345">
            <w:pPr>
              <w:spacing w:line="440" w:lineRule="exact"/>
              <w:jc w:val="center"/>
              <w:rPr>
                <w:color w:val="auto"/>
                <w:highlight w:val="none"/>
              </w:rPr>
            </w:pPr>
          </w:p>
        </w:tc>
      </w:tr>
      <w:tr w14:paraId="55C9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45" w:type="dxa"/>
            <w:vAlign w:val="center"/>
          </w:tcPr>
          <w:p w14:paraId="03B87331">
            <w:pPr>
              <w:spacing w:line="440" w:lineRule="exact"/>
              <w:jc w:val="center"/>
              <w:rPr>
                <w:rFonts w:eastAsia="黑体"/>
                <w:color w:val="auto"/>
                <w:highlight w:val="none"/>
              </w:rPr>
            </w:pPr>
            <w:r>
              <w:rPr>
                <w:rFonts w:eastAsia="黑体"/>
                <w:color w:val="auto"/>
                <w:highlight w:val="none"/>
              </w:rPr>
              <w:t>6</w:t>
            </w:r>
          </w:p>
        </w:tc>
        <w:tc>
          <w:tcPr>
            <w:tcW w:w="1583" w:type="dxa"/>
            <w:vAlign w:val="center"/>
          </w:tcPr>
          <w:p w14:paraId="04139B16">
            <w:pPr>
              <w:spacing w:line="440" w:lineRule="exact"/>
              <w:jc w:val="center"/>
              <w:rPr>
                <w:color w:val="auto"/>
                <w:highlight w:val="none"/>
              </w:rPr>
            </w:pPr>
          </w:p>
        </w:tc>
        <w:tc>
          <w:tcPr>
            <w:tcW w:w="1985" w:type="dxa"/>
            <w:vAlign w:val="center"/>
          </w:tcPr>
          <w:p w14:paraId="598AE7CC">
            <w:pPr>
              <w:spacing w:line="440" w:lineRule="exact"/>
              <w:jc w:val="center"/>
              <w:rPr>
                <w:color w:val="auto"/>
                <w:highlight w:val="none"/>
              </w:rPr>
            </w:pPr>
          </w:p>
        </w:tc>
        <w:tc>
          <w:tcPr>
            <w:tcW w:w="1843" w:type="dxa"/>
          </w:tcPr>
          <w:p w14:paraId="33D05FF7">
            <w:pPr>
              <w:spacing w:line="440" w:lineRule="exact"/>
              <w:jc w:val="center"/>
              <w:rPr>
                <w:color w:val="auto"/>
                <w:highlight w:val="none"/>
              </w:rPr>
            </w:pPr>
          </w:p>
        </w:tc>
        <w:tc>
          <w:tcPr>
            <w:tcW w:w="1843" w:type="dxa"/>
          </w:tcPr>
          <w:p w14:paraId="3CD2DC29">
            <w:pPr>
              <w:spacing w:line="440" w:lineRule="exact"/>
              <w:jc w:val="center"/>
              <w:rPr>
                <w:color w:val="auto"/>
                <w:highlight w:val="none"/>
              </w:rPr>
            </w:pPr>
          </w:p>
        </w:tc>
        <w:tc>
          <w:tcPr>
            <w:tcW w:w="1843" w:type="dxa"/>
          </w:tcPr>
          <w:p w14:paraId="720CC402">
            <w:pPr>
              <w:spacing w:line="440" w:lineRule="exact"/>
              <w:jc w:val="center"/>
              <w:rPr>
                <w:color w:val="auto"/>
                <w:highlight w:val="none"/>
              </w:rPr>
            </w:pPr>
          </w:p>
        </w:tc>
        <w:tc>
          <w:tcPr>
            <w:tcW w:w="1843" w:type="dxa"/>
            <w:vAlign w:val="center"/>
          </w:tcPr>
          <w:p w14:paraId="690DAAED">
            <w:pPr>
              <w:spacing w:line="440" w:lineRule="exact"/>
              <w:jc w:val="center"/>
              <w:rPr>
                <w:color w:val="auto"/>
                <w:highlight w:val="none"/>
              </w:rPr>
            </w:pPr>
          </w:p>
        </w:tc>
      </w:tr>
      <w:tr w14:paraId="28A2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45" w:type="dxa"/>
            <w:vAlign w:val="center"/>
          </w:tcPr>
          <w:p w14:paraId="2862437D">
            <w:pPr>
              <w:spacing w:line="440" w:lineRule="exact"/>
              <w:jc w:val="center"/>
              <w:rPr>
                <w:rFonts w:eastAsia="黑体"/>
                <w:color w:val="auto"/>
                <w:highlight w:val="none"/>
              </w:rPr>
            </w:pPr>
            <w:r>
              <w:rPr>
                <w:rFonts w:eastAsia="黑体"/>
                <w:color w:val="auto"/>
                <w:highlight w:val="none"/>
              </w:rPr>
              <w:t>7</w:t>
            </w:r>
          </w:p>
        </w:tc>
        <w:tc>
          <w:tcPr>
            <w:tcW w:w="1583" w:type="dxa"/>
            <w:vAlign w:val="center"/>
          </w:tcPr>
          <w:p w14:paraId="11A48730">
            <w:pPr>
              <w:spacing w:line="440" w:lineRule="exact"/>
              <w:jc w:val="center"/>
              <w:rPr>
                <w:color w:val="auto"/>
                <w:highlight w:val="none"/>
              </w:rPr>
            </w:pPr>
          </w:p>
        </w:tc>
        <w:tc>
          <w:tcPr>
            <w:tcW w:w="1985" w:type="dxa"/>
            <w:vAlign w:val="center"/>
          </w:tcPr>
          <w:p w14:paraId="4FB6DDB7">
            <w:pPr>
              <w:spacing w:line="440" w:lineRule="exact"/>
              <w:jc w:val="center"/>
              <w:rPr>
                <w:color w:val="auto"/>
                <w:highlight w:val="none"/>
              </w:rPr>
            </w:pPr>
          </w:p>
        </w:tc>
        <w:tc>
          <w:tcPr>
            <w:tcW w:w="1843" w:type="dxa"/>
          </w:tcPr>
          <w:p w14:paraId="3C661059">
            <w:pPr>
              <w:spacing w:line="440" w:lineRule="exact"/>
              <w:jc w:val="center"/>
              <w:rPr>
                <w:color w:val="auto"/>
                <w:highlight w:val="none"/>
              </w:rPr>
            </w:pPr>
          </w:p>
        </w:tc>
        <w:tc>
          <w:tcPr>
            <w:tcW w:w="1843" w:type="dxa"/>
          </w:tcPr>
          <w:p w14:paraId="0CA226E9">
            <w:pPr>
              <w:spacing w:line="440" w:lineRule="exact"/>
              <w:jc w:val="center"/>
              <w:rPr>
                <w:color w:val="auto"/>
                <w:highlight w:val="none"/>
              </w:rPr>
            </w:pPr>
          </w:p>
        </w:tc>
        <w:tc>
          <w:tcPr>
            <w:tcW w:w="1843" w:type="dxa"/>
          </w:tcPr>
          <w:p w14:paraId="063DB606">
            <w:pPr>
              <w:spacing w:line="440" w:lineRule="exact"/>
              <w:jc w:val="center"/>
              <w:rPr>
                <w:color w:val="auto"/>
                <w:highlight w:val="none"/>
              </w:rPr>
            </w:pPr>
          </w:p>
        </w:tc>
        <w:tc>
          <w:tcPr>
            <w:tcW w:w="1843" w:type="dxa"/>
            <w:vAlign w:val="center"/>
          </w:tcPr>
          <w:p w14:paraId="080C75FB">
            <w:pPr>
              <w:spacing w:line="440" w:lineRule="exact"/>
              <w:jc w:val="center"/>
              <w:rPr>
                <w:color w:val="auto"/>
                <w:highlight w:val="none"/>
              </w:rPr>
            </w:pPr>
          </w:p>
        </w:tc>
      </w:tr>
    </w:tbl>
    <w:p w14:paraId="47EBCC04">
      <w:pPr>
        <w:spacing w:line="440" w:lineRule="exact"/>
        <w:rPr>
          <w:color w:val="auto"/>
          <w:highlight w:val="none"/>
        </w:rPr>
      </w:pPr>
    </w:p>
    <w:p w14:paraId="55A7FF26">
      <w:pPr>
        <w:spacing w:line="440" w:lineRule="exact"/>
        <w:rPr>
          <w:rFonts w:eastAsia="黑体"/>
          <w:color w:val="auto"/>
          <w:highlight w:val="none"/>
        </w:rPr>
        <w:sectPr>
          <w:pgSz w:w="16838" w:h="11906" w:orient="landscape"/>
          <w:pgMar w:top="1440" w:right="1440" w:bottom="1440" w:left="1797" w:header="851" w:footer="851" w:gutter="0"/>
          <w:cols w:space="720" w:num="1"/>
          <w:docGrid w:linePitch="312" w:charSpace="0"/>
        </w:sectPr>
      </w:pPr>
    </w:p>
    <w:p w14:paraId="71B476E8">
      <w:pPr>
        <w:spacing w:line="440" w:lineRule="exact"/>
        <w:rPr>
          <w:b/>
          <w:color w:val="auto"/>
          <w:highlight w:val="none"/>
        </w:rPr>
      </w:pPr>
      <w:r>
        <w:rPr>
          <w:b/>
          <w:color w:val="auto"/>
          <w:highlight w:val="none"/>
        </w:rPr>
        <w:t>附表A-</w:t>
      </w:r>
      <w:r>
        <w:rPr>
          <w:rFonts w:hint="eastAsia"/>
          <w:b/>
          <w:color w:val="auto"/>
          <w:highlight w:val="none"/>
        </w:rPr>
        <w:t>4</w:t>
      </w:r>
      <w:r>
        <w:rPr>
          <w:b/>
          <w:color w:val="auto"/>
          <w:highlight w:val="none"/>
        </w:rPr>
        <w:t>：</w:t>
      </w:r>
      <w:r>
        <w:rPr>
          <w:rFonts w:hint="eastAsia"/>
          <w:b/>
          <w:color w:val="auto"/>
          <w:highlight w:val="none"/>
        </w:rPr>
        <w:t>形式性</w:t>
      </w:r>
      <w:r>
        <w:rPr>
          <w:b/>
          <w:color w:val="auto"/>
          <w:highlight w:val="none"/>
        </w:rPr>
        <w:t>评审记录表</w:t>
      </w:r>
    </w:p>
    <w:p w14:paraId="1D16DD1E">
      <w:pPr>
        <w:spacing w:line="440" w:lineRule="exact"/>
        <w:jc w:val="center"/>
        <w:rPr>
          <w:color w:val="auto"/>
          <w:highlight w:val="none"/>
        </w:rPr>
      </w:pPr>
      <w:r>
        <w:rPr>
          <w:rFonts w:hint="eastAsia" w:eastAsia="黑体"/>
          <w:color w:val="auto"/>
          <w:sz w:val="28"/>
          <w:szCs w:val="28"/>
          <w:highlight w:val="none"/>
        </w:rPr>
        <w:t>形式性</w:t>
      </w:r>
      <w:r>
        <w:rPr>
          <w:rFonts w:eastAsia="黑体"/>
          <w:color w:val="auto"/>
          <w:sz w:val="28"/>
          <w:szCs w:val="28"/>
          <w:highlight w:val="none"/>
        </w:rPr>
        <w:t>评审记录表</w:t>
      </w:r>
    </w:p>
    <w:p w14:paraId="079ACD93">
      <w:pPr>
        <w:spacing w:after="72" w:afterLines="30" w:line="440" w:lineRule="exact"/>
        <w:rPr>
          <w:color w:val="auto"/>
          <w:highlight w:val="none"/>
        </w:rPr>
      </w:pPr>
      <w:r>
        <w:rPr>
          <w:rFonts w:hint="eastAsia"/>
          <w:color w:val="auto"/>
          <w:highlight w:val="none"/>
        </w:rPr>
        <w:t>项目</w:t>
      </w:r>
      <w:r>
        <w:rPr>
          <w:color w:val="auto"/>
          <w:highlight w:val="none"/>
        </w:rPr>
        <w:t>名称</w:t>
      </w:r>
      <w:r>
        <w:rPr>
          <w:rFonts w:hint="eastAsia"/>
          <w:color w:val="auto"/>
          <w:highlight w:val="none"/>
        </w:rPr>
        <w:t>及项目招标编号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0"/>
        <w:tblW w:w="14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415"/>
        <w:gridCol w:w="1210"/>
        <w:gridCol w:w="1211"/>
        <w:gridCol w:w="1210"/>
        <w:gridCol w:w="1211"/>
        <w:gridCol w:w="1210"/>
        <w:gridCol w:w="1211"/>
        <w:gridCol w:w="1210"/>
        <w:gridCol w:w="1211"/>
        <w:gridCol w:w="1211"/>
      </w:tblGrid>
      <w:tr w14:paraId="46E3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60A067FA">
            <w:pPr>
              <w:spacing w:after="72" w:afterLines="30" w:line="320" w:lineRule="atLeast"/>
              <w:jc w:val="center"/>
              <w:rPr>
                <w:b/>
                <w:color w:val="auto"/>
                <w:highlight w:val="none"/>
              </w:rPr>
            </w:pPr>
            <w:r>
              <w:rPr>
                <w:b/>
                <w:color w:val="auto"/>
                <w:highlight w:val="none"/>
              </w:rPr>
              <w:t>序号</w:t>
            </w:r>
          </w:p>
        </w:tc>
        <w:tc>
          <w:tcPr>
            <w:tcW w:w="2415" w:type="dxa"/>
            <w:vAlign w:val="center"/>
          </w:tcPr>
          <w:p w14:paraId="71B31951">
            <w:pPr>
              <w:spacing w:after="72" w:afterLines="30" w:line="320" w:lineRule="atLeast"/>
              <w:jc w:val="center"/>
              <w:rPr>
                <w:b/>
                <w:color w:val="auto"/>
                <w:highlight w:val="none"/>
              </w:rPr>
            </w:pPr>
            <w:r>
              <w:rPr>
                <w:b/>
                <w:color w:val="auto"/>
                <w:highlight w:val="none"/>
              </w:rPr>
              <w:t>评审因素</w:t>
            </w:r>
          </w:p>
        </w:tc>
        <w:tc>
          <w:tcPr>
            <w:tcW w:w="10895" w:type="dxa"/>
            <w:gridSpan w:val="9"/>
          </w:tcPr>
          <w:p w14:paraId="52F4ABDF">
            <w:pPr>
              <w:spacing w:after="72" w:afterLines="30" w:line="320" w:lineRule="atLeast"/>
              <w:jc w:val="center"/>
              <w:rPr>
                <w:b/>
                <w:color w:val="auto"/>
                <w:highlight w:val="none"/>
              </w:rPr>
            </w:pPr>
            <w:r>
              <w:rPr>
                <w:b/>
                <w:color w:val="auto"/>
                <w:highlight w:val="none"/>
              </w:rPr>
              <w:t>投标人名称及评审意见</w:t>
            </w:r>
          </w:p>
        </w:tc>
      </w:tr>
      <w:tr w14:paraId="21CD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38" w:type="dxa"/>
            <w:vAlign w:val="center"/>
          </w:tcPr>
          <w:p w14:paraId="292D1E08">
            <w:pPr>
              <w:spacing w:after="72" w:afterLines="30" w:line="360" w:lineRule="exact"/>
              <w:jc w:val="center"/>
              <w:rPr>
                <w:rFonts w:ascii="宋体" w:hAnsi="宋体"/>
                <w:color w:val="auto"/>
                <w:highlight w:val="none"/>
              </w:rPr>
            </w:pPr>
            <w:r>
              <w:rPr>
                <w:rFonts w:ascii="宋体" w:hAnsi="宋体"/>
                <w:color w:val="auto"/>
                <w:highlight w:val="none"/>
              </w:rPr>
              <w:t>1</w:t>
            </w:r>
          </w:p>
        </w:tc>
        <w:tc>
          <w:tcPr>
            <w:tcW w:w="2415" w:type="dxa"/>
          </w:tcPr>
          <w:p w14:paraId="5DB201E1">
            <w:pPr>
              <w:spacing w:line="360" w:lineRule="exact"/>
              <w:ind w:left="713"/>
              <w:rPr>
                <w:rFonts w:ascii="宋体" w:hAnsi="宋体"/>
                <w:color w:val="auto"/>
                <w:highlight w:val="none"/>
              </w:rPr>
            </w:pPr>
            <w:r>
              <w:rPr>
                <w:rFonts w:ascii="宋体" w:hAnsi="宋体" w:cs="宋体"/>
                <w:color w:val="auto"/>
                <w:highlight w:val="none"/>
              </w:rPr>
              <w:t>投标人名称</w:t>
            </w:r>
          </w:p>
        </w:tc>
        <w:tc>
          <w:tcPr>
            <w:tcW w:w="1210" w:type="dxa"/>
            <w:vAlign w:val="center"/>
          </w:tcPr>
          <w:p w14:paraId="2545ACEB">
            <w:pPr>
              <w:spacing w:after="72" w:afterLines="30" w:line="360" w:lineRule="exact"/>
              <w:jc w:val="center"/>
              <w:rPr>
                <w:rFonts w:ascii="宋体" w:hAnsi="宋体"/>
                <w:color w:val="auto"/>
                <w:highlight w:val="none"/>
              </w:rPr>
            </w:pPr>
          </w:p>
        </w:tc>
        <w:tc>
          <w:tcPr>
            <w:tcW w:w="1211" w:type="dxa"/>
            <w:vAlign w:val="center"/>
          </w:tcPr>
          <w:p w14:paraId="77AE2FCC">
            <w:pPr>
              <w:spacing w:after="72" w:afterLines="30" w:line="360" w:lineRule="exact"/>
              <w:jc w:val="center"/>
              <w:rPr>
                <w:rFonts w:ascii="宋体" w:hAnsi="宋体"/>
                <w:color w:val="auto"/>
                <w:highlight w:val="none"/>
              </w:rPr>
            </w:pPr>
          </w:p>
        </w:tc>
        <w:tc>
          <w:tcPr>
            <w:tcW w:w="1210" w:type="dxa"/>
            <w:vAlign w:val="center"/>
          </w:tcPr>
          <w:p w14:paraId="44112CFD">
            <w:pPr>
              <w:spacing w:after="72" w:afterLines="30" w:line="360" w:lineRule="exact"/>
              <w:jc w:val="center"/>
              <w:rPr>
                <w:color w:val="auto"/>
                <w:highlight w:val="none"/>
              </w:rPr>
            </w:pPr>
          </w:p>
        </w:tc>
        <w:tc>
          <w:tcPr>
            <w:tcW w:w="1211" w:type="dxa"/>
            <w:vAlign w:val="center"/>
          </w:tcPr>
          <w:p w14:paraId="4A4D8C26">
            <w:pPr>
              <w:spacing w:after="72" w:afterLines="30" w:line="360" w:lineRule="exact"/>
              <w:jc w:val="center"/>
              <w:rPr>
                <w:color w:val="auto"/>
                <w:highlight w:val="none"/>
              </w:rPr>
            </w:pPr>
          </w:p>
        </w:tc>
        <w:tc>
          <w:tcPr>
            <w:tcW w:w="1210" w:type="dxa"/>
            <w:vAlign w:val="center"/>
          </w:tcPr>
          <w:p w14:paraId="68391D4F">
            <w:pPr>
              <w:spacing w:after="72" w:afterLines="30" w:line="360" w:lineRule="exact"/>
              <w:jc w:val="center"/>
              <w:rPr>
                <w:color w:val="auto"/>
                <w:highlight w:val="none"/>
              </w:rPr>
            </w:pPr>
          </w:p>
        </w:tc>
        <w:tc>
          <w:tcPr>
            <w:tcW w:w="1211" w:type="dxa"/>
            <w:vAlign w:val="center"/>
          </w:tcPr>
          <w:p w14:paraId="274A6FD8">
            <w:pPr>
              <w:spacing w:after="72" w:afterLines="30" w:line="360" w:lineRule="exact"/>
              <w:jc w:val="center"/>
              <w:rPr>
                <w:color w:val="auto"/>
                <w:highlight w:val="none"/>
              </w:rPr>
            </w:pPr>
          </w:p>
        </w:tc>
        <w:tc>
          <w:tcPr>
            <w:tcW w:w="1210" w:type="dxa"/>
            <w:vAlign w:val="center"/>
          </w:tcPr>
          <w:p w14:paraId="57C6B076">
            <w:pPr>
              <w:spacing w:after="72" w:afterLines="30" w:line="360" w:lineRule="exact"/>
              <w:jc w:val="center"/>
              <w:rPr>
                <w:color w:val="auto"/>
                <w:highlight w:val="none"/>
              </w:rPr>
            </w:pPr>
          </w:p>
        </w:tc>
        <w:tc>
          <w:tcPr>
            <w:tcW w:w="1211" w:type="dxa"/>
            <w:vAlign w:val="center"/>
          </w:tcPr>
          <w:p w14:paraId="702E10C8">
            <w:pPr>
              <w:spacing w:after="72" w:afterLines="30" w:line="360" w:lineRule="exact"/>
              <w:jc w:val="center"/>
              <w:rPr>
                <w:color w:val="auto"/>
                <w:highlight w:val="none"/>
              </w:rPr>
            </w:pPr>
          </w:p>
        </w:tc>
        <w:tc>
          <w:tcPr>
            <w:tcW w:w="1211" w:type="dxa"/>
            <w:vAlign w:val="center"/>
          </w:tcPr>
          <w:p w14:paraId="6737AB3C">
            <w:pPr>
              <w:spacing w:after="72" w:afterLines="30" w:line="360" w:lineRule="exact"/>
              <w:jc w:val="center"/>
              <w:rPr>
                <w:color w:val="auto"/>
                <w:highlight w:val="none"/>
              </w:rPr>
            </w:pPr>
          </w:p>
        </w:tc>
      </w:tr>
      <w:tr w14:paraId="0F97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38" w:type="dxa"/>
            <w:vAlign w:val="center"/>
          </w:tcPr>
          <w:p w14:paraId="79903DC6">
            <w:pPr>
              <w:spacing w:after="72" w:afterLines="30" w:line="360" w:lineRule="exact"/>
              <w:jc w:val="center"/>
              <w:rPr>
                <w:rFonts w:ascii="宋体" w:hAnsi="宋体"/>
                <w:color w:val="auto"/>
                <w:highlight w:val="none"/>
              </w:rPr>
            </w:pPr>
            <w:r>
              <w:rPr>
                <w:rFonts w:ascii="宋体" w:hAnsi="宋体"/>
                <w:color w:val="auto"/>
                <w:highlight w:val="none"/>
              </w:rPr>
              <w:t>2</w:t>
            </w:r>
          </w:p>
        </w:tc>
        <w:tc>
          <w:tcPr>
            <w:tcW w:w="2415" w:type="dxa"/>
          </w:tcPr>
          <w:p w14:paraId="4877FEC5">
            <w:pPr>
              <w:spacing w:line="360" w:lineRule="exact"/>
              <w:jc w:val="center"/>
              <w:rPr>
                <w:rFonts w:ascii="宋体" w:hAnsi="宋体" w:cs="宋体"/>
                <w:color w:val="auto"/>
                <w:highlight w:val="none"/>
              </w:rPr>
            </w:pPr>
            <w:r>
              <w:rPr>
                <w:rFonts w:ascii="宋体" w:hAnsi="宋体" w:cs="宋体"/>
                <w:color w:val="auto"/>
                <w:highlight w:val="none"/>
              </w:rPr>
              <w:t>投标函及投标函</w:t>
            </w:r>
          </w:p>
          <w:p w14:paraId="15DAEA9F">
            <w:pPr>
              <w:spacing w:line="360" w:lineRule="exact"/>
              <w:jc w:val="center"/>
              <w:rPr>
                <w:rFonts w:ascii="宋体" w:hAnsi="宋体" w:cs="宋体"/>
                <w:color w:val="auto"/>
                <w:highlight w:val="none"/>
              </w:rPr>
            </w:pPr>
            <w:r>
              <w:rPr>
                <w:rFonts w:ascii="宋体" w:hAnsi="宋体" w:cs="宋体"/>
                <w:color w:val="auto"/>
                <w:highlight w:val="none"/>
              </w:rPr>
              <w:t>附录盖章</w:t>
            </w:r>
          </w:p>
        </w:tc>
        <w:tc>
          <w:tcPr>
            <w:tcW w:w="1210" w:type="dxa"/>
            <w:vAlign w:val="center"/>
          </w:tcPr>
          <w:p w14:paraId="060E3F23">
            <w:pPr>
              <w:spacing w:after="72" w:afterLines="30" w:line="360" w:lineRule="exact"/>
              <w:jc w:val="center"/>
              <w:rPr>
                <w:rFonts w:ascii="宋体" w:hAnsi="宋体"/>
                <w:color w:val="auto"/>
                <w:highlight w:val="none"/>
              </w:rPr>
            </w:pPr>
          </w:p>
        </w:tc>
        <w:tc>
          <w:tcPr>
            <w:tcW w:w="1211" w:type="dxa"/>
            <w:vAlign w:val="center"/>
          </w:tcPr>
          <w:p w14:paraId="789CFAFF">
            <w:pPr>
              <w:spacing w:after="72" w:afterLines="30" w:line="360" w:lineRule="exact"/>
              <w:jc w:val="center"/>
              <w:rPr>
                <w:rFonts w:ascii="宋体" w:hAnsi="宋体"/>
                <w:color w:val="auto"/>
                <w:highlight w:val="none"/>
              </w:rPr>
            </w:pPr>
          </w:p>
        </w:tc>
        <w:tc>
          <w:tcPr>
            <w:tcW w:w="1210" w:type="dxa"/>
            <w:vAlign w:val="center"/>
          </w:tcPr>
          <w:p w14:paraId="2A8F6621">
            <w:pPr>
              <w:spacing w:after="72" w:afterLines="30" w:line="360" w:lineRule="exact"/>
              <w:jc w:val="center"/>
              <w:rPr>
                <w:color w:val="auto"/>
                <w:highlight w:val="none"/>
              </w:rPr>
            </w:pPr>
          </w:p>
        </w:tc>
        <w:tc>
          <w:tcPr>
            <w:tcW w:w="1211" w:type="dxa"/>
            <w:vAlign w:val="center"/>
          </w:tcPr>
          <w:p w14:paraId="135F2F4C">
            <w:pPr>
              <w:spacing w:after="72" w:afterLines="30" w:line="360" w:lineRule="exact"/>
              <w:jc w:val="center"/>
              <w:rPr>
                <w:color w:val="auto"/>
                <w:highlight w:val="none"/>
              </w:rPr>
            </w:pPr>
          </w:p>
        </w:tc>
        <w:tc>
          <w:tcPr>
            <w:tcW w:w="1210" w:type="dxa"/>
            <w:vAlign w:val="center"/>
          </w:tcPr>
          <w:p w14:paraId="00BDB3C1">
            <w:pPr>
              <w:spacing w:after="72" w:afterLines="30" w:line="360" w:lineRule="exact"/>
              <w:jc w:val="center"/>
              <w:rPr>
                <w:color w:val="auto"/>
                <w:highlight w:val="none"/>
              </w:rPr>
            </w:pPr>
          </w:p>
        </w:tc>
        <w:tc>
          <w:tcPr>
            <w:tcW w:w="1211" w:type="dxa"/>
            <w:vAlign w:val="center"/>
          </w:tcPr>
          <w:p w14:paraId="0574EEE2">
            <w:pPr>
              <w:spacing w:after="72" w:afterLines="30" w:line="360" w:lineRule="exact"/>
              <w:jc w:val="center"/>
              <w:rPr>
                <w:color w:val="auto"/>
                <w:highlight w:val="none"/>
              </w:rPr>
            </w:pPr>
          </w:p>
        </w:tc>
        <w:tc>
          <w:tcPr>
            <w:tcW w:w="1210" w:type="dxa"/>
            <w:vAlign w:val="center"/>
          </w:tcPr>
          <w:p w14:paraId="2D087235">
            <w:pPr>
              <w:spacing w:after="72" w:afterLines="30" w:line="360" w:lineRule="exact"/>
              <w:jc w:val="center"/>
              <w:rPr>
                <w:color w:val="auto"/>
                <w:highlight w:val="none"/>
              </w:rPr>
            </w:pPr>
          </w:p>
        </w:tc>
        <w:tc>
          <w:tcPr>
            <w:tcW w:w="1211" w:type="dxa"/>
            <w:vAlign w:val="center"/>
          </w:tcPr>
          <w:p w14:paraId="02D2CF81">
            <w:pPr>
              <w:spacing w:after="72" w:afterLines="30" w:line="360" w:lineRule="exact"/>
              <w:jc w:val="center"/>
              <w:rPr>
                <w:color w:val="auto"/>
                <w:highlight w:val="none"/>
              </w:rPr>
            </w:pPr>
          </w:p>
        </w:tc>
        <w:tc>
          <w:tcPr>
            <w:tcW w:w="1211" w:type="dxa"/>
            <w:vAlign w:val="center"/>
          </w:tcPr>
          <w:p w14:paraId="7BEAE25E">
            <w:pPr>
              <w:spacing w:after="72" w:afterLines="30" w:line="360" w:lineRule="exact"/>
              <w:jc w:val="center"/>
              <w:rPr>
                <w:color w:val="auto"/>
                <w:highlight w:val="none"/>
              </w:rPr>
            </w:pPr>
          </w:p>
        </w:tc>
      </w:tr>
      <w:tr w14:paraId="6B47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38" w:type="dxa"/>
            <w:vAlign w:val="center"/>
          </w:tcPr>
          <w:p w14:paraId="75BA13BB">
            <w:pPr>
              <w:spacing w:after="72" w:afterLines="30" w:line="360" w:lineRule="exact"/>
              <w:jc w:val="center"/>
              <w:rPr>
                <w:rFonts w:ascii="宋体" w:hAnsi="宋体"/>
                <w:color w:val="auto"/>
                <w:highlight w:val="none"/>
              </w:rPr>
            </w:pPr>
            <w:r>
              <w:rPr>
                <w:rFonts w:hint="eastAsia" w:ascii="宋体" w:hAnsi="宋体"/>
                <w:color w:val="auto"/>
                <w:highlight w:val="none"/>
              </w:rPr>
              <w:t>3</w:t>
            </w:r>
          </w:p>
        </w:tc>
        <w:tc>
          <w:tcPr>
            <w:tcW w:w="2415" w:type="dxa"/>
          </w:tcPr>
          <w:p w14:paraId="0A921167">
            <w:pPr>
              <w:spacing w:line="360" w:lineRule="exact"/>
              <w:jc w:val="center"/>
              <w:rPr>
                <w:rFonts w:ascii="宋体" w:hAnsi="宋体" w:cs="宋体"/>
                <w:color w:val="auto"/>
                <w:highlight w:val="none"/>
              </w:rPr>
            </w:pPr>
            <w:r>
              <w:rPr>
                <w:rFonts w:hint="eastAsia" w:ascii="宋体" w:hAnsi="宋体" w:cs="宋体"/>
                <w:color w:val="auto"/>
                <w:highlight w:val="none"/>
              </w:rPr>
              <w:t>是否唯一报价</w:t>
            </w:r>
          </w:p>
        </w:tc>
        <w:tc>
          <w:tcPr>
            <w:tcW w:w="1210" w:type="dxa"/>
            <w:vAlign w:val="center"/>
          </w:tcPr>
          <w:p w14:paraId="47A8DC62">
            <w:pPr>
              <w:spacing w:after="72" w:afterLines="30" w:line="360" w:lineRule="exact"/>
              <w:jc w:val="center"/>
              <w:rPr>
                <w:rFonts w:ascii="宋体" w:hAnsi="宋体"/>
                <w:color w:val="auto"/>
                <w:highlight w:val="none"/>
              </w:rPr>
            </w:pPr>
          </w:p>
        </w:tc>
        <w:tc>
          <w:tcPr>
            <w:tcW w:w="1211" w:type="dxa"/>
            <w:vAlign w:val="center"/>
          </w:tcPr>
          <w:p w14:paraId="72280073">
            <w:pPr>
              <w:spacing w:after="72" w:afterLines="30" w:line="360" w:lineRule="exact"/>
              <w:jc w:val="center"/>
              <w:rPr>
                <w:rFonts w:ascii="宋体" w:hAnsi="宋体"/>
                <w:color w:val="auto"/>
                <w:highlight w:val="none"/>
              </w:rPr>
            </w:pPr>
          </w:p>
        </w:tc>
        <w:tc>
          <w:tcPr>
            <w:tcW w:w="1210" w:type="dxa"/>
            <w:vAlign w:val="center"/>
          </w:tcPr>
          <w:p w14:paraId="4E1A71DE">
            <w:pPr>
              <w:spacing w:after="72" w:afterLines="30" w:line="360" w:lineRule="exact"/>
              <w:jc w:val="center"/>
              <w:rPr>
                <w:color w:val="auto"/>
                <w:highlight w:val="none"/>
              </w:rPr>
            </w:pPr>
          </w:p>
        </w:tc>
        <w:tc>
          <w:tcPr>
            <w:tcW w:w="1211" w:type="dxa"/>
            <w:vAlign w:val="center"/>
          </w:tcPr>
          <w:p w14:paraId="0B5838A3">
            <w:pPr>
              <w:spacing w:after="72" w:afterLines="30" w:line="360" w:lineRule="exact"/>
              <w:jc w:val="center"/>
              <w:rPr>
                <w:color w:val="auto"/>
                <w:highlight w:val="none"/>
              </w:rPr>
            </w:pPr>
          </w:p>
        </w:tc>
        <w:tc>
          <w:tcPr>
            <w:tcW w:w="1210" w:type="dxa"/>
            <w:vAlign w:val="center"/>
          </w:tcPr>
          <w:p w14:paraId="0F1E87F5">
            <w:pPr>
              <w:spacing w:after="72" w:afterLines="30" w:line="360" w:lineRule="exact"/>
              <w:jc w:val="center"/>
              <w:rPr>
                <w:color w:val="auto"/>
                <w:highlight w:val="none"/>
              </w:rPr>
            </w:pPr>
          </w:p>
        </w:tc>
        <w:tc>
          <w:tcPr>
            <w:tcW w:w="1211" w:type="dxa"/>
            <w:vAlign w:val="center"/>
          </w:tcPr>
          <w:p w14:paraId="659EE0FF">
            <w:pPr>
              <w:spacing w:after="72" w:afterLines="30" w:line="360" w:lineRule="exact"/>
              <w:jc w:val="center"/>
              <w:rPr>
                <w:color w:val="auto"/>
                <w:highlight w:val="none"/>
              </w:rPr>
            </w:pPr>
          </w:p>
        </w:tc>
        <w:tc>
          <w:tcPr>
            <w:tcW w:w="1210" w:type="dxa"/>
            <w:vAlign w:val="center"/>
          </w:tcPr>
          <w:p w14:paraId="504967D5">
            <w:pPr>
              <w:spacing w:after="72" w:afterLines="30" w:line="360" w:lineRule="exact"/>
              <w:jc w:val="center"/>
              <w:rPr>
                <w:color w:val="auto"/>
                <w:highlight w:val="none"/>
              </w:rPr>
            </w:pPr>
          </w:p>
        </w:tc>
        <w:tc>
          <w:tcPr>
            <w:tcW w:w="1211" w:type="dxa"/>
            <w:vAlign w:val="center"/>
          </w:tcPr>
          <w:p w14:paraId="39FDE44D">
            <w:pPr>
              <w:spacing w:after="72" w:afterLines="30" w:line="360" w:lineRule="exact"/>
              <w:jc w:val="center"/>
              <w:rPr>
                <w:color w:val="auto"/>
                <w:highlight w:val="none"/>
              </w:rPr>
            </w:pPr>
          </w:p>
        </w:tc>
        <w:tc>
          <w:tcPr>
            <w:tcW w:w="1211" w:type="dxa"/>
            <w:vAlign w:val="center"/>
          </w:tcPr>
          <w:p w14:paraId="09EC6886">
            <w:pPr>
              <w:spacing w:after="72" w:afterLines="30" w:line="360" w:lineRule="exact"/>
              <w:jc w:val="center"/>
              <w:rPr>
                <w:color w:val="auto"/>
                <w:highlight w:val="none"/>
              </w:rPr>
            </w:pPr>
          </w:p>
        </w:tc>
      </w:tr>
      <w:tr w14:paraId="3EF9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vAlign w:val="center"/>
          </w:tcPr>
          <w:p w14:paraId="02B7AB9B">
            <w:pPr>
              <w:spacing w:after="72" w:afterLines="30" w:line="360" w:lineRule="exact"/>
              <w:jc w:val="center"/>
              <w:rPr>
                <w:rFonts w:ascii="宋体" w:hAnsi="宋体"/>
                <w:color w:val="auto"/>
                <w:highlight w:val="none"/>
              </w:rPr>
            </w:pPr>
            <w:r>
              <w:rPr>
                <w:rFonts w:hint="eastAsia" w:ascii="宋体" w:hAnsi="宋体"/>
                <w:color w:val="auto"/>
                <w:highlight w:val="none"/>
              </w:rPr>
              <w:t>4</w:t>
            </w:r>
          </w:p>
        </w:tc>
        <w:tc>
          <w:tcPr>
            <w:tcW w:w="2415" w:type="dxa"/>
          </w:tcPr>
          <w:p w14:paraId="21AFB684">
            <w:pPr>
              <w:spacing w:line="360" w:lineRule="exact"/>
              <w:ind w:left="608"/>
              <w:rPr>
                <w:rFonts w:ascii="宋体" w:hAnsi="宋体"/>
                <w:color w:val="auto"/>
                <w:highlight w:val="none"/>
              </w:rPr>
            </w:pPr>
            <w:r>
              <w:rPr>
                <w:rFonts w:ascii="宋体" w:hAnsi="宋体" w:cs="宋体"/>
                <w:color w:val="auto"/>
                <w:highlight w:val="none"/>
              </w:rPr>
              <w:t>投标文件格式</w:t>
            </w:r>
          </w:p>
        </w:tc>
        <w:tc>
          <w:tcPr>
            <w:tcW w:w="1210" w:type="dxa"/>
            <w:vAlign w:val="center"/>
          </w:tcPr>
          <w:p w14:paraId="395196E1">
            <w:pPr>
              <w:spacing w:after="72" w:afterLines="30" w:line="360" w:lineRule="exact"/>
              <w:jc w:val="center"/>
              <w:rPr>
                <w:rFonts w:ascii="宋体" w:hAnsi="宋体"/>
                <w:color w:val="auto"/>
                <w:highlight w:val="none"/>
              </w:rPr>
            </w:pPr>
          </w:p>
        </w:tc>
        <w:tc>
          <w:tcPr>
            <w:tcW w:w="1211" w:type="dxa"/>
            <w:vAlign w:val="center"/>
          </w:tcPr>
          <w:p w14:paraId="795C02B3">
            <w:pPr>
              <w:spacing w:after="72" w:afterLines="30" w:line="360" w:lineRule="exact"/>
              <w:jc w:val="center"/>
              <w:rPr>
                <w:rFonts w:ascii="宋体" w:hAnsi="宋体"/>
                <w:color w:val="auto"/>
                <w:highlight w:val="none"/>
              </w:rPr>
            </w:pPr>
          </w:p>
        </w:tc>
        <w:tc>
          <w:tcPr>
            <w:tcW w:w="1210" w:type="dxa"/>
            <w:vAlign w:val="center"/>
          </w:tcPr>
          <w:p w14:paraId="197A3370">
            <w:pPr>
              <w:spacing w:after="72" w:afterLines="30" w:line="360" w:lineRule="exact"/>
              <w:jc w:val="center"/>
              <w:rPr>
                <w:color w:val="auto"/>
                <w:highlight w:val="none"/>
              </w:rPr>
            </w:pPr>
          </w:p>
        </w:tc>
        <w:tc>
          <w:tcPr>
            <w:tcW w:w="1211" w:type="dxa"/>
            <w:vAlign w:val="center"/>
          </w:tcPr>
          <w:p w14:paraId="682710B9">
            <w:pPr>
              <w:spacing w:after="72" w:afterLines="30" w:line="360" w:lineRule="exact"/>
              <w:jc w:val="center"/>
              <w:rPr>
                <w:color w:val="auto"/>
                <w:highlight w:val="none"/>
              </w:rPr>
            </w:pPr>
          </w:p>
        </w:tc>
        <w:tc>
          <w:tcPr>
            <w:tcW w:w="1210" w:type="dxa"/>
            <w:vAlign w:val="center"/>
          </w:tcPr>
          <w:p w14:paraId="222A5011">
            <w:pPr>
              <w:spacing w:after="72" w:afterLines="30" w:line="360" w:lineRule="exact"/>
              <w:jc w:val="center"/>
              <w:rPr>
                <w:color w:val="auto"/>
                <w:highlight w:val="none"/>
              </w:rPr>
            </w:pPr>
          </w:p>
        </w:tc>
        <w:tc>
          <w:tcPr>
            <w:tcW w:w="1211" w:type="dxa"/>
            <w:vAlign w:val="center"/>
          </w:tcPr>
          <w:p w14:paraId="186DF0A8">
            <w:pPr>
              <w:spacing w:after="72" w:afterLines="30" w:line="360" w:lineRule="exact"/>
              <w:jc w:val="center"/>
              <w:rPr>
                <w:color w:val="auto"/>
                <w:highlight w:val="none"/>
              </w:rPr>
            </w:pPr>
          </w:p>
        </w:tc>
        <w:tc>
          <w:tcPr>
            <w:tcW w:w="1210" w:type="dxa"/>
            <w:vAlign w:val="center"/>
          </w:tcPr>
          <w:p w14:paraId="3CB0DDEF">
            <w:pPr>
              <w:spacing w:after="72" w:afterLines="30" w:line="360" w:lineRule="exact"/>
              <w:jc w:val="center"/>
              <w:rPr>
                <w:color w:val="auto"/>
                <w:highlight w:val="none"/>
              </w:rPr>
            </w:pPr>
          </w:p>
        </w:tc>
        <w:tc>
          <w:tcPr>
            <w:tcW w:w="1211" w:type="dxa"/>
            <w:vAlign w:val="center"/>
          </w:tcPr>
          <w:p w14:paraId="55888560">
            <w:pPr>
              <w:spacing w:after="72" w:afterLines="30" w:line="360" w:lineRule="exact"/>
              <w:jc w:val="center"/>
              <w:rPr>
                <w:color w:val="auto"/>
                <w:highlight w:val="none"/>
              </w:rPr>
            </w:pPr>
          </w:p>
        </w:tc>
        <w:tc>
          <w:tcPr>
            <w:tcW w:w="1211" w:type="dxa"/>
            <w:vAlign w:val="center"/>
          </w:tcPr>
          <w:p w14:paraId="527F7148">
            <w:pPr>
              <w:spacing w:after="72" w:afterLines="30" w:line="360" w:lineRule="exact"/>
              <w:jc w:val="center"/>
              <w:rPr>
                <w:color w:val="auto"/>
                <w:highlight w:val="none"/>
              </w:rPr>
            </w:pPr>
          </w:p>
        </w:tc>
      </w:tr>
      <w:tr w14:paraId="2B96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38" w:type="dxa"/>
            <w:vAlign w:val="center"/>
          </w:tcPr>
          <w:p w14:paraId="6D993464">
            <w:pPr>
              <w:spacing w:after="72" w:afterLines="30" w:line="360" w:lineRule="exact"/>
              <w:jc w:val="center"/>
              <w:rPr>
                <w:rFonts w:ascii="宋体" w:hAnsi="宋体"/>
                <w:color w:val="auto"/>
                <w:highlight w:val="none"/>
              </w:rPr>
            </w:pPr>
            <w:r>
              <w:rPr>
                <w:rFonts w:hint="eastAsia" w:ascii="宋体" w:hAnsi="宋体"/>
                <w:color w:val="auto"/>
                <w:highlight w:val="none"/>
              </w:rPr>
              <w:t>5</w:t>
            </w:r>
          </w:p>
        </w:tc>
        <w:tc>
          <w:tcPr>
            <w:tcW w:w="2415" w:type="dxa"/>
          </w:tcPr>
          <w:p w14:paraId="3A3A2766">
            <w:pPr>
              <w:spacing w:line="360" w:lineRule="exact"/>
              <w:ind w:left="608"/>
              <w:rPr>
                <w:rFonts w:ascii="宋体" w:hAnsi="宋体"/>
                <w:color w:val="auto"/>
                <w:highlight w:val="none"/>
              </w:rPr>
            </w:pPr>
            <w:r>
              <w:rPr>
                <w:rFonts w:ascii="宋体" w:hAnsi="宋体" w:cs="宋体"/>
                <w:color w:val="auto"/>
                <w:highlight w:val="none"/>
              </w:rPr>
              <w:t>联合体投标人</w:t>
            </w:r>
          </w:p>
        </w:tc>
        <w:tc>
          <w:tcPr>
            <w:tcW w:w="1210" w:type="dxa"/>
            <w:vAlign w:val="center"/>
          </w:tcPr>
          <w:p w14:paraId="343EE25A">
            <w:pPr>
              <w:spacing w:after="72" w:afterLines="30" w:line="360" w:lineRule="exact"/>
              <w:jc w:val="center"/>
              <w:rPr>
                <w:rFonts w:ascii="宋体" w:hAnsi="宋体"/>
                <w:color w:val="auto"/>
                <w:highlight w:val="none"/>
              </w:rPr>
            </w:pPr>
          </w:p>
        </w:tc>
        <w:tc>
          <w:tcPr>
            <w:tcW w:w="1211" w:type="dxa"/>
            <w:vAlign w:val="center"/>
          </w:tcPr>
          <w:p w14:paraId="75D61F53">
            <w:pPr>
              <w:spacing w:after="72" w:afterLines="30" w:line="360" w:lineRule="exact"/>
              <w:jc w:val="center"/>
              <w:rPr>
                <w:rFonts w:ascii="宋体" w:hAnsi="宋体"/>
                <w:color w:val="auto"/>
                <w:highlight w:val="none"/>
              </w:rPr>
            </w:pPr>
          </w:p>
        </w:tc>
        <w:tc>
          <w:tcPr>
            <w:tcW w:w="1210" w:type="dxa"/>
            <w:vAlign w:val="center"/>
          </w:tcPr>
          <w:p w14:paraId="3B616813">
            <w:pPr>
              <w:spacing w:after="72" w:afterLines="30" w:line="360" w:lineRule="exact"/>
              <w:jc w:val="center"/>
              <w:rPr>
                <w:color w:val="auto"/>
                <w:highlight w:val="none"/>
              </w:rPr>
            </w:pPr>
          </w:p>
        </w:tc>
        <w:tc>
          <w:tcPr>
            <w:tcW w:w="1211" w:type="dxa"/>
            <w:vAlign w:val="center"/>
          </w:tcPr>
          <w:p w14:paraId="76FEABA7">
            <w:pPr>
              <w:spacing w:after="72" w:afterLines="30" w:line="360" w:lineRule="exact"/>
              <w:jc w:val="center"/>
              <w:rPr>
                <w:color w:val="auto"/>
                <w:highlight w:val="none"/>
              </w:rPr>
            </w:pPr>
          </w:p>
        </w:tc>
        <w:tc>
          <w:tcPr>
            <w:tcW w:w="1210" w:type="dxa"/>
            <w:vAlign w:val="center"/>
          </w:tcPr>
          <w:p w14:paraId="4072099D">
            <w:pPr>
              <w:spacing w:after="72" w:afterLines="30" w:line="360" w:lineRule="exact"/>
              <w:jc w:val="center"/>
              <w:rPr>
                <w:color w:val="auto"/>
                <w:highlight w:val="none"/>
              </w:rPr>
            </w:pPr>
          </w:p>
        </w:tc>
        <w:tc>
          <w:tcPr>
            <w:tcW w:w="1211" w:type="dxa"/>
            <w:vAlign w:val="center"/>
          </w:tcPr>
          <w:p w14:paraId="06D8AD02">
            <w:pPr>
              <w:spacing w:after="72" w:afterLines="30" w:line="360" w:lineRule="exact"/>
              <w:jc w:val="center"/>
              <w:rPr>
                <w:color w:val="auto"/>
                <w:highlight w:val="none"/>
              </w:rPr>
            </w:pPr>
          </w:p>
        </w:tc>
        <w:tc>
          <w:tcPr>
            <w:tcW w:w="1210" w:type="dxa"/>
            <w:vAlign w:val="center"/>
          </w:tcPr>
          <w:p w14:paraId="10450612">
            <w:pPr>
              <w:spacing w:after="72" w:afterLines="30" w:line="360" w:lineRule="exact"/>
              <w:jc w:val="center"/>
              <w:rPr>
                <w:color w:val="auto"/>
                <w:highlight w:val="none"/>
              </w:rPr>
            </w:pPr>
          </w:p>
        </w:tc>
        <w:tc>
          <w:tcPr>
            <w:tcW w:w="1211" w:type="dxa"/>
            <w:vAlign w:val="center"/>
          </w:tcPr>
          <w:p w14:paraId="1F1BB324">
            <w:pPr>
              <w:spacing w:after="72" w:afterLines="30" w:line="360" w:lineRule="exact"/>
              <w:jc w:val="center"/>
              <w:rPr>
                <w:color w:val="auto"/>
                <w:highlight w:val="none"/>
              </w:rPr>
            </w:pPr>
          </w:p>
        </w:tc>
        <w:tc>
          <w:tcPr>
            <w:tcW w:w="1211" w:type="dxa"/>
            <w:vAlign w:val="center"/>
          </w:tcPr>
          <w:p w14:paraId="1F7282AD">
            <w:pPr>
              <w:spacing w:after="72" w:afterLines="30" w:line="360" w:lineRule="exact"/>
              <w:jc w:val="center"/>
              <w:rPr>
                <w:color w:val="auto"/>
                <w:highlight w:val="none"/>
              </w:rPr>
            </w:pPr>
          </w:p>
        </w:tc>
      </w:tr>
      <w:tr w14:paraId="1BA3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8" w:type="dxa"/>
            <w:vAlign w:val="center"/>
          </w:tcPr>
          <w:p w14:paraId="16C214CF">
            <w:pPr>
              <w:spacing w:after="72" w:afterLines="30" w:line="360" w:lineRule="exact"/>
              <w:jc w:val="center"/>
              <w:rPr>
                <w:rFonts w:ascii="宋体" w:hAnsi="宋体"/>
                <w:color w:val="auto"/>
                <w:highlight w:val="none"/>
              </w:rPr>
            </w:pPr>
            <w:r>
              <w:rPr>
                <w:rFonts w:hint="eastAsia" w:ascii="宋体" w:hAnsi="宋体"/>
                <w:color w:val="auto"/>
                <w:highlight w:val="none"/>
              </w:rPr>
              <w:t>6</w:t>
            </w:r>
          </w:p>
        </w:tc>
        <w:tc>
          <w:tcPr>
            <w:tcW w:w="2415" w:type="dxa"/>
          </w:tcPr>
          <w:p w14:paraId="47AB4C10">
            <w:pPr>
              <w:spacing w:line="360" w:lineRule="exact"/>
              <w:ind w:left="608"/>
              <w:rPr>
                <w:rFonts w:ascii="宋体" w:hAnsi="宋体"/>
                <w:color w:val="auto"/>
                <w:highlight w:val="none"/>
              </w:rPr>
            </w:pPr>
            <w:r>
              <w:rPr>
                <w:rFonts w:ascii="宋体" w:hAnsi="宋体" w:cs="宋体"/>
                <w:color w:val="auto"/>
                <w:highlight w:val="none"/>
              </w:rPr>
              <w:t>备选投标方案</w:t>
            </w:r>
          </w:p>
        </w:tc>
        <w:tc>
          <w:tcPr>
            <w:tcW w:w="1210" w:type="dxa"/>
            <w:vAlign w:val="center"/>
          </w:tcPr>
          <w:p w14:paraId="32601FE6">
            <w:pPr>
              <w:spacing w:after="72" w:afterLines="30" w:line="360" w:lineRule="exact"/>
              <w:jc w:val="center"/>
              <w:rPr>
                <w:rFonts w:ascii="宋体" w:hAnsi="宋体"/>
                <w:color w:val="auto"/>
                <w:highlight w:val="none"/>
              </w:rPr>
            </w:pPr>
          </w:p>
        </w:tc>
        <w:tc>
          <w:tcPr>
            <w:tcW w:w="1211" w:type="dxa"/>
            <w:vAlign w:val="center"/>
          </w:tcPr>
          <w:p w14:paraId="25FB7CFC">
            <w:pPr>
              <w:spacing w:after="72" w:afterLines="30" w:line="360" w:lineRule="exact"/>
              <w:jc w:val="center"/>
              <w:rPr>
                <w:rFonts w:ascii="宋体" w:hAnsi="宋体"/>
                <w:color w:val="auto"/>
                <w:highlight w:val="none"/>
              </w:rPr>
            </w:pPr>
          </w:p>
        </w:tc>
        <w:tc>
          <w:tcPr>
            <w:tcW w:w="1210" w:type="dxa"/>
            <w:vAlign w:val="center"/>
          </w:tcPr>
          <w:p w14:paraId="436CC390">
            <w:pPr>
              <w:spacing w:after="72" w:afterLines="30" w:line="360" w:lineRule="exact"/>
              <w:jc w:val="center"/>
              <w:rPr>
                <w:color w:val="auto"/>
                <w:highlight w:val="none"/>
              </w:rPr>
            </w:pPr>
          </w:p>
        </w:tc>
        <w:tc>
          <w:tcPr>
            <w:tcW w:w="1211" w:type="dxa"/>
            <w:vAlign w:val="center"/>
          </w:tcPr>
          <w:p w14:paraId="1C9CDBB7">
            <w:pPr>
              <w:spacing w:after="72" w:afterLines="30" w:line="360" w:lineRule="exact"/>
              <w:jc w:val="center"/>
              <w:rPr>
                <w:color w:val="auto"/>
                <w:highlight w:val="none"/>
              </w:rPr>
            </w:pPr>
          </w:p>
        </w:tc>
        <w:tc>
          <w:tcPr>
            <w:tcW w:w="1210" w:type="dxa"/>
            <w:vAlign w:val="center"/>
          </w:tcPr>
          <w:p w14:paraId="612E4D83">
            <w:pPr>
              <w:spacing w:after="72" w:afterLines="30" w:line="360" w:lineRule="exact"/>
              <w:jc w:val="center"/>
              <w:rPr>
                <w:color w:val="auto"/>
                <w:highlight w:val="none"/>
              </w:rPr>
            </w:pPr>
          </w:p>
        </w:tc>
        <w:tc>
          <w:tcPr>
            <w:tcW w:w="1211" w:type="dxa"/>
            <w:vAlign w:val="center"/>
          </w:tcPr>
          <w:p w14:paraId="0BF79836">
            <w:pPr>
              <w:spacing w:after="72" w:afterLines="30" w:line="360" w:lineRule="exact"/>
              <w:jc w:val="center"/>
              <w:rPr>
                <w:color w:val="auto"/>
                <w:highlight w:val="none"/>
              </w:rPr>
            </w:pPr>
          </w:p>
        </w:tc>
        <w:tc>
          <w:tcPr>
            <w:tcW w:w="1210" w:type="dxa"/>
            <w:vAlign w:val="center"/>
          </w:tcPr>
          <w:p w14:paraId="4A0C687A">
            <w:pPr>
              <w:spacing w:after="72" w:afterLines="30" w:line="360" w:lineRule="exact"/>
              <w:jc w:val="center"/>
              <w:rPr>
                <w:color w:val="auto"/>
                <w:highlight w:val="none"/>
              </w:rPr>
            </w:pPr>
          </w:p>
        </w:tc>
        <w:tc>
          <w:tcPr>
            <w:tcW w:w="1211" w:type="dxa"/>
            <w:vAlign w:val="center"/>
          </w:tcPr>
          <w:p w14:paraId="0DEC772E">
            <w:pPr>
              <w:spacing w:after="72" w:afterLines="30" w:line="360" w:lineRule="exact"/>
              <w:jc w:val="center"/>
              <w:rPr>
                <w:color w:val="auto"/>
                <w:highlight w:val="none"/>
              </w:rPr>
            </w:pPr>
          </w:p>
        </w:tc>
        <w:tc>
          <w:tcPr>
            <w:tcW w:w="1211" w:type="dxa"/>
            <w:vAlign w:val="center"/>
          </w:tcPr>
          <w:p w14:paraId="47D74E91">
            <w:pPr>
              <w:spacing w:after="72" w:afterLines="30" w:line="360" w:lineRule="exact"/>
              <w:jc w:val="center"/>
              <w:rPr>
                <w:color w:val="auto"/>
                <w:highlight w:val="none"/>
              </w:rPr>
            </w:pPr>
          </w:p>
        </w:tc>
      </w:tr>
      <w:tr w14:paraId="7DBE0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8" w:type="dxa"/>
            <w:vAlign w:val="center"/>
          </w:tcPr>
          <w:p w14:paraId="280A30E4">
            <w:pPr>
              <w:spacing w:after="72" w:afterLines="30" w:line="360" w:lineRule="exact"/>
              <w:jc w:val="center"/>
              <w:rPr>
                <w:rFonts w:ascii="宋体" w:hAnsi="宋体"/>
                <w:color w:val="auto"/>
                <w:highlight w:val="none"/>
              </w:rPr>
            </w:pPr>
            <w:r>
              <w:rPr>
                <w:rFonts w:hint="eastAsia" w:ascii="宋体" w:hAnsi="宋体"/>
                <w:color w:val="auto"/>
                <w:highlight w:val="none"/>
              </w:rPr>
              <w:t>6</w:t>
            </w:r>
          </w:p>
        </w:tc>
        <w:tc>
          <w:tcPr>
            <w:tcW w:w="2415" w:type="dxa"/>
            <w:vAlign w:val="center"/>
          </w:tcPr>
          <w:p w14:paraId="46CD2D46">
            <w:pPr>
              <w:spacing w:after="72" w:afterLines="30" w:line="360" w:lineRule="exact"/>
              <w:jc w:val="center"/>
              <w:rPr>
                <w:rFonts w:ascii="宋体" w:hAnsi="宋体"/>
                <w:color w:val="auto"/>
                <w:highlight w:val="none"/>
              </w:rPr>
            </w:pPr>
            <w:r>
              <w:rPr>
                <w:rFonts w:ascii="宋体" w:hAnsi="宋体"/>
                <w:color w:val="auto"/>
                <w:szCs w:val="21"/>
                <w:highlight w:val="none"/>
              </w:rPr>
              <w:t>……</w:t>
            </w:r>
          </w:p>
        </w:tc>
        <w:tc>
          <w:tcPr>
            <w:tcW w:w="1210" w:type="dxa"/>
            <w:vAlign w:val="center"/>
          </w:tcPr>
          <w:p w14:paraId="63621ECF">
            <w:pPr>
              <w:spacing w:after="72" w:afterLines="30" w:line="360" w:lineRule="exact"/>
              <w:jc w:val="center"/>
              <w:rPr>
                <w:rFonts w:ascii="宋体" w:hAnsi="宋体"/>
                <w:color w:val="auto"/>
                <w:highlight w:val="none"/>
              </w:rPr>
            </w:pPr>
          </w:p>
        </w:tc>
        <w:tc>
          <w:tcPr>
            <w:tcW w:w="1211" w:type="dxa"/>
            <w:vAlign w:val="center"/>
          </w:tcPr>
          <w:p w14:paraId="67208515">
            <w:pPr>
              <w:spacing w:after="72" w:afterLines="30" w:line="360" w:lineRule="exact"/>
              <w:jc w:val="center"/>
              <w:rPr>
                <w:rFonts w:ascii="宋体" w:hAnsi="宋体"/>
                <w:color w:val="auto"/>
                <w:highlight w:val="none"/>
              </w:rPr>
            </w:pPr>
          </w:p>
        </w:tc>
        <w:tc>
          <w:tcPr>
            <w:tcW w:w="1210" w:type="dxa"/>
            <w:vAlign w:val="center"/>
          </w:tcPr>
          <w:p w14:paraId="5053A1A1">
            <w:pPr>
              <w:spacing w:after="72" w:afterLines="30" w:line="360" w:lineRule="exact"/>
              <w:jc w:val="center"/>
              <w:rPr>
                <w:color w:val="auto"/>
                <w:highlight w:val="none"/>
              </w:rPr>
            </w:pPr>
          </w:p>
        </w:tc>
        <w:tc>
          <w:tcPr>
            <w:tcW w:w="1211" w:type="dxa"/>
            <w:vAlign w:val="center"/>
          </w:tcPr>
          <w:p w14:paraId="147786AD">
            <w:pPr>
              <w:spacing w:after="72" w:afterLines="30" w:line="360" w:lineRule="exact"/>
              <w:jc w:val="center"/>
              <w:rPr>
                <w:color w:val="auto"/>
                <w:highlight w:val="none"/>
              </w:rPr>
            </w:pPr>
          </w:p>
        </w:tc>
        <w:tc>
          <w:tcPr>
            <w:tcW w:w="1210" w:type="dxa"/>
            <w:vAlign w:val="center"/>
          </w:tcPr>
          <w:p w14:paraId="616CCF1C">
            <w:pPr>
              <w:spacing w:after="72" w:afterLines="30" w:line="360" w:lineRule="exact"/>
              <w:jc w:val="center"/>
              <w:rPr>
                <w:color w:val="auto"/>
                <w:highlight w:val="none"/>
              </w:rPr>
            </w:pPr>
          </w:p>
        </w:tc>
        <w:tc>
          <w:tcPr>
            <w:tcW w:w="1211" w:type="dxa"/>
            <w:vAlign w:val="center"/>
          </w:tcPr>
          <w:p w14:paraId="7878B60E">
            <w:pPr>
              <w:spacing w:after="72" w:afterLines="30" w:line="360" w:lineRule="exact"/>
              <w:jc w:val="center"/>
              <w:rPr>
                <w:color w:val="auto"/>
                <w:highlight w:val="none"/>
              </w:rPr>
            </w:pPr>
          </w:p>
        </w:tc>
        <w:tc>
          <w:tcPr>
            <w:tcW w:w="1210" w:type="dxa"/>
            <w:vAlign w:val="center"/>
          </w:tcPr>
          <w:p w14:paraId="4284C59F">
            <w:pPr>
              <w:spacing w:after="72" w:afterLines="30" w:line="360" w:lineRule="exact"/>
              <w:jc w:val="center"/>
              <w:rPr>
                <w:color w:val="auto"/>
                <w:highlight w:val="none"/>
              </w:rPr>
            </w:pPr>
          </w:p>
        </w:tc>
        <w:tc>
          <w:tcPr>
            <w:tcW w:w="1211" w:type="dxa"/>
            <w:vAlign w:val="center"/>
          </w:tcPr>
          <w:p w14:paraId="4F1ADAC1">
            <w:pPr>
              <w:spacing w:after="72" w:afterLines="30" w:line="360" w:lineRule="exact"/>
              <w:jc w:val="center"/>
              <w:rPr>
                <w:color w:val="auto"/>
                <w:highlight w:val="none"/>
              </w:rPr>
            </w:pPr>
          </w:p>
        </w:tc>
        <w:tc>
          <w:tcPr>
            <w:tcW w:w="1211" w:type="dxa"/>
            <w:vAlign w:val="center"/>
          </w:tcPr>
          <w:p w14:paraId="7890E061">
            <w:pPr>
              <w:spacing w:after="72" w:afterLines="30" w:line="360" w:lineRule="exact"/>
              <w:jc w:val="center"/>
              <w:rPr>
                <w:color w:val="auto"/>
                <w:highlight w:val="none"/>
              </w:rPr>
            </w:pPr>
          </w:p>
        </w:tc>
      </w:tr>
      <w:tr w14:paraId="1F6E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153" w:type="dxa"/>
            <w:gridSpan w:val="2"/>
          </w:tcPr>
          <w:p w14:paraId="4C251260">
            <w:pPr>
              <w:spacing w:after="72" w:afterLines="30" w:line="360" w:lineRule="exact"/>
              <w:jc w:val="center"/>
              <w:rPr>
                <w:color w:val="auto"/>
                <w:szCs w:val="21"/>
                <w:highlight w:val="none"/>
              </w:rPr>
            </w:pPr>
            <w:r>
              <w:rPr>
                <w:color w:val="auto"/>
                <w:szCs w:val="21"/>
                <w:highlight w:val="none"/>
              </w:rPr>
              <w:t>是否通过评审</w:t>
            </w:r>
          </w:p>
        </w:tc>
        <w:tc>
          <w:tcPr>
            <w:tcW w:w="1210" w:type="dxa"/>
            <w:vAlign w:val="center"/>
          </w:tcPr>
          <w:p w14:paraId="44AE7B43">
            <w:pPr>
              <w:spacing w:after="72" w:afterLines="30" w:line="360" w:lineRule="exact"/>
              <w:jc w:val="center"/>
              <w:rPr>
                <w:color w:val="auto"/>
                <w:highlight w:val="none"/>
              </w:rPr>
            </w:pPr>
          </w:p>
        </w:tc>
        <w:tc>
          <w:tcPr>
            <w:tcW w:w="1211" w:type="dxa"/>
            <w:vAlign w:val="center"/>
          </w:tcPr>
          <w:p w14:paraId="6654FA3B">
            <w:pPr>
              <w:spacing w:after="72" w:afterLines="30" w:line="360" w:lineRule="exact"/>
              <w:jc w:val="center"/>
              <w:rPr>
                <w:color w:val="auto"/>
                <w:highlight w:val="none"/>
              </w:rPr>
            </w:pPr>
          </w:p>
        </w:tc>
        <w:tc>
          <w:tcPr>
            <w:tcW w:w="1210" w:type="dxa"/>
            <w:vAlign w:val="center"/>
          </w:tcPr>
          <w:p w14:paraId="1CD5F75E">
            <w:pPr>
              <w:spacing w:after="72" w:afterLines="30" w:line="360" w:lineRule="exact"/>
              <w:jc w:val="center"/>
              <w:rPr>
                <w:color w:val="auto"/>
                <w:highlight w:val="none"/>
              </w:rPr>
            </w:pPr>
          </w:p>
        </w:tc>
        <w:tc>
          <w:tcPr>
            <w:tcW w:w="1211" w:type="dxa"/>
            <w:vAlign w:val="center"/>
          </w:tcPr>
          <w:p w14:paraId="77140D92">
            <w:pPr>
              <w:spacing w:after="72" w:afterLines="30" w:line="360" w:lineRule="exact"/>
              <w:jc w:val="center"/>
              <w:rPr>
                <w:color w:val="auto"/>
                <w:highlight w:val="none"/>
              </w:rPr>
            </w:pPr>
          </w:p>
        </w:tc>
        <w:tc>
          <w:tcPr>
            <w:tcW w:w="1210" w:type="dxa"/>
            <w:vAlign w:val="center"/>
          </w:tcPr>
          <w:p w14:paraId="201D97E3">
            <w:pPr>
              <w:spacing w:after="72" w:afterLines="30" w:line="360" w:lineRule="exact"/>
              <w:jc w:val="center"/>
              <w:rPr>
                <w:color w:val="auto"/>
                <w:highlight w:val="none"/>
              </w:rPr>
            </w:pPr>
          </w:p>
        </w:tc>
        <w:tc>
          <w:tcPr>
            <w:tcW w:w="1211" w:type="dxa"/>
            <w:vAlign w:val="center"/>
          </w:tcPr>
          <w:p w14:paraId="219A7463">
            <w:pPr>
              <w:spacing w:after="72" w:afterLines="30" w:line="360" w:lineRule="exact"/>
              <w:jc w:val="center"/>
              <w:rPr>
                <w:color w:val="auto"/>
                <w:highlight w:val="none"/>
              </w:rPr>
            </w:pPr>
          </w:p>
        </w:tc>
        <w:tc>
          <w:tcPr>
            <w:tcW w:w="1210" w:type="dxa"/>
            <w:vAlign w:val="center"/>
          </w:tcPr>
          <w:p w14:paraId="113D44B9">
            <w:pPr>
              <w:spacing w:after="72" w:afterLines="30" w:line="360" w:lineRule="exact"/>
              <w:jc w:val="center"/>
              <w:rPr>
                <w:color w:val="auto"/>
                <w:highlight w:val="none"/>
              </w:rPr>
            </w:pPr>
          </w:p>
        </w:tc>
        <w:tc>
          <w:tcPr>
            <w:tcW w:w="1211" w:type="dxa"/>
            <w:vAlign w:val="center"/>
          </w:tcPr>
          <w:p w14:paraId="2ABE03B5">
            <w:pPr>
              <w:spacing w:after="72" w:afterLines="30" w:line="360" w:lineRule="exact"/>
              <w:jc w:val="center"/>
              <w:rPr>
                <w:color w:val="auto"/>
                <w:highlight w:val="none"/>
              </w:rPr>
            </w:pPr>
          </w:p>
        </w:tc>
        <w:tc>
          <w:tcPr>
            <w:tcW w:w="1211" w:type="dxa"/>
            <w:vAlign w:val="center"/>
          </w:tcPr>
          <w:p w14:paraId="20148D55">
            <w:pPr>
              <w:spacing w:after="72" w:afterLines="30" w:line="360" w:lineRule="exact"/>
              <w:jc w:val="center"/>
              <w:rPr>
                <w:color w:val="auto"/>
                <w:highlight w:val="none"/>
              </w:rPr>
            </w:pPr>
          </w:p>
        </w:tc>
      </w:tr>
    </w:tbl>
    <w:p w14:paraId="4F8ACF9F">
      <w:pPr>
        <w:spacing w:line="360" w:lineRule="exact"/>
        <w:rPr>
          <w:rFonts w:eastAsia="楷体_GB2312"/>
          <w:b/>
          <w:bCs/>
          <w:color w:val="auto"/>
          <w:highlight w:val="none"/>
        </w:rPr>
      </w:pPr>
      <w:r>
        <w:rPr>
          <w:rFonts w:eastAsia="楷体_GB2312"/>
          <w:b/>
          <w:bCs/>
          <w:color w:val="auto"/>
          <w:highlight w:val="none"/>
        </w:rPr>
        <w:t>备注：根据评分办法的</w:t>
      </w:r>
      <w:r>
        <w:rPr>
          <w:rFonts w:hint="eastAsia" w:eastAsia="楷体_GB2312"/>
          <w:b/>
          <w:bCs/>
          <w:color w:val="auto"/>
          <w:highlight w:val="none"/>
        </w:rPr>
        <w:t>形式性评审</w:t>
      </w:r>
      <w:r>
        <w:rPr>
          <w:rFonts w:eastAsia="楷体_GB2312"/>
          <w:b/>
          <w:bCs/>
          <w:color w:val="auto"/>
          <w:highlight w:val="none"/>
        </w:rPr>
        <w:t>标准调整本表</w:t>
      </w:r>
      <w:r>
        <w:rPr>
          <w:rFonts w:hint="eastAsia" w:eastAsia="楷体_GB2312"/>
          <w:b/>
          <w:bCs/>
          <w:color w:val="auto"/>
          <w:highlight w:val="none"/>
        </w:rPr>
        <w:t>。</w:t>
      </w:r>
    </w:p>
    <w:p w14:paraId="1C18218A">
      <w:pPr>
        <w:spacing w:line="360" w:lineRule="exact"/>
        <w:rPr>
          <w:color w:val="auto"/>
          <w:highlight w:val="none"/>
        </w:rPr>
      </w:pPr>
    </w:p>
    <w:p w14:paraId="7F6F233B">
      <w:pPr>
        <w:spacing w:line="360" w:lineRule="exact"/>
        <w:rPr>
          <w:color w:val="auto"/>
          <w:highlight w:val="none"/>
        </w:rPr>
      </w:pPr>
      <w:r>
        <w:rPr>
          <w:color w:val="auto"/>
          <w:highlight w:val="none"/>
        </w:rPr>
        <w:t>评标委员会全体成员签名：                                                                       日期：        年     月     日</w:t>
      </w:r>
    </w:p>
    <w:p w14:paraId="0958DE5C">
      <w:pPr>
        <w:spacing w:line="440" w:lineRule="exact"/>
        <w:jc w:val="center"/>
        <w:rPr>
          <w:rFonts w:eastAsia="黑体"/>
          <w:color w:val="auto"/>
          <w:sz w:val="28"/>
          <w:szCs w:val="28"/>
          <w:highlight w:val="none"/>
        </w:rPr>
      </w:pPr>
    </w:p>
    <w:p w14:paraId="6DBDFF5E">
      <w:pPr>
        <w:spacing w:line="440" w:lineRule="exact"/>
        <w:jc w:val="left"/>
        <w:rPr>
          <w:b/>
          <w:color w:val="auto"/>
          <w:highlight w:val="none"/>
        </w:rPr>
      </w:pPr>
      <w:r>
        <w:rPr>
          <w:rFonts w:eastAsia="黑体"/>
          <w:color w:val="auto"/>
          <w:sz w:val="28"/>
          <w:szCs w:val="28"/>
          <w:highlight w:val="none"/>
        </w:rPr>
        <w:br w:type="page"/>
      </w:r>
      <w:r>
        <w:rPr>
          <w:b/>
          <w:color w:val="auto"/>
          <w:highlight w:val="none"/>
        </w:rPr>
        <w:t>附表A-</w:t>
      </w:r>
      <w:r>
        <w:rPr>
          <w:rFonts w:hint="eastAsia"/>
          <w:b/>
          <w:color w:val="auto"/>
          <w:highlight w:val="none"/>
        </w:rPr>
        <w:t>5</w:t>
      </w:r>
      <w:r>
        <w:rPr>
          <w:b/>
          <w:color w:val="auto"/>
          <w:highlight w:val="none"/>
        </w:rPr>
        <w:t>：响应性评审记录表</w:t>
      </w:r>
    </w:p>
    <w:p w14:paraId="6A35CA85">
      <w:pPr>
        <w:spacing w:line="440" w:lineRule="exact"/>
        <w:jc w:val="center"/>
        <w:rPr>
          <w:color w:val="auto"/>
          <w:highlight w:val="none"/>
        </w:rPr>
      </w:pPr>
      <w:r>
        <w:rPr>
          <w:rFonts w:eastAsia="黑体"/>
          <w:color w:val="auto"/>
          <w:sz w:val="28"/>
          <w:szCs w:val="28"/>
          <w:highlight w:val="none"/>
        </w:rPr>
        <w:t>响应性评审记录表</w:t>
      </w:r>
    </w:p>
    <w:p w14:paraId="599FF389">
      <w:pPr>
        <w:spacing w:after="72" w:afterLines="30" w:line="440" w:lineRule="exact"/>
        <w:rPr>
          <w:color w:val="auto"/>
          <w:highlight w:val="none"/>
        </w:rPr>
      </w:pPr>
      <w:r>
        <w:rPr>
          <w:rFonts w:hint="eastAsia"/>
          <w:color w:val="auto"/>
          <w:highlight w:val="none"/>
        </w:rPr>
        <w:t>项目</w:t>
      </w:r>
      <w:r>
        <w:rPr>
          <w:color w:val="auto"/>
          <w:highlight w:val="none"/>
        </w:rPr>
        <w:t>名称</w:t>
      </w:r>
      <w:r>
        <w:rPr>
          <w:rFonts w:hint="eastAsia"/>
          <w:color w:val="auto"/>
          <w:highlight w:val="none"/>
        </w:rPr>
        <w:t>及项目招标编号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0"/>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4497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vAlign w:val="center"/>
          </w:tcPr>
          <w:p w14:paraId="3FFD60F9">
            <w:pPr>
              <w:spacing w:after="72" w:afterLines="30" w:line="440" w:lineRule="exact"/>
              <w:jc w:val="center"/>
              <w:rPr>
                <w:b/>
                <w:color w:val="auto"/>
                <w:highlight w:val="none"/>
              </w:rPr>
            </w:pPr>
            <w:r>
              <w:rPr>
                <w:b/>
                <w:color w:val="auto"/>
                <w:highlight w:val="none"/>
              </w:rPr>
              <w:t>序号</w:t>
            </w:r>
          </w:p>
        </w:tc>
        <w:tc>
          <w:tcPr>
            <w:tcW w:w="2156" w:type="dxa"/>
            <w:vMerge w:val="restart"/>
            <w:vAlign w:val="center"/>
          </w:tcPr>
          <w:p w14:paraId="2A158D5C">
            <w:pPr>
              <w:jc w:val="center"/>
              <w:rPr>
                <w:b/>
                <w:color w:val="auto"/>
                <w:highlight w:val="none"/>
              </w:rPr>
            </w:pPr>
            <w:r>
              <w:rPr>
                <w:b/>
                <w:color w:val="auto"/>
                <w:highlight w:val="none"/>
              </w:rPr>
              <w:t>评审因素</w:t>
            </w:r>
          </w:p>
        </w:tc>
        <w:tc>
          <w:tcPr>
            <w:tcW w:w="10776" w:type="dxa"/>
            <w:gridSpan w:val="9"/>
            <w:vAlign w:val="center"/>
          </w:tcPr>
          <w:p w14:paraId="273E7C00">
            <w:pPr>
              <w:jc w:val="center"/>
              <w:rPr>
                <w:b/>
                <w:color w:val="auto"/>
                <w:highlight w:val="none"/>
              </w:rPr>
            </w:pPr>
            <w:r>
              <w:rPr>
                <w:b/>
                <w:color w:val="auto"/>
                <w:highlight w:val="none"/>
              </w:rPr>
              <w:t>投标人名称及评审意见</w:t>
            </w:r>
          </w:p>
        </w:tc>
      </w:tr>
      <w:tr w14:paraId="2FB2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vAlign w:val="center"/>
          </w:tcPr>
          <w:p w14:paraId="5D5EE132">
            <w:pPr>
              <w:jc w:val="center"/>
              <w:rPr>
                <w:rFonts w:eastAsia="黑体"/>
                <w:color w:val="auto"/>
                <w:highlight w:val="none"/>
              </w:rPr>
            </w:pPr>
          </w:p>
        </w:tc>
        <w:tc>
          <w:tcPr>
            <w:tcW w:w="2156" w:type="dxa"/>
            <w:vMerge w:val="continue"/>
            <w:vAlign w:val="center"/>
          </w:tcPr>
          <w:p w14:paraId="5DE7FBDF">
            <w:pPr>
              <w:jc w:val="center"/>
              <w:rPr>
                <w:color w:val="auto"/>
                <w:highlight w:val="none"/>
              </w:rPr>
            </w:pPr>
          </w:p>
        </w:tc>
        <w:tc>
          <w:tcPr>
            <w:tcW w:w="1197" w:type="dxa"/>
            <w:vAlign w:val="center"/>
          </w:tcPr>
          <w:p w14:paraId="29B8A2C5">
            <w:pPr>
              <w:jc w:val="center"/>
              <w:rPr>
                <w:color w:val="auto"/>
                <w:highlight w:val="none"/>
              </w:rPr>
            </w:pPr>
          </w:p>
        </w:tc>
        <w:tc>
          <w:tcPr>
            <w:tcW w:w="1197" w:type="dxa"/>
            <w:vAlign w:val="center"/>
          </w:tcPr>
          <w:p w14:paraId="4B81C7D2">
            <w:pPr>
              <w:jc w:val="center"/>
              <w:rPr>
                <w:color w:val="auto"/>
                <w:highlight w:val="none"/>
              </w:rPr>
            </w:pPr>
          </w:p>
        </w:tc>
        <w:tc>
          <w:tcPr>
            <w:tcW w:w="1198" w:type="dxa"/>
            <w:vAlign w:val="center"/>
          </w:tcPr>
          <w:p w14:paraId="7EBDEF46">
            <w:pPr>
              <w:jc w:val="center"/>
              <w:rPr>
                <w:color w:val="auto"/>
                <w:highlight w:val="none"/>
              </w:rPr>
            </w:pPr>
          </w:p>
        </w:tc>
        <w:tc>
          <w:tcPr>
            <w:tcW w:w="1197" w:type="dxa"/>
            <w:vAlign w:val="center"/>
          </w:tcPr>
          <w:p w14:paraId="29677A6C">
            <w:pPr>
              <w:jc w:val="center"/>
              <w:rPr>
                <w:color w:val="auto"/>
                <w:highlight w:val="none"/>
              </w:rPr>
            </w:pPr>
          </w:p>
        </w:tc>
        <w:tc>
          <w:tcPr>
            <w:tcW w:w="1197" w:type="dxa"/>
            <w:vAlign w:val="center"/>
          </w:tcPr>
          <w:p w14:paraId="70BAADC7">
            <w:pPr>
              <w:jc w:val="center"/>
              <w:rPr>
                <w:color w:val="auto"/>
                <w:highlight w:val="none"/>
              </w:rPr>
            </w:pPr>
          </w:p>
        </w:tc>
        <w:tc>
          <w:tcPr>
            <w:tcW w:w="1198" w:type="dxa"/>
            <w:vAlign w:val="center"/>
          </w:tcPr>
          <w:p w14:paraId="6E886218">
            <w:pPr>
              <w:jc w:val="center"/>
              <w:rPr>
                <w:color w:val="auto"/>
                <w:highlight w:val="none"/>
              </w:rPr>
            </w:pPr>
          </w:p>
        </w:tc>
        <w:tc>
          <w:tcPr>
            <w:tcW w:w="1197" w:type="dxa"/>
            <w:vAlign w:val="center"/>
          </w:tcPr>
          <w:p w14:paraId="247DD4D3">
            <w:pPr>
              <w:jc w:val="center"/>
              <w:rPr>
                <w:color w:val="auto"/>
                <w:highlight w:val="none"/>
              </w:rPr>
            </w:pPr>
          </w:p>
        </w:tc>
        <w:tc>
          <w:tcPr>
            <w:tcW w:w="1197" w:type="dxa"/>
            <w:vAlign w:val="center"/>
          </w:tcPr>
          <w:p w14:paraId="17D0777A">
            <w:pPr>
              <w:jc w:val="center"/>
              <w:rPr>
                <w:color w:val="auto"/>
                <w:highlight w:val="none"/>
              </w:rPr>
            </w:pPr>
          </w:p>
        </w:tc>
        <w:tc>
          <w:tcPr>
            <w:tcW w:w="1198" w:type="dxa"/>
            <w:vAlign w:val="center"/>
          </w:tcPr>
          <w:p w14:paraId="3C57A758">
            <w:pPr>
              <w:jc w:val="center"/>
              <w:rPr>
                <w:color w:val="auto"/>
                <w:highlight w:val="none"/>
              </w:rPr>
            </w:pPr>
          </w:p>
        </w:tc>
      </w:tr>
      <w:tr w14:paraId="5D67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76B00D02">
            <w:pPr>
              <w:spacing w:line="360" w:lineRule="atLeast"/>
              <w:jc w:val="center"/>
              <w:rPr>
                <w:rFonts w:eastAsia="黑体"/>
                <w:color w:val="auto"/>
                <w:highlight w:val="none"/>
              </w:rPr>
            </w:pPr>
            <w:r>
              <w:rPr>
                <w:rFonts w:eastAsia="黑体"/>
                <w:color w:val="auto"/>
                <w:highlight w:val="none"/>
              </w:rPr>
              <w:t>1</w:t>
            </w:r>
          </w:p>
        </w:tc>
        <w:tc>
          <w:tcPr>
            <w:tcW w:w="2156" w:type="dxa"/>
          </w:tcPr>
          <w:p w14:paraId="7D8D13CA">
            <w:pPr>
              <w:spacing w:line="390" w:lineRule="exact"/>
              <w:jc w:val="center"/>
              <w:rPr>
                <w:color w:val="auto"/>
                <w:highlight w:val="none"/>
              </w:rPr>
            </w:pPr>
            <w:r>
              <w:rPr>
                <w:rFonts w:ascii="宋体" w:hAnsi="宋体" w:cs="宋体"/>
                <w:color w:val="auto"/>
                <w:highlight w:val="none"/>
              </w:rPr>
              <w:t>投标报价</w:t>
            </w:r>
          </w:p>
        </w:tc>
        <w:tc>
          <w:tcPr>
            <w:tcW w:w="1197" w:type="dxa"/>
            <w:vAlign w:val="center"/>
          </w:tcPr>
          <w:p w14:paraId="6B8FC4DC">
            <w:pPr>
              <w:spacing w:line="360" w:lineRule="atLeast"/>
              <w:jc w:val="center"/>
              <w:rPr>
                <w:color w:val="auto"/>
                <w:highlight w:val="none"/>
              </w:rPr>
            </w:pPr>
          </w:p>
        </w:tc>
        <w:tc>
          <w:tcPr>
            <w:tcW w:w="1197" w:type="dxa"/>
            <w:vAlign w:val="center"/>
          </w:tcPr>
          <w:p w14:paraId="570A3F86">
            <w:pPr>
              <w:spacing w:line="360" w:lineRule="atLeast"/>
              <w:jc w:val="center"/>
              <w:rPr>
                <w:color w:val="auto"/>
                <w:highlight w:val="none"/>
              </w:rPr>
            </w:pPr>
          </w:p>
        </w:tc>
        <w:tc>
          <w:tcPr>
            <w:tcW w:w="1198" w:type="dxa"/>
            <w:vAlign w:val="center"/>
          </w:tcPr>
          <w:p w14:paraId="71AB99E0">
            <w:pPr>
              <w:spacing w:line="360" w:lineRule="atLeast"/>
              <w:jc w:val="center"/>
              <w:rPr>
                <w:color w:val="auto"/>
                <w:highlight w:val="none"/>
              </w:rPr>
            </w:pPr>
          </w:p>
        </w:tc>
        <w:tc>
          <w:tcPr>
            <w:tcW w:w="1197" w:type="dxa"/>
            <w:vAlign w:val="center"/>
          </w:tcPr>
          <w:p w14:paraId="1834AE7D">
            <w:pPr>
              <w:spacing w:line="360" w:lineRule="atLeast"/>
              <w:jc w:val="center"/>
              <w:rPr>
                <w:color w:val="auto"/>
                <w:highlight w:val="none"/>
              </w:rPr>
            </w:pPr>
          </w:p>
        </w:tc>
        <w:tc>
          <w:tcPr>
            <w:tcW w:w="1197" w:type="dxa"/>
            <w:vAlign w:val="center"/>
          </w:tcPr>
          <w:p w14:paraId="0EE078AD">
            <w:pPr>
              <w:spacing w:line="360" w:lineRule="atLeast"/>
              <w:jc w:val="center"/>
              <w:rPr>
                <w:color w:val="auto"/>
                <w:highlight w:val="none"/>
              </w:rPr>
            </w:pPr>
          </w:p>
        </w:tc>
        <w:tc>
          <w:tcPr>
            <w:tcW w:w="1198" w:type="dxa"/>
            <w:vAlign w:val="center"/>
          </w:tcPr>
          <w:p w14:paraId="5660A15A">
            <w:pPr>
              <w:spacing w:line="360" w:lineRule="atLeast"/>
              <w:jc w:val="center"/>
              <w:rPr>
                <w:color w:val="auto"/>
                <w:highlight w:val="none"/>
              </w:rPr>
            </w:pPr>
          </w:p>
        </w:tc>
        <w:tc>
          <w:tcPr>
            <w:tcW w:w="1197" w:type="dxa"/>
            <w:vAlign w:val="center"/>
          </w:tcPr>
          <w:p w14:paraId="6B988CA4">
            <w:pPr>
              <w:spacing w:line="360" w:lineRule="atLeast"/>
              <w:jc w:val="center"/>
              <w:rPr>
                <w:color w:val="auto"/>
                <w:highlight w:val="none"/>
              </w:rPr>
            </w:pPr>
          </w:p>
        </w:tc>
        <w:tc>
          <w:tcPr>
            <w:tcW w:w="1197" w:type="dxa"/>
            <w:vAlign w:val="center"/>
          </w:tcPr>
          <w:p w14:paraId="74CF0589">
            <w:pPr>
              <w:spacing w:line="360" w:lineRule="atLeast"/>
              <w:jc w:val="center"/>
              <w:rPr>
                <w:color w:val="auto"/>
                <w:highlight w:val="none"/>
              </w:rPr>
            </w:pPr>
          </w:p>
        </w:tc>
        <w:tc>
          <w:tcPr>
            <w:tcW w:w="1198" w:type="dxa"/>
            <w:vAlign w:val="center"/>
          </w:tcPr>
          <w:p w14:paraId="1E35B525">
            <w:pPr>
              <w:spacing w:line="360" w:lineRule="atLeast"/>
              <w:jc w:val="center"/>
              <w:rPr>
                <w:color w:val="auto"/>
                <w:highlight w:val="none"/>
              </w:rPr>
            </w:pPr>
          </w:p>
        </w:tc>
      </w:tr>
      <w:tr w14:paraId="011F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78985FDE">
            <w:pPr>
              <w:spacing w:line="360" w:lineRule="atLeast"/>
              <w:jc w:val="center"/>
              <w:rPr>
                <w:rFonts w:eastAsia="黑体"/>
                <w:color w:val="auto"/>
                <w:highlight w:val="none"/>
              </w:rPr>
            </w:pPr>
            <w:r>
              <w:rPr>
                <w:rFonts w:eastAsia="黑体"/>
                <w:color w:val="auto"/>
                <w:highlight w:val="none"/>
              </w:rPr>
              <w:t>2</w:t>
            </w:r>
          </w:p>
        </w:tc>
        <w:tc>
          <w:tcPr>
            <w:tcW w:w="2156" w:type="dxa"/>
          </w:tcPr>
          <w:p w14:paraId="066C0271">
            <w:pPr>
              <w:spacing w:line="388" w:lineRule="exact"/>
              <w:jc w:val="center"/>
              <w:rPr>
                <w:color w:val="auto"/>
                <w:highlight w:val="none"/>
              </w:rPr>
            </w:pPr>
            <w:r>
              <w:rPr>
                <w:rFonts w:ascii="宋体" w:hAnsi="宋体" w:cs="宋体"/>
                <w:color w:val="auto"/>
                <w:highlight w:val="none"/>
              </w:rPr>
              <w:t>投标内容</w:t>
            </w:r>
          </w:p>
        </w:tc>
        <w:tc>
          <w:tcPr>
            <w:tcW w:w="1197" w:type="dxa"/>
            <w:vAlign w:val="center"/>
          </w:tcPr>
          <w:p w14:paraId="37A37FE4">
            <w:pPr>
              <w:spacing w:line="360" w:lineRule="atLeast"/>
              <w:jc w:val="center"/>
              <w:rPr>
                <w:color w:val="auto"/>
                <w:highlight w:val="none"/>
              </w:rPr>
            </w:pPr>
          </w:p>
        </w:tc>
        <w:tc>
          <w:tcPr>
            <w:tcW w:w="1197" w:type="dxa"/>
            <w:vAlign w:val="center"/>
          </w:tcPr>
          <w:p w14:paraId="4ACB73A8">
            <w:pPr>
              <w:spacing w:line="360" w:lineRule="atLeast"/>
              <w:jc w:val="center"/>
              <w:rPr>
                <w:color w:val="auto"/>
                <w:highlight w:val="none"/>
              </w:rPr>
            </w:pPr>
          </w:p>
        </w:tc>
        <w:tc>
          <w:tcPr>
            <w:tcW w:w="1198" w:type="dxa"/>
            <w:vAlign w:val="center"/>
          </w:tcPr>
          <w:p w14:paraId="61E8F782">
            <w:pPr>
              <w:spacing w:line="360" w:lineRule="atLeast"/>
              <w:jc w:val="center"/>
              <w:rPr>
                <w:color w:val="auto"/>
                <w:highlight w:val="none"/>
              </w:rPr>
            </w:pPr>
          </w:p>
        </w:tc>
        <w:tc>
          <w:tcPr>
            <w:tcW w:w="1197" w:type="dxa"/>
            <w:vAlign w:val="center"/>
          </w:tcPr>
          <w:p w14:paraId="1E4DC305">
            <w:pPr>
              <w:spacing w:line="360" w:lineRule="atLeast"/>
              <w:jc w:val="center"/>
              <w:rPr>
                <w:color w:val="auto"/>
                <w:highlight w:val="none"/>
              </w:rPr>
            </w:pPr>
          </w:p>
        </w:tc>
        <w:tc>
          <w:tcPr>
            <w:tcW w:w="1197" w:type="dxa"/>
            <w:vAlign w:val="center"/>
          </w:tcPr>
          <w:p w14:paraId="2D7965E2">
            <w:pPr>
              <w:spacing w:line="360" w:lineRule="atLeast"/>
              <w:jc w:val="center"/>
              <w:rPr>
                <w:color w:val="auto"/>
                <w:highlight w:val="none"/>
              </w:rPr>
            </w:pPr>
          </w:p>
        </w:tc>
        <w:tc>
          <w:tcPr>
            <w:tcW w:w="1198" w:type="dxa"/>
            <w:vAlign w:val="center"/>
          </w:tcPr>
          <w:p w14:paraId="77B690F5">
            <w:pPr>
              <w:spacing w:line="360" w:lineRule="atLeast"/>
              <w:jc w:val="center"/>
              <w:rPr>
                <w:color w:val="auto"/>
                <w:highlight w:val="none"/>
              </w:rPr>
            </w:pPr>
          </w:p>
        </w:tc>
        <w:tc>
          <w:tcPr>
            <w:tcW w:w="1197" w:type="dxa"/>
            <w:vAlign w:val="center"/>
          </w:tcPr>
          <w:p w14:paraId="0794E9EA">
            <w:pPr>
              <w:spacing w:line="360" w:lineRule="atLeast"/>
              <w:jc w:val="center"/>
              <w:rPr>
                <w:color w:val="auto"/>
                <w:highlight w:val="none"/>
              </w:rPr>
            </w:pPr>
          </w:p>
        </w:tc>
        <w:tc>
          <w:tcPr>
            <w:tcW w:w="1197" w:type="dxa"/>
            <w:vAlign w:val="center"/>
          </w:tcPr>
          <w:p w14:paraId="5F0B90E4">
            <w:pPr>
              <w:spacing w:line="360" w:lineRule="atLeast"/>
              <w:jc w:val="center"/>
              <w:rPr>
                <w:color w:val="auto"/>
                <w:highlight w:val="none"/>
              </w:rPr>
            </w:pPr>
          </w:p>
        </w:tc>
        <w:tc>
          <w:tcPr>
            <w:tcW w:w="1198" w:type="dxa"/>
            <w:vAlign w:val="center"/>
          </w:tcPr>
          <w:p w14:paraId="34412AF2">
            <w:pPr>
              <w:spacing w:line="360" w:lineRule="atLeast"/>
              <w:jc w:val="center"/>
              <w:rPr>
                <w:color w:val="auto"/>
                <w:highlight w:val="none"/>
              </w:rPr>
            </w:pPr>
          </w:p>
        </w:tc>
      </w:tr>
      <w:tr w14:paraId="0D5E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7F92C48F">
            <w:pPr>
              <w:spacing w:line="360" w:lineRule="atLeast"/>
              <w:jc w:val="center"/>
              <w:rPr>
                <w:rFonts w:eastAsia="黑体"/>
                <w:color w:val="auto"/>
                <w:highlight w:val="none"/>
              </w:rPr>
            </w:pPr>
            <w:r>
              <w:rPr>
                <w:rFonts w:eastAsia="黑体"/>
                <w:color w:val="auto"/>
                <w:highlight w:val="none"/>
              </w:rPr>
              <w:t>3</w:t>
            </w:r>
          </w:p>
        </w:tc>
        <w:tc>
          <w:tcPr>
            <w:tcW w:w="2156" w:type="dxa"/>
          </w:tcPr>
          <w:p w14:paraId="36B1159B">
            <w:pPr>
              <w:spacing w:line="390" w:lineRule="exact"/>
              <w:jc w:val="center"/>
              <w:rPr>
                <w:color w:val="auto"/>
                <w:highlight w:val="none"/>
              </w:rPr>
            </w:pPr>
            <w:r>
              <w:rPr>
                <w:rFonts w:ascii="宋体" w:hAnsi="宋体" w:cs="宋体"/>
                <w:color w:val="auto"/>
                <w:highlight w:val="none"/>
              </w:rPr>
              <w:t>设计服务期限</w:t>
            </w:r>
          </w:p>
        </w:tc>
        <w:tc>
          <w:tcPr>
            <w:tcW w:w="1197" w:type="dxa"/>
            <w:vAlign w:val="center"/>
          </w:tcPr>
          <w:p w14:paraId="4F54F3EB">
            <w:pPr>
              <w:spacing w:line="360" w:lineRule="atLeast"/>
              <w:jc w:val="center"/>
              <w:rPr>
                <w:color w:val="auto"/>
                <w:highlight w:val="none"/>
              </w:rPr>
            </w:pPr>
          </w:p>
        </w:tc>
        <w:tc>
          <w:tcPr>
            <w:tcW w:w="1197" w:type="dxa"/>
            <w:vAlign w:val="center"/>
          </w:tcPr>
          <w:p w14:paraId="058A46B9">
            <w:pPr>
              <w:spacing w:line="360" w:lineRule="atLeast"/>
              <w:jc w:val="center"/>
              <w:rPr>
                <w:color w:val="auto"/>
                <w:highlight w:val="none"/>
              </w:rPr>
            </w:pPr>
          </w:p>
        </w:tc>
        <w:tc>
          <w:tcPr>
            <w:tcW w:w="1198" w:type="dxa"/>
            <w:vAlign w:val="center"/>
          </w:tcPr>
          <w:p w14:paraId="172C70FB">
            <w:pPr>
              <w:spacing w:line="360" w:lineRule="atLeast"/>
              <w:jc w:val="center"/>
              <w:rPr>
                <w:color w:val="auto"/>
                <w:highlight w:val="none"/>
              </w:rPr>
            </w:pPr>
          </w:p>
        </w:tc>
        <w:tc>
          <w:tcPr>
            <w:tcW w:w="1197" w:type="dxa"/>
            <w:vAlign w:val="center"/>
          </w:tcPr>
          <w:p w14:paraId="5E3EDB71">
            <w:pPr>
              <w:spacing w:line="360" w:lineRule="atLeast"/>
              <w:jc w:val="center"/>
              <w:rPr>
                <w:color w:val="auto"/>
                <w:highlight w:val="none"/>
              </w:rPr>
            </w:pPr>
          </w:p>
        </w:tc>
        <w:tc>
          <w:tcPr>
            <w:tcW w:w="1197" w:type="dxa"/>
            <w:vAlign w:val="center"/>
          </w:tcPr>
          <w:p w14:paraId="11173418">
            <w:pPr>
              <w:spacing w:line="360" w:lineRule="atLeast"/>
              <w:jc w:val="center"/>
              <w:rPr>
                <w:color w:val="auto"/>
                <w:highlight w:val="none"/>
              </w:rPr>
            </w:pPr>
          </w:p>
        </w:tc>
        <w:tc>
          <w:tcPr>
            <w:tcW w:w="1198" w:type="dxa"/>
            <w:vAlign w:val="center"/>
          </w:tcPr>
          <w:p w14:paraId="5981C80C">
            <w:pPr>
              <w:spacing w:line="360" w:lineRule="atLeast"/>
              <w:jc w:val="center"/>
              <w:rPr>
                <w:color w:val="auto"/>
                <w:highlight w:val="none"/>
              </w:rPr>
            </w:pPr>
          </w:p>
        </w:tc>
        <w:tc>
          <w:tcPr>
            <w:tcW w:w="1197" w:type="dxa"/>
            <w:vAlign w:val="center"/>
          </w:tcPr>
          <w:p w14:paraId="02C82F39">
            <w:pPr>
              <w:spacing w:line="360" w:lineRule="atLeast"/>
              <w:jc w:val="center"/>
              <w:rPr>
                <w:color w:val="auto"/>
                <w:highlight w:val="none"/>
              </w:rPr>
            </w:pPr>
          </w:p>
        </w:tc>
        <w:tc>
          <w:tcPr>
            <w:tcW w:w="1197" w:type="dxa"/>
            <w:vAlign w:val="center"/>
          </w:tcPr>
          <w:p w14:paraId="33FC10A6">
            <w:pPr>
              <w:spacing w:line="360" w:lineRule="atLeast"/>
              <w:jc w:val="center"/>
              <w:rPr>
                <w:color w:val="auto"/>
                <w:highlight w:val="none"/>
              </w:rPr>
            </w:pPr>
          </w:p>
        </w:tc>
        <w:tc>
          <w:tcPr>
            <w:tcW w:w="1198" w:type="dxa"/>
            <w:vAlign w:val="center"/>
          </w:tcPr>
          <w:p w14:paraId="65BEFB68">
            <w:pPr>
              <w:spacing w:line="360" w:lineRule="atLeast"/>
              <w:jc w:val="center"/>
              <w:rPr>
                <w:color w:val="auto"/>
                <w:highlight w:val="none"/>
              </w:rPr>
            </w:pPr>
          </w:p>
        </w:tc>
      </w:tr>
      <w:tr w14:paraId="5C92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0DDD2858">
            <w:pPr>
              <w:spacing w:line="360" w:lineRule="atLeast"/>
              <w:jc w:val="center"/>
              <w:rPr>
                <w:rFonts w:eastAsia="黑体"/>
                <w:color w:val="auto"/>
                <w:highlight w:val="none"/>
              </w:rPr>
            </w:pPr>
            <w:r>
              <w:rPr>
                <w:rFonts w:eastAsia="黑体"/>
                <w:color w:val="auto"/>
                <w:highlight w:val="none"/>
              </w:rPr>
              <w:t>4</w:t>
            </w:r>
          </w:p>
        </w:tc>
        <w:tc>
          <w:tcPr>
            <w:tcW w:w="2156" w:type="dxa"/>
          </w:tcPr>
          <w:p w14:paraId="7C85AF4B">
            <w:pPr>
              <w:spacing w:line="387" w:lineRule="exact"/>
              <w:jc w:val="center"/>
              <w:rPr>
                <w:color w:val="auto"/>
                <w:highlight w:val="none"/>
              </w:rPr>
            </w:pPr>
            <w:r>
              <w:rPr>
                <w:rFonts w:ascii="宋体" w:hAnsi="宋体" w:cs="宋体"/>
                <w:color w:val="auto"/>
                <w:highlight w:val="none"/>
              </w:rPr>
              <w:t>质量标准</w:t>
            </w:r>
          </w:p>
        </w:tc>
        <w:tc>
          <w:tcPr>
            <w:tcW w:w="1197" w:type="dxa"/>
            <w:vAlign w:val="center"/>
          </w:tcPr>
          <w:p w14:paraId="6C61D43C">
            <w:pPr>
              <w:spacing w:line="360" w:lineRule="atLeast"/>
              <w:jc w:val="center"/>
              <w:rPr>
                <w:color w:val="auto"/>
                <w:highlight w:val="none"/>
              </w:rPr>
            </w:pPr>
          </w:p>
        </w:tc>
        <w:tc>
          <w:tcPr>
            <w:tcW w:w="1197" w:type="dxa"/>
            <w:vAlign w:val="center"/>
          </w:tcPr>
          <w:p w14:paraId="7B21234C">
            <w:pPr>
              <w:spacing w:line="360" w:lineRule="atLeast"/>
              <w:jc w:val="center"/>
              <w:rPr>
                <w:color w:val="auto"/>
                <w:highlight w:val="none"/>
              </w:rPr>
            </w:pPr>
          </w:p>
        </w:tc>
        <w:tc>
          <w:tcPr>
            <w:tcW w:w="1198" w:type="dxa"/>
            <w:vAlign w:val="center"/>
          </w:tcPr>
          <w:p w14:paraId="16BF4A48">
            <w:pPr>
              <w:spacing w:line="360" w:lineRule="atLeast"/>
              <w:jc w:val="center"/>
              <w:rPr>
                <w:color w:val="auto"/>
                <w:highlight w:val="none"/>
              </w:rPr>
            </w:pPr>
          </w:p>
        </w:tc>
        <w:tc>
          <w:tcPr>
            <w:tcW w:w="1197" w:type="dxa"/>
            <w:vAlign w:val="center"/>
          </w:tcPr>
          <w:p w14:paraId="71700E33">
            <w:pPr>
              <w:spacing w:line="360" w:lineRule="atLeast"/>
              <w:jc w:val="center"/>
              <w:rPr>
                <w:color w:val="auto"/>
                <w:highlight w:val="none"/>
              </w:rPr>
            </w:pPr>
          </w:p>
        </w:tc>
        <w:tc>
          <w:tcPr>
            <w:tcW w:w="1197" w:type="dxa"/>
            <w:vAlign w:val="center"/>
          </w:tcPr>
          <w:p w14:paraId="4A4A63BB">
            <w:pPr>
              <w:spacing w:line="360" w:lineRule="atLeast"/>
              <w:jc w:val="center"/>
              <w:rPr>
                <w:color w:val="auto"/>
                <w:highlight w:val="none"/>
              </w:rPr>
            </w:pPr>
          </w:p>
        </w:tc>
        <w:tc>
          <w:tcPr>
            <w:tcW w:w="1198" w:type="dxa"/>
            <w:vAlign w:val="center"/>
          </w:tcPr>
          <w:p w14:paraId="4A020857">
            <w:pPr>
              <w:spacing w:line="360" w:lineRule="atLeast"/>
              <w:jc w:val="center"/>
              <w:rPr>
                <w:color w:val="auto"/>
                <w:highlight w:val="none"/>
              </w:rPr>
            </w:pPr>
          </w:p>
        </w:tc>
        <w:tc>
          <w:tcPr>
            <w:tcW w:w="1197" w:type="dxa"/>
            <w:vAlign w:val="center"/>
          </w:tcPr>
          <w:p w14:paraId="1926C542">
            <w:pPr>
              <w:spacing w:line="360" w:lineRule="atLeast"/>
              <w:jc w:val="center"/>
              <w:rPr>
                <w:color w:val="auto"/>
                <w:highlight w:val="none"/>
              </w:rPr>
            </w:pPr>
          </w:p>
        </w:tc>
        <w:tc>
          <w:tcPr>
            <w:tcW w:w="1197" w:type="dxa"/>
            <w:vAlign w:val="center"/>
          </w:tcPr>
          <w:p w14:paraId="03141C06">
            <w:pPr>
              <w:spacing w:line="360" w:lineRule="atLeast"/>
              <w:jc w:val="center"/>
              <w:rPr>
                <w:color w:val="auto"/>
                <w:highlight w:val="none"/>
              </w:rPr>
            </w:pPr>
          </w:p>
        </w:tc>
        <w:tc>
          <w:tcPr>
            <w:tcW w:w="1198" w:type="dxa"/>
            <w:vAlign w:val="center"/>
          </w:tcPr>
          <w:p w14:paraId="7ADA13B0">
            <w:pPr>
              <w:spacing w:line="360" w:lineRule="atLeast"/>
              <w:jc w:val="center"/>
              <w:rPr>
                <w:color w:val="auto"/>
                <w:highlight w:val="none"/>
              </w:rPr>
            </w:pPr>
          </w:p>
        </w:tc>
      </w:tr>
      <w:tr w14:paraId="1531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1FA18560">
            <w:pPr>
              <w:spacing w:line="360" w:lineRule="atLeast"/>
              <w:jc w:val="center"/>
              <w:rPr>
                <w:rFonts w:eastAsia="黑体"/>
                <w:color w:val="auto"/>
                <w:highlight w:val="none"/>
              </w:rPr>
            </w:pPr>
            <w:r>
              <w:rPr>
                <w:rFonts w:eastAsia="黑体"/>
                <w:color w:val="auto"/>
                <w:highlight w:val="none"/>
              </w:rPr>
              <w:t>5</w:t>
            </w:r>
          </w:p>
        </w:tc>
        <w:tc>
          <w:tcPr>
            <w:tcW w:w="2156" w:type="dxa"/>
          </w:tcPr>
          <w:p w14:paraId="770CFA6E">
            <w:pPr>
              <w:spacing w:line="390" w:lineRule="exact"/>
              <w:jc w:val="center"/>
              <w:rPr>
                <w:color w:val="auto"/>
                <w:highlight w:val="none"/>
              </w:rPr>
            </w:pPr>
            <w:r>
              <w:rPr>
                <w:rFonts w:ascii="宋体" w:hAnsi="宋体" w:cs="宋体"/>
                <w:color w:val="auto"/>
                <w:highlight w:val="none"/>
              </w:rPr>
              <w:t>投标有效期</w:t>
            </w:r>
          </w:p>
        </w:tc>
        <w:tc>
          <w:tcPr>
            <w:tcW w:w="1197" w:type="dxa"/>
            <w:vAlign w:val="center"/>
          </w:tcPr>
          <w:p w14:paraId="0A09F985">
            <w:pPr>
              <w:spacing w:line="360" w:lineRule="atLeast"/>
              <w:jc w:val="center"/>
              <w:rPr>
                <w:color w:val="auto"/>
                <w:highlight w:val="none"/>
              </w:rPr>
            </w:pPr>
          </w:p>
        </w:tc>
        <w:tc>
          <w:tcPr>
            <w:tcW w:w="1197" w:type="dxa"/>
            <w:vAlign w:val="center"/>
          </w:tcPr>
          <w:p w14:paraId="48A65DFD">
            <w:pPr>
              <w:spacing w:line="360" w:lineRule="atLeast"/>
              <w:jc w:val="center"/>
              <w:rPr>
                <w:color w:val="auto"/>
                <w:highlight w:val="none"/>
              </w:rPr>
            </w:pPr>
          </w:p>
        </w:tc>
        <w:tc>
          <w:tcPr>
            <w:tcW w:w="1198" w:type="dxa"/>
            <w:vAlign w:val="center"/>
          </w:tcPr>
          <w:p w14:paraId="4C35186B">
            <w:pPr>
              <w:spacing w:line="360" w:lineRule="atLeast"/>
              <w:jc w:val="center"/>
              <w:rPr>
                <w:color w:val="auto"/>
                <w:highlight w:val="none"/>
              </w:rPr>
            </w:pPr>
          </w:p>
        </w:tc>
        <w:tc>
          <w:tcPr>
            <w:tcW w:w="1197" w:type="dxa"/>
            <w:vAlign w:val="center"/>
          </w:tcPr>
          <w:p w14:paraId="7E459FFC">
            <w:pPr>
              <w:spacing w:line="360" w:lineRule="atLeast"/>
              <w:jc w:val="center"/>
              <w:rPr>
                <w:color w:val="auto"/>
                <w:highlight w:val="none"/>
              </w:rPr>
            </w:pPr>
          </w:p>
        </w:tc>
        <w:tc>
          <w:tcPr>
            <w:tcW w:w="1197" w:type="dxa"/>
            <w:vAlign w:val="center"/>
          </w:tcPr>
          <w:p w14:paraId="2643D4C7">
            <w:pPr>
              <w:spacing w:line="360" w:lineRule="atLeast"/>
              <w:jc w:val="center"/>
              <w:rPr>
                <w:color w:val="auto"/>
                <w:highlight w:val="none"/>
              </w:rPr>
            </w:pPr>
          </w:p>
        </w:tc>
        <w:tc>
          <w:tcPr>
            <w:tcW w:w="1198" w:type="dxa"/>
            <w:vAlign w:val="center"/>
          </w:tcPr>
          <w:p w14:paraId="7ABECC67">
            <w:pPr>
              <w:spacing w:line="360" w:lineRule="atLeast"/>
              <w:jc w:val="center"/>
              <w:rPr>
                <w:color w:val="auto"/>
                <w:highlight w:val="none"/>
              </w:rPr>
            </w:pPr>
          </w:p>
        </w:tc>
        <w:tc>
          <w:tcPr>
            <w:tcW w:w="1197" w:type="dxa"/>
            <w:vAlign w:val="center"/>
          </w:tcPr>
          <w:p w14:paraId="6B9D8CBE">
            <w:pPr>
              <w:spacing w:line="360" w:lineRule="atLeast"/>
              <w:jc w:val="center"/>
              <w:rPr>
                <w:color w:val="auto"/>
                <w:highlight w:val="none"/>
              </w:rPr>
            </w:pPr>
          </w:p>
        </w:tc>
        <w:tc>
          <w:tcPr>
            <w:tcW w:w="1197" w:type="dxa"/>
            <w:vAlign w:val="center"/>
          </w:tcPr>
          <w:p w14:paraId="09D750CF">
            <w:pPr>
              <w:spacing w:line="360" w:lineRule="atLeast"/>
              <w:jc w:val="center"/>
              <w:rPr>
                <w:color w:val="auto"/>
                <w:highlight w:val="none"/>
              </w:rPr>
            </w:pPr>
          </w:p>
        </w:tc>
        <w:tc>
          <w:tcPr>
            <w:tcW w:w="1198" w:type="dxa"/>
            <w:vAlign w:val="center"/>
          </w:tcPr>
          <w:p w14:paraId="25C737EE">
            <w:pPr>
              <w:spacing w:line="360" w:lineRule="atLeast"/>
              <w:jc w:val="center"/>
              <w:rPr>
                <w:color w:val="auto"/>
                <w:highlight w:val="none"/>
              </w:rPr>
            </w:pPr>
          </w:p>
        </w:tc>
      </w:tr>
      <w:tr w14:paraId="000F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B2544C5">
            <w:pPr>
              <w:spacing w:line="360" w:lineRule="atLeast"/>
              <w:jc w:val="center"/>
              <w:rPr>
                <w:rFonts w:eastAsia="黑体"/>
                <w:color w:val="auto"/>
                <w:highlight w:val="none"/>
              </w:rPr>
            </w:pPr>
            <w:r>
              <w:rPr>
                <w:rFonts w:eastAsia="黑体"/>
                <w:color w:val="auto"/>
                <w:highlight w:val="none"/>
              </w:rPr>
              <w:t>6</w:t>
            </w:r>
          </w:p>
        </w:tc>
        <w:tc>
          <w:tcPr>
            <w:tcW w:w="2156" w:type="dxa"/>
          </w:tcPr>
          <w:p w14:paraId="44A8A38C">
            <w:pPr>
              <w:spacing w:line="387" w:lineRule="exact"/>
              <w:jc w:val="center"/>
              <w:rPr>
                <w:color w:val="auto"/>
                <w:highlight w:val="none"/>
              </w:rPr>
            </w:pPr>
            <w:r>
              <w:rPr>
                <w:rFonts w:hint="eastAsia" w:ascii="宋体" w:hAnsi="宋体" w:cs="宋体"/>
                <w:color w:val="auto"/>
                <w:highlight w:val="none"/>
              </w:rPr>
              <w:t>权利和义务务</w:t>
            </w:r>
          </w:p>
        </w:tc>
        <w:tc>
          <w:tcPr>
            <w:tcW w:w="1197" w:type="dxa"/>
            <w:vAlign w:val="center"/>
          </w:tcPr>
          <w:p w14:paraId="0469A24B">
            <w:pPr>
              <w:spacing w:line="360" w:lineRule="atLeast"/>
              <w:jc w:val="center"/>
              <w:rPr>
                <w:color w:val="auto"/>
                <w:highlight w:val="none"/>
              </w:rPr>
            </w:pPr>
          </w:p>
        </w:tc>
        <w:tc>
          <w:tcPr>
            <w:tcW w:w="1197" w:type="dxa"/>
            <w:vAlign w:val="center"/>
          </w:tcPr>
          <w:p w14:paraId="4B2A93AF">
            <w:pPr>
              <w:spacing w:line="360" w:lineRule="atLeast"/>
              <w:jc w:val="center"/>
              <w:rPr>
                <w:color w:val="auto"/>
                <w:highlight w:val="none"/>
              </w:rPr>
            </w:pPr>
          </w:p>
        </w:tc>
        <w:tc>
          <w:tcPr>
            <w:tcW w:w="1198" w:type="dxa"/>
            <w:vAlign w:val="center"/>
          </w:tcPr>
          <w:p w14:paraId="019A909B">
            <w:pPr>
              <w:spacing w:line="360" w:lineRule="atLeast"/>
              <w:jc w:val="center"/>
              <w:rPr>
                <w:color w:val="auto"/>
                <w:highlight w:val="none"/>
              </w:rPr>
            </w:pPr>
          </w:p>
        </w:tc>
        <w:tc>
          <w:tcPr>
            <w:tcW w:w="1197" w:type="dxa"/>
            <w:vAlign w:val="center"/>
          </w:tcPr>
          <w:p w14:paraId="1BC82D7B">
            <w:pPr>
              <w:spacing w:line="360" w:lineRule="atLeast"/>
              <w:jc w:val="center"/>
              <w:rPr>
                <w:color w:val="auto"/>
                <w:highlight w:val="none"/>
              </w:rPr>
            </w:pPr>
          </w:p>
        </w:tc>
        <w:tc>
          <w:tcPr>
            <w:tcW w:w="1197" w:type="dxa"/>
            <w:vAlign w:val="center"/>
          </w:tcPr>
          <w:p w14:paraId="694911A3">
            <w:pPr>
              <w:spacing w:line="360" w:lineRule="atLeast"/>
              <w:jc w:val="center"/>
              <w:rPr>
                <w:color w:val="auto"/>
                <w:highlight w:val="none"/>
              </w:rPr>
            </w:pPr>
          </w:p>
        </w:tc>
        <w:tc>
          <w:tcPr>
            <w:tcW w:w="1198" w:type="dxa"/>
            <w:vAlign w:val="center"/>
          </w:tcPr>
          <w:p w14:paraId="3E2FD334">
            <w:pPr>
              <w:spacing w:line="360" w:lineRule="atLeast"/>
              <w:jc w:val="center"/>
              <w:rPr>
                <w:color w:val="auto"/>
                <w:highlight w:val="none"/>
              </w:rPr>
            </w:pPr>
          </w:p>
        </w:tc>
        <w:tc>
          <w:tcPr>
            <w:tcW w:w="1197" w:type="dxa"/>
            <w:vAlign w:val="center"/>
          </w:tcPr>
          <w:p w14:paraId="49556665">
            <w:pPr>
              <w:spacing w:line="360" w:lineRule="atLeast"/>
              <w:jc w:val="center"/>
              <w:rPr>
                <w:color w:val="auto"/>
                <w:highlight w:val="none"/>
              </w:rPr>
            </w:pPr>
          </w:p>
        </w:tc>
        <w:tc>
          <w:tcPr>
            <w:tcW w:w="1197" w:type="dxa"/>
            <w:vAlign w:val="center"/>
          </w:tcPr>
          <w:p w14:paraId="72AB2A8E">
            <w:pPr>
              <w:spacing w:line="360" w:lineRule="atLeast"/>
              <w:jc w:val="center"/>
              <w:rPr>
                <w:color w:val="auto"/>
                <w:highlight w:val="none"/>
              </w:rPr>
            </w:pPr>
          </w:p>
        </w:tc>
        <w:tc>
          <w:tcPr>
            <w:tcW w:w="1198" w:type="dxa"/>
            <w:vAlign w:val="center"/>
          </w:tcPr>
          <w:p w14:paraId="60F7F249">
            <w:pPr>
              <w:spacing w:line="360" w:lineRule="atLeast"/>
              <w:jc w:val="center"/>
              <w:rPr>
                <w:color w:val="auto"/>
                <w:highlight w:val="none"/>
              </w:rPr>
            </w:pPr>
          </w:p>
        </w:tc>
      </w:tr>
      <w:tr w14:paraId="17EC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4D8511F3">
            <w:pPr>
              <w:spacing w:line="360" w:lineRule="atLeast"/>
              <w:jc w:val="center"/>
              <w:rPr>
                <w:rFonts w:eastAsia="黑体"/>
                <w:color w:val="auto"/>
                <w:highlight w:val="none"/>
              </w:rPr>
            </w:pPr>
            <w:r>
              <w:rPr>
                <w:rFonts w:hint="eastAsia" w:eastAsia="黑体"/>
                <w:color w:val="auto"/>
                <w:highlight w:val="none"/>
              </w:rPr>
              <w:t>7</w:t>
            </w:r>
          </w:p>
        </w:tc>
        <w:tc>
          <w:tcPr>
            <w:tcW w:w="2156" w:type="dxa"/>
          </w:tcPr>
          <w:p w14:paraId="3D19EB20">
            <w:pPr>
              <w:spacing w:line="387" w:lineRule="exact"/>
              <w:jc w:val="center"/>
              <w:rPr>
                <w:rFonts w:ascii="宋体" w:hAnsi="宋体" w:cs="宋体"/>
                <w:color w:val="auto"/>
                <w:highlight w:val="none"/>
              </w:rPr>
            </w:pPr>
            <w:r>
              <w:rPr>
                <w:rFonts w:hint="eastAsia" w:ascii="宋体" w:hAnsi="宋体" w:cs="宋体"/>
                <w:color w:val="auto"/>
                <w:highlight w:val="none"/>
              </w:rPr>
              <w:t>分包计划（如有）</w:t>
            </w:r>
          </w:p>
        </w:tc>
        <w:tc>
          <w:tcPr>
            <w:tcW w:w="1197" w:type="dxa"/>
            <w:vAlign w:val="center"/>
          </w:tcPr>
          <w:p w14:paraId="0DFDA0E6">
            <w:pPr>
              <w:spacing w:line="360" w:lineRule="atLeast"/>
              <w:jc w:val="center"/>
              <w:rPr>
                <w:color w:val="auto"/>
                <w:highlight w:val="none"/>
              </w:rPr>
            </w:pPr>
          </w:p>
        </w:tc>
        <w:tc>
          <w:tcPr>
            <w:tcW w:w="1197" w:type="dxa"/>
            <w:vAlign w:val="center"/>
          </w:tcPr>
          <w:p w14:paraId="77D9706E">
            <w:pPr>
              <w:spacing w:line="360" w:lineRule="atLeast"/>
              <w:jc w:val="center"/>
              <w:rPr>
                <w:color w:val="auto"/>
                <w:highlight w:val="none"/>
              </w:rPr>
            </w:pPr>
          </w:p>
        </w:tc>
        <w:tc>
          <w:tcPr>
            <w:tcW w:w="1198" w:type="dxa"/>
            <w:vAlign w:val="center"/>
          </w:tcPr>
          <w:p w14:paraId="1AE04D90">
            <w:pPr>
              <w:spacing w:line="360" w:lineRule="atLeast"/>
              <w:jc w:val="center"/>
              <w:rPr>
                <w:color w:val="auto"/>
                <w:highlight w:val="none"/>
              </w:rPr>
            </w:pPr>
          </w:p>
        </w:tc>
        <w:tc>
          <w:tcPr>
            <w:tcW w:w="1197" w:type="dxa"/>
            <w:vAlign w:val="center"/>
          </w:tcPr>
          <w:p w14:paraId="61967474">
            <w:pPr>
              <w:spacing w:line="360" w:lineRule="atLeast"/>
              <w:jc w:val="center"/>
              <w:rPr>
                <w:color w:val="auto"/>
                <w:highlight w:val="none"/>
              </w:rPr>
            </w:pPr>
          </w:p>
        </w:tc>
        <w:tc>
          <w:tcPr>
            <w:tcW w:w="1197" w:type="dxa"/>
            <w:vAlign w:val="center"/>
          </w:tcPr>
          <w:p w14:paraId="4A381F4F">
            <w:pPr>
              <w:spacing w:line="360" w:lineRule="atLeast"/>
              <w:jc w:val="center"/>
              <w:rPr>
                <w:color w:val="auto"/>
                <w:highlight w:val="none"/>
              </w:rPr>
            </w:pPr>
          </w:p>
        </w:tc>
        <w:tc>
          <w:tcPr>
            <w:tcW w:w="1198" w:type="dxa"/>
            <w:vAlign w:val="center"/>
          </w:tcPr>
          <w:p w14:paraId="24093C9D">
            <w:pPr>
              <w:spacing w:line="360" w:lineRule="atLeast"/>
              <w:jc w:val="center"/>
              <w:rPr>
                <w:color w:val="auto"/>
                <w:highlight w:val="none"/>
              </w:rPr>
            </w:pPr>
          </w:p>
        </w:tc>
        <w:tc>
          <w:tcPr>
            <w:tcW w:w="1197" w:type="dxa"/>
            <w:vAlign w:val="center"/>
          </w:tcPr>
          <w:p w14:paraId="29BCC6A8">
            <w:pPr>
              <w:spacing w:line="360" w:lineRule="atLeast"/>
              <w:jc w:val="center"/>
              <w:rPr>
                <w:color w:val="auto"/>
                <w:highlight w:val="none"/>
              </w:rPr>
            </w:pPr>
          </w:p>
        </w:tc>
        <w:tc>
          <w:tcPr>
            <w:tcW w:w="1197" w:type="dxa"/>
            <w:vAlign w:val="center"/>
          </w:tcPr>
          <w:p w14:paraId="1C3F7EE7">
            <w:pPr>
              <w:spacing w:line="360" w:lineRule="atLeast"/>
              <w:jc w:val="center"/>
              <w:rPr>
                <w:color w:val="auto"/>
                <w:highlight w:val="none"/>
              </w:rPr>
            </w:pPr>
          </w:p>
        </w:tc>
        <w:tc>
          <w:tcPr>
            <w:tcW w:w="1198" w:type="dxa"/>
            <w:vAlign w:val="center"/>
          </w:tcPr>
          <w:p w14:paraId="5AC73E38">
            <w:pPr>
              <w:spacing w:line="360" w:lineRule="atLeast"/>
              <w:jc w:val="center"/>
              <w:rPr>
                <w:color w:val="auto"/>
                <w:highlight w:val="none"/>
              </w:rPr>
            </w:pPr>
          </w:p>
        </w:tc>
      </w:tr>
      <w:tr w14:paraId="65BF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6A84B0D0">
            <w:pPr>
              <w:spacing w:line="360" w:lineRule="atLeast"/>
              <w:jc w:val="center"/>
              <w:rPr>
                <w:rFonts w:eastAsia="黑体"/>
                <w:color w:val="auto"/>
                <w:highlight w:val="none"/>
              </w:rPr>
            </w:pPr>
            <w:r>
              <w:rPr>
                <w:rFonts w:hint="eastAsia" w:eastAsia="黑体"/>
                <w:color w:val="auto"/>
                <w:highlight w:val="none"/>
              </w:rPr>
              <w:t>8</w:t>
            </w:r>
          </w:p>
        </w:tc>
        <w:tc>
          <w:tcPr>
            <w:tcW w:w="2156" w:type="dxa"/>
          </w:tcPr>
          <w:p w14:paraId="255CD56D">
            <w:pPr>
              <w:spacing w:line="390" w:lineRule="exact"/>
              <w:jc w:val="center"/>
              <w:rPr>
                <w:color w:val="auto"/>
                <w:highlight w:val="none"/>
              </w:rPr>
            </w:pPr>
            <w:r>
              <w:rPr>
                <w:rFonts w:hint="eastAsia" w:ascii="宋体" w:hAnsi="宋体" w:cs="宋体"/>
                <w:color w:val="auto"/>
                <w:highlight w:val="none"/>
              </w:rPr>
              <w:t>澄清、说明、修正</w:t>
            </w:r>
          </w:p>
        </w:tc>
        <w:tc>
          <w:tcPr>
            <w:tcW w:w="1197" w:type="dxa"/>
            <w:vAlign w:val="center"/>
          </w:tcPr>
          <w:p w14:paraId="44AB7ED0">
            <w:pPr>
              <w:spacing w:line="360" w:lineRule="atLeast"/>
              <w:jc w:val="center"/>
              <w:rPr>
                <w:color w:val="auto"/>
                <w:highlight w:val="none"/>
              </w:rPr>
            </w:pPr>
          </w:p>
        </w:tc>
        <w:tc>
          <w:tcPr>
            <w:tcW w:w="1197" w:type="dxa"/>
            <w:vAlign w:val="center"/>
          </w:tcPr>
          <w:p w14:paraId="4F032C35">
            <w:pPr>
              <w:spacing w:line="360" w:lineRule="atLeast"/>
              <w:jc w:val="center"/>
              <w:rPr>
                <w:color w:val="auto"/>
                <w:highlight w:val="none"/>
              </w:rPr>
            </w:pPr>
          </w:p>
        </w:tc>
        <w:tc>
          <w:tcPr>
            <w:tcW w:w="1198" w:type="dxa"/>
            <w:vAlign w:val="center"/>
          </w:tcPr>
          <w:p w14:paraId="3161E88E">
            <w:pPr>
              <w:spacing w:line="360" w:lineRule="atLeast"/>
              <w:jc w:val="center"/>
              <w:rPr>
                <w:color w:val="auto"/>
                <w:highlight w:val="none"/>
              </w:rPr>
            </w:pPr>
          </w:p>
        </w:tc>
        <w:tc>
          <w:tcPr>
            <w:tcW w:w="1197" w:type="dxa"/>
            <w:vAlign w:val="center"/>
          </w:tcPr>
          <w:p w14:paraId="3A414D93">
            <w:pPr>
              <w:spacing w:line="360" w:lineRule="atLeast"/>
              <w:jc w:val="center"/>
              <w:rPr>
                <w:color w:val="auto"/>
                <w:highlight w:val="none"/>
              </w:rPr>
            </w:pPr>
          </w:p>
        </w:tc>
        <w:tc>
          <w:tcPr>
            <w:tcW w:w="1197" w:type="dxa"/>
            <w:vAlign w:val="center"/>
          </w:tcPr>
          <w:p w14:paraId="308593E8">
            <w:pPr>
              <w:spacing w:line="360" w:lineRule="atLeast"/>
              <w:jc w:val="center"/>
              <w:rPr>
                <w:color w:val="auto"/>
                <w:highlight w:val="none"/>
              </w:rPr>
            </w:pPr>
          </w:p>
        </w:tc>
        <w:tc>
          <w:tcPr>
            <w:tcW w:w="1198" w:type="dxa"/>
            <w:vAlign w:val="center"/>
          </w:tcPr>
          <w:p w14:paraId="5AC72C57">
            <w:pPr>
              <w:spacing w:line="360" w:lineRule="atLeast"/>
              <w:jc w:val="center"/>
              <w:rPr>
                <w:color w:val="auto"/>
                <w:highlight w:val="none"/>
              </w:rPr>
            </w:pPr>
          </w:p>
        </w:tc>
        <w:tc>
          <w:tcPr>
            <w:tcW w:w="1197" w:type="dxa"/>
            <w:vAlign w:val="center"/>
          </w:tcPr>
          <w:p w14:paraId="7C978564">
            <w:pPr>
              <w:spacing w:line="360" w:lineRule="atLeast"/>
              <w:jc w:val="center"/>
              <w:rPr>
                <w:color w:val="auto"/>
                <w:highlight w:val="none"/>
              </w:rPr>
            </w:pPr>
          </w:p>
        </w:tc>
        <w:tc>
          <w:tcPr>
            <w:tcW w:w="1197" w:type="dxa"/>
            <w:vAlign w:val="center"/>
          </w:tcPr>
          <w:p w14:paraId="295B5656">
            <w:pPr>
              <w:spacing w:line="360" w:lineRule="atLeast"/>
              <w:jc w:val="center"/>
              <w:rPr>
                <w:color w:val="auto"/>
                <w:highlight w:val="none"/>
              </w:rPr>
            </w:pPr>
          </w:p>
        </w:tc>
        <w:tc>
          <w:tcPr>
            <w:tcW w:w="1198" w:type="dxa"/>
            <w:vAlign w:val="center"/>
          </w:tcPr>
          <w:p w14:paraId="23AFB0D2">
            <w:pPr>
              <w:spacing w:line="360" w:lineRule="atLeast"/>
              <w:jc w:val="center"/>
              <w:rPr>
                <w:color w:val="auto"/>
                <w:highlight w:val="none"/>
              </w:rPr>
            </w:pPr>
          </w:p>
        </w:tc>
      </w:tr>
      <w:tr w14:paraId="59FF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05772E4C">
            <w:pPr>
              <w:spacing w:line="360" w:lineRule="atLeast"/>
              <w:jc w:val="center"/>
              <w:rPr>
                <w:rFonts w:eastAsia="黑体"/>
                <w:color w:val="auto"/>
                <w:highlight w:val="none"/>
              </w:rPr>
            </w:pPr>
            <w:r>
              <w:rPr>
                <w:rFonts w:hint="eastAsia" w:eastAsia="黑体"/>
                <w:color w:val="auto"/>
                <w:highlight w:val="none"/>
              </w:rPr>
              <w:t>9</w:t>
            </w:r>
          </w:p>
        </w:tc>
        <w:tc>
          <w:tcPr>
            <w:tcW w:w="2156" w:type="dxa"/>
          </w:tcPr>
          <w:p w14:paraId="07372D9F">
            <w:pPr>
              <w:spacing w:line="403" w:lineRule="exact"/>
              <w:jc w:val="center"/>
              <w:rPr>
                <w:color w:val="auto"/>
                <w:highlight w:val="none"/>
              </w:rPr>
            </w:pPr>
            <w:r>
              <w:rPr>
                <w:color w:val="auto"/>
                <w:spacing w:val="-1"/>
                <w:highlight w:val="none"/>
              </w:rPr>
              <w:t>……</w:t>
            </w:r>
          </w:p>
        </w:tc>
        <w:tc>
          <w:tcPr>
            <w:tcW w:w="1197" w:type="dxa"/>
            <w:vAlign w:val="center"/>
          </w:tcPr>
          <w:p w14:paraId="4E1FBEA6">
            <w:pPr>
              <w:spacing w:line="360" w:lineRule="atLeast"/>
              <w:jc w:val="center"/>
              <w:rPr>
                <w:color w:val="auto"/>
                <w:highlight w:val="none"/>
              </w:rPr>
            </w:pPr>
          </w:p>
        </w:tc>
        <w:tc>
          <w:tcPr>
            <w:tcW w:w="1197" w:type="dxa"/>
            <w:vAlign w:val="center"/>
          </w:tcPr>
          <w:p w14:paraId="17AA007A">
            <w:pPr>
              <w:spacing w:line="360" w:lineRule="atLeast"/>
              <w:jc w:val="center"/>
              <w:rPr>
                <w:color w:val="auto"/>
                <w:highlight w:val="none"/>
              </w:rPr>
            </w:pPr>
          </w:p>
        </w:tc>
        <w:tc>
          <w:tcPr>
            <w:tcW w:w="1198" w:type="dxa"/>
            <w:vAlign w:val="center"/>
          </w:tcPr>
          <w:p w14:paraId="37DFBCC4">
            <w:pPr>
              <w:spacing w:line="360" w:lineRule="atLeast"/>
              <w:jc w:val="center"/>
              <w:rPr>
                <w:color w:val="auto"/>
                <w:highlight w:val="none"/>
              </w:rPr>
            </w:pPr>
          </w:p>
        </w:tc>
        <w:tc>
          <w:tcPr>
            <w:tcW w:w="1197" w:type="dxa"/>
            <w:vAlign w:val="center"/>
          </w:tcPr>
          <w:p w14:paraId="55E7F6DC">
            <w:pPr>
              <w:spacing w:line="360" w:lineRule="atLeast"/>
              <w:jc w:val="center"/>
              <w:rPr>
                <w:color w:val="auto"/>
                <w:highlight w:val="none"/>
              </w:rPr>
            </w:pPr>
          </w:p>
        </w:tc>
        <w:tc>
          <w:tcPr>
            <w:tcW w:w="1197" w:type="dxa"/>
            <w:vAlign w:val="center"/>
          </w:tcPr>
          <w:p w14:paraId="7A2BDF1F">
            <w:pPr>
              <w:spacing w:line="360" w:lineRule="atLeast"/>
              <w:jc w:val="center"/>
              <w:rPr>
                <w:color w:val="auto"/>
                <w:highlight w:val="none"/>
              </w:rPr>
            </w:pPr>
          </w:p>
        </w:tc>
        <w:tc>
          <w:tcPr>
            <w:tcW w:w="1198" w:type="dxa"/>
            <w:vAlign w:val="center"/>
          </w:tcPr>
          <w:p w14:paraId="374912FE">
            <w:pPr>
              <w:spacing w:line="360" w:lineRule="atLeast"/>
              <w:jc w:val="center"/>
              <w:rPr>
                <w:color w:val="auto"/>
                <w:highlight w:val="none"/>
              </w:rPr>
            </w:pPr>
          </w:p>
        </w:tc>
        <w:tc>
          <w:tcPr>
            <w:tcW w:w="1197" w:type="dxa"/>
            <w:vAlign w:val="center"/>
          </w:tcPr>
          <w:p w14:paraId="6CF6071A">
            <w:pPr>
              <w:spacing w:line="360" w:lineRule="atLeast"/>
              <w:jc w:val="center"/>
              <w:rPr>
                <w:color w:val="auto"/>
                <w:highlight w:val="none"/>
              </w:rPr>
            </w:pPr>
          </w:p>
        </w:tc>
        <w:tc>
          <w:tcPr>
            <w:tcW w:w="1197" w:type="dxa"/>
            <w:vAlign w:val="center"/>
          </w:tcPr>
          <w:p w14:paraId="69EC860C">
            <w:pPr>
              <w:spacing w:line="360" w:lineRule="atLeast"/>
              <w:jc w:val="center"/>
              <w:rPr>
                <w:color w:val="auto"/>
                <w:highlight w:val="none"/>
              </w:rPr>
            </w:pPr>
          </w:p>
        </w:tc>
        <w:tc>
          <w:tcPr>
            <w:tcW w:w="1198" w:type="dxa"/>
            <w:vAlign w:val="center"/>
          </w:tcPr>
          <w:p w14:paraId="4DC87D11">
            <w:pPr>
              <w:spacing w:line="360" w:lineRule="atLeast"/>
              <w:jc w:val="center"/>
              <w:rPr>
                <w:color w:val="auto"/>
                <w:highlight w:val="none"/>
              </w:rPr>
            </w:pPr>
          </w:p>
        </w:tc>
      </w:tr>
      <w:tr w14:paraId="753C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vAlign w:val="center"/>
          </w:tcPr>
          <w:p w14:paraId="15EDD934">
            <w:pPr>
              <w:spacing w:line="360" w:lineRule="atLeast"/>
              <w:jc w:val="center"/>
              <w:rPr>
                <w:color w:val="auto"/>
                <w:highlight w:val="none"/>
              </w:rPr>
            </w:pPr>
            <w:r>
              <w:rPr>
                <w:color w:val="auto"/>
                <w:highlight w:val="none"/>
              </w:rPr>
              <w:t>是否通过评审</w:t>
            </w:r>
          </w:p>
        </w:tc>
        <w:tc>
          <w:tcPr>
            <w:tcW w:w="1197" w:type="dxa"/>
            <w:vAlign w:val="center"/>
          </w:tcPr>
          <w:p w14:paraId="21DDF02B">
            <w:pPr>
              <w:spacing w:line="360" w:lineRule="atLeast"/>
              <w:jc w:val="center"/>
              <w:rPr>
                <w:color w:val="auto"/>
                <w:highlight w:val="none"/>
              </w:rPr>
            </w:pPr>
          </w:p>
        </w:tc>
        <w:tc>
          <w:tcPr>
            <w:tcW w:w="1197" w:type="dxa"/>
            <w:vAlign w:val="center"/>
          </w:tcPr>
          <w:p w14:paraId="02D7DE32">
            <w:pPr>
              <w:spacing w:line="360" w:lineRule="atLeast"/>
              <w:jc w:val="center"/>
              <w:rPr>
                <w:color w:val="auto"/>
                <w:highlight w:val="none"/>
              </w:rPr>
            </w:pPr>
          </w:p>
        </w:tc>
        <w:tc>
          <w:tcPr>
            <w:tcW w:w="1198" w:type="dxa"/>
            <w:vAlign w:val="center"/>
          </w:tcPr>
          <w:p w14:paraId="0AE8776D">
            <w:pPr>
              <w:spacing w:line="360" w:lineRule="atLeast"/>
              <w:jc w:val="center"/>
              <w:rPr>
                <w:color w:val="auto"/>
                <w:highlight w:val="none"/>
              </w:rPr>
            </w:pPr>
          </w:p>
        </w:tc>
        <w:tc>
          <w:tcPr>
            <w:tcW w:w="1197" w:type="dxa"/>
            <w:vAlign w:val="center"/>
          </w:tcPr>
          <w:p w14:paraId="369308FE">
            <w:pPr>
              <w:spacing w:line="360" w:lineRule="atLeast"/>
              <w:jc w:val="center"/>
              <w:rPr>
                <w:color w:val="auto"/>
                <w:highlight w:val="none"/>
              </w:rPr>
            </w:pPr>
          </w:p>
        </w:tc>
        <w:tc>
          <w:tcPr>
            <w:tcW w:w="1197" w:type="dxa"/>
            <w:vAlign w:val="center"/>
          </w:tcPr>
          <w:p w14:paraId="5066212E">
            <w:pPr>
              <w:spacing w:line="360" w:lineRule="atLeast"/>
              <w:jc w:val="center"/>
              <w:rPr>
                <w:color w:val="auto"/>
                <w:highlight w:val="none"/>
              </w:rPr>
            </w:pPr>
          </w:p>
        </w:tc>
        <w:tc>
          <w:tcPr>
            <w:tcW w:w="1198" w:type="dxa"/>
            <w:vAlign w:val="center"/>
          </w:tcPr>
          <w:p w14:paraId="71718D0A">
            <w:pPr>
              <w:spacing w:line="360" w:lineRule="atLeast"/>
              <w:jc w:val="center"/>
              <w:rPr>
                <w:color w:val="auto"/>
                <w:highlight w:val="none"/>
              </w:rPr>
            </w:pPr>
          </w:p>
        </w:tc>
        <w:tc>
          <w:tcPr>
            <w:tcW w:w="1197" w:type="dxa"/>
            <w:vAlign w:val="center"/>
          </w:tcPr>
          <w:p w14:paraId="786F7050">
            <w:pPr>
              <w:spacing w:line="360" w:lineRule="atLeast"/>
              <w:jc w:val="center"/>
              <w:rPr>
                <w:color w:val="auto"/>
                <w:highlight w:val="none"/>
              </w:rPr>
            </w:pPr>
          </w:p>
        </w:tc>
        <w:tc>
          <w:tcPr>
            <w:tcW w:w="1197" w:type="dxa"/>
            <w:vAlign w:val="center"/>
          </w:tcPr>
          <w:p w14:paraId="672203E7">
            <w:pPr>
              <w:spacing w:line="360" w:lineRule="atLeast"/>
              <w:jc w:val="center"/>
              <w:rPr>
                <w:color w:val="auto"/>
                <w:highlight w:val="none"/>
              </w:rPr>
            </w:pPr>
          </w:p>
        </w:tc>
        <w:tc>
          <w:tcPr>
            <w:tcW w:w="1198" w:type="dxa"/>
            <w:vAlign w:val="center"/>
          </w:tcPr>
          <w:p w14:paraId="65943C02">
            <w:pPr>
              <w:spacing w:line="360" w:lineRule="atLeast"/>
              <w:jc w:val="center"/>
              <w:rPr>
                <w:color w:val="auto"/>
                <w:highlight w:val="none"/>
              </w:rPr>
            </w:pPr>
          </w:p>
        </w:tc>
      </w:tr>
    </w:tbl>
    <w:p w14:paraId="62BB9F3D">
      <w:pPr>
        <w:spacing w:line="360" w:lineRule="exact"/>
        <w:rPr>
          <w:rFonts w:eastAsia="楷体_GB2312"/>
          <w:b/>
          <w:bCs/>
          <w:color w:val="auto"/>
          <w:szCs w:val="44"/>
          <w:highlight w:val="none"/>
        </w:rPr>
      </w:pPr>
      <w:r>
        <w:rPr>
          <w:rFonts w:eastAsia="楷体_GB2312"/>
          <w:b/>
          <w:bCs/>
          <w:color w:val="auto"/>
          <w:szCs w:val="44"/>
          <w:highlight w:val="none"/>
        </w:rPr>
        <w:t>备注：根据评分办法的</w:t>
      </w:r>
      <w:r>
        <w:rPr>
          <w:rFonts w:hint="eastAsia" w:eastAsia="楷体_GB2312"/>
          <w:b/>
          <w:bCs/>
          <w:color w:val="auto"/>
          <w:szCs w:val="44"/>
          <w:highlight w:val="none"/>
        </w:rPr>
        <w:t>响应性评审</w:t>
      </w:r>
      <w:r>
        <w:rPr>
          <w:rFonts w:eastAsia="楷体_GB2312"/>
          <w:b/>
          <w:bCs/>
          <w:color w:val="auto"/>
          <w:szCs w:val="44"/>
          <w:highlight w:val="none"/>
        </w:rPr>
        <w:t>标准调整本表</w:t>
      </w:r>
      <w:r>
        <w:rPr>
          <w:rFonts w:hint="eastAsia" w:eastAsia="楷体_GB2312"/>
          <w:b/>
          <w:bCs/>
          <w:color w:val="auto"/>
          <w:szCs w:val="44"/>
          <w:highlight w:val="none"/>
        </w:rPr>
        <w:t>。</w:t>
      </w:r>
    </w:p>
    <w:p w14:paraId="69C9F266">
      <w:pPr>
        <w:spacing w:line="360" w:lineRule="exact"/>
        <w:rPr>
          <w:color w:val="auto"/>
          <w:highlight w:val="none"/>
        </w:rPr>
      </w:pPr>
    </w:p>
    <w:p w14:paraId="6B500AC9">
      <w:pPr>
        <w:spacing w:line="360" w:lineRule="exact"/>
        <w:rPr>
          <w:color w:val="auto"/>
          <w:highlight w:val="none"/>
        </w:rPr>
      </w:pPr>
      <w:r>
        <w:rPr>
          <w:color w:val="auto"/>
          <w:highlight w:val="none"/>
        </w:rPr>
        <w:t>评标委员会全体成员签名：                                                                        日期：        年     月     日</w:t>
      </w:r>
    </w:p>
    <w:p w14:paraId="5546CC21">
      <w:pPr>
        <w:spacing w:line="360" w:lineRule="exact"/>
        <w:rPr>
          <w:color w:val="auto"/>
          <w:highlight w:val="none"/>
        </w:rPr>
      </w:pPr>
    </w:p>
    <w:p w14:paraId="2DD5887F">
      <w:pPr>
        <w:spacing w:line="360" w:lineRule="exact"/>
        <w:rPr>
          <w:color w:val="auto"/>
          <w:highlight w:val="none"/>
        </w:rPr>
      </w:pPr>
    </w:p>
    <w:p w14:paraId="0A502EA6">
      <w:pPr>
        <w:spacing w:line="360" w:lineRule="exact"/>
        <w:rPr>
          <w:color w:val="auto"/>
          <w:highlight w:val="none"/>
        </w:rPr>
      </w:pPr>
    </w:p>
    <w:p w14:paraId="0C0D2E73">
      <w:pPr>
        <w:spacing w:line="360" w:lineRule="exact"/>
        <w:rPr>
          <w:color w:val="auto"/>
          <w:highlight w:val="none"/>
        </w:rPr>
      </w:pPr>
    </w:p>
    <w:p w14:paraId="123E0B9D">
      <w:pPr>
        <w:spacing w:line="440" w:lineRule="exact"/>
        <w:jc w:val="left"/>
        <w:rPr>
          <w:rFonts w:eastAsia="黑体"/>
          <w:color w:val="auto"/>
          <w:sz w:val="28"/>
          <w:szCs w:val="28"/>
          <w:highlight w:val="none"/>
        </w:rPr>
      </w:pPr>
      <w:r>
        <w:rPr>
          <w:b/>
          <w:color w:val="auto"/>
          <w:highlight w:val="none"/>
        </w:rPr>
        <w:t>附表A-</w:t>
      </w:r>
      <w:r>
        <w:rPr>
          <w:rFonts w:hint="eastAsia"/>
          <w:b/>
          <w:color w:val="auto"/>
          <w:highlight w:val="none"/>
        </w:rPr>
        <w:t>6</w:t>
      </w:r>
      <w:r>
        <w:rPr>
          <w:b/>
          <w:color w:val="auto"/>
          <w:highlight w:val="none"/>
        </w:rPr>
        <w:t>：</w:t>
      </w:r>
      <w:r>
        <w:rPr>
          <w:rFonts w:hint="eastAsia"/>
          <w:b/>
          <w:color w:val="auto"/>
          <w:highlight w:val="none"/>
        </w:rPr>
        <w:t>资格审查</w:t>
      </w:r>
      <w:r>
        <w:rPr>
          <w:b/>
          <w:color w:val="auto"/>
          <w:highlight w:val="none"/>
        </w:rPr>
        <w:t>评审记录表</w:t>
      </w:r>
    </w:p>
    <w:p w14:paraId="2284F131">
      <w:pPr>
        <w:spacing w:line="440" w:lineRule="exact"/>
        <w:jc w:val="center"/>
        <w:rPr>
          <w:color w:val="auto"/>
          <w:highlight w:val="none"/>
        </w:rPr>
      </w:pPr>
      <w:r>
        <w:rPr>
          <w:rFonts w:eastAsia="黑体"/>
          <w:color w:val="auto"/>
          <w:sz w:val="28"/>
          <w:szCs w:val="28"/>
          <w:highlight w:val="none"/>
        </w:rPr>
        <w:t>资格审查评审记录表</w:t>
      </w:r>
    </w:p>
    <w:p w14:paraId="45B169B1">
      <w:pPr>
        <w:spacing w:after="72" w:afterLines="30" w:line="440" w:lineRule="exact"/>
        <w:rPr>
          <w:color w:val="auto"/>
          <w:highlight w:val="none"/>
        </w:rPr>
      </w:pPr>
      <w:r>
        <w:rPr>
          <w:rFonts w:hint="eastAsia"/>
          <w:color w:val="auto"/>
          <w:highlight w:val="none"/>
        </w:rPr>
        <w:t>项目</w:t>
      </w:r>
      <w:r>
        <w:rPr>
          <w:color w:val="auto"/>
          <w:highlight w:val="none"/>
        </w:rPr>
        <w:t>名称</w:t>
      </w:r>
      <w:r>
        <w:rPr>
          <w:rFonts w:hint="eastAsia"/>
          <w:color w:val="auto"/>
          <w:highlight w:val="none"/>
        </w:rPr>
        <w:t>及项目招标编号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0"/>
        <w:tblW w:w="13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962"/>
        <w:gridCol w:w="856"/>
        <w:gridCol w:w="874"/>
        <w:gridCol w:w="749"/>
        <w:gridCol w:w="750"/>
        <w:gridCol w:w="749"/>
        <w:gridCol w:w="750"/>
        <w:gridCol w:w="733"/>
        <w:gridCol w:w="844"/>
        <w:gridCol w:w="676"/>
        <w:gridCol w:w="1554"/>
        <w:gridCol w:w="1711"/>
      </w:tblGrid>
      <w:tr w14:paraId="4C44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50" w:type="dxa"/>
            <w:vAlign w:val="center"/>
          </w:tcPr>
          <w:p w14:paraId="6EB6CE32">
            <w:pPr>
              <w:spacing w:line="300" w:lineRule="exact"/>
              <w:jc w:val="center"/>
              <w:rPr>
                <w:rFonts w:ascii="宋体" w:hAnsi="宋体"/>
                <w:color w:val="auto"/>
                <w:szCs w:val="21"/>
                <w:highlight w:val="none"/>
              </w:rPr>
            </w:pPr>
            <w:r>
              <w:rPr>
                <w:rFonts w:ascii="宋体" w:hAnsi="宋体"/>
                <w:color w:val="auto"/>
                <w:szCs w:val="21"/>
                <w:highlight w:val="none"/>
              </w:rPr>
              <w:t>序号</w:t>
            </w:r>
          </w:p>
        </w:tc>
        <w:tc>
          <w:tcPr>
            <w:tcW w:w="2962" w:type="dxa"/>
            <w:vAlign w:val="center"/>
          </w:tcPr>
          <w:p w14:paraId="3132841E">
            <w:pPr>
              <w:spacing w:line="300" w:lineRule="exact"/>
              <w:jc w:val="center"/>
              <w:rPr>
                <w:rFonts w:ascii="宋体" w:hAnsi="宋体"/>
                <w:color w:val="auto"/>
                <w:szCs w:val="21"/>
                <w:highlight w:val="none"/>
              </w:rPr>
            </w:pPr>
            <w:r>
              <w:rPr>
                <w:rFonts w:hint="eastAsia" w:ascii="宋体" w:hAnsi="宋体"/>
                <w:color w:val="auto"/>
                <w:szCs w:val="21"/>
                <w:highlight w:val="none"/>
              </w:rPr>
              <w:t>投标</w:t>
            </w:r>
            <w:r>
              <w:rPr>
                <w:rFonts w:ascii="宋体" w:hAnsi="宋体"/>
                <w:color w:val="auto"/>
                <w:szCs w:val="21"/>
                <w:highlight w:val="none"/>
              </w:rPr>
              <w:t>人名称</w:t>
            </w:r>
          </w:p>
        </w:tc>
        <w:tc>
          <w:tcPr>
            <w:tcW w:w="6981" w:type="dxa"/>
            <w:gridSpan w:val="9"/>
            <w:vAlign w:val="center"/>
          </w:tcPr>
          <w:p w14:paraId="49005F43">
            <w:pPr>
              <w:spacing w:line="300" w:lineRule="exact"/>
              <w:jc w:val="center"/>
              <w:rPr>
                <w:rFonts w:ascii="宋体" w:hAnsi="宋体"/>
                <w:color w:val="auto"/>
                <w:szCs w:val="21"/>
                <w:highlight w:val="none"/>
              </w:rPr>
            </w:pPr>
            <w:r>
              <w:rPr>
                <w:rFonts w:hint="eastAsia" w:ascii="宋体" w:hAnsi="宋体" w:cs="宋体"/>
                <w:color w:val="auto"/>
                <w:kern w:val="0"/>
                <w:szCs w:val="21"/>
                <w:highlight w:val="none"/>
              </w:rPr>
              <w:t>合格标准：投标人符合第二章“投标人须知”正</w:t>
            </w:r>
            <w:r>
              <w:rPr>
                <w:rFonts w:ascii="宋体" w:hAnsi="宋体" w:cs="宋体"/>
                <w:color w:val="auto"/>
                <w:kern w:val="0"/>
                <w:szCs w:val="21"/>
                <w:highlight w:val="none"/>
              </w:rPr>
              <w:t>文</w:t>
            </w:r>
            <w:r>
              <w:rPr>
                <w:rFonts w:hint="eastAsia" w:ascii="宋体" w:hAnsi="宋体" w:cs="宋体"/>
                <w:color w:val="auto"/>
                <w:kern w:val="0"/>
                <w:szCs w:val="21"/>
                <w:highlight w:val="none"/>
              </w:rPr>
              <w:t>第1.4项规定的，且按规定提交了第二章“投标人须知前附表”3.1.1项资格审查部分（</w:t>
            </w:r>
            <w:r>
              <w:rPr>
                <w:rFonts w:ascii="宋体" w:hAnsi="宋体" w:cs="宋体"/>
                <w:color w:val="auto"/>
                <w:kern w:val="0"/>
                <w:szCs w:val="21"/>
                <w:highlight w:val="none"/>
              </w:rPr>
              <w:t>1</w:t>
            </w:r>
            <w:r>
              <w:rPr>
                <w:rFonts w:hint="eastAsia" w:ascii="宋体" w:hAnsi="宋体" w:cs="宋体"/>
                <w:color w:val="auto"/>
                <w:kern w:val="0"/>
                <w:szCs w:val="21"/>
                <w:highlight w:val="none"/>
              </w:rPr>
              <w:t>）～（</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）项内容的，方可进行下</w:t>
            </w:r>
            <w:r>
              <w:rPr>
                <w:rFonts w:ascii="宋体" w:hAnsi="宋体" w:cs="宋体"/>
                <w:color w:val="auto"/>
                <w:kern w:val="0"/>
                <w:szCs w:val="21"/>
                <w:highlight w:val="none"/>
              </w:rPr>
              <w:t>一步</w:t>
            </w:r>
            <w:r>
              <w:rPr>
                <w:rFonts w:hint="eastAsia" w:ascii="宋体" w:hAnsi="宋体" w:cs="宋体"/>
                <w:color w:val="auto"/>
                <w:kern w:val="0"/>
                <w:szCs w:val="21"/>
                <w:highlight w:val="none"/>
              </w:rPr>
              <w:t>资格审查。</w:t>
            </w:r>
          </w:p>
        </w:tc>
        <w:tc>
          <w:tcPr>
            <w:tcW w:w="1554" w:type="dxa"/>
            <w:vAlign w:val="center"/>
          </w:tcPr>
          <w:p w14:paraId="6367EA0E">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c>
          <w:tcPr>
            <w:tcW w:w="1711" w:type="dxa"/>
            <w:vAlign w:val="center"/>
          </w:tcPr>
          <w:p w14:paraId="74240B07">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可否进行下一步资格审查</w:t>
            </w:r>
          </w:p>
        </w:tc>
      </w:tr>
      <w:tr w14:paraId="742F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50" w:type="dxa"/>
            <w:vAlign w:val="center"/>
          </w:tcPr>
          <w:p w14:paraId="7DAA3963">
            <w:pPr>
              <w:spacing w:line="380" w:lineRule="atLeast"/>
              <w:jc w:val="center"/>
              <w:rPr>
                <w:color w:val="auto"/>
                <w:highlight w:val="none"/>
                <w:u w:val="single"/>
              </w:rPr>
            </w:pPr>
            <w:r>
              <w:rPr>
                <w:color w:val="auto"/>
                <w:highlight w:val="none"/>
                <w:u w:val="single"/>
              </w:rPr>
              <w:t>1</w:t>
            </w:r>
          </w:p>
        </w:tc>
        <w:tc>
          <w:tcPr>
            <w:tcW w:w="2962" w:type="dxa"/>
          </w:tcPr>
          <w:p w14:paraId="656303D4">
            <w:pPr>
              <w:spacing w:line="439" w:lineRule="exact"/>
              <w:ind w:left="1028"/>
              <w:rPr>
                <w:color w:val="auto"/>
                <w:highlight w:val="none"/>
              </w:rPr>
            </w:pPr>
          </w:p>
        </w:tc>
        <w:tc>
          <w:tcPr>
            <w:tcW w:w="856" w:type="dxa"/>
            <w:vAlign w:val="center"/>
          </w:tcPr>
          <w:p w14:paraId="394FE009">
            <w:pPr>
              <w:spacing w:line="380" w:lineRule="atLeast"/>
              <w:jc w:val="center"/>
              <w:rPr>
                <w:color w:val="auto"/>
                <w:highlight w:val="none"/>
                <w:u w:val="single"/>
              </w:rPr>
            </w:pPr>
            <w:r>
              <w:rPr>
                <w:rFonts w:hint="eastAsia" w:ascii="宋体" w:hAnsi="宋体" w:cs="宋体"/>
                <w:color w:val="auto"/>
                <w:kern w:val="0"/>
                <w:sz w:val="24"/>
                <w:highlight w:val="none"/>
              </w:rPr>
              <w:t>(1)</w:t>
            </w:r>
          </w:p>
        </w:tc>
        <w:tc>
          <w:tcPr>
            <w:tcW w:w="874" w:type="dxa"/>
            <w:vAlign w:val="center"/>
          </w:tcPr>
          <w:p w14:paraId="1015DAA6">
            <w:pPr>
              <w:spacing w:line="380" w:lineRule="atLeast"/>
              <w:jc w:val="center"/>
              <w:rPr>
                <w:color w:val="auto"/>
                <w:highlight w:val="none"/>
                <w:u w:val="single"/>
              </w:rPr>
            </w:pPr>
            <w:r>
              <w:rPr>
                <w:rFonts w:hint="eastAsia" w:ascii="宋体" w:hAnsi="宋体" w:cs="宋体"/>
                <w:color w:val="auto"/>
                <w:kern w:val="0"/>
                <w:highlight w:val="none"/>
              </w:rPr>
              <w:t>(2)</w:t>
            </w:r>
          </w:p>
        </w:tc>
        <w:tc>
          <w:tcPr>
            <w:tcW w:w="749" w:type="dxa"/>
            <w:vAlign w:val="center"/>
          </w:tcPr>
          <w:p w14:paraId="53F1CF7F">
            <w:pPr>
              <w:spacing w:line="380" w:lineRule="atLeast"/>
              <w:jc w:val="center"/>
              <w:rPr>
                <w:color w:val="auto"/>
                <w:highlight w:val="none"/>
                <w:u w:val="single"/>
              </w:rPr>
            </w:pPr>
            <w:r>
              <w:rPr>
                <w:rFonts w:hint="eastAsia" w:ascii="宋体" w:hAnsi="宋体" w:cs="宋体"/>
                <w:color w:val="auto"/>
                <w:kern w:val="0"/>
                <w:highlight w:val="none"/>
              </w:rPr>
              <w:t>(3)</w:t>
            </w:r>
          </w:p>
        </w:tc>
        <w:tc>
          <w:tcPr>
            <w:tcW w:w="750" w:type="dxa"/>
            <w:vAlign w:val="center"/>
          </w:tcPr>
          <w:p w14:paraId="1B256A98">
            <w:pPr>
              <w:spacing w:line="380" w:lineRule="atLeast"/>
              <w:jc w:val="center"/>
              <w:rPr>
                <w:color w:val="auto"/>
                <w:highlight w:val="none"/>
                <w:u w:val="single"/>
              </w:rPr>
            </w:pPr>
            <w:r>
              <w:rPr>
                <w:rFonts w:hint="eastAsia" w:ascii="宋体" w:hAnsi="宋体" w:cs="宋体"/>
                <w:color w:val="auto"/>
                <w:kern w:val="0"/>
                <w:highlight w:val="none"/>
              </w:rPr>
              <w:t>(4)</w:t>
            </w:r>
          </w:p>
        </w:tc>
        <w:tc>
          <w:tcPr>
            <w:tcW w:w="749" w:type="dxa"/>
            <w:vAlign w:val="center"/>
          </w:tcPr>
          <w:p w14:paraId="2880A559">
            <w:pPr>
              <w:spacing w:line="380" w:lineRule="atLeast"/>
              <w:jc w:val="center"/>
              <w:rPr>
                <w:color w:val="auto"/>
                <w:highlight w:val="none"/>
                <w:u w:val="single"/>
              </w:rPr>
            </w:pPr>
            <w:r>
              <w:rPr>
                <w:rFonts w:hint="eastAsia" w:ascii="宋体" w:hAnsi="宋体" w:cs="宋体"/>
                <w:color w:val="auto"/>
                <w:kern w:val="0"/>
                <w:highlight w:val="none"/>
              </w:rPr>
              <w:t>(5)</w:t>
            </w:r>
          </w:p>
        </w:tc>
        <w:tc>
          <w:tcPr>
            <w:tcW w:w="750" w:type="dxa"/>
            <w:vAlign w:val="center"/>
          </w:tcPr>
          <w:p w14:paraId="6954C682">
            <w:pPr>
              <w:spacing w:line="380" w:lineRule="atLeast"/>
              <w:jc w:val="center"/>
              <w:rPr>
                <w:color w:val="auto"/>
                <w:highlight w:val="none"/>
                <w:u w:val="single"/>
              </w:rPr>
            </w:pPr>
            <w:r>
              <w:rPr>
                <w:rFonts w:hint="eastAsia" w:ascii="宋体" w:hAnsi="宋体" w:cs="宋体"/>
                <w:color w:val="auto"/>
                <w:kern w:val="0"/>
                <w:highlight w:val="none"/>
              </w:rPr>
              <w:t>(6)</w:t>
            </w:r>
          </w:p>
        </w:tc>
        <w:tc>
          <w:tcPr>
            <w:tcW w:w="733" w:type="dxa"/>
            <w:vAlign w:val="center"/>
          </w:tcPr>
          <w:p w14:paraId="7DDC753E">
            <w:pPr>
              <w:spacing w:line="380" w:lineRule="atLeast"/>
              <w:jc w:val="center"/>
              <w:rPr>
                <w:color w:val="auto"/>
                <w:highlight w:val="none"/>
                <w:u w:val="single"/>
              </w:rPr>
            </w:pPr>
            <w:r>
              <w:rPr>
                <w:rFonts w:hint="eastAsia" w:ascii="宋体" w:hAnsi="宋体" w:cs="宋体"/>
                <w:color w:val="auto"/>
                <w:kern w:val="0"/>
                <w:highlight w:val="none"/>
              </w:rPr>
              <w:t>(7)</w:t>
            </w:r>
          </w:p>
        </w:tc>
        <w:tc>
          <w:tcPr>
            <w:tcW w:w="844" w:type="dxa"/>
            <w:vAlign w:val="center"/>
          </w:tcPr>
          <w:p w14:paraId="6FB4CF8E">
            <w:pPr>
              <w:spacing w:line="380" w:lineRule="atLeast"/>
              <w:jc w:val="center"/>
              <w:rPr>
                <w:color w:val="auto"/>
                <w:highlight w:val="none"/>
                <w:u w:val="single"/>
              </w:rPr>
            </w:pPr>
          </w:p>
        </w:tc>
        <w:tc>
          <w:tcPr>
            <w:tcW w:w="676" w:type="dxa"/>
            <w:vAlign w:val="center"/>
          </w:tcPr>
          <w:p w14:paraId="23719BEB">
            <w:pPr>
              <w:spacing w:line="380" w:lineRule="atLeast"/>
              <w:jc w:val="center"/>
              <w:rPr>
                <w:color w:val="auto"/>
                <w:highlight w:val="none"/>
                <w:u w:val="single"/>
              </w:rPr>
            </w:pPr>
          </w:p>
        </w:tc>
        <w:tc>
          <w:tcPr>
            <w:tcW w:w="1554" w:type="dxa"/>
          </w:tcPr>
          <w:p w14:paraId="11A84D16">
            <w:pPr>
              <w:spacing w:line="380" w:lineRule="atLeast"/>
              <w:jc w:val="center"/>
              <w:rPr>
                <w:color w:val="auto"/>
                <w:highlight w:val="none"/>
                <w:u w:val="single"/>
              </w:rPr>
            </w:pPr>
          </w:p>
        </w:tc>
        <w:tc>
          <w:tcPr>
            <w:tcW w:w="1711" w:type="dxa"/>
          </w:tcPr>
          <w:p w14:paraId="31C25833">
            <w:pPr>
              <w:spacing w:line="380" w:lineRule="atLeast"/>
              <w:jc w:val="center"/>
              <w:rPr>
                <w:color w:val="auto"/>
                <w:highlight w:val="none"/>
                <w:u w:val="single"/>
              </w:rPr>
            </w:pPr>
          </w:p>
        </w:tc>
      </w:tr>
      <w:tr w14:paraId="15E7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650" w:type="dxa"/>
            <w:vAlign w:val="center"/>
          </w:tcPr>
          <w:p w14:paraId="4A7EFD74">
            <w:pPr>
              <w:spacing w:line="380" w:lineRule="atLeast"/>
              <w:jc w:val="center"/>
              <w:rPr>
                <w:color w:val="auto"/>
                <w:highlight w:val="none"/>
                <w:u w:val="single"/>
              </w:rPr>
            </w:pPr>
            <w:r>
              <w:rPr>
                <w:color w:val="auto"/>
                <w:highlight w:val="none"/>
                <w:u w:val="single"/>
              </w:rPr>
              <w:t>2</w:t>
            </w:r>
          </w:p>
        </w:tc>
        <w:tc>
          <w:tcPr>
            <w:tcW w:w="2962" w:type="dxa"/>
          </w:tcPr>
          <w:p w14:paraId="1110298E">
            <w:pPr>
              <w:spacing w:line="387" w:lineRule="exact"/>
              <w:ind w:left="819"/>
              <w:jc w:val="left"/>
              <w:rPr>
                <w:color w:val="auto"/>
                <w:highlight w:val="none"/>
              </w:rPr>
            </w:pPr>
          </w:p>
        </w:tc>
        <w:tc>
          <w:tcPr>
            <w:tcW w:w="856" w:type="dxa"/>
            <w:vAlign w:val="center"/>
          </w:tcPr>
          <w:p w14:paraId="464F8748">
            <w:pPr>
              <w:spacing w:line="380" w:lineRule="atLeast"/>
              <w:jc w:val="center"/>
              <w:rPr>
                <w:color w:val="auto"/>
                <w:highlight w:val="none"/>
                <w:u w:val="single"/>
              </w:rPr>
            </w:pPr>
          </w:p>
        </w:tc>
        <w:tc>
          <w:tcPr>
            <w:tcW w:w="874" w:type="dxa"/>
            <w:vAlign w:val="center"/>
          </w:tcPr>
          <w:p w14:paraId="30DA8474">
            <w:pPr>
              <w:spacing w:line="380" w:lineRule="atLeast"/>
              <w:jc w:val="center"/>
              <w:rPr>
                <w:color w:val="auto"/>
                <w:highlight w:val="none"/>
                <w:u w:val="single"/>
              </w:rPr>
            </w:pPr>
          </w:p>
        </w:tc>
        <w:tc>
          <w:tcPr>
            <w:tcW w:w="749" w:type="dxa"/>
            <w:vAlign w:val="center"/>
          </w:tcPr>
          <w:p w14:paraId="00E525F9">
            <w:pPr>
              <w:spacing w:line="380" w:lineRule="atLeast"/>
              <w:jc w:val="center"/>
              <w:rPr>
                <w:color w:val="auto"/>
                <w:highlight w:val="none"/>
                <w:u w:val="single"/>
              </w:rPr>
            </w:pPr>
          </w:p>
        </w:tc>
        <w:tc>
          <w:tcPr>
            <w:tcW w:w="750" w:type="dxa"/>
            <w:vAlign w:val="center"/>
          </w:tcPr>
          <w:p w14:paraId="51A7D343">
            <w:pPr>
              <w:spacing w:line="380" w:lineRule="atLeast"/>
              <w:jc w:val="center"/>
              <w:rPr>
                <w:color w:val="auto"/>
                <w:highlight w:val="none"/>
                <w:u w:val="single"/>
              </w:rPr>
            </w:pPr>
          </w:p>
        </w:tc>
        <w:tc>
          <w:tcPr>
            <w:tcW w:w="749" w:type="dxa"/>
            <w:vAlign w:val="center"/>
          </w:tcPr>
          <w:p w14:paraId="06E84812">
            <w:pPr>
              <w:spacing w:line="380" w:lineRule="atLeast"/>
              <w:jc w:val="center"/>
              <w:rPr>
                <w:color w:val="auto"/>
                <w:highlight w:val="none"/>
                <w:u w:val="single"/>
              </w:rPr>
            </w:pPr>
          </w:p>
        </w:tc>
        <w:tc>
          <w:tcPr>
            <w:tcW w:w="750" w:type="dxa"/>
            <w:vAlign w:val="center"/>
          </w:tcPr>
          <w:p w14:paraId="67F3C6AB">
            <w:pPr>
              <w:spacing w:line="380" w:lineRule="atLeast"/>
              <w:jc w:val="center"/>
              <w:rPr>
                <w:color w:val="auto"/>
                <w:highlight w:val="none"/>
                <w:u w:val="single"/>
              </w:rPr>
            </w:pPr>
          </w:p>
        </w:tc>
        <w:tc>
          <w:tcPr>
            <w:tcW w:w="733" w:type="dxa"/>
            <w:vAlign w:val="center"/>
          </w:tcPr>
          <w:p w14:paraId="787B7842">
            <w:pPr>
              <w:spacing w:line="380" w:lineRule="atLeast"/>
              <w:jc w:val="center"/>
              <w:rPr>
                <w:color w:val="auto"/>
                <w:highlight w:val="none"/>
                <w:u w:val="single"/>
              </w:rPr>
            </w:pPr>
          </w:p>
        </w:tc>
        <w:tc>
          <w:tcPr>
            <w:tcW w:w="844" w:type="dxa"/>
            <w:vAlign w:val="center"/>
          </w:tcPr>
          <w:p w14:paraId="5447AC74">
            <w:pPr>
              <w:spacing w:line="380" w:lineRule="atLeast"/>
              <w:jc w:val="center"/>
              <w:rPr>
                <w:color w:val="auto"/>
                <w:highlight w:val="none"/>
                <w:u w:val="single"/>
              </w:rPr>
            </w:pPr>
          </w:p>
        </w:tc>
        <w:tc>
          <w:tcPr>
            <w:tcW w:w="676" w:type="dxa"/>
            <w:vAlign w:val="center"/>
          </w:tcPr>
          <w:p w14:paraId="14EC185F">
            <w:pPr>
              <w:spacing w:line="380" w:lineRule="atLeast"/>
              <w:jc w:val="center"/>
              <w:rPr>
                <w:color w:val="auto"/>
                <w:highlight w:val="none"/>
                <w:u w:val="single"/>
              </w:rPr>
            </w:pPr>
          </w:p>
        </w:tc>
        <w:tc>
          <w:tcPr>
            <w:tcW w:w="1554" w:type="dxa"/>
          </w:tcPr>
          <w:p w14:paraId="64B04E5C">
            <w:pPr>
              <w:spacing w:line="380" w:lineRule="atLeast"/>
              <w:jc w:val="center"/>
              <w:rPr>
                <w:color w:val="auto"/>
                <w:highlight w:val="none"/>
                <w:u w:val="single"/>
              </w:rPr>
            </w:pPr>
          </w:p>
        </w:tc>
        <w:tc>
          <w:tcPr>
            <w:tcW w:w="1711" w:type="dxa"/>
          </w:tcPr>
          <w:p w14:paraId="395FF14A">
            <w:pPr>
              <w:spacing w:line="380" w:lineRule="atLeast"/>
              <w:jc w:val="center"/>
              <w:rPr>
                <w:color w:val="auto"/>
                <w:highlight w:val="none"/>
                <w:u w:val="single"/>
              </w:rPr>
            </w:pPr>
          </w:p>
        </w:tc>
      </w:tr>
      <w:tr w14:paraId="2356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50" w:type="dxa"/>
            <w:vAlign w:val="center"/>
          </w:tcPr>
          <w:p w14:paraId="22340B44">
            <w:pPr>
              <w:spacing w:line="380" w:lineRule="atLeast"/>
              <w:jc w:val="center"/>
              <w:rPr>
                <w:color w:val="auto"/>
                <w:highlight w:val="none"/>
                <w:u w:val="single"/>
              </w:rPr>
            </w:pPr>
            <w:r>
              <w:rPr>
                <w:color w:val="auto"/>
                <w:highlight w:val="none"/>
                <w:u w:val="single"/>
              </w:rPr>
              <w:t>3</w:t>
            </w:r>
          </w:p>
        </w:tc>
        <w:tc>
          <w:tcPr>
            <w:tcW w:w="2962" w:type="dxa"/>
          </w:tcPr>
          <w:p w14:paraId="11A46C55">
            <w:pPr>
              <w:spacing w:line="387" w:lineRule="exact"/>
              <w:ind w:left="819"/>
              <w:jc w:val="left"/>
              <w:rPr>
                <w:color w:val="auto"/>
                <w:highlight w:val="none"/>
              </w:rPr>
            </w:pPr>
          </w:p>
        </w:tc>
        <w:tc>
          <w:tcPr>
            <w:tcW w:w="856" w:type="dxa"/>
            <w:vAlign w:val="center"/>
          </w:tcPr>
          <w:p w14:paraId="38F30DA6">
            <w:pPr>
              <w:spacing w:line="380" w:lineRule="atLeast"/>
              <w:jc w:val="center"/>
              <w:rPr>
                <w:color w:val="auto"/>
                <w:highlight w:val="none"/>
                <w:u w:val="single"/>
              </w:rPr>
            </w:pPr>
          </w:p>
        </w:tc>
        <w:tc>
          <w:tcPr>
            <w:tcW w:w="874" w:type="dxa"/>
            <w:vAlign w:val="center"/>
          </w:tcPr>
          <w:p w14:paraId="7295E15D">
            <w:pPr>
              <w:spacing w:line="380" w:lineRule="atLeast"/>
              <w:jc w:val="center"/>
              <w:rPr>
                <w:color w:val="auto"/>
                <w:highlight w:val="none"/>
                <w:u w:val="single"/>
              </w:rPr>
            </w:pPr>
          </w:p>
        </w:tc>
        <w:tc>
          <w:tcPr>
            <w:tcW w:w="749" w:type="dxa"/>
            <w:vAlign w:val="center"/>
          </w:tcPr>
          <w:p w14:paraId="4011B28D">
            <w:pPr>
              <w:spacing w:line="380" w:lineRule="atLeast"/>
              <w:jc w:val="center"/>
              <w:rPr>
                <w:color w:val="auto"/>
                <w:highlight w:val="none"/>
                <w:u w:val="single"/>
              </w:rPr>
            </w:pPr>
          </w:p>
        </w:tc>
        <w:tc>
          <w:tcPr>
            <w:tcW w:w="750" w:type="dxa"/>
            <w:vAlign w:val="center"/>
          </w:tcPr>
          <w:p w14:paraId="6154536B">
            <w:pPr>
              <w:spacing w:line="380" w:lineRule="atLeast"/>
              <w:jc w:val="center"/>
              <w:rPr>
                <w:color w:val="auto"/>
                <w:highlight w:val="none"/>
                <w:u w:val="single"/>
              </w:rPr>
            </w:pPr>
          </w:p>
        </w:tc>
        <w:tc>
          <w:tcPr>
            <w:tcW w:w="749" w:type="dxa"/>
            <w:vAlign w:val="center"/>
          </w:tcPr>
          <w:p w14:paraId="1F844024">
            <w:pPr>
              <w:spacing w:line="380" w:lineRule="atLeast"/>
              <w:jc w:val="center"/>
              <w:rPr>
                <w:color w:val="auto"/>
                <w:highlight w:val="none"/>
                <w:u w:val="single"/>
              </w:rPr>
            </w:pPr>
          </w:p>
        </w:tc>
        <w:tc>
          <w:tcPr>
            <w:tcW w:w="750" w:type="dxa"/>
            <w:vAlign w:val="center"/>
          </w:tcPr>
          <w:p w14:paraId="22AAAD4A">
            <w:pPr>
              <w:spacing w:line="380" w:lineRule="atLeast"/>
              <w:jc w:val="center"/>
              <w:rPr>
                <w:color w:val="auto"/>
                <w:highlight w:val="none"/>
                <w:u w:val="single"/>
              </w:rPr>
            </w:pPr>
          </w:p>
        </w:tc>
        <w:tc>
          <w:tcPr>
            <w:tcW w:w="733" w:type="dxa"/>
            <w:vAlign w:val="center"/>
          </w:tcPr>
          <w:p w14:paraId="2D4D1DF5">
            <w:pPr>
              <w:spacing w:line="380" w:lineRule="atLeast"/>
              <w:jc w:val="center"/>
              <w:rPr>
                <w:color w:val="auto"/>
                <w:highlight w:val="none"/>
                <w:u w:val="single"/>
              </w:rPr>
            </w:pPr>
          </w:p>
        </w:tc>
        <w:tc>
          <w:tcPr>
            <w:tcW w:w="844" w:type="dxa"/>
            <w:vAlign w:val="center"/>
          </w:tcPr>
          <w:p w14:paraId="49A10A81">
            <w:pPr>
              <w:spacing w:line="380" w:lineRule="atLeast"/>
              <w:jc w:val="center"/>
              <w:rPr>
                <w:color w:val="auto"/>
                <w:highlight w:val="none"/>
                <w:u w:val="single"/>
              </w:rPr>
            </w:pPr>
          </w:p>
        </w:tc>
        <w:tc>
          <w:tcPr>
            <w:tcW w:w="676" w:type="dxa"/>
            <w:vAlign w:val="center"/>
          </w:tcPr>
          <w:p w14:paraId="3D8A4877">
            <w:pPr>
              <w:spacing w:line="380" w:lineRule="atLeast"/>
              <w:jc w:val="center"/>
              <w:rPr>
                <w:color w:val="auto"/>
                <w:highlight w:val="none"/>
                <w:u w:val="single"/>
              </w:rPr>
            </w:pPr>
          </w:p>
        </w:tc>
        <w:tc>
          <w:tcPr>
            <w:tcW w:w="1554" w:type="dxa"/>
          </w:tcPr>
          <w:p w14:paraId="3963A5E5">
            <w:pPr>
              <w:spacing w:line="380" w:lineRule="atLeast"/>
              <w:jc w:val="center"/>
              <w:rPr>
                <w:color w:val="auto"/>
                <w:highlight w:val="none"/>
                <w:u w:val="single"/>
              </w:rPr>
            </w:pPr>
          </w:p>
        </w:tc>
        <w:tc>
          <w:tcPr>
            <w:tcW w:w="1711" w:type="dxa"/>
          </w:tcPr>
          <w:p w14:paraId="2BD36BCC">
            <w:pPr>
              <w:spacing w:line="380" w:lineRule="atLeast"/>
              <w:jc w:val="center"/>
              <w:rPr>
                <w:color w:val="auto"/>
                <w:highlight w:val="none"/>
                <w:u w:val="single"/>
              </w:rPr>
            </w:pPr>
          </w:p>
        </w:tc>
      </w:tr>
      <w:tr w14:paraId="1F69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0" w:type="dxa"/>
            <w:vAlign w:val="center"/>
          </w:tcPr>
          <w:p w14:paraId="14EFA62A">
            <w:pPr>
              <w:spacing w:line="380" w:lineRule="atLeast"/>
              <w:jc w:val="center"/>
              <w:rPr>
                <w:color w:val="auto"/>
                <w:highlight w:val="none"/>
                <w:u w:val="single"/>
              </w:rPr>
            </w:pPr>
            <w:r>
              <w:rPr>
                <w:color w:val="auto"/>
                <w:highlight w:val="none"/>
                <w:u w:val="single"/>
              </w:rPr>
              <w:t>4</w:t>
            </w:r>
          </w:p>
        </w:tc>
        <w:tc>
          <w:tcPr>
            <w:tcW w:w="2962" w:type="dxa"/>
          </w:tcPr>
          <w:p w14:paraId="1CF7540A">
            <w:pPr>
              <w:spacing w:line="387" w:lineRule="exact"/>
              <w:ind w:left="819"/>
              <w:jc w:val="left"/>
              <w:rPr>
                <w:color w:val="auto"/>
                <w:highlight w:val="none"/>
              </w:rPr>
            </w:pPr>
          </w:p>
        </w:tc>
        <w:tc>
          <w:tcPr>
            <w:tcW w:w="856" w:type="dxa"/>
            <w:vAlign w:val="center"/>
          </w:tcPr>
          <w:p w14:paraId="4574D7D5">
            <w:pPr>
              <w:spacing w:line="380" w:lineRule="atLeast"/>
              <w:jc w:val="center"/>
              <w:rPr>
                <w:color w:val="auto"/>
                <w:highlight w:val="none"/>
                <w:u w:val="single"/>
              </w:rPr>
            </w:pPr>
          </w:p>
        </w:tc>
        <w:tc>
          <w:tcPr>
            <w:tcW w:w="874" w:type="dxa"/>
            <w:vAlign w:val="center"/>
          </w:tcPr>
          <w:p w14:paraId="791D9338">
            <w:pPr>
              <w:spacing w:line="380" w:lineRule="atLeast"/>
              <w:jc w:val="center"/>
              <w:rPr>
                <w:color w:val="auto"/>
                <w:highlight w:val="none"/>
                <w:u w:val="single"/>
              </w:rPr>
            </w:pPr>
          </w:p>
        </w:tc>
        <w:tc>
          <w:tcPr>
            <w:tcW w:w="749" w:type="dxa"/>
            <w:vAlign w:val="center"/>
          </w:tcPr>
          <w:p w14:paraId="621E27B6">
            <w:pPr>
              <w:spacing w:line="380" w:lineRule="atLeast"/>
              <w:jc w:val="center"/>
              <w:rPr>
                <w:color w:val="auto"/>
                <w:highlight w:val="none"/>
                <w:u w:val="single"/>
              </w:rPr>
            </w:pPr>
          </w:p>
        </w:tc>
        <w:tc>
          <w:tcPr>
            <w:tcW w:w="750" w:type="dxa"/>
            <w:vAlign w:val="center"/>
          </w:tcPr>
          <w:p w14:paraId="36AB96D0">
            <w:pPr>
              <w:spacing w:line="380" w:lineRule="atLeast"/>
              <w:jc w:val="center"/>
              <w:rPr>
                <w:color w:val="auto"/>
                <w:highlight w:val="none"/>
                <w:u w:val="single"/>
              </w:rPr>
            </w:pPr>
          </w:p>
        </w:tc>
        <w:tc>
          <w:tcPr>
            <w:tcW w:w="749" w:type="dxa"/>
            <w:vAlign w:val="center"/>
          </w:tcPr>
          <w:p w14:paraId="34374063">
            <w:pPr>
              <w:spacing w:line="380" w:lineRule="atLeast"/>
              <w:jc w:val="center"/>
              <w:rPr>
                <w:color w:val="auto"/>
                <w:highlight w:val="none"/>
                <w:u w:val="single"/>
              </w:rPr>
            </w:pPr>
          </w:p>
        </w:tc>
        <w:tc>
          <w:tcPr>
            <w:tcW w:w="750" w:type="dxa"/>
            <w:vAlign w:val="center"/>
          </w:tcPr>
          <w:p w14:paraId="00BA62B8">
            <w:pPr>
              <w:spacing w:line="380" w:lineRule="atLeast"/>
              <w:jc w:val="center"/>
              <w:rPr>
                <w:color w:val="auto"/>
                <w:highlight w:val="none"/>
                <w:u w:val="single"/>
              </w:rPr>
            </w:pPr>
          </w:p>
        </w:tc>
        <w:tc>
          <w:tcPr>
            <w:tcW w:w="733" w:type="dxa"/>
            <w:vAlign w:val="center"/>
          </w:tcPr>
          <w:p w14:paraId="29E9107B">
            <w:pPr>
              <w:spacing w:line="380" w:lineRule="atLeast"/>
              <w:jc w:val="center"/>
              <w:rPr>
                <w:color w:val="auto"/>
                <w:highlight w:val="none"/>
                <w:u w:val="single"/>
              </w:rPr>
            </w:pPr>
          </w:p>
        </w:tc>
        <w:tc>
          <w:tcPr>
            <w:tcW w:w="844" w:type="dxa"/>
            <w:vAlign w:val="center"/>
          </w:tcPr>
          <w:p w14:paraId="7DA1CD32">
            <w:pPr>
              <w:spacing w:line="380" w:lineRule="atLeast"/>
              <w:jc w:val="center"/>
              <w:rPr>
                <w:color w:val="auto"/>
                <w:highlight w:val="none"/>
                <w:u w:val="single"/>
              </w:rPr>
            </w:pPr>
          </w:p>
        </w:tc>
        <w:tc>
          <w:tcPr>
            <w:tcW w:w="676" w:type="dxa"/>
            <w:vAlign w:val="center"/>
          </w:tcPr>
          <w:p w14:paraId="032DC923">
            <w:pPr>
              <w:spacing w:line="380" w:lineRule="atLeast"/>
              <w:jc w:val="center"/>
              <w:rPr>
                <w:color w:val="auto"/>
                <w:highlight w:val="none"/>
                <w:u w:val="single"/>
              </w:rPr>
            </w:pPr>
          </w:p>
        </w:tc>
        <w:tc>
          <w:tcPr>
            <w:tcW w:w="1554" w:type="dxa"/>
          </w:tcPr>
          <w:p w14:paraId="38B2A1EA">
            <w:pPr>
              <w:spacing w:line="380" w:lineRule="atLeast"/>
              <w:jc w:val="center"/>
              <w:rPr>
                <w:color w:val="auto"/>
                <w:highlight w:val="none"/>
                <w:u w:val="single"/>
              </w:rPr>
            </w:pPr>
          </w:p>
        </w:tc>
        <w:tc>
          <w:tcPr>
            <w:tcW w:w="1711" w:type="dxa"/>
          </w:tcPr>
          <w:p w14:paraId="2498F89D">
            <w:pPr>
              <w:spacing w:line="380" w:lineRule="atLeast"/>
              <w:jc w:val="center"/>
              <w:rPr>
                <w:color w:val="auto"/>
                <w:highlight w:val="none"/>
                <w:u w:val="single"/>
              </w:rPr>
            </w:pPr>
          </w:p>
        </w:tc>
      </w:tr>
      <w:tr w14:paraId="1C38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50" w:type="dxa"/>
            <w:vAlign w:val="center"/>
          </w:tcPr>
          <w:p w14:paraId="5B1A9B86">
            <w:pPr>
              <w:spacing w:line="380" w:lineRule="atLeast"/>
              <w:jc w:val="center"/>
              <w:rPr>
                <w:color w:val="auto"/>
                <w:highlight w:val="none"/>
                <w:u w:val="single"/>
              </w:rPr>
            </w:pPr>
            <w:r>
              <w:rPr>
                <w:color w:val="auto"/>
                <w:highlight w:val="none"/>
                <w:u w:val="single"/>
              </w:rPr>
              <w:t>5</w:t>
            </w:r>
          </w:p>
        </w:tc>
        <w:tc>
          <w:tcPr>
            <w:tcW w:w="2962" w:type="dxa"/>
          </w:tcPr>
          <w:p w14:paraId="24DBC878">
            <w:pPr>
              <w:spacing w:line="387" w:lineRule="exact"/>
              <w:ind w:left="819"/>
              <w:jc w:val="left"/>
              <w:rPr>
                <w:color w:val="auto"/>
                <w:highlight w:val="none"/>
              </w:rPr>
            </w:pPr>
          </w:p>
        </w:tc>
        <w:tc>
          <w:tcPr>
            <w:tcW w:w="856" w:type="dxa"/>
            <w:vAlign w:val="center"/>
          </w:tcPr>
          <w:p w14:paraId="21DCD136">
            <w:pPr>
              <w:spacing w:line="380" w:lineRule="atLeast"/>
              <w:jc w:val="center"/>
              <w:rPr>
                <w:color w:val="auto"/>
                <w:highlight w:val="none"/>
                <w:u w:val="single"/>
              </w:rPr>
            </w:pPr>
          </w:p>
        </w:tc>
        <w:tc>
          <w:tcPr>
            <w:tcW w:w="874" w:type="dxa"/>
            <w:vAlign w:val="center"/>
          </w:tcPr>
          <w:p w14:paraId="03A24BCA">
            <w:pPr>
              <w:spacing w:line="380" w:lineRule="atLeast"/>
              <w:jc w:val="center"/>
              <w:rPr>
                <w:color w:val="auto"/>
                <w:highlight w:val="none"/>
                <w:u w:val="single"/>
              </w:rPr>
            </w:pPr>
          </w:p>
        </w:tc>
        <w:tc>
          <w:tcPr>
            <w:tcW w:w="749" w:type="dxa"/>
            <w:vAlign w:val="center"/>
          </w:tcPr>
          <w:p w14:paraId="026B856B">
            <w:pPr>
              <w:spacing w:line="380" w:lineRule="atLeast"/>
              <w:jc w:val="center"/>
              <w:rPr>
                <w:color w:val="auto"/>
                <w:highlight w:val="none"/>
                <w:u w:val="single"/>
              </w:rPr>
            </w:pPr>
          </w:p>
        </w:tc>
        <w:tc>
          <w:tcPr>
            <w:tcW w:w="750" w:type="dxa"/>
            <w:vAlign w:val="center"/>
          </w:tcPr>
          <w:p w14:paraId="7486ED01">
            <w:pPr>
              <w:spacing w:line="380" w:lineRule="atLeast"/>
              <w:jc w:val="center"/>
              <w:rPr>
                <w:color w:val="auto"/>
                <w:highlight w:val="none"/>
                <w:u w:val="single"/>
              </w:rPr>
            </w:pPr>
          </w:p>
        </w:tc>
        <w:tc>
          <w:tcPr>
            <w:tcW w:w="749" w:type="dxa"/>
            <w:vAlign w:val="center"/>
          </w:tcPr>
          <w:p w14:paraId="65DA8ECA">
            <w:pPr>
              <w:spacing w:line="380" w:lineRule="atLeast"/>
              <w:jc w:val="center"/>
              <w:rPr>
                <w:color w:val="auto"/>
                <w:highlight w:val="none"/>
                <w:u w:val="single"/>
              </w:rPr>
            </w:pPr>
          </w:p>
        </w:tc>
        <w:tc>
          <w:tcPr>
            <w:tcW w:w="750" w:type="dxa"/>
            <w:vAlign w:val="center"/>
          </w:tcPr>
          <w:p w14:paraId="03BC02BE">
            <w:pPr>
              <w:spacing w:line="380" w:lineRule="atLeast"/>
              <w:jc w:val="center"/>
              <w:rPr>
                <w:color w:val="auto"/>
                <w:highlight w:val="none"/>
                <w:u w:val="single"/>
              </w:rPr>
            </w:pPr>
          </w:p>
        </w:tc>
        <w:tc>
          <w:tcPr>
            <w:tcW w:w="733" w:type="dxa"/>
            <w:vAlign w:val="center"/>
          </w:tcPr>
          <w:p w14:paraId="4E57A3C7">
            <w:pPr>
              <w:spacing w:line="380" w:lineRule="atLeast"/>
              <w:jc w:val="center"/>
              <w:rPr>
                <w:color w:val="auto"/>
                <w:highlight w:val="none"/>
                <w:u w:val="single"/>
              </w:rPr>
            </w:pPr>
          </w:p>
        </w:tc>
        <w:tc>
          <w:tcPr>
            <w:tcW w:w="844" w:type="dxa"/>
            <w:vAlign w:val="center"/>
          </w:tcPr>
          <w:p w14:paraId="36FD648B">
            <w:pPr>
              <w:spacing w:line="380" w:lineRule="atLeast"/>
              <w:jc w:val="center"/>
              <w:rPr>
                <w:color w:val="auto"/>
                <w:highlight w:val="none"/>
                <w:u w:val="single"/>
              </w:rPr>
            </w:pPr>
          </w:p>
        </w:tc>
        <w:tc>
          <w:tcPr>
            <w:tcW w:w="676" w:type="dxa"/>
            <w:vAlign w:val="center"/>
          </w:tcPr>
          <w:p w14:paraId="4F182FF2">
            <w:pPr>
              <w:spacing w:line="380" w:lineRule="atLeast"/>
              <w:jc w:val="center"/>
              <w:rPr>
                <w:color w:val="auto"/>
                <w:highlight w:val="none"/>
                <w:u w:val="single"/>
              </w:rPr>
            </w:pPr>
          </w:p>
        </w:tc>
        <w:tc>
          <w:tcPr>
            <w:tcW w:w="1554" w:type="dxa"/>
          </w:tcPr>
          <w:p w14:paraId="37C3C084">
            <w:pPr>
              <w:spacing w:line="380" w:lineRule="atLeast"/>
              <w:jc w:val="center"/>
              <w:rPr>
                <w:color w:val="auto"/>
                <w:highlight w:val="none"/>
                <w:u w:val="single"/>
              </w:rPr>
            </w:pPr>
          </w:p>
        </w:tc>
        <w:tc>
          <w:tcPr>
            <w:tcW w:w="1711" w:type="dxa"/>
          </w:tcPr>
          <w:p w14:paraId="6F072672">
            <w:pPr>
              <w:spacing w:line="380" w:lineRule="atLeast"/>
              <w:jc w:val="center"/>
              <w:rPr>
                <w:color w:val="auto"/>
                <w:highlight w:val="none"/>
                <w:u w:val="single"/>
              </w:rPr>
            </w:pPr>
          </w:p>
        </w:tc>
      </w:tr>
      <w:tr w14:paraId="51E6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0" w:type="dxa"/>
            <w:vAlign w:val="center"/>
          </w:tcPr>
          <w:p w14:paraId="306C88FA">
            <w:pPr>
              <w:spacing w:line="380" w:lineRule="atLeast"/>
              <w:jc w:val="center"/>
              <w:rPr>
                <w:color w:val="auto"/>
                <w:highlight w:val="none"/>
                <w:u w:val="single"/>
              </w:rPr>
            </w:pPr>
            <w:r>
              <w:rPr>
                <w:color w:val="auto"/>
                <w:highlight w:val="none"/>
                <w:u w:val="single"/>
              </w:rPr>
              <w:t>6</w:t>
            </w:r>
          </w:p>
        </w:tc>
        <w:tc>
          <w:tcPr>
            <w:tcW w:w="2962" w:type="dxa"/>
          </w:tcPr>
          <w:p w14:paraId="700A207C">
            <w:pPr>
              <w:spacing w:line="388" w:lineRule="exact"/>
              <w:ind w:left="713"/>
              <w:jc w:val="left"/>
              <w:rPr>
                <w:color w:val="auto"/>
                <w:highlight w:val="none"/>
              </w:rPr>
            </w:pPr>
          </w:p>
        </w:tc>
        <w:tc>
          <w:tcPr>
            <w:tcW w:w="856" w:type="dxa"/>
            <w:vAlign w:val="center"/>
          </w:tcPr>
          <w:p w14:paraId="7C89768E">
            <w:pPr>
              <w:spacing w:line="380" w:lineRule="atLeast"/>
              <w:jc w:val="center"/>
              <w:rPr>
                <w:color w:val="auto"/>
                <w:highlight w:val="none"/>
                <w:u w:val="single"/>
              </w:rPr>
            </w:pPr>
          </w:p>
        </w:tc>
        <w:tc>
          <w:tcPr>
            <w:tcW w:w="874" w:type="dxa"/>
            <w:vAlign w:val="center"/>
          </w:tcPr>
          <w:p w14:paraId="3C252AFB">
            <w:pPr>
              <w:spacing w:line="380" w:lineRule="atLeast"/>
              <w:jc w:val="center"/>
              <w:rPr>
                <w:color w:val="auto"/>
                <w:highlight w:val="none"/>
                <w:u w:val="single"/>
              </w:rPr>
            </w:pPr>
          </w:p>
        </w:tc>
        <w:tc>
          <w:tcPr>
            <w:tcW w:w="749" w:type="dxa"/>
            <w:vAlign w:val="center"/>
          </w:tcPr>
          <w:p w14:paraId="218A911E">
            <w:pPr>
              <w:spacing w:line="380" w:lineRule="atLeast"/>
              <w:jc w:val="center"/>
              <w:rPr>
                <w:color w:val="auto"/>
                <w:highlight w:val="none"/>
                <w:u w:val="single"/>
              </w:rPr>
            </w:pPr>
          </w:p>
        </w:tc>
        <w:tc>
          <w:tcPr>
            <w:tcW w:w="750" w:type="dxa"/>
            <w:vAlign w:val="center"/>
          </w:tcPr>
          <w:p w14:paraId="5EF99654">
            <w:pPr>
              <w:spacing w:line="380" w:lineRule="atLeast"/>
              <w:jc w:val="center"/>
              <w:rPr>
                <w:color w:val="auto"/>
                <w:highlight w:val="none"/>
                <w:u w:val="single"/>
              </w:rPr>
            </w:pPr>
          </w:p>
        </w:tc>
        <w:tc>
          <w:tcPr>
            <w:tcW w:w="749" w:type="dxa"/>
            <w:vAlign w:val="center"/>
          </w:tcPr>
          <w:p w14:paraId="2F0269F7">
            <w:pPr>
              <w:spacing w:line="380" w:lineRule="atLeast"/>
              <w:jc w:val="center"/>
              <w:rPr>
                <w:color w:val="auto"/>
                <w:highlight w:val="none"/>
                <w:u w:val="single"/>
              </w:rPr>
            </w:pPr>
          </w:p>
        </w:tc>
        <w:tc>
          <w:tcPr>
            <w:tcW w:w="750" w:type="dxa"/>
            <w:vAlign w:val="center"/>
          </w:tcPr>
          <w:p w14:paraId="09D1B17C">
            <w:pPr>
              <w:spacing w:line="380" w:lineRule="atLeast"/>
              <w:jc w:val="center"/>
              <w:rPr>
                <w:color w:val="auto"/>
                <w:highlight w:val="none"/>
                <w:u w:val="single"/>
              </w:rPr>
            </w:pPr>
          </w:p>
        </w:tc>
        <w:tc>
          <w:tcPr>
            <w:tcW w:w="733" w:type="dxa"/>
            <w:vAlign w:val="center"/>
          </w:tcPr>
          <w:p w14:paraId="588F6F04">
            <w:pPr>
              <w:spacing w:line="380" w:lineRule="atLeast"/>
              <w:jc w:val="center"/>
              <w:rPr>
                <w:color w:val="auto"/>
                <w:highlight w:val="none"/>
                <w:u w:val="single"/>
              </w:rPr>
            </w:pPr>
          </w:p>
        </w:tc>
        <w:tc>
          <w:tcPr>
            <w:tcW w:w="844" w:type="dxa"/>
            <w:vAlign w:val="center"/>
          </w:tcPr>
          <w:p w14:paraId="6C6F19D4">
            <w:pPr>
              <w:spacing w:line="380" w:lineRule="atLeast"/>
              <w:jc w:val="center"/>
              <w:rPr>
                <w:color w:val="auto"/>
                <w:highlight w:val="none"/>
                <w:u w:val="single"/>
              </w:rPr>
            </w:pPr>
          </w:p>
        </w:tc>
        <w:tc>
          <w:tcPr>
            <w:tcW w:w="676" w:type="dxa"/>
            <w:vAlign w:val="center"/>
          </w:tcPr>
          <w:p w14:paraId="272F6207">
            <w:pPr>
              <w:spacing w:line="380" w:lineRule="atLeast"/>
              <w:jc w:val="center"/>
              <w:rPr>
                <w:color w:val="auto"/>
                <w:highlight w:val="none"/>
                <w:u w:val="single"/>
              </w:rPr>
            </w:pPr>
          </w:p>
        </w:tc>
        <w:tc>
          <w:tcPr>
            <w:tcW w:w="1554" w:type="dxa"/>
          </w:tcPr>
          <w:p w14:paraId="7C67FCC0">
            <w:pPr>
              <w:spacing w:line="380" w:lineRule="atLeast"/>
              <w:jc w:val="center"/>
              <w:rPr>
                <w:color w:val="auto"/>
                <w:highlight w:val="none"/>
                <w:u w:val="single"/>
              </w:rPr>
            </w:pPr>
          </w:p>
        </w:tc>
        <w:tc>
          <w:tcPr>
            <w:tcW w:w="1711" w:type="dxa"/>
          </w:tcPr>
          <w:p w14:paraId="483C2389">
            <w:pPr>
              <w:spacing w:line="380" w:lineRule="atLeast"/>
              <w:jc w:val="center"/>
              <w:rPr>
                <w:color w:val="auto"/>
                <w:highlight w:val="none"/>
                <w:u w:val="single"/>
              </w:rPr>
            </w:pPr>
          </w:p>
        </w:tc>
      </w:tr>
      <w:tr w14:paraId="5B14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50" w:type="dxa"/>
            <w:vAlign w:val="center"/>
          </w:tcPr>
          <w:p w14:paraId="5F2911A9">
            <w:pPr>
              <w:spacing w:line="380" w:lineRule="atLeast"/>
              <w:jc w:val="center"/>
              <w:rPr>
                <w:color w:val="auto"/>
                <w:highlight w:val="none"/>
                <w:u w:val="single"/>
              </w:rPr>
            </w:pPr>
            <w:r>
              <w:rPr>
                <w:color w:val="auto"/>
                <w:highlight w:val="none"/>
                <w:u w:val="single"/>
              </w:rPr>
              <w:t>7</w:t>
            </w:r>
          </w:p>
        </w:tc>
        <w:tc>
          <w:tcPr>
            <w:tcW w:w="2962" w:type="dxa"/>
          </w:tcPr>
          <w:p w14:paraId="0455847D">
            <w:pPr>
              <w:spacing w:line="380" w:lineRule="atLeast"/>
              <w:ind w:firstLine="735" w:firstLineChars="350"/>
              <w:jc w:val="left"/>
              <w:rPr>
                <w:color w:val="auto"/>
                <w:highlight w:val="none"/>
                <w:u w:val="single"/>
              </w:rPr>
            </w:pPr>
          </w:p>
        </w:tc>
        <w:tc>
          <w:tcPr>
            <w:tcW w:w="856" w:type="dxa"/>
            <w:vAlign w:val="center"/>
          </w:tcPr>
          <w:p w14:paraId="03DDC86B">
            <w:pPr>
              <w:spacing w:line="380" w:lineRule="atLeast"/>
              <w:jc w:val="center"/>
              <w:rPr>
                <w:color w:val="auto"/>
                <w:highlight w:val="none"/>
                <w:u w:val="single"/>
              </w:rPr>
            </w:pPr>
          </w:p>
        </w:tc>
        <w:tc>
          <w:tcPr>
            <w:tcW w:w="874" w:type="dxa"/>
            <w:vAlign w:val="center"/>
          </w:tcPr>
          <w:p w14:paraId="0F4FF111">
            <w:pPr>
              <w:spacing w:line="380" w:lineRule="atLeast"/>
              <w:jc w:val="center"/>
              <w:rPr>
                <w:color w:val="auto"/>
                <w:highlight w:val="none"/>
                <w:u w:val="single"/>
              </w:rPr>
            </w:pPr>
          </w:p>
        </w:tc>
        <w:tc>
          <w:tcPr>
            <w:tcW w:w="749" w:type="dxa"/>
            <w:vAlign w:val="center"/>
          </w:tcPr>
          <w:p w14:paraId="5FDE4D3B">
            <w:pPr>
              <w:spacing w:line="380" w:lineRule="atLeast"/>
              <w:jc w:val="center"/>
              <w:rPr>
                <w:color w:val="auto"/>
                <w:highlight w:val="none"/>
                <w:u w:val="single"/>
              </w:rPr>
            </w:pPr>
          </w:p>
        </w:tc>
        <w:tc>
          <w:tcPr>
            <w:tcW w:w="750" w:type="dxa"/>
            <w:vAlign w:val="center"/>
          </w:tcPr>
          <w:p w14:paraId="50F84BB9">
            <w:pPr>
              <w:spacing w:line="380" w:lineRule="atLeast"/>
              <w:jc w:val="center"/>
              <w:rPr>
                <w:color w:val="auto"/>
                <w:highlight w:val="none"/>
                <w:u w:val="single"/>
              </w:rPr>
            </w:pPr>
          </w:p>
        </w:tc>
        <w:tc>
          <w:tcPr>
            <w:tcW w:w="749" w:type="dxa"/>
            <w:vAlign w:val="center"/>
          </w:tcPr>
          <w:p w14:paraId="615C981D">
            <w:pPr>
              <w:spacing w:line="380" w:lineRule="atLeast"/>
              <w:jc w:val="center"/>
              <w:rPr>
                <w:color w:val="auto"/>
                <w:highlight w:val="none"/>
                <w:u w:val="single"/>
              </w:rPr>
            </w:pPr>
          </w:p>
        </w:tc>
        <w:tc>
          <w:tcPr>
            <w:tcW w:w="750" w:type="dxa"/>
            <w:vAlign w:val="center"/>
          </w:tcPr>
          <w:p w14:paraId="3BF5860F">
            <w:pPr>
              <w:spacing w:line="380" w:lineRule="atLeast"/>
              <w:jc w:val="center"/>
              <w:rPr>
                <w:color w:val="auto"/>
                <w:highlight w:val="none"/>
                <w:u w:val="single"/>
              </w:rPr>
            </w:pPr>
          </w:p>
        </w:tc>
        <w:tc>
          <w:tcPr>
            <w:tcW w:w="733" w:type="dxa"/>
            <w:vAlign w:val="center"/>
          </w:tcPr>
          <w:p w14:paraId="0D13F818">
            <w:pPr>
              <w:spacing w:line="380" w:lineRule="atLeast"/>
              <w:jc w:val="center"/>
              <w:rPr>
                <w:color w:val="auto"/>
                <w:highlight w:val="none"/>
                <w:u w:val="single"/>
              </w:rPr>
            </w:pPr>
          </w:p>
        </w:tc>
        <w:tc>
          <w:tcPr>
            <w:tcW w:w="844" w:type="dxa"/>
            <w:vAlign w:val="center"/>
          </w:tcPr>
          <w:p w14:paraId="0A0BEDEC">
            <w:pPr>
              <w:spacing w:line="380" w:lineRule="atLeast"/>
              <w:jc w:val="center"/>
              <w:rPr>
                <w:color w:val="auto"/>
                <w:highlight w:val="none"/>
                <w:u w:val="single"/>
              </w:rPr>
            </w:pPr>
          </w:p>
        </w:tc>
        <w:tc>
          <w:tcPr>
            <w:tcW w:w="676" w:type="dxa"/>
            <w:vAlign w:val="center"/>
          </w:tcPr>
          <w:p w14:paraId="2C6047D9">
            <w:pPr>
              <w:spacing w:line="380" w:lineRule="atLeast"/>
              <w:jc w:val="center"/>
              <w:rPr>
                <w:color w:val="auto"/>
                <w:highlight w:val="none"/>
                <w:u w:val="single"/>
              </w:rPr>
            </w:pPr>
          </w:p>
        </w:tc>
        <w:tc>
          <w:tcPr>
            <w:tcW w:w="1554" w:type="dxa"/>
          </w:tcPr>
          <w:p w14:paraId="3BC996BE">
            <w:pPr>
              <w:spacing w:line="380" w:lineRule="atLeast"/>
              <w:jc w:val="center"/>
              <w:rPr>
                <w:color w:val="auto"/>
                <w:highlight w:val="none"/>
                <w:u w:val="single"/>
              </w:rPr>
            </w:pPr>
          </w:p>
        </w:tc>
        <w:tc>
          <w:tcPr>
            <w:tcW w:w="1711" w:type="dxa"/>
          </w:tcPr>
          <w:p w14:paraId="21CA599B">
            <w:pPr>
              <w:spacing w:line="380" w:lineRule="atLeast"/>
              <w:jc w:val="center"/>
              <w:rPr>
                <w:color w:val="auto"/>
                <w:highlight w:val="none"/>
                <w:u w:val="single"/>
              </w:rPr>
            </w:pPr>
          </w:p>
        </w:tc>
      </w:tr>
      <w:tr w14:paraId="678F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50" w:type="dxa"/>
            <w:vAlign w:val="center"/>
          </w:tcPr>
          <w:p w14:paraId="05CA40A9">
            <w:pPr>
              <w:spacing w:line="380" w:lineRule="atLeast"/>
              <w:jc w:val="center"/>
              <w:rPr>
                <w:color w:val="auto"/>
                <w:highlight w:val="none"/>
                <w:u w:val="single"/>
              </w:rPr>
            </w:pPr>
            <w:r>
              <w:rPr>
                <w:rFonts w:hint="eastAsia"/>
                <w:color w:val="auto"/>
                <w:highlight w:val="none"/>
                <w:u w:val="single"/>
              </w:rPr>
              <w:t>8</w:t>
            </w:r>
          </w:p>
        </w:tc>
        <w:tc>
          <w:tcPr>
            <w:tcW w:w="2962" w:type="dxa"/>
          </w:tcPr>
          <w:p w14:paraId="0D5E6B28">
            <w:pPr>
              <w:spacing w:line="387" w:lineRule="exact"/>
              <w:ind w:left="819"/>
              <w:rPr>
                <w:color w:val="auto"/>
                <w:highlight w:val="none"/>
              </w:rPr>
            </w:pPr>
          </w:p>
        </w:tc>
        <w:tc>
          <w:tcPr>
            <w:tcW w:w="856" w:type="dxa"/>
            <w:vAlign w:val="center"/>
          </w:tcPr>
          <w:p w14:paraId="7442B3D2">
            <w:pPr>
              <w:spacing w:line="380" w:lineRule="atLeast"/>
              <w:jc w:val="center"/>
              <w:rPr>
                <w:color w:val="auto"/>
                <w:highlight w:val="none"/>
                <w:u w:val="single"/>
              </w:rPr>
            </w:pPr>
          </w:p>
        </w:tc>
        <w:tc>
          <w:tcPr>
            <w:tcW w:w="874" w:type="dxa"/>
            <w:vAlign w:val="center"/>
          </w:tcPr>
          <w:p w14:paraId="554439F9">
            <w:pPr>
              <w:spacing w:line="380" w:lineRule="atLeast"/>
              <w:jc w:val="center"/>
              <w:rPr>
                <w:color w:val="auto"/>
                <w:highlight w:val="none"/>
                <w:u w:val="single"/>
              </w:rPr>
            </w:pPr>
          </w:p>
        </w:tc>
        <w:tc>
          <w:tcPr>
            <w:tcW w:w="749" w:type="dxa"/>
            <w:vAlign w:val="center"/>
          </w:tcPr>
          <w:p w14:paraId="6FD89BB6">
            <w:pPr>
              <w:spacing w:line="380" w:lineRule="atLeast"/>
              <w:jc w:val="center"/>
              <w:rPr>
                <w:color w:val="auto"/>
                <w:highlight w:val="none"/>
                <w:u w:val="single"/>
              </w:rPr>
            </w:pPr>
          </w:p>
        </w:tc>
        <w:tc>
          <w:tcPr>
            <w:tcW w:w="750" w:type="dxa"/>
            <w:vAlign w:val="center"/>
          </w:tcPr>
          <w:p w14:paraId="36B7DE6C">
            <w:pPr>
              <w:spacing w:line="380" w:lineRule="atLeast"/>
              <w:jc w:val="center"/>
              <w:rPr>
                <w:color w:val="auto"/>
                <w:highlight w:val="none"/>
                <w:u w:val="single"/>
              </w:rPr>
            </w:pPr>
          </w:p>
        </w:tc>
        <w:tc>
          <w:tcPr>
            <w:tcW w:w="749" w:type="dxa"/>
            <w:vAlign w:val="center"/>
          </w:tcPr>
          <w:p w14:paraId="040B0D92">
            <w:pPr>
              <w:spacing w:line="380" w:lineRule="atLeast"/>
              <w:jc w:val="center"/>
              <w:rPr>
                <w:color w:val="auto"/>
                <w:highlight w:val="none"/>
                <w:u w:val="single"/>
              </w:rPr>
            </w:pPr>
          </w:p>
        </w:tc>
        <w:tc>
          <w:tcPr>
            <w:tcW w:w="750" w:type="dxa"/>
            <w:vAlign w:val="center"/>
          </w:tcPr>
          <w:p w14:paraId="56CCDCA3">
            <w:pPr>
              <w:spacing w:line="380" w:lineRule="atLeast"/>
              <w:jc w:val="center"/>
              <w:rPr>
                <w:color w:val="auto"/>
                <w:highlight w:val="none"/>
                <w:u w:val="single"/>
              </w:rPr>
            </w:pPr>
          </w:p>
        </w:tc>
        <w:tc>
          <w:tcPr>
            <w:tcW w:w="733" w:type="dxa"/>
            <w:vAlign w:val="center"/>
          </w:tcPr>
          <w:p w14:paraId="729C12E0">
            <w:pPr>
              <w:spacing w:line="380" w:lineRule="atLeast"/>
              <w:jc w:val="center"/>
              <w:rPr>
                <w:color w:val="auto"/>
                <w:highlight w:val="none"/>
                <w:u w:val="single"/>
              </w:rPr>
            </w:pPr>
          </w:p>
        </w:tc>
        <w:tc>
          <w:tcPr>
            <w:tcW w:w="844" w:type="dxa"/>
            <w:vAlign w:val="center"/>
          </w:tcPr>
          <w:p w14:paraId="23E8C974">
            <w:pPr>
              <w:spacing w:line="380" w:lineRule="atLeast"/>
              <w:jc w:val="center"/>
              <w:rPr>
                <w:color w:val="auto"/>
                <w:highlight w:val="none"/>
                <w:u w:val="single"/>
              </w:rPr>
            </w:pPr>
          </w:p>
        </w:tc>
        <w:tc>
          <w:tcPr>
            <w:tcW w:w="676" w:type="dxa"/>
            <w:vAlign w:val="center"/>
          </w:tcPr>
          <w:p w14:paraId="74CC24A1">
            <w:pPr>
              <w:spacing w:line="380" w:lineRule="atLeast"/>
              <w:jc w:val="center"/>
              <w:rPr>
                <w:color w:val="auto"/>
                <w:highlight w:val="none"/>
                <w:u w:val="single"/>
              </w:rPr>
            </w:pPr>
          </w:p>
        </w:tc>
        <w:tc>
          <w:tcPr>
            <w:tcW w:w="1554" w:type="dxa"/>
          </w:tcPr>
          <w:p w14:paraId="26526014">
            <w:pPr>
              <w:spacing w:line="380" w:lineRule="atLeast"/>
              <w:jc w:val="center"/>
              <w:rPr>
                <w:color w:val="auto"/>
                <w:highlight w:val="none"/>
                <w:u w:val="single"/>
              </w:rPr>
            </w:pPr>
          </w:p>
        </w:tc>
        <w:tc>
          <w:tcPr>
            <w:tcW w:w="1711" w:type="dxa"/>
          </w:tcPr>
          <w:p w14:paraId="61359BC3">
            <w:pPr>
              <w:spacing w:line="380" w:lineRule="atLeast"/>
              <w:jc w:val="center"/>
              <w:rPr>
                <w:color w:val="auto"/>
                <w:highlight w:val="none"/>
                <w:u w:val="single"/>
              </w:rPr>
            </w:pPr>
          </w:p>
        </w:tc>
      </w:tr>
      <w:tr w14:paraId="65E3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0" w:type="dxa"/>
            <w:vAlign w:val="center"/>
          </w:tcPr>
          <w:p w14:paraId="33FBCC7E">
            <w:pPr>
              <w:spacing w:line="380" w:lineRule="atLeast"/>
              <w:jc w:val="center"/>
              <w:rPr>
                <w:color w:val="auto"/>
                <w:highlight w:val="none"/>
                <w:u w:val="single"/>
              </w:rPr>
            </w:pPr>
            <w:r>
              <w:rPr>
                <w:rFonts w:hint="eastAsia"/>
                <w:color w:val="auto"/>
                <w:highlight w:val="none"/>
                <w:u w:val="single"/>
              </w:rPr>
              <w:t>9</w:t>
            </w:r>
          </w:p>
        </w:tc>
        <w:tc>
          <w:tcPr>
            <w:tcW w:w="2962" w:type="dxa"/>
          </w:tcPr>
          <w:p w14:paraId="0DD6BF04">
            <w:pPr>
              <w:spacing w:line="387" w:lineRule="exact"/>
              <w:ind w:left="608"/>
              <w:rPr>
                <w:color w:val="auto"/>
                <w:highlight w:val="none"/>
              </w:rPr>
            </w:pPr>
          </w:p>
        </w:tc>
        <w:tc>
          <w:tcPr>
            <w:tcW w:w="856" w:type="dxa"/>
            <w:vAlign w:val="center"/>
          </w:tcPr>
          <w:p w14:paraId="34E59045">
            <w:pPr>
              <w:spacing w:line="380" w:lineRule="atLeast"/>
              <w:jc w:val="center"/>
              <w:rPr>
                <w:color w:val="auto"/>
                <w:highlight w:val="none"/>
                <w:u w:val="single"/>
              </w:rPr>
            </w:pPr>
          </w:p>
        </w:tc>
        <w:tc>
          <w:tcPr>
            <w:tcW w:w="874" w:type="dxa"/>
            <w:vAlign w:val="center"/>
          </w:tcPr>
          <w:p w14:paraId="46C45BC4">
            <w:pPr>
              <w:spacing w:line="380" w:lineRule="atLeast"/>
              <w:jc w:val="center"/>
              <w:rPr>
                <w:color w:val="auto"/>
                <w:highlight w:val="none"/>
                <w:u w:val="single"/>
              </w:rPr>
            </w:pPr>
          </w:p>
        </w:tc>
        <w:tc>
          <w:tcPr>
            <w:tcW w:w="749" w:type="dxa"/>
            <w:vAlign w:val="center"/>
          </w:tcPr>
          <w:p w14:paraId="69EF53A4">
            <w:pPr>
              <w:spacing w:line="380" w:lineRule="atLeast"/>
              <w:jc w:val="center"/>
              <w:rPr>
                <w:color w:val="auto"/>
                <w:highlight w:val="none"/>
                <w:u w:val="single"/>
              </w:rPr>
            </w:pPr>
          </w:p>
        </w:tc>
        <w:tc>
          <w:tcPr>
            <w:tcW w:w="750" w:type="dxa"/>
            <w:vAlign w:val="center"/>
          </w:tcPr>
          <w:p w14:paraId="199FEF7E">
            <w:pPr>
              <w:spacing w:line="380" w:lineRule="atLeast"/>
              <w:jc w:val="center"/>
              <w:rPr>
                <w:color w:val="auto"/>
                <w:highlight w:val="none"/>
                <w:u w:val="single"/>
              </w:rPr>
            </w:pPr>
          </w:p>
        </w:tc>
        <w:tc>
          <w:tcPr>
            <w:tcW w:w="749" w:type="dxa"/>
            <w:vAlign w:val="center"/>
          </w:tcPr>
          <w:p w14:paraId="1D43F09F">
            <w:pPr>
              <w:spacing w:line="380" w:lineRule="atLeast"/>
              <w:jc w:val="center"/>
              <w:rPr>
                <w:color w:val="auto"/>
                <w:highlight w:val="none"/>
                <w:u w:val="single"/>
              </w:rPr>
            </w:pPr>
          </w:p>
        </w:tc>
        <w:tc>
          <w:tcPr>
            <w:tcW w:w="750" w:type="dxa"/>
            <w:vAlign w:val="center"/>
          </w:tcPr>
          <w:p w14:paraId="61B8726D">
            <w:pPr>
              <w:spacing w:line="380" w:lineRule="atLeast"/>
              <w:jc w:val="center"/>
              <w:rPr>
                <w:color w:val="auto"/>
                <w:highlight w:val="none"/>
                <w:u w:val="single"/>
              </w:rPr>
            </w:pPr>
          </w:p>
        </w:tc>
        <w:tc>
          <w:tcPr>
            <w:tcW w:w="733" w:type="dxa"/>
            <w:vAlign w:val="center"/>
          </w:tcPr>
          <w:p w14:paraId="346EC131">
            <w:pPr>
              <w:spacing w:line="380" w:lineRule="atLeast"/>
              <w:jc w:val="center"/>
              <w:rPr>
                <w:color w:val="auto"/>
                <w:highlight w:val="none"/>
                <w:u w:val="single"/>
              </w:rPr>
            </w:pPr>
          </w:p>
        </w:tc>
        <w:tc>
          <w:tcPr>
            <w:tcW w:w="844" w:type="dxa"/>
            <w:vAlign w:val="center"/>
          </w:tcPr>
          <w:p w14:paraId="1C11D3DE">
            <w:pPr>
              <w:spacing w:line="380" w:lineRule="atLeast"/>
              <w:jc w:val="center"/>
              <w:rPr>
                <w:color w:val="auto"/>
                <w:highlight w:val="none"/>
                <w:u w:val="single"/>
              </w:rPr>
            </w:pPr>
          </w:p>
        </w:tc>
        <w:tc>
          <w:tcPr>
            <w:tcW w:w="676" w:type="dxa"/>
            <w:vAlign w:val="center"/>
          </w:tcPr>
          <w:p w14:paraId="690921F7">
            <w:pPr>
              <w:spacing w:line="380" w:lineRule="atLeast"/>
              <w:jc w:val="center"/>
              <w:rPr>
                <w:color w:val="auto"/>
                <w:highlight w:val="none"/>
                <w:u w:val="single"/>
              </w:rPr>
            </w:pPr>
          </w:p>
        </w:tc>
        <w:tc>
          <w:tcPr>
            <w:tcW w:w="1554" w:type="dxa"/>
          </w:tcPr>
          <w:p w14:paraId="748E5E83">
            <w:pPr>
              <w:spacing w:line="380" w:lineRule="atLeast"/>
              <w:jc w:val="center"/>
              <w:rPr>
                <w:color w:val="auto"/>
                <w:highlight w:val="none"/>
                <w:u w:val="single"/>
              </w:rPr>
            </w:pPr>
          </w:p>
        </w:tc>
        <w:tc>
          <w:tcPr>
            <w:tcW w:w="1711" w:type="dxa"/>
          </w:tcPr>
          <w:p w14:paraId="2F65AEDA">
            <w:pPr>
              <w:spacing w:line="380" w:lineRule="atLeast"/>
              <w:jc w:val="center"/>
              <w:rPr>
                <w:color w:val="auto"/>
                <w:highlight w:val="none"/>
                <w:u w:val="single"/>
              </w:rPr>
            </w:pPr>
          </w:p>
        </w:tc>
      </w:tr>
    </w:tbl>
    <w:p w14:paraId="649EE686">
      <w:pPr>
        <w:spacing w:line="380" w:lineRule="atLeast"/>
        <w:rPr>
          <w:rFonts w:eastAsia="楷体_GB2312"/>
          <w:color w:val="auto"/>
          <w:highlight w:val="none"/>
        </w:rPr>
      </w:pPr>
      <w:r>
        <w:rPr>
          <w:rFonts w:eastAsia="楷体_GB2312"/>
          <w:b/>
          <w:bCs/>
          <w:color w:val="auto"/>
          <w:szCs w:val="44"/>
          <w:highlight w:val="none"/>
        </w:rPr>
        <w:t>备注：根据评分办法的资格</w:t>
      </w:r>
      <w:r>
        <w:rPr>
          <w:rFonts w:hint="eastAsia" w:eastAsia="楷体_GB2312"/>
          <w:b/>
          <w:bCs/>
          <w:color w:val="auto"/>
          <w:szCs w:val="44"/>
          <w:highlight w:val="none"/>
        </w:rPr>
        <w:t>评审</w:t>
      </w:r>
      <w:r>
        <w:rPr>
          <w:rFonts w:eastAsia="楷体_GB2312"/>
          <w:b/>
          <w:bCs/>
          <w:color w:val="auto"/>
          <w:szCs w:val="44"/>
          <w:highlight w:val="none"/>
        </w:rPr>
        <w:t>标准调整本表</w:t>
      </w:r>
      <w:r>
        <w:rPr>
          <w:rFonts w:hint="eastAsia" w:eastAsia="楷体_GB2312"/>
          <w:b/>
          <w:bCs/>
          <w:color w:val="auto"/>
          <w:szCs w:val="44"/>
          <w:highlight w:val="none"/>
        </w:rPr>
        <w:t>。</w:t>
      </w:r>
    </w:p>
    <w:p w14:paraId="7077C02C">
      <w:pPr>
        <w:spacing w:line="380" w:lineRule="atLeast"/>
        <w:rPr>
          <w:color w:val="auto"/>
          <w:highlight w:val="none"/>
        </w:rPr>
      </w:pPr>
    </w:p>
    <w:p w14:paraId="24FE6BBC">
      <w:pPr>
        <w:spacing w:line="380" w:lineRule="atLeast"/>
        <w:rPr>
          <w:color w:val="auto"/>
          <w:highlight w:val="none"/>
        </w:rPr>
      </w:pPr>
      <w:r>
        <w:rPr>
          <w:color w:val="auto"/>
          <w:highlight w:val="none"/>
        </w:rPr>
        <w:t xml:space="preserve">评标委员会全体成员签名：                                                                        </w:t>
      </w:r>
      <w:r>
        <w:rPr>
          <w:rFonts w:hint="eastAsia"/>
          <w:color w:val="auto"/>
          <w:highlight w:val="none"/>
        </w:rPr>
        <w:t xml:space="preserve"> </w:t>
      </w:r>
      <w:r>
        <w:rPr>
          <w:color w:val="auto"/>
          <w:highlight w:val="none"/>
        </w:rPr>
        <w:t>日期：        年     月     日</w:t>
      </w:r>
    </w:p>
    <w:p w14:paraId="22DC7EA3">
      <w:pPr>
        <w:spacing w:line="380" w:lineRule="atLeast"/>
        <w:rPr>
          <w:color w:val="auto"/>
          <w:highlight w:val="none"/>
        </w:rPr>
      </w:pPr>
    </w:p>
    <w:p w14:paraId="7DC1EC65">
      <w:pPr>
        <w:spacing w:line="380" w:lineRule="atLeast"/>
        <w:rPr>
          <w:color w:val="auto"/>
          <w:highlight w:val="none"/>
        </w:rPr>
      </w:pPr>
    </w:p>
    <w:p w14:paraId="63B35A8A">
      <w:pPr>
        <w:spacing w:line="380" w:lineRule="atLeast"/>
        <w:rPr>
          <w:color w:val="auto"/>
          <w:highlight w:val="none"/>
        </w:rPr>
      </w:pPr>
    </w:p>
    <w:p w14:paraId="6BD30F32">
      <w:pPr>
        <w:spacing w:line="380" w:lineRule="atLeast"/>
        <w:rPr>
          <w:color w:val="auto"/>
          <w:highlight w:val="none"/>
        </w:rPr>
      </w:pPr>
    </w:p>
    <w:p w14:paraId="6465C21F">
      <w:pPr>
        <w:spacing w:line="380" w:lineRule="atLeast"/>
        <w:rPr>
          <w:color w:val="auto"/>
          <w:highlight w:val="none"/>
        </w:rPr>
      </w:pPr>
    </w:p>
    <w:p w14:paraId="4D1B4463">
      <w:pPr>
        <w:rPr>
          <w:b/>
          <w:color w:val="auto"/>
          <w:szCs w:val="21"/>
          <w:highlight w:val="none"/>
        </w:rPr>
      </w:pPr>
      <w:r>
        <w:rPr>
          <w:b/>
          <w:color w:val="auto"/>
          <w:szCs w:val="21"/>
          <w:highlight w:val="none"/>
        </w:rPr>
        <w:t>附表A-</w:t>
      </w:r>
      <w:r>
        <w:rPr>
          <w:rFonts w:hint="eastAsia"/>
          <w:b/>
          <w:color w:val="auto"/>
          <w:szCs w:val="21"/>
          <w:highlight w:val="none"/>
        </w:rPr>
        <w:t>7</w:t>
      </w:r>
      <w:r>
        <w:rPr>
          <w:b/>
          <w:color w:val="auto"/>
          <w:szCs w:val="21"/>
          <w:highlight w:val="none"/>
        </w:rPr>
        <w:t>：商务标</w:t>
      </w:r>
      <w:r>
        <w:rPr>
          <w:rFonts w:hint="eastAsia"/>
          <w:b/>
          <w:color w:val="auto"/>
          <w:szCs w:val="21"/>
          <w:highlight w:val="none"/>
        </w:rPr>
        <w:t>评分</w:t>
      </w:r>
      <w:r>
        <w:rPr>
          <w:b/>
          <w:color w:val="auto"/>
          <w:szCs w:val="21"/>
          <w:highlight w:val="none"/>
        </w:rPr>
        <w:t>记录表</w:t>
      </w:r>
    </w:p>
    <w:p w14:paraId="42F2B11F">
      <w:pPr>
        <w:jc w:val="center"/>
        <w:rPr>
          <w:color w:val="auto"/>
          <w:szCs w:val="44"/>
          <w:highlight w:val="none"/>
        </w:rPr>
      </w:pPr>
      <w:r>
        <w:rPr>
          <w:rFonts w:hint="eastAsia" w:eastAsia="黑体"/>
          <w:color w:val="auto"/>
          <w:sz w:val="28"/>
          <w:szCs w:val="28"/>
          <w:highlight w:val="none"/>
        </w:rPr>
        <w:t>商务标</w:t>
      </w:r>
      <w:r>
        <w:rPr>
          <w:rFonts w:eastAsia="黑体"/>
          <w:color w:val="auto"/>
          <w:sz w:val="28"/>
          <w:szCs w:val="28"/>
          <w:highlight w:val="none"/>
        </w:rPr>
        <w:t>评分记录表</w:t>
      </w:r>
    </w:p>
    <w:p w14:paraId="3AA44850">
      <w:pPr>
        <w:spacing w:after="72" w:afterLines="30" w:line="440" w:lineRule="exact"/>
        <w:rPr>
          <w:color w:val="auto"/>
          <w:highlight w:val="none"/>
        </w:rPr>
      </w:pPr>
      <w:r>
        <w:rPr>
          <w:rFonts w:hint="eastAsia"/>
          <w:color w:val="auto"/>
          <w:highlight w:val="none"/>
        </w:rPr>
        <w:t>项目</w:t>
      </w:r>
      <w:r>
        <w:rPr>
          <w:color w:val="auto"/>
          <w:highlight w:val="none"/>
        </w:rPr>
        <w:t>名称</w:t>
      </w:r>
      <w:r>
        <w:rPr>
          <w:rFonts w:hint="eastAsia"/>
          <w:color w:val="auto"/>
          <w:highlight w:val="none"/>
        </w:rPr>
        <w:t>及项目招标编号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w:t>
      </w:r>
    </w:p>
    <w:tbl>
      <w:tblPr>
        <w:tblStyle w:val="40"/>
        <w:tblW w:w="14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68"/>
        <w:gridCol w:w="1116"/>
        <w:gridCol w:w="1272"/>
        <w:gridCol w:w="1278"/>
        <w:gridCol w:w="1290"/>
        <w:gridCol w:w="1584"/>
        <w:gridCol w:w="1524"/>
      </w:tblGrid>
      <w:tr w14:paraId="6F0D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617" w:type="dxa"/>
            <w:vMerge w:val="restart"/>
            <w:vAlign w:val="center"/>
          </w:tcPr>
          <w:p w14:paraId="2FED3D67">
            <w:pPr>
              <w:jc w:val="center"/>
              <w:rPr>
                <w:color w:val="auto"/>
                <w:highlight w:val="none"/>
              </w:rPr>
            </w:pPr>
            <w:r>
              <w:rPr>
                <w:color w:val="auto"/>
                <w:highlight w:val="none"/>
              </w:rPr>
              <w:t>项目</w:t>
            </w:r>
          </w:p>
        </w:tc>
        <w:tc>
          <w:tcPr>
            <w:tcW w:w="9432" w:type="dxa"/>
            <w:gridSpan w:val="7"/>
            <w:vAlign w:val="center"/>
          </w:tcPr>
          <w:p w14:paraId="0A59AA9E">
            <w:pPr>
              <w:jc w:val="center"/>
              <w:rPr>
                <w:color w:val="auto"/>
                <w:highlight w:val="none"/>
              </w:rPr>
            </w:pPr>
            <w:r>
              <w:rPr>
                <w:color w:val="auto"/>
                <w:highlight w:val="none"/>
              </w:rPr>
              <w:t>投标人名称</w:t>
            </w:r>
          </w:p>
        </w:tc>
      </w:tr>
      <w:tr w14:paraId="0FD6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17" w:type="dxa"/>
            <w:vMerge w:val="continue"/>
            <w:vAlign w:val="center"/>
          </w:tcPr>
          <w:p w14:paraId="6818C372">
            <w:pPr>
              <w:jc w:val="center"/>
              <w:rPr>
                <w:color w:val="auto"/>
                <w:highlight w:val="none"/>
              </w:rPr>
            </w:pPr>
          </w:p>
        </w:tc>
        <w:tc>
          <w:tcPr>
            <w:tcW w:w="1368" w:type="dxa"/>
            <w:vAlign w:val="center"/>
          </w:tcPr>
          <w:p w14:paraId="12F4C979">
            <w:pPr>
              <w:jc w:val="center"/>
              <w:rPr>
                <w:color w:val="auto"/>
                <w:highlight w:val="none"/>
              </w:rPr>
            </w:pPr>
          </w:p>
        </w:tc>
        <w:tc>
          <w:tcPr>
            <w:tcW w:w="1116" w:type="dxa"/>
            <w:vAlign w:val="center"/>
          </w:tcPr>
          <w:p w14:paraId="7F1331CF">
            <w:pPr>
              <w:jc w:val="center"/>
              <w:rPr>
                <w:color w:val="auto"/>
                <w:highlight w:val="none"/>
              </w:rPr>
            </w:pPr>
          </w:p>
        </w:tc>
        <w:tc>
          <w:tcPr>
            <w:tcW w:w="1272" w:type="dxa"/>
            <w:vAlign w:val="center"/>
          </w:tcPr>
          <w:p w14:paraId="246628A6">
            <w:pPr>
              <w:jc w:val="center"/>
              <w:rPr>
                <w:color w:val="auto"/>
                <w:highlight w:val="none"/>
              </w:rPr>
            </w:pPr>
          </w:p>
        </w:tc>
        <w:tc>
          <w:tcPr>
            <w:tcW w:w="1278" w:type="dxa"/>
            <w:vAlign w:val="center"/>
          </w:tcPr>
          <w:p w14:paraId="5E5618E9">
            <w:pPr>
              <w:jc w:val="center"/>
              <w:rPr>
                <w:color w:val="auto"/>
                <w:highlight w:val="none"/>
              </w:rPr>
            </w:pPr>
          </w:p>
        </w:tc>
        <w:tc>
          <w:tcPr>
            <w:tcW w:w="1290" w:type="dxa"/>
            <w:vAlign w:val="center"/>
          </w:tcPr>
          <w:p w14:paraId="3CA575EB">
            <w:pPr>
              <w:jc w:val="center"/>
              <w:rPr>
                <w:color w:val="auto"/>
                <w:highlight w:val="none"/>
              </w:rPr>
            </w:pPr>
          </w:p>
        </w:tc>
        <w:tc>
          <w:tcPr>
            <w:tcW w:w="1584" w:type="dxa"/>
            <w:vAlign w:val="center"/>
          </w:tcPr>
          <w:p w14:paraId="40EA9F83">
            <w:pPr>
              <w:jc w:val="center"/>
              <w:rPr>
                <w:color w:val="auto"/>
                <w:highlight w:val="none"/>
              </w:rPr>
            </w:pPr>
          </w:p>
        </w:tc>
        <w:tc>
          <w:tcPr>
            <w:tcW w:w="1524" w:type="dxa"/>
            <w:vAlign w:val="center"/>
          </w:tcPr>
          <w:p w14:paraId="2575E7DB">
            <w:pPr>
              <w:jc w:val="center"/>
              <w:rPr>
                <w:color w:val="auto"/>
                <w:highlight w:val="none"/>
              </w:rPr>
            </w:pPr>
          </w:p>
        </w:tc>
      </w:tr>
      <w:tr w14:paraId="78AF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6D6F7E8E">
            <w:pPr>
              <w:jc w:val="center"/>
              <w:rPr>
                <w:color w:val="auto"/>
                <w:highlight w:val="none"/>
              </w:rPr>
            </w:pPr>
            <w:r>
              <w:rPr>
                <w:rFonts w:hint="eastAsia"/>
                <w:color w:val="auto"/>
                <w:szCs w:val="21"/>
                <w:highlight w:val="none"/>
              </w:rPr>
              <w:t>投标报价是否有效</w:t>
            </w:r>
          </w:p>
        </w:tc>
        <w:tc>
          <w:tcPr>
            <w:tcW w:w="1368" w:type="dxa"/>
            <w:vAlign w:val="center"/>
          </w:tcPr>
          <w:p w14:paraId="50A41403">
            <w:pPr>
              <w:jc w:val="center"/>
              <w:rPr>
                <w:color w:val="auto"/>
                <w:highlight w:val="none"/>
              </w:rPr>
            </w:pPr>
          </w:p>
        </w:tc>
        <w:tc>
          <w:tcPr>
            <w:tcW w:w="1116" w:type="dxa"/>
            <w:vAlign w:val="center"/>
          </w:tcPr>
          <w:p w14:paraId="393A5625">
            <w:pPr>
              <w:jc w:val="center"/>
              <w:rPr>
                <w:color w:val="auto"/>
                <w:highlight w:val="none"/>
              </w:rPr>
            </w:pPr>
          </w:p>
        </w:tc>
        <w:tc>
          <w:tcPr>
            <w:tcW w:w="1272" w:type="dxa"/>
            <w:vAlign w:val="center"/>
          </w:tcPr>
          <w:p w14:paraId="658AD01D">
            <w:pPr>
              <w:jc w:val="center"/>
              <w:rPr>
                <w:color w:val="auto"/>
                <w:highlight w:val="none"/>
              </w:rPr>
            </w:pPr>
          </w:p>
        </w:tc>
        <w:tc>
          <w:tcPr>
            <w:tcW w:w="1278" w:type="dxa"/>
            <w:vAlign w:val="center"/>
          </w:tcPr>
          <w:p w14:paraId="1F038C09">
            <w:pPr>
              <w:jc w:val="center"/>
              <w:rPr>
                <w:color w:val="auto"/>
                <w:highlight w:val="none"/>
              </w:rPr>
            </w:pPr>
          </w:p>
        </w:tc>
        <w:tc>
          <w:tcPr>
            <w:tcW w:w="1290" w:type="dxa"/>
            <w:vAlign w:val="center"/>
          </w:tcPr>
          <w:p w14:paraId="7E5520BE">
            <w:pPr>
              <w:jc w:val="center"/>
              <w:rPr>
                <w:color w:val="auto"/>
                <w:highlight w:val="none"/>
              </w:rPr>
            </w:pPr>
          </w:p>
        </w:tc>
        <w:tc>
          <w:tcPr>
            <w:tcW w:w="1584" w:type="dxa"/>
            <w:vAlign w:val="center"/>
          </w:tcPr>
          <w:p w14:paraId="2D3E40AA">
            <w:pPr>
              <w:jc w:val="center"/>
              <w:rPr>
                <w:color w:val="auto"/>
                <w:highlight w:val="none"/>
              </w:rPr>
            </w:pPr>
          </w:p>
        </w:tc>
        <w:tc>
          <w:tcPr>
            <w:tcW w:w="1524" w:type="dxa"/>
            <w:vAlign w:val="center"/>
          </w:tcPr>
          <w:p w14:paraId="7D4FB086">
            <w:pPr>
              <w:jc w:val="center"/>
              <w:rPr>
                <w:color w:val="auto"/>
                <w:highlight w:val="none"/>
              </w:rPr>
            </w:pPr>
          </w:p>
        </w:tc>
      </w:tr>
      <w:tr w14:paraId="0421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57E397F0">
            <w:pPr>
              <w:jc w:val="center"/>
              <w:rPr>
                <w:color w:val="auto"/>
                <w:highlight w:val="none"/>
              </w:rPr>
            </w:pPr>
            <w:r>
              <w:rPr>
                <w:color w:val="auto"/>
                <w:highlight w:val="none"/>
              </w:rPr>
              <w:t>投标报价</w:t>
            </w:r>
          </w:p>
        </w:tc>
        <w:tc>
          <w:tcPr>
            <w:tcW w:w="1368" w:type="dxa"/>
            <w:vAlign w:val="center"/>
          </w:tcPr>
          <w:p w14:paraId="3F87A8D8">
            <w:pPr>
              <w:jc w:val="center"/>
              <w:rPr>
                <w:color w:val="auto"/>
                <w:highlight w:val="none"/>
              </w:rPr>
            </w:pPr>
          </w:p>
        </w:tc>
        <w:tc>
          <w:tcPr>
            <w:tcW w:w="1116" w:type="dxa"/>
            <w:vAlign w:val="center"/>
          </w:tcPr>
          <w:p w14:paraId="411545C4">
            <w:pPr>
              <w:jc w:val="center"/>
              <w:rPr>
                <w:color w:val="auto"/>
                <w:highlight w:val="none"/>
              </w:rPr>
            </w:pPr>
          </w:p>
        </w:tc>
        <w:tc>
          <w:tcPr>
            <w:tcW w:w="1272" w:type="dxa"/>
            <w:vAlign w:val="center"/>
          </w:tcPr>
          <w:p w14:paraId="54378A97">
            <w:pPr>
              <w:jc w:val="center"/>
              <w:rPr>
                <w:color w:val="auto"/>
                <w:highlight w:val="none"/>
              </w:rPr>
            </w:pPr>
          </w:p>
        </w:tc>
        <w:tc>
          <w:tcPr>
            <w:tcW w:w="1278" w:type="dxa"/>
            <w:vAlign w:val="center"/>
          </w:tcPr>
          <w:p w14:paraId="176FA72B">
            <w:pPr>
              <w:jc w:val="center"/>
              <w:rPr>
                <w:color w:val="auto"/>
                <w:highlight w:val="none"/>
              </w:rPr>
            </w:pPr>
          </w:p>
        </w:tc>
        <w:tc>
          <w:tcPr>
            <w:tcW w:w="1290" w:type="dxa"/>
            <w:vAlign w:val="center"/>
          </w:tcPr>
          <w:p w14:paraId="4096A645">
            <w:pPr>
              <w:jc w:val="center"/>
              <w:rPr>
                <w:color w:val="auto"/>
                <w:highlight w:val="none"/>
              </w:rPr>
            </w:pPr>
          </w:p>
        </w:tc>
        <w:tc>
          <w:tcPr>
            <w:tcW w:w="1584" w:type="dxa"/>
            <w:vAlign w:val="center"/>
          </w:tcPr>
          <w:p w14:paraId="24D85288">
            <w:pPr>
              <w:jc w:val="center"/>
              <w:rPr>
                <w:color w:val="auto"/>
                <w:highlight w:val="none"/>
              </w:rPr>
            </w:pPr>
          </w:p>
        </w:tc>
        <w:tc>
          <w:tcPr>
            <w:tcW w:w="1524" w:type="dxa"/>
            <w:vAlign w:val="center"/>
          </w:tcPr>
          <w:p w14:paraId="32394684">
            <w:pPr>
              <w:jc w:val="center"/>
              <w:rPr>
                <w:color w:val="auto"/>
                <w:highlight w:val="none"/>
              </w:rPr>
            </w:pPr>
          </w:p>
        </w:tc>
      </w:tr>
      <w:tr w14:paraId="764C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02D90BFF">
            <w:pPr>
              <w:jc w:val="center"/>
              <w:rPr>
                <w:color w:val="auto"/>
                <w:highlight w:val="none"/>
              </w:rPr>
            </w:pPr>
            <w:r>
              <w:rPr>
                <w:rFonts w:hint="eastAsia"/>
                <w:color w:val="auto"/>
                <w:highlight w:val="none"/>
              </w:rPr>
              <w:t>投标报价</w:t>
            </w:r>
            <w:r>
              <w:rPr>
                <w:color w:val="auto"/>
                <w:highlight w:val="none"/>
              </w:rPr>
              <w:t>得分</w:t>
            </w:r>
          </w:p>
        </w:tc>
        <w:tc>
          <w:tcPr>
            <w:tcW w:w="1368" w:type="dxa"/>
            <w:vAlign w:val="center"/>
          </w:tcPr>
          <w:p w14:paraId="454CE6FF">
            <w:pPr>
              <w:jc w:val="center"/>
              <w:rPr>
                <w:color w:val="auto"/>
                <w:highlight w:val="none"/>
              </w:rPr>
            </w:pPr>
          </w:p>
        </w:tc>
        <w:tc>
          <w:tcPr>
            <w:tcW w:w="1116" w:type="dxa"/>
            <w:vAlign w:val="center"/>
          </w:tcPr>
          <w:p w14:paraId="321067F8">
            <w:pPr>
              <w:jc w:val="center"/>
              <w:rPr>
                <w:color w:val="auto"/>
                <w:highlight w:val="none"/>
              </w:rPr>
            </w:pPr>
          </w:p>
        </w:tc>
        <w:tc>
          <w:tcPr>
            <w:tcW w:w="1272" w:type="dxa"/>
            <w:vAlign w:val="center"/>
          </w:tcPr>
          <w:p w14:paraId="6D91AEBA">
            <w:pPr>
              <w:jc w:val="center"/>
              <w:rPr>
                <w:color w:val="auto"/>
                <w:highlight w:val="none"/>
              </w:rPr>
            </w:pPr>
          </w:p>
        </w:tc>
        <w:tc>
          <w:tcPr>
            <w:tcW w:w="1278" w:type="dxa"/>
            <w:vAlign w:val="center"/>
          </w:tcPr>
          <w:p w14:paraId="05513562">
            <w:pPr>
              <w:jc w:val="center"/>
              <w:rPr>
                <w:color w:val="auto"/>
                <w:highlight w:val="none"/>
              </w:rPr>
            </w:pPr>
          </w:p>
        </w:tc>
        <w:tc>
          <w:tcPr>
            <w:tcW w:w="1290" w:type="dxa"/>
            <w:vAlign w:val="center"/>
          </w:tcPr>
          <w:p w14:paraId="08F9C82F">
            <w:pPr>
              <w:jc w:val="center"/>
              <w:rPr>
                <w:color w:val="auto"/>
                <w:highlight w:val="none"/>
              </w:rPr>
            </w:pPr>
          </w:p>
        </w:tc>
        <w:tc>
          <w:tcPr>
            <w:tcW w:w="1584" w:type="dxa"/>
            <w:vAlign w:val="center"/>
          </w:tcPr>
          <w:p w14:paraId="52BBA8C5">
            <w:pPr>
              <w:jc w:val="center"/>
              <w:rPr>
                <w:color w:val="auto"/>
                <w:highlight w:val="none"/>
              </w:rPr>
            </w:pPr>
          </w:p>
        </w:tc>
        <w:tc>
          <w:tcPr>
            <w:tcW w:w="1524" w:type="dxa"/>
            <w:vAlign w:val="center"/>
          </w:tcPr>
          <w:p w14:paraId="18B72E5E">
            <w:pPr>
              <w:jc w:val="center"/>
              <w:rPr>
                <w:color w:val="auto"/>
                <w:highlight w:val="none"/>
              </w:rPr>
            </w:pPr>
          </w:p>
        </w:tc>
      </w:tr>
      <w:tr w14:paraId="0A95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213DD6A2">
            <w:pPr>
              <w:jc w:val="center"/>
              <w:rPr>
                <w:color w:val="auto"/>
                <w:highlight w:val="none"/>
              </w:rPr>
            </w:pPr>
            <w:r>
              <w:rPr>
                <w:rFonts w:hint="eastAsia" w:cs="宋体"/>
                <w:color w:val="auto"/>
                <w:highlight w:val="none"/>
              </w:rPr>
              <w:t>小微企业加分后投标报价得分（如有）</w:t>
            </w:r>
          </w:p>
        </w:tc>
        <w:tc>
          <w:tcPr>
            <w:tcW w:w="1368" w:type="dxa"/>
            <w:vAlign w:val="center"/>
          </w:tcPr>
          <w:p w14:paraId="4CA91BA2">
            <w:pPr>
              <w:jc w:val="center"/>
              <w:rPr>
                <w:color w:val="auto"/>
                <w:highlight w:val="none"/>
              </w:rPr>
            </w:pPr>
          </w:p>
        </w:tc>
        <w:tc>
          <w:tcPr>
            <w:tcW w:w="1116" w:type="dxa"/>
            <w:vAlign w:val="center"/>
          </w:tcPr>
          <w:p w14:paraId="18F59739">
            <w:pPr>
              <w:jc w:val="center"/>
              <w:rPr>
                <w:color w:val="auto"/>
                <w:highlight w:val="none"/>
              </w:rPr>
            </w:pPr>
          </w:p>
        </w:tc>
        <w:tc>
          <w:tcPr>
            <w:tcW w:w="1272" w:type="dxa"/>
            <w:vAlign w:val="center"/>
          </w:tcPr>
          <w:p w14:paraId="05E2E265">
            <w:pPr>
              <w:jc w:val="center"/>
              <w:rPr>
                <w:color w:val="auto"/>
                <w:highlight w:val="none"/>
              </w:rPr>
            </w:pPr>
          </w:p>
        </w:tc>
        <w:tc>
          <w:tcPr>
            <w:tcW w:w="1278" w:type="dxa"/>
            <w:vAlign w:val="center"/>
          </w:tcPr>
          <w:p w14:paraId="4BB64BF2">
            <w:pPr>
              <w:jc w:val="center"/>
              <w:rPr>
                <w:color w:val="auto"/>
                <w:highlight w:val="none"/>
              </w:rPr>
            </w:pPr>
          </w:p>
        </w:tc>
        <w:tc>
          <w:tcPr>
            <w:tcW w:w="1290" w:type="dxa"/>
            <w:vAlign w:val="center"/>
          </w:tcPr>
          <w:p w14:paraId="54AF6EA1">
            <w:pPr>
              <w:jc w:val="center"/>
              <w:rPr>
                <w:color w:val="auto"/>
                <w:highlight w:val="none"/>
              </w:rPr>
            </w:pPr>
          </w:p>
        </w:tc>
        <w:tc>
          <w:tcPr>
            <w:tcW w:w="1584" w:type="dxa"/>
            <w:vAlign w:val="center"/>
          </w:tcPr>
          <w:p w14:paraId="5F46348F">
            <w:pPr>
              <w:jc w:val="center"/>
              <w:rPr>
                <w:color w:val="auto"/>
                <w:highlight w:val="none"/>
              </w:rPr>
            </w:pPr>
          </w:p>
        </w:tc>
        <w:tc>
          <w:tcPr>
            <w:tcW w:w="1524" w:type="dxa"/>
            <w:vAlign w:val="center"/>
          </w:tcPr>
          <w:p w14:paraId="25BFDF27">
            <w:pPr>
              <w:jc w:val="center"/>
              <w:rPr>
                <w:color w:val="auto"/>
                <w:highlight w:val="none"/>
              </w:rPr>
            </w:pPr>
          </w:p>
        </w:tc>
      </w:tr>
      <w:tr w14:paraId="50A7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698D01F9">
            <w:pPr>
              <w:jc w:val="center"/>
              <w:rPr>
                <w:color w:val="auto"/>
                <w:highlight w:val="none"/>
              </w:rPr>
            </w:pPr>
            <w:r>
              <w:rPr>
                <w:rFonts w:hint="eastAsia"/>
                <w:color w:val="auto"/>
                <w:highlight w:val="none"/>
              </w:rPr>
              <w:t>资信业绩得分</w:t>
            </w:r>
          </w:p>
        </w:tc>
        <w:tc>
          <w:tcPr>
            <w:tcW w:w="1368" w:type="dxa"/>
            <w:vAlign w:val="center"/>
          </w:tcPr>
          <w:p w14:paraId="39EDC8D7">
            <w:pPr>
              <w:jc w:val="center"/>
              <w:rPr>
                <w:color w:val="auto"/>
                <w:highlight w:val="none"/>
              </w:rPr>
            </w:pPr>
          </w:p>
        </w:tc>
        <w:tc>
          <w:tcPr>
            <w:tcW w:w="1116" w:type="dxa"/>
            <w:vAlign w:val="center"/>
          </w:tcPr>
          <w:p w14:paraId="168A9B5B">
            <w:pPr>
              <w:jc w:val="center"/>
              <w:rPr>
                <w:color w:val="auto"/>
                <w:highlight w:val="none"/>
              </w:rPr>
            </w:pPr>
          </w:p>
        </w:tc>
        <w:tc>
          <w:tcPr>
            <w:tcW w:w="1272" w:type="dxa"/>
            <w:vAlign w:val="center"/>
          </w:tcPr>
          <w:p w14:paraId="012244C5">
            <w:pPr>
              <w:jc w:val="center"/>
              <w:rPr>
                <w:color w:val="auto"/>
                <w:highlight w:val="none"/>
              </w:rPr>
            </w:pPr>
          </w:p>
        </w:tc>
        <w:tc>
          <w:tcPr>
            <w:tcW w:w="1278" w:type="dxa"/>
            <w:vAlign w:val="center"/>
          </w:tcPr>
          <w:p w14:paraId="0A3D16BB">
            <w:pPr>
              <w:jc w:val="center"/>
              <w:rPr>
                <w:color w:val="auto"/>
                <w:highlight w:val="none"/>
              </w:rPr>
            </w:pPr>
          </w:p>
        </w:tc>
        <w:tc>
          <w:tcPr>
            <w:tcW w:w="1290" w:type="dxa"/>
            <w:vAlign w:val="center"/>
          </w:tcPr>
          <w:p w14:paraId="0865F0DA">
            <w:pPr>
              <w:jc w:val="center"/>
              <w:rPr>
                <w:color w:val="auto"/>
                <w:highlight w:val="none"/>
              </w:rPr>
            </w:pPr>
          </w:p>
        </w:tc>
        <w:tc>
          <w:tcPr>
            <w:tcW w:w="1584" w:type="dxa"/>
            <w:vAlign w:val="center"/>
          </w:tcPr>
          <w:p w14:paraId="11B87DC9">
            <w:pPr>
              <w:jc w:val="center"/>
              <w:rPr>
                <w:color w:val="auto"/>
                <w:highlight w:val="none"/>
              </w:rPr>
            </w:pPr>
          </w:p>
        </w:tc>
        <w:tc>
          <w:tcPr>
            <w:tcW w:w="1524" w:type="dxa"/>
            <w:vAlign w:val="center"/>
          </w:tcPr>
          <w:p w14:paraId="729E058B">
            <w:pPr>
              <w:jc w:val="center"/>
              <w:rPr>
                <w:color w:val="auto"/>
                <w:highlight w:val="none"/>
              </w:rPr>
            </w:pPr>
          </w:p>
        </w:tc>
      </w:tr>
      <w:tr w14:paraId="26A7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3A073EB2">
            <w:pPr>
              <w:jc w:val="center"/>
              <w:rPr>
                <w:color w:val="auto"/>
                <w:highlight w:val="none"/>
              </w:rPr>
            </w:pPr>
            <w:r>
              <w:rPr>
                <w:rFonts w:hint="eastAsia"/>
                <w:color w:val="auto"/>
                <w:highlight w:val="none"/>
              </w:rPr>
              <w:t>商务标得分（</w:t>
            </w:r>
            <w:r>
              <w:rPr>
                <w:color w:val="auto"/>
                <w:highlight w:val="none"/>
              </w:rPr>
              <w:t>满分</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p>
        </w:tc>
        <w:tc>
          <w:tcPr>
            <w:tcW w:w="1368" w:type="dxa"/>
            <w:vAlign w:val="center"/>
          </w:tcPr>
          <w:p w14:paraId="22A1103C">
            <w:pPr>
              <w:jc w:val="center"/>
              <w:rPr>
                <w:color w:val="auto"/>
                <w:highlight w:val="none"/>
              </w:rPr>
            </w:pPr>
          </w:p>
        </w:tc>
        <w:tc>
          <w:tcPr>
            <w:tcW w:w="1116" w:type="dxa"/>
            <w:vAlign w:val="center"/>
          </w:tcPr>
          <w:p w14:paraId="1C8B6596">
            <w:pPr>
              <w:jc w:val="center"/>
              <w:rPr>
                <w:color w:val="auto"/>
                <w:highlight w:val="none"/>
              </w:rPr>
            </w:pPr>
          </w:p>
        </w:tc>
        <w:tc>
          <w:tcPr>
            <w:tcW w:w="1272" w:type="dxa"/>
            <w:vAlign w:val="center"/>
          </w:tcPr>
          <w:p w14:paraId="154558E3">
            <w:pPr>
              <w:jc w:val="center"/>
              <w:rPr>
                <w:color w:val="auto"/>
                <w:highlight w:val="none"/>
              </w:rPr>
            </w:pPr>
          </w:p>
        </w:tc>
        <w:tc>
          <w:tcPr>
            <w:tcW w:w="1278" w:type="dxa"/>
            <w:vAlign w:val="center"/>
          </w:tcPr>
          <w:p w14:paraId="637C3743">
            <w:pPr>
              <w:jc w:val="center"/>
              <w:rPr>
                <w:color w:val="auto"/>
                <w:highlight w:val="none"/>
              </w:rPr>
            </w:pPr>
          </w:p>
        </w:tc>
        <w:tc>
          <w:tcPr>
            <w:tcW w:w="1290" w:type="dxa"/>
            <w:vAlign w:val="center"/>
          </w:tcPr>
          <w:p w14:paraId="1B791BE8">
            <w:pPr>
              <w:jc w:val="center"/>
              <w:rPr>
                <w:color w:val="auto"/>
                <w:highlight w:val="none"/>
              </w:rPr>
            </w:pPr>
          </w:p>
        </w:tc>
        <w:tc>
          <w:tcPr>
            <w:tcW w:w="1584" w:type="dxa"/>
            <w:vAlign w:val="center"/>
          </w:tcPr>
          <w:p w14:paraId="04A97FD2">
            <w:pPr>
              <w:jc w:val="center"/>
              <w:rPr>
                <w:color w:val="auto"/>
                <w:highlight w:val="none"/>
              </w:rPr>
            </w:pPr>
          </w:p>
        </w:tc>
        <w:tc>
          <w:tcPr>
            <w:tcW w:w="1524" w:type="dxa"/>
            <w:vAlign w:val="center"/>
          </w:tcPr>
          <w:p w14:paraId="4FD583C3">
            <w:pPr>
              <w:jc w:val="center"/>
              <w:rPr>
                <w:color w:val="auto"/>
                <w:highlight w:val="none"/>
              </w:rPr>
            </w:pPr>
          </w:p>
        </w:tc>
      </w:tr>
      <w:tr w14:paraId="76C2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vAlign w:val="center"/>
          </w:tcPr>
          <w:p w14:paraId="250592AC">
            <w:pPr>
              <w:jc w:val="center"/>
              <w:rPr>
                <w:color w:val="auto"/>
                <w:highlight w:val="none"/>
              </w:rPr>
            </w:pPr>
            <w:r>
              <w:rPr>
                <w:rFonts w:hint="eastAsia"/>
                <w:color w:val="auto"/>
                <w:highlight w:val="none"/>
              </w:rPr>
              <w:t>最高投标限价（</w:t>
            </w:r>
            <w:r>
              <w:rPr>
                <w:color w:val="auto"/>
                <w:highlight w:val="none"/>
              </w:rPr>
              <w:t>如有</w:t>
            </w:r>
            <w:r>
              <w:rPr>
                <w:rFonts w:hint="eastAsia"/>
                <w:color w:val="auto"/>
                <w:highlight w:val="none"/>
              </w:rPr>
              <w:t>）</w:t>
            </w:r>
          </w:p>
        </w:tc>
        <w:tc>
          <w:tcPr>
            <w:tcW w:w="9432" w:type="dxa"/>
            <w:gridSpan w:val="7"/>
            <w:vAlign w:val="center"/>
          </w:tcPr>
          <w:p w14:paraId="4BC3228B">
            <w:pPr>
              <w:jc w:val="left"/>
              <w:rPr>
                <w:color w:val="auto"/>
                <w:highlight w:val="none"/>
              </w:rPr>
            </w:pPr>
          </w:p>
        </w:tc>
      </w:tr>
    </w:tbl>
    <w:p w14:paraId="34BE4C27">
      <w:pPr>
        <w:rPr>
          <w:rFonts w:eastAsia="楷体_GB2312"/>
          <w:b/>
          <w:bCs/>
          <w:color w:val="auto"/>
          <w:szCs w:val="21"/>
          <w:highlight w:val="none"/>
        </w:rPr>
      </w:pPr>
      <w:r>
        <w:rPr>
          <w:rFonts w:eastAsia="楷体_GB2312"/>
          <w:b/>
          <w:bCs/>
          <w:color w:val="auto"/>
          <w:highlight w:val="none"/>
        </w:rPr>
        <w:t>备注：本表可根据评分办法的需要进行调整</w:t>
      </w:r>
      <w:r>
        <w:rPr>
          <w:rFonts w:hint="eastAsia" w:eastAsia="楷体_GB2312"/>
          <w:b/>
          <w:bCs/>
          <w:color w:val="auto"/>
          <w:highlight w:val="none"/>
        </w:rPr>
        <w:t>。投标报价单位</w:t>
      </w:r>
      <w:r>
        <w:rPr>
          <w:rFonts w:eastAsia="楷体_GB2312"/>
          <w:b/>
          <w:bCs/>
          <w:color w:val="auto"/>
          <w:highlight w:val="none"/>
        </w:rPr>
        <w:t>：</w:t>
      </w:r>
      <w:r>
        <w:rPr>
          <w:rFonts w:hint="eastAsia" w:eastAsia="楷体_GB2312"/>
          <w:b/>
          <w:bCs/>
          <w:color w:val="auto"/>
          <w:highlight w:val="none"/>
        </w:rPr>
        <w:t>人民币元。</w:t>
      </w:r>
    </w:p>
    <w:p w14:paraId="0188A32F">
      <w:pPr>
        <w:rPr>
          <w:rFonts w:eastAsia="楷体_GB2312"/>
          <w:color w:val="auto"/>
          <w:szCs w:val="21"/>
          <w:highlight w:val="none"/>
        </w:rPr>
      </w:pPr>
    </w:p>
    <w:p w14:paraId="3C6620E0">
      <w:pPr>
        <w:rPr>
          <w:color w:val="auto"/>
          <w:highlight w:val="none"/>
        </w:rPr>
      </w:pPr>
      <w:r>
        <w:rPr>
          <w:rFonts w:hint="eastAsia"/>
          <w:color w:val="auto"/>
          <w:highlight w:val="none"/>
        </w:rPr>
        <w:t>商务标评审评委</w:t>
      </w:r>
      <w:r>
        <w:rPr>
          <w:color w:val="auto"/>
          <w:highlight w:val="none"/>
        </w:rPr>
        <w:t>签名：                                                                    日期：        年     月     日</w:t>
      </w:r>
    </w:p>
    <w:p w14:paraId="493D7C6B">
      <w:pPr>
        <w:rPr>
          <w:color w:val="auto"/>
          <w:szCs w:val="44"/>
          <w:highlight w:val="none"/>
        </w:rPr>
      </w:pPr>
    </w:p>
    <w:p w14:paraId="29A26302">
      <w:pPr>
        <w:rPr>
          <w:color w:val="auto"/>
          <w:szCs w:val="44"/>
          <w:highlight w:val="none"/>
        </w:rPr>
      </w:pPr>
    </w:p>
    <w:p w14:paraId="74FA0493">
      <w:pPr>
        <w:rPr>
          <w:color w:val="auto"/>
          <w:szCs w:val="44"/>
          <w:highlight w:val="none"/>
        </w:rPr>
      </w:pPr>
    </w:p>
    <w:p w14:paraId="03AD2C2C">
      <w:pPr>
        <w:rPr>
          <w:color w:val="auto"/>
          <w:szCs w:val="44"/>
          <w:highlight w:val="none"/>
        </w:rPr>
      </w:pPr>
    </w:p>
    <w:p w14:paraId="5967FB3F">
      <w:pPr>
        <w:rPr>
          <w:color w:val="auto"/>
          <w:szCs w:val="44"/>
          <w:highlight w:val="none"/>
        </w:rPr>
      </w:pPr>
    </w:p>
    <w:p w14:paraId="3AA36A3C">
      <w:pPr>
        <w:rPr>
          <w:color w:val="auto"/>
          <w:szCs w:val="44"/>
          <w:highlight w:val="none"/>
        </w:rPr>
      </w:pPr>
    </w:p>
    <w:p w14:paraId="3DEEB907">
      <w:pPr>
        <w:spacing w:line="440" w:lineRule="exact"/>
        <w:rPr>
          <w:b/>
          <w:color w:val="auto"/>
          <w:highlight w:val="none"/>
        </w:rPr>
      </w:pPr>
      <w:r>
        <w:rPr>
          <w:rFonts w:eastAsia="黑体"/>
          <w:color w:val="auto"/>
          <w:highlight w:val="none"/>
        </w:rPr>
        <w:br w:type="page"/>
      </w:r>
      <w:r>
        <w:rPr>
          <w:b/>
          <w:color w:val="auto"/>
          <w:highlight w:val="none"/>
        </w:rPr>
        <w:t xml:space="preserve"> 附表A-</w:t>
      </w:r>
      <w:r>
        <w:rPr>
          <w:rFonts w:hint="eastAsia"/>
          <w:b/>
          <w:color w:val="auto"/>
          <w:highlight w:val="none"/>
        </w:rPr>
        <w:t>8</w:t>
      </w:r>
      <w:r>
        <w:rPr>
          <w:b/>
          <w:color w:val="auto"/>
          <w:highlight w:val="none"/>
        </w:rPr>
        <w:t>：</w:t>
      </w:r>
      <w:r>
        <w:rPr>
          <w:rFonts w:hint="eastAsia"/>
          <w:b/>
          <w:color w:val="auto"/>
          <w:highlight w:val="none"/>
        </w:rPr>
        <w:t>技术标评</w:t>
      </w:r>
      <w:r>
        <w:rPr>
          <w:b/>
          <w:color w:val="auto"/>
          <w:highlight w:val="none"/>
        </w:rPr>
        <w:t>审记录表</w:t>
      </w:r>
    </w:p>
    <w:p w14:paraId="52426DBD">
      <w:pPr>
        <w:spacing w:line="440" w:lineRule="exact"/>
        <w:jc w:val="center"/>
        <w:rPr>
          <w:color w:val="auto"/>
          <w:highlight w:val="none"/>
        </w:rPr>
      </w:pPr>
      <w:r>
        <w:rPr>
          <w:rFonts w:hint="eastAsia" w:eastAsia="黑体"/>
          <w:color w:val="auto"/>
          <w:sz w:val="28"/>
          <w:szCs w:val="28"/>
          <w:highlight w:val="none"/>
        </w:rPr>
        <w:t>技术标</w:t>
      </w:r>
      <w:r>
        <w:rPr>
          <w:rFonts w:eastAsia="黑体"/>
          <w:color w:val="auto"/>
          <w:sz w:val="28"/>
          <w:szCs w:val="28"/>
          <w:highlight w:val="none"/>
        </w:rPr>
        <w:t>评审记录表</w:t>
      </w:r>
    </w:p>
    <w:p w14:paraId="6FB731B8">
      <w:pPr>
        <w:spacing w:after="72" w:afterLines="30" w:line="440" w:lineRule="exact"/>
        <w:rPr>
          <w:color w:val="auto"/>
          <w:highlight w:val="none"/>
        </w:rPr>
      </w:pPr>
      <w:r>
        <w:rPr>
          <w:rFonts w:hint="eastAsia"/>
          <w:color w:val="auto"/>
          <w:highlight w:val="none"/>
        </w:rPr>
        <w:t>项目</w:t>
      </w:r>
      <w:r>
        <w:rPr>
          <w:color w:val="auto"/>
          <w:highlight w:val="none"/>
        </w:rPr>
        <w:t>名称</w:t>
      </w:r>
      <w:r>
        <w:rPr>
          <w:rFonts w:hint="eastAsia"/>
          <w:color w:val="auto"/>
          <w:highlight w:val="none"/>
        </w:rPr>
        <w:t>及项目招标编号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0"/>
        <w:tblW w:w="16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519"/>
        <w:gridCol w:w="2220"/>
        <w:gridCol w:w="1261"/>
        <w:gridCol w:w="1261"/>
        <w:gridCol w:w="1261"/>
        <w:gridCol w:w="1261"/>
        <w:gridCol w:w="1261"/>
        <w:gridCol w:w="1261"/>
        <w:gridCol w:w="1261"/>
        <w:gridCol w:w="1261"/>
        <w:gridCol w:w="1261"/>
      </w:tblGrid>
      <w:tr w14:paraId="7D5B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vAlign w:val="center"/>
          </w:tcPr>
          <w:p w14:paraId="1D54DBF5">
            <w:pPr>
              <w:spacing w:after="72" w:afterLines="30" w:line="440" w:lineRule="exact"/>
              <w:jc w:val="center"/>
              <w:rPr>
                <w:color w:val="auto"/>
                <w:highlight w:val="none"/>
              </w:rPr>
            </w:pPr>
            <w:r>
              <w:rPr>
                <w:color w:val="auto"/>
                <w:highlight w:val="none"/>
              </w:rPr>
              <w:t>序号</w:t>
            </w:r>
          </w:p>
        </w:tc>
        <w:tc>
          <w:tcPr>
            <w:tcW w:w="3739" w:type="dxa"/>
            <w:gridSpan w:val="2"/>
            <w:vMerge w:val="restart"/>
            <w:vAlign w:val="center"/>
          </w:tcPr>
          <w:p w14:paraId="2779EE97">
            <w:pPr>
              <w:jc w:val="center"/>
              <w:rPr>
                <w:color w:val="auto"/>
                <w:highlight w:val="none"/>
              </w:rPr>
            </w:pPr>
            <w:r>
              <w:rPr>
                <w:color w:val="auto"/>
                <w:highlight w:val="none"/>
              </w:rPr>
              <w:t>评审因素</w:t>
            </w:r>
          </w:p>
        </w:tc>
        <w:tc>
          <w:tcPr>
            <w:tcW w:w="11349" w:type="dxa"/>
            <w:gridSpan w:val="9"/>
            <w:vAlign w:val="center"/>
          </w:tcPr>
          <w:p w14:paraId="2DE97395">
            <w:pPr>
              <w:jc w:val="center"/>
              <w:rPr>
                <w:color w:val="auto"/>
                <w:highlight w:val="none"/>
              </w:rPr>
            </w:pPr>
            <w:r>
              <w:rPr>
                <w:color w:val="auto"/>
                <w:highlight w:val="none"/>
              </w:rPr>
              <w:t>投标人名称及评审</w:t>
            </w:r>
            <w:r>
              <w:rPr>
                <w:rFonts w:hint="eastAsia"/>
                <w:color w:val="auto"/>
                <w:highlight w:val="none"/>
              </w:rPr>
              <w:t>评级</w:t>
            </w:r>
          </w:p>
          <w:p w14:paraId="7DCEE3AD">
            <w:pPr>
              <w:jc w:val="center"/>
              <w:rPr>
                <w:color w:val="auto"/>
                <w:highlight w:val="none"/>
              </w:rPr>
            </w:pPr>
          </w:p>
        </w:tc>
      </w:tr>
      <w:tr w14:paraId="32F41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vAlign w:val="center"/>
          </w:tcPr>
          <w:p w14:paraId="7B3255BA">
            <w:pPr>
              <w:jc w:val="center"/>
              <w:rPr>
                <w:rFonts w:eastAsia="黑体"/>
                <w:color w:val="auto"/>
                <w:highlight w:val="none"/>
              </w:rPr>
            </w:pPr>
          </w:p>
        </w:tc>
        <w:tc>
          <w:tcPr>
            <w:tcW w:w="3739" w:type="dxa"/>
            <w:gridSpan w:val="2"/>
            <w:vMerge w:val="continue"/>
            <w:vAlign w:val="center"/>
          </w:tcPr>
          <w:p w14:paraId="01B66192">
            <w:pPr>
              <w:jc w:val="center"/>
              <w:rPr>
                <w:color w:val="auto"/>
                <w:highlight w:val="none"/>
              </w:rPr>
            </w:pPr>
          </w:p>
        </w:tc>
        <w:tc>
          <w:tcPr>
            <w:tcW w:w="1261" w:type="dxa"/>
            <w:vAlign w:val="center"/>
          </w:tcPr>
          <w:p w14:paraId="5D076995">
            <w:pPr>
              <w:jc w:val="center"/>
              <w:rPr>
                <w:color w:val="auto"/>
                <w:highlight w:val="none"/>
              </w:rPr>
            </w:pPr>
          </w:p>
        </w:tc>
        <w:tc>
          <w:tcPr>
            <w:tcW w:w="1261" w:type="dxa"/>
            <w:vAlign w:val="center"/>
          </w:tcPr>
          <w:p w14:paraId="27A50473">
            <w:pPr>
              <w:jc w:val="center"/>
              <w:rPr>
                <w:color w:val="auto"/>
                <w:highlight w:val="none"/>
              </w:rPr>
            </w:pPr>
          </w:p>
        </w:tc>
        <w:tc>
          <w:tcPr>
            <w:tcW w:w="1261" w:type="dxa"/>
            <w:vAlign w:val="center"/>
          </w:tcPr>
          <w:p w14:paraId="470FBBB6">
            <w:pPr>
              <w:jc w:val="center"/>
              <w:rPr>
                <w:color w:val="auto"/>
                <w:highlight w:val="none"/>
              </w:rPr>
            </w:pPr>
          </w:p>
        </w:tc>
        <w:tc>
          <w:tcPr>
            <w:tcW w:w="1261" w:type="dxa"/>
            <w:vAlign w:val="center"/>
          </w:tcPr>
          <w:p w14:paraId="31514682">
            <w:pPr>
              <w:jc w:val="center"/>
              <w:rPr>
                <w:color w:val="auto"/>
                <w:highlight w:val="none"/>
              </w:rPr>
            </w:pPr>
          </w:p>
        </w:tc>
        <w:tc>
          <w:tcPr>
            <w:tcW w:w="1261" w:type="dxa"/>
            <w:vAlign w:val="center"/>
          </w:tcPr>
          <w:p w14:paraId="362B794E">
            <w:pPr>
              <w:jc w:val="center"/>
              <w:rPr>
                <w:color w:val="auto"/>
                <w:highlight w:val="none"/>
              </w:rPr>
            </w:pPr>
          </w:p>
        </w:tc>
        <w:tc>
          <w:tcPr>
            <w:tcW w:w="1261" w:type="dxa"/>
            <w:vAlign w:val="center"/>
          </w:tcPr>
          <w:p w14:paraId="1AD3AB13">
            <w:pPr>
              <w:jc w:val="center"/>
              <w:rPr>
                <w:color w:val="auto"/>
                <w:highlight w:val="none"/>
              </w:rPr>
            </w:pPr>
          </w:p>
        </w:tc>
        <w:tc>
          <w:tcPr>
            <w:tcW w:w="1261" w:type="dxa"/>
            <w:vAlign w:val="center"/>
          </w:tcPr>
          <w:p w14:paraId="0D3C2545">
            <w:pPr>
              <w:jc w:val="center"/>
              <w:rPr>
                <w:color w:val="auto"/>
                <w:highlight w:val="none"/>
              </w:rPr>
            </w:pPr>
          </w:p>
        </w:tc>
        <w:tc>
          <w:tcPr>
            <w:tcW w:w="1261" w:type="dxa"/>
            <w:vAlign w:val="center"/>
          </w:tcPr>
          <w:p w14:paraId="4828C67A">
            <w:pPr>
              <w:jc w:val="center"/>
              <w:rPr>
                <w:color w:val="auto"/>
                <w:highlight w:val="none"/>
              </w:rPr>
            </w:pPr>
          </w:p>
        </w:tc>
        <w:tc>
          <w:tcPr>
            <w:tcW w:w="1261" w:type="dxa"/>
            <w:vAlign w:val="center"/>
          </w:tcPr>
          <w:p w14:paraId="5B1B923C">
            <w:pPr>
              <w:jc w:val="center"/>
              <w:rPr>
                <w:color w:val="auto"/>
                <w:highlight w:val="none"/>
              </w:rPr>
            </w:pPr>
          </w:p>
        </w:tc>
      </w:tr>
      <w:tr w14:paraId="75C80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98AF0E9">
            <w:pPr>
              <w:spacing w:line="360" w:lineRule="atLeast"/>
              <w:jc w:val="center"/>
              <w:rPr>
                <w:rFonts w:eastAsia="黑体"/>
                <w:color w:val="auto"/>
                <w:highlight w:val="none"/>
              </w:rPr>
            </w:pPr>
            <w:r>
              <w:rPr>
                <w:rFonts w:eastAsia="黑体"/>
                <w:color w:val="auto"/>
                <w:highlight w:val="none"/>
              </w:rPr>
              <w:t>1</w:t>
            </w:r>
          </w:p>
        </w:tc>
        <w:tc>
          <w:tcPr>
            <w:tcW w:w="1519" w:type="dxa"/>
            <w:vMerge w:val="restart"/>
            <w:vAlign w:val="center"/>
          </w:tcPr>
          <w:p w14:paraId="74CEC651">
            <w:pPr>
              <w:spacing w:line="341" w:lineRule="exact"/>
              <w:jc w:val="center"/>
              <w:rPr>
                <w:color w:val="auto"/>
                <w:spacing w:val="-1"/>
                <w:highlight w:val="none"/>
              </w:rPr>
            </w:pPr>
            <w:r>
              <w:rPr>
                <w:rFonts w:hint="eastAsia"/>
                <w:color w:val="auto"/>
                <w:spacing w:val="-1"/>
                <w:highlight w:val="none"/>
              </w:rPr>
              <w:t>设计实施人员配备</w:t>
            </w:r>
          </w:p>
        </w:tc>
        <w:tc>
          <w:tcPr>
            <w:tcW w:w="2220" w:type="dxa"/>
            <w:vAlign w:val="center"/>
          </w:tcPr>
          <w:p w14:paraId="7E438DA2">
            <w:pPr>
              <w:spacing w:line="341" w:lineRule="exact"/>
              <w:jc w:val="center"/>
              <w:rPr>
                <w:color w:val="auto"/>
                <w:spacing w:val="-1"/>
                <w:highlight w:val="none"/>
              </w:rPr>
            </w:pPr>
            <w:r>
              <w:rPr>
                <w:rFonts w:hint="eastAsia"/>
                <w:color w:val="auto"/>
                <w:spacing w:val="-1"/>
                <w:highlight w:val="none"/>
              </w:rPr>
              <w:t>（1）设计实施人员配备</w:t>
            </w:r>
          </w:p>
        </w:tc>
        <w:tc>
          <w:tcPr>
            <w:tcW w:w="1261" w:type="dxa"/>
            <w:vAlign w:val="center"/>
          </w:tcPr>
          <w:p w14:paraId="5915711F">
            <w:pPr>
              <w:spacing w:line="360" w:lineRule="atLeast"/>
              <w:jc w:val="center"/>
              <w:rPr>
                <w:color w:val="auto"/>
                <w:highlight w:val="none"/>
              </w:rPr>
            </w:pPr>
          </w:p>
        </w:tc>
        <w:tc>
          <w:tcPr>
            <w:tcW w:w="1261" w:type="dxa"/>
            <w:vAlign w:val="center"/>
          </w:tcPr>
          <w:p w14:paraId="35BA3D16">
            <w:pPr>
              <w:spacing w:line="360" w:lineRule="atLeast"/>
              <w:jc w:val="center"/>
              <w:rPr>
                <w:color w:val="auto"/>
                <w:highlight w:val="none"/>
              </w:rPr>
            </w:pPr>
          </w:p>
        </w:tc>
        <w:tc>
          <w:tcPr>
            <w:tcW w:w="1261" w:type="dxa"/>
            <w:vAlign w:val="center"/>
          </w:tcPr>
          <w:p w14:paraId="781A0B29">
            <w:pPr>
              <w:spacing w:line="360" w:lineRule="atLeast"/>
              <w:jc w:val="center"/>
              <w:rPr>
                <w:color w:val="auto"/>
                <w:highlight w:val="none"/>
              </w:rPr>
            </w:pPr>
          </w:p>
        </w:tc>
        <w:tc>
          <w:tcPr>
            <w:tcW w:w="1261" w:type="dxa"/>
            <w:vAlign w:val="center"/>
          </w:tcPr>
          <w:p w14:paraId="469375D5">
            <w:pPr>
              <w:spacing w:line="360" w:lineRule="atLeast"/>
              <w:jc w:val="center"/>
              <w:rPr>
                <w:color w:val="auto"/>
                <w:highlight w:val="none"/>
              </w:rPr>
            </w:pPr>
          </w:p>
        </w:tc>
        <w:tc>
          <w:tcPr>
            <w:tcW w:w="1261" w:type="dxa"/>
            <w:vAlign w:val="center"/>
          </w:tcPr>
          <w:p w14:paraId="610945CB">
            <w:pPr>
              <w:spacing w:line="360" w:lineRule="atLeast"/>
              <w:jc w:val="center"/>
              <w:rPr>
                <w:color w:val="auto"/>
                <w:highlight w:val="none"/>
              </w:rPr>
            </w:pPr>
          </w:p>
        </w:tc>
        <w:tc>
          <w:tcPr>
            <w:tcW w:w="1261" w:type="dxa"/>
            <w:vAlign w:val="center"/>
          </w:tcPr>
          <w:p w14:paraId="46A199BA">
            <w:pPr>
              <w:spacing w:line="360" w:lineRule="atLeast"/>
              <w:jc w:val="center"/>
              <w:rPr>
                <w:color w:val="auto"/>
                <w:highlight w:val="none"/>
              </w:rPr>
            </w:pPr>
          </w:p>
        </w:tc>
        <w:tc>
          <w:tcPr>
            <w:tcW w:w="1261" w:type="dxa"/>
            <w:vAlign w:val="center"/>
          </w:tcPr>
          <w:p w14:paraId="425646AD">
            <w:pPr>
              <w:spacing w:line="360" w:lineRule="atLeast"/>
              <w:jc w:val="center"/>
              <w:rPr>
                <w:color w:val="auto"/>
                <w:highlight w:val="none"/>
              </w:rPr>
            </w:pPr>
          </w:p>
        </w:tc>
        <w:tc>
          <w:tcPr>
            <w:tcW w:w="1261" w:type="dxa"/>
            <w:vAlign w:val="center"/>
          </w:tcPr>
          <w:p w14:paraId="61B43BAE">
            <w:pPr>
              <w:spacing w:line="360" w:lineRule="atLeast"/>
              <w:jc w:val="center"/>
              <w:rPr>
                <w:color w:val="auto"/>
                <w:highlight w:val="none"/>
              </w:rPr>
            </w:pPr>
          </w:p>
        </w:tc>
        <w:tc>
          <w:tcPr>
            <w:tcW w:w="1261" w:type="dxa"/>
            <w:vAlign w:val="center"/>
          </w:tcPr>
          <w:p w14:paraId="27DFE898">
            <w:pPr>
              <w:spacing w:line="360" w:lineRule="atLeast"/>
              <w:jc w:val="center"/>
              <w:rPr>
                <w:color w:val="auto"/>
                <w:highlight w:val="none"/>
              </w:rPr>
            </w:pPr>
          </w:p>
        </w:tc>
      </w:tr>
      <w:tr w14:paraId="41AB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31D35D2">
            <w:pPr>
              <w:spacing w:line="360" w:lineRule="atLeast"/>
              <w:jc w:val="center"/>
              <w:rPr>
                <w:rFonts w:eastAsia="黑体"/>
                <w:color w:val="auto"/>
                <w:highlight w:val="none"/>
              </w:rPr>
            </w:pPr>
            <w:r>
              <w:rPr>
                <w:rFonts w:eastAsia="黑体"/>
                <w:color w:val="auto"/>
                <w:highlight w:val="none"/>
              </w:rPr>
              <w:t>2</w:t>
            </w:r>
          </w:p>
        </w:tc>
        <w:tc>
          <w:tcPr>
            <w:tcW w:w="1519" w:type="dxa"/>
            <w:vMerge w:val="continue"/>
            <w:vAlign w:val="center"/>
          </w:tcPr>
          <w:p w14:paraId="1139C3AE">
            <w:pPr>
              <w:spacing w:line="341" w:lineRule="exact"/>
              <w:jc w:val="center"/>
              <w:rPr>
                <w:color w:val="auto"/>
                <w:spacing w:val="-1"/>
                <w:highlight w:val="none"/>
              </w:rPr>
            </w:pPr>
          </w:p>
        </w:tc>
        <w:tc>
          <w:tcPr>
            <w:tcW w:w="2220" w:type="dxa"/>
            <w:vAlign w:val="center"/>
          </w:tcPr>
          <w:p w14:paraId="26883424">
            <w:pPr>
              <w:spacing w:line="341" w:lineRule="exact"/>
              <w:jc w:val="center"/>
              <w:rPr>
                <w:color w:val="auto"/>
                <w:spacing w:val="-1"/>
                <w:highlight w:val="none"/>
              </w:rPr>
            </w:pPr>
            <w:r>
              <w:rPr>
                <w:rFonts w:hint="eastAsia"/>
                <w:color w:val="auto"/>
                <w:spacing w:val="-1"/>
                <w:highlight w:val="none"/>
              </w:rPr>
              <w:t>（2）其他主要设计人员</w:t>
            </w:r>
            <w:r>
              <w:rPr>
                <w:rFonts w:hint="eastAsia" w:cs="宋体"/>
                <w:color w:val="auto"/>
                <w:kern w:val="0"/>
                <w:highlight w:val="none"/>
              </w:rPr>
              <w:t>要求</w:t>
            </w:r>
          </w:p>
        </w:tc>
        <w:tc>
          <w:tcPr>
            <w:tcW w:w="1261" w:type="dxa"/>
            <w:vAlign w:val="center"/>
          </w:tcPr>
          <w:p w14:paraId="07BA7AF4">
            <w:pPr>
              <w:spacing w:line="360" w:lineRule="atLeast"/>
              <w:jc w:val="center"/>
              <w:rPr>
                <w:color w:val="auto"/>
                <w:highlight w:val="none"/>
              </w:rPr>
            </w:pPr>
          </w:p>
        </w:tc>
        <w:tc>
          <w:tcPr>
            <w:tcW w:w="1261" w:type="dxa"/>
            <w:vAlign w:val="center"/>
          </w:tcPr>
          <w:p w14:paraId="12B8EF75">
            <w:pPr>
              <w:spacing w:line="360" w:lineRule="atLeast"/>
              <w:jc w:val="center"/>
              <w:rPr>
                <w:color w:val="auto"/>
                <w:highlight w:val="none"/>
              </w:rPr>
            </w:pPr>
          </w:p>
        </w:tc>
        <w:tc>
          <w:tcPr>
            <w:tcW w:w="1261" w:type="dxa"/>
            <w:vAlign w:val="center"/>
          </w:tcPr>
          <w:p w14:paraId="4C73D336">
            <w:pPr>
              <w:spacing w:line="360" w:lineRule="atLeast"/>
              <w:jc w:val="center"/>
              <w:rPr>
                <w:color w:val="auto"/>
                <w:highlight w:val="none"/>
              </w:rPr>
            </w:pPr>
          </w:p>
        </w:tc>
        <w:tc>
          <w:tcPr>
            <w:tcW w:w="1261" w:type="dxa"/>
            <w:vAlign w:val="center"/>
          </w:tcPr>
          <w:p w14:paraId="61F5FCE4">
            <w:pPr>
              <w:spacing w:line="360" w:lineRule="atLeast"/>
              <w:jc w:val="center"/>
              <w:rPr>
                <w:color w:val="auto"/>
                <w:highlight w:val="none"/>
              </w:rPr>
            </w:pPr>
          </w:p>
        </w:tc>
        <w:tc>
          <w:tcPr>
            <w:tcW w:w="1261" w:type="dxa"/>
            <w:vAlign w:val="center"/>
          </w:tcPr>
          <w:p w14:paraId="61F6A047">
            <w:pPr>
              <w:spacing w:line="360" w:lineRule="atLeast"/>
              <w:jc w:val="center"/>
              <w:rPr>
                <w:color w:val="auto"/>
                <w:highlight w:val="none"/>
              </w:rPr>
            </w:pPr>
          </w:p>
        </w:tc>
        <w:tc>
          <w:tcPr>
            <w:tcW w:w="1261" w:type="dxa"/>
            <w:vAlign w:val="center"/>
          </w:tcPr>
          <w:p w14:paraId="41D4AE25">
            <w:pPr>
              <w:spacing w:line="360" w:lineRule="atLeast"/>
              <w:jc w:val="center"/>
              <w:rPr>
                <w:color w:val="auto"/>
                <w:highlight w:val="none"/>
              </w:rPr>
            </w:pPr>
          </w:p>
        </w:tc>
        <w:tc>
          <w:tcPr>
            <w:tcW w:w="1261" w:type="dxa"/>
            <w:vAlign w:val="center"/>
          </w:tcPr>
          <w:p w14:paraId="1605C414">
            <w:pPr>
              <w:spacing w:line="360" w:lineRule="atLeast"/>
              <w:jc w:val="center"/>
              <w:rPr>
                <w:color w:val="auto"/>
                <w:highlight w:val="none"/>
              </w:rPr>
            </w:pPr>
          </w:p>
        </w:tc>
        <w:tc>
          <w:tcPr>
            <w:tcW w:w="1261" w:type="dxa"/>
            <w:vAlign w:val="center"/>
          </w:tcPr>
          <w:p w14:paraId="5FDD725E">
            <w:pPr>
              <w:spacing w:line="360" w:lineRule="atLeast"/>
              <w:jc w:val="center"/>
              <w:rPr>
                <w:color w:val="auto"/>
                <w:highlight w:val="none"/>
              </w:rPr>
            </w:pPr>
          </w:p>
        </w:tc>
        <w:tc>
          <w:tcPr>
            <w:tcW w:w="1261" w:type="dxa"/>
            <w:vAlign w:val="center"/>
          </w:tcPr>
          <w:p w14:paraId="6FB1D26C">
            <w:pPr>
              <w:spacing w:line="360" w:lineRule="atLeast"/>
              <w:jc w:val="center"/>
              <w:rPr>
                <w:color w:val="auto"/>
                <w:highlight w:val="none"/>
              </w:rPr>
            </w:pPr>
          </w:p>
        </w:tc>
      </w:tr>
      <w:tr w14:paraId="5386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912" w:type="dxa"/>
            <w:vAlign w:val="center"/>
          </w:tcPr>
          <w:p w14:paraId="48DEEC5E">
            <w:pPr>
              <w:spacing w:line="360" w:lineRule="atLeast"/>
              <w:jc w:val="center"/>
              <w:rPr>
                <w:rFonts w:eastAsia="黑体"/>
                <w:color w:val="auto"/>
                <w:highlight w:val="none"/>
              </w:rPr>
            </w:pPr>
            <w:r>
              <w:rPr>
                <w:rFonts w:eastAsia="黑体"/>
                <w:color w:val="auto"/>
                <w:highlight w:val="none"/>
              </w:rPr>
              <w:t>3</w:t>
            </w:r>
          </w:p>
        </w:tc>
        <w:tc>
          <w:tcPr>
            <w:tcW w:w="1519" w:type="dxa"/>
            <w:vMerge w:val="restart"/>
            <w:vAlign w:val="center"/>
          </w:tcPr>
          <w:p w14:paraId="363BA4E2">
            <w:pPr>
              <w:spacing w:line="341" w:lineRule="exact"/>
              <w:jc w:val="center"/>
              <w:rPr>
                <w:b/>
                <w:color w:val="auto"/>
                <w:highlight w:val="none"/>
              </w:rPr>
            </w:pPr>
            <w:r>
              <w:rPr>
                <w:rFonts w:hint="eastAsia"/>
                <w:bCs/>
                <w:color w:val="auto"/>
                <w:highlight w:val="none"/>
              </w:rPr>
              <w:t>设计实施方案</w:t>
            </w:r>
            <w:r>
              <w:rPr>
                <w:rFonts w:hint="eastAsia"/>
                <w:b/>
                <w:color w:val="auto"/>
                <w:highlight w:val="none"/>
              </w:rPr>
              <w:t xml:space="preserve"> </w:t>
            </w:r>
            <w:r>
              <w:rPr>
                <w:rFonts w:hint="eastAsia" w:ascii="楷体" w:hAnsi="楷体" w:eastAsia="楷体"/>
                <w:b/>
                <w:color w:val="auto"/>
                <w:szCs w:val="21"/>
                <w:highlight w:val="none"/>
              </w:rPr>
              <w:t>【暗标，如无特殊要求，如城市</w:t>
            </w:r>
            <w:r>
              <w:rPr>
                <w:rFonts w:eastAsia="楷体_GB2312"/>
                <w:b/>
                <w:color w:val="auto"/>
                <w:szCs w:val="21"/>
                <w:highlight w:val="none"/>
                <w:lang w:val="en"/>
              </w:rPr>
              <w:t>轨道</w:t>
            </w:r>
            <w:r>
              <w:rPr>
                <w:rFonts w:hint="eastAsia" w:eastAsia="楷体_GB2312"/>
                <w:b/>
                <w:color w:val="auto"/>
                <w:szCs w:val="21"/>
                <w:highlight w:val="none"/>
                <w:lang w:val="en"/>
              </w:rPr>
              <w:t>交通工程项目和铁路综合交通枢纽站城一体化项目</w:t>
            </w:r>
            <w:r>
              <w:rPr>
                <w:rFonts w:hint="eastAsia" w:ascii="楷体" w:hAnsi="楷体" w:eastAsia="楷体"/>
                <w:b/>
                <w:color w:val="auto"/>
                <w:szCs w:val="21"/>
                <w:highlight w:val="none"/>
              </w:rPr>
              <w:t>可以采用明标，设计方案采用暗标进行投标。】</w:t>
            </w:r>
          </w:p>
          <w:p w14:paraId="7E25C198">
            <w:pPr>
              <w:spacing w:line="341" w:lineRule="exact"/>
              <w:jc w:val="center"/>
              <w:rPr>
                <w:b/>
                <w:color w:val="auto"/>
                <w:highlight w:val="none"/>
              </w:rPr>
            </w:pPr>
          </w:p>
        </w:tc>
        <w:tc>
          <w:tcPr>
            <w:tcW w:w="2220" w:type="dxa"/>
            <w:vAlign w:val="center"/>
          </w:tcPr>
          <w:p w14:paraId="5D7413E8">
            <w:pPr>
              <w:spacing w:line="341" w:lineRule="exact"/>
              <w:jc w:val="center"/>
              <w:rPr>
                <w:color w:val="auto"/>
                <w:spacing w:val="-1"/>
                <w:highlight w:val="none"/>
              </w:rPr>
            </w:pPr>
            <w:r>
              <w:rPr>
                <w:rFonts w:hint="eastAsia"/>
                <w:color w:val="auto"/>
                <w:spacing w:val="-1"/>
                <w:highlight w:val="none"/>
              </w:rPr>
              <w:t>a.设计服务方案</w:t>
            </w:r>
          </w:p>
        </w:tc>
        <w:tc>
          <w:tcPr>
            <w:tcW w:w="1261" w:type="dxa"/>
            <w:vAlign w:val="center"/>
          </w:tcPr>
          <w:p w14:paraId="5099F37E">
            <w:pPr>
              <w:spacing w:line="360" w:lineRule="atLeast"/>
              <w:jc w:val="center"/>
              <w:rPr>
                <w:color w:val="auto"/>
                <w:highlight w:val="none"/>
              </w:rPr>
            </w:pPr>
          </w:p>
        </w:tc>
        <w:tc>
          <w:tcPr>
            <w:tcW w:w="1261" w:type="dxa"/>
            <w:vAlign w:val="center"/>
          </w:tcPr>
          <w:p w14:paraId="6E5916D6">
            <w:pPr>
              <w:spacing w:line="360" w:lineRule="atLeast"/>
              <w:jc w:val="center"/>
              <w:rPr>
                <w:color w:val="auto"/>
                <w:highlight w:val="none"/>
              </w:rPr>
            </w:pPr>
          </w:p>
        </w:tc>
        <w:tc>
          <w:tcPr>
            <w:tcW w:w="1261" w:type="dxa"/>
            <w:vAlign w:val="center"/>
          </w:tcPr>
          <w:p w14:paraId="52E430EF">
            <w:pPr>
              <w:spacing w:line="360" w:lineRule="atLeast"/>
              <w:jc w:val="center"/>
              <w:rPr>
                <w:color w:val="auto"/>
                <w:highlight w:val="none"/>
              </w:rPr>
            </w:pPr>
          </w:p>
        </w:tc>
        <w:tc>
          <w:tcPr>
            <w:tcW w:w="1261" w:type="dxa"/>
            <w:vAlign w:val="center"/>
          </w:tcPr>
          <w:p w14:paraId="5BF53FEE">
            <w:pPr>
              <w:spacing w:line="360" w:lineRule="atLeast"/>
              <w:jc w:val="center"/>
              <w:rPr>
                <w:color w:val="auto"/>
                <w:highlight w:val="none"/>
              </w:rPr>
            </w:pPr>
          </w:p>
        </w:tc>
        <w:tc>
          <w:tcPr>
            <w:tcW w:w="1261" w:type="dxa"/>
            <w:vAlign w:val="center"/>
          </w:tcPr>
          <w:p w14:paraId="376D11AB">
            <w:pPr>
              <w:spacing w:line="360" w:lineRule="atLeast"/>
              <w:jc w:val="center"/>
              <w:rPr>
                <w:color w:val="auto"/>
                <w:highlight w:val="none"/>
              </w:rPr>
            </w:pPr>
          </w:p>
        </w:tc>
        <w:tc>
          <w:tcPr>
            <w:tcW w:w="1261" w:type="dxa"/>
            <w:vAlign w:val="center"/>
          </w:tcPr>
          <w:p w14:paraId="2385D2C9">
            <w:pPr>
              <w:spacing w:line="360" w:lineRule="atLeast"/>
              <w:jc w:val="center"/>
              <w:rPr>
                <w:color w:val="auto"/>
                <w:highlight w:val="none"/>
              </w:rPr>
            </w:pPr>
          </w:p>
        </w:tc>
        <w:tc>
          <w:tcPr>
            <w:tcW w:w="1261" w:type="dxa"/>
            <w:vAlign w:val="center"/>
          </w:tcPr>
          <w:p w14:paraId="538F9300">
            <w:pPr>
              <w:spacing w:line="360" w:lineRule="atLeast"/>
              <w:jc w:val="center"/>
              <w:rPr>
                <w:color w:val="auto"/>
                <w:highlight w:val="none"/>
              </w:rPr>
            </w:pPr>
          </w:p>
        </w:tc>
        <w:tc>
          <w:tcPr>
            <w:tcW w:w="1261" w:type="dxa"/>
            <w:vAlign w:val="center"/>
          </w:tcPr>
          <w:p w14:paraId="5E913920">
            <w:pPr>
              <w:spacing w:line="360" w:lineRule="atLeast"/>
              <w:jc w:val="center"/>
              <w:rPr>
                <w:color w:val="auto"/>
                <w:highlight w:val="none"/>
              </w:rPr>
            </w:pPr>
          </w:p>
        </w:tc>
        <w:tc>
          <w:tcPr>
            <w:tcW w:w="1261" w:type="dxa"/>
            <w:vAlign w:val="center"/>
          </w:tcPr>
          <w:p w14:paraId="4D443F49">
            <w:pPr>
              <w:spacing w:line="360" w:lineRule="atLeast"/>
              <w:jc w:val="center"/>
              <w:rPr>
                <w:color w:val="auto"/>
                <w:highlight w:val="none"/>
              </w:rPr>
            </w:pPr>
          </w:p>
        </w:tc>
      </w:tr>
      <w:tr w14:paraId="1F9D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912" w:type="dxa"/>
            <w:vAlign w:val="center"/>
          </w:tcPr>
          <w:p w14:paraId="7DBC04D7">
            <w:pPr>
              <w:spacing w:line="360" w:lineRule="atLeast"/>
              <w:jc w:val="center"/>
              <w:rPr>
                <w:rFonts w:eastAsia="黑体"/>
                <w:color w:val="auto"/>
                <w:highlight w:val="none"/>
              </w:rPr>
            </w:pPr>
            <w:r>
              <w:rPr>
                <w:rFonts w:eastAsia="黑体"/>
                <w:color w:val="auto"/>
                <w:highlight w:val="none"/>
              </w:rPr>
              <w:t>4</w:t>
            </w:r>
          </w:p>
        </w:tc>
        <w:tc>
          <w:tcPr>
            <w:tcW w:w="1519" w:type="dxa"/>
            <w:vMerge w:val="continue"/>
            <w:vAlign w:val="center"/>
          </w:tcPr>
          <w:p w14:paraId="63DF748D">
            <w:pPr>
              <w:spacing w:line="341" w:lineRule="exact"/>
              <w:jc w:val="center"/>
              <w:rPr>
                <w:color w:val="auto"/>
                <w:spacing w:val="-1"/>
                <w:highlight w:val="none"/>
              </w:rPr>
            </w:pPr>
          </w:p>
        </w:tc>
        <w:tc>
          <w:tcPr>
            <w:tcW w:w="2220" w:type="dxa"/>
            <w:vAlign w:val="center"/>
          </w:tcPr>
          <w:p w14:paraId="7398985A">
            <w:pPr>
              <w:spacing w:line="341" w:lineRule="exact"/>
              <w:jc w:val="center"/>
              <w:rPr>
                <w:color w:val="auto"/>
                <w:spacing w:val="-1"/>
                <w:highlight w:val="none"/>
              </w:rPr>
            </w:pPr>
            <w:r>
              <w:rPr>
                <w:rFonts w:hint="eastAsia"/>
                <w:color w:val="auto"/>
                <w:spacing w:val="-1"/>
                <w:highlight w:val="none"/>
              </w:rPr>
              <w:t>b.设计与发包方前期工作的配合</w:t>
            </w:r>
          </w:p>
        </w:tc>
        <w:tc>
          <w:tcPr>
            <w:tcW w:w="1261" w:type="dxa"/>
            <w:vAlign w:val="center"/>
          </w:tcPr>
          <w:p w14:paraId="493A3B8E">
            <w:pPr>
              <w:spacing w:line="360" w:lineRule="atLeast"/>
              <w:jc w:val="center"/>
              <w:rPr>
                <w:color w:val="auto"/>
                <w:highlight w:val="none"/>
              </w:rPr>
            </w:pPr>
          </w:p>
        </w:tc>
        <w:tc>
          <w:tcPr>
            <w:tcW w:w="1261" w:type="dxa"/>
            <w:vAlign w:val="center"/>
          </w:tcPr>
          <w:p w14:paraId="22782A0A">
            <w:pPr>
              <w:spacing w:line="360" w:lineRule="atLeast"/>
              <w:jc w:val="center"/>
              <w:rPr>
                <w:color w:val="auto"/>
                <w:highlight w:val="none"/>
              </w:rPr>
            </w:pPr>
          </w:p>
        </w:tc>
        <w:tc>
          <w:tcPr>
            <w:tcW w:w="1261" w:type="dxa"/>
            <w:vAlign w:val="center"/>
          </w:tcPr>
          <w:p w14:paraId="05602485">
            <w:pPr>
              <w:spacing w:line="360" w:lineRule="atLeast"/>
              <w:jc w:val="center"/>
              <w:rPr>
                <w:color w:val="auto"/>
                <w:highlight w:val="none"/>
              </w:rPr>
            </w:pPr>
          </w:p>
        </w:tc>
        <w:tc>
          <w:tcPr>
            <w:tcW w:w="1261" w:type="dxa"/>
            <w:vAlign w:val="center"/>
          </w:tcPr>
          <w:p w14:paraId="4DFC252F">
            <w:pPr>
              <w:spacing w:line="360" w:lineRule="atLeast"/>
              <w:jc w:val="center"/>
              <w:rPr>
                <w:color w:val="auto"/>
                <w:highlight w:val="none"/>
              </w:rPr>
            </w:pPr>
          </w:p>
        </w:tc>
        <w:tc>
          <w:tcPr>
            <w:tcW w:w="1261" w:type="dxa"/>
            <w:vAlign w:val="center"/>
          </w:tcPr>
          <w:p w14:paraId="3C31A25C">
            <w:pPr>
              <w:spacing w:line="360" w:lineRule="atLeast"/>
              <w:jc w:val="center"/>
              <w:rPr>
                <w:color w:val="auto"/>
                <w:highlight w:val="none"/>
              </w:rPr>
            </w:pPr>
          </w:p>
        </w:tc>
        <w:tc>
          <w:tcPr>
            <w:tcW w:w="1261" w:type="dxa"/>
            <w:vAlign w:val="center"/>
          </w:tcPr>
          <w:p w14:paraId="400EE4E7">
            <w:pPr>
              <w:spacing w:line="360" w:lineRule="atLeast"/>
              <w:jc w:val="center"/>
              <w:rPr>
                <w:color w:val="auto"/>
                <w:highlight w:val="none"/>
              </w:rPr>
            </w:pPr>
          </w:p>
        </w:tc>
        <w:tc>
          <w:tcPr>
            <w:tcW w:w="1261" w:type="dxa"/>
            <w:vAlign w:val="center"/>
          </w:tcPr>
          <w:p w14:paraId="1DF0B5A1">
            <w:pPr>
              <w:spacing w:line="360" w:lineRule="atLeast"/>
              <w:jc w:val="center"/>
              <w:rPr>
                <w:color w:val="auto"/>
                <w:highlight w:val="none"/>
              </w:rPr>
            </w:pPr>
          </w:p>
        </w:tc>
        <w:tc>
          <w:tcPr>
            <w:tcW w:w="1261" w:type="dxa"/>
            <w:vAlign w:val="center"/>
          </w:tcPr>
          <w:p w14:paraId="646E9D92">
            <w:pPr>
              <w:spacing w:line="360" w:lineRule="atLeast"/>
              <w:jc w:val="center"/>
              <w:rPr>
                <w:color w:val="auto"/>
                <w:highlight w:val="none"/>
              </w:rPr>
            </w:pPr>
          </w:p>
        </w:tc>
        <w:tc>
          <w:tcPr>
            <w:tcW w:w="1261" w:type="dxa"/>
            <w:vAlign w:val="center"/>
          </w:tcPr>
          <w:p w14:paraId="2E7987FB">
            <w:pPr>
              <w:spacing w:line="360" w:lineRule="atLeast"/>
              <w:jc w:val="center"/>
              <w:rPr>
                <w:color w:val="auto"/>
                <w:highlight w:val="none"/>
              </w:rPr>
            </w:pPr>
          </w:p>
        </w:tc>
      </w:tr>
      <w:tr w14:paraId="4358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exact"/>
          <w:jc w:val="center"/>
        </w:trPr>
        <w:tc>
          <w:tcPr>
            <w:tcW w:w="912" w:type="dxa"/>
            <w:vAlign w:val="center"/>
          </w:tcPr>
          <w:p w14:paraId="659C6D39">
            <w:pPr>
              <w:spacing w:line="360" w:lineRule="atLeast"/>
              <w:jc w:val="center"/>
              <w:rPr>
                <w:rFonts w:eastAsia="黑体"/>
                <w:color w:val="auto"/>
                <w:highlight w:val="none"/>
              </w:rPr>
            </w:pPr>
            <w:r>
              <w:rPr>
                <w:rFonts w:eastAsia="黑体"/>
                <w:color w:val="auto"/>
                <w:highlight w:val="none"/>
              </w:rPr>
              <w:t>5</w:t>
            </w:r>
          </w:p>
        </w:tc>
        <w:tc>
          <w:tcPr>
            <w:tcW w:w="1519" w:type="dxa"/>
            <w:vMerge w:val="continue"/>
            <w:vAlign w:val="center"/>
          </w:tcPr>
          <w:p w14:paraId="246490A7">
            <w:pPr>
              <w:spacing w:line="341" w:lineRule="exact"/>
              <w:jc w:val="center"/>
              <w:rPr>
                <w:color w:val="auto"/>
                <w:spacing w:val="-1"/>
                <w:highlight w:val="none"/>
              </w:rPr>
            </w:pPr>
          </w:p>
        </w:tc>
        <w:tc>
          <w:tcPr>
            <w:tcW w:w="2220" w:type="dxa"/>
            <w:vAlign w:val="center"/>
          </w:tcPr>
          <w:p w14:paraId="1805EFA7">
            <w:pPr>
              <w:spacing w:line="341" w:lineRule="exact"/>
              <w:jc w:val="center"/>
              <w:rPr>
                <w:color w:val="auto"/>
                <w:spacing w:val="-1"/>
                <w:highlight w:val="none"/>
              </w:rPr>
            </w:pPr>
            <w:r>
              <w:rPr>
                <w:rFonts w:hint="eastAsia"/>
                <w:color w:val="auto"/>
                <w:spacing w:val="-1"/>
                <w:highlight w:val="none"/>
              </w:rPr>
              <w:t>c.设计在项目施工过程中的工作配合</w:t>
            </w:r>
          </w:p>
        </w:tc>
        <w:tc>
          <w:tcPr>
            <w:tcW w:w="1261" w:type="dxa"/>
            <w:vAlign w:val="center"/>
          </w:tcPr>
          <w:p w14:paraId="2A1A810B">
            <w:pPr>
              <w:spacing w:line="360" w:lineRule="atLeast"/>
              <w:jc w:val="center"/>
              <w:rPr>
                <w:color w:val="auto"/>
                <w:highlight w:val="none"/>
              </w:rPr>
            </w:pPr>
          </w:p>
        </w:tc>
        <w:tc>
          <w:tcPr>
            <w:tcW w:w="1261" w:type="dxa"/>
            <w:vAlign w:val="center"/>
          </w:tcPr>
          <w:p w14:paraId="58AF16D2">
            <w:pPr>
              <w:spacing w:line="360" w:lineRule="atLeast"/>
              <w:jc w:val="center"/>
              <w:rPr>
                <w:color w:val="auto"/>
                <w:highlight w:val="none"/>
              </w:rPr>
            </w:pPr>
          </w:p>
        </w:tc>
        <w:tc>
          <w:tcPr>
            <w:tcW w:w="1261" w:type="dxa"/>
            <w:vAlign w:val="center"/>
          </w:tcPr>
          <w:p w14:paraId="16CF24F5">
            <w:pPr>
              <w:spacing w:line="360" w:lineRule="atLeast"/>
              <w:jc w:val="center"/>
              <w:rPr>
                <w:color w:val="auto"/>
                <w:highlight w:val="none"/>
              </w:rPr>
            </w:pPr>
          </w:p>
        </w:tc>
        <w:tc>
          <w:tcPr>
            <w:tcW w:w="1261" w:type="dxa"/>
            <w:vAlign w:val="center"/>
          </w:tcPr>
          <w:p w14:paraId="057562BE">
            <w:pPr>
              <w:spacing w:line="360" w:lineRule="atLeast"/>
              <w:jc w:val="center"/>
              <w:rPr>
                <w:color w:val="auto"/>
                <w:highlight w:val="none"/>
              </w:rPr>
            </w:pPr>
          </w:p>
        </w:tc>
        <w:tc>
          <w:tcPr>
            <w:tcW w:w="1261" w:type="dxa"/>
            <w:vAlign w:val="center"/>
          </w:tcPr>
          <w:p w14:paraId="5089C859">
            <w:pPr>
              <w:spacing w:line="360" w:lineRule="atLeast"/>
              <w:jc w:val="center"/>
              <w:rPr>
                <w:color w:val="auto"/>
                <w:highlight w:val="none"/>
              </w:rPr>
            </w:pPr>
          </w:p>
        </w:tc>
        <w:tc>
          <w:tcPr>
            <w:tcW w:w="1261" w:type="dxa"/>
            <w:vAlign w:val="center"/>
          </w:tcPr>
          <w:p w14:paraId="3D263B54">
            <w:pPr>
              <w:spacing w:line="360" w:lineRule="atLeast"/>
              <w:jc w:val="center"/>
              <w:rPr>
                <w:color w:val="auto"/>
                <w:highlight w:val="none"/>
              </w:rPr>
            </w:pPr>
          </w:p>
        </w:tc>
        <w:tc>
          <w:tcPr>
            <w:tcW w:w="1261" w:type="dxa"/>
            <w:vAlign w:val="center"/>
          </w:tcPr>
          <w:p w14:paraId="4C8EA04A">
            <w:pPr>
              <w:spacing w:line="360" w:lineRule="atLeast"/>
              <w:jc w:val="center"/>
              <w:rPr>
                <w:color w:val="auto"/>
                <w:highlight w:val="none"/>
              </w:rPr>
            </w:pPr>
          </w:p>
        </w:tc>
        <w:tc>
          <w:tcPr>
            <w:tcW w:w="1261" w:type="dxa"/>
            <w:vAlign w:val="center"/>
          </w:tcPr>
          <w:p w14:paraId="2EF208F1">
            <w:pPr>
              <w:spacing w:line="360" w:lineRule="atLeast"/>
              <w:jc w:val="center"/>
              <w:rPr>
                <w:color w:val="auto"/>
                <w:highlight w:val="none"/>
              </w:rPr>
            </w:pPr>
          </w:p>
        </w:tc>
        <w:tc>
          <w:tcPr>
            <w:tcW w:w="1261" w:type="dxa"/>
            <w:vAlign w:val="center"/>
          </w:tcPr>
          <w:p w14:paraId="6A8AED99">
            <w:pPr>
              <w:spacing w:line="360" w:lineRule="atLeast"/>
              <w:jc w:val="center"/>
              <w:rPr>
                <w:color w:val="auto"/>
                <w:highlight w:val="none"/>
              </w:rPr>
            </w:pPr>
          </w:p>
        </w:tc>
      </w:tr>
      <w:tr w14:paraId="5D8B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2743AC5">
            <w:pPr>
              <w:spacing w:line="360" w:lineRule="atLeast"/>
              <w:jc w:val="center"/>
              <w:rPr>
                <w:rFonts w:eastAsia="黑体"/>
                <w:color w:val="auto"/>
                <w:highlight w:val="none"/>
              </w:rPr>
            </w:pPr>
            <w:r>
              <w:rPr>
                <w:rFonts w:hint="eastAsia" w:eastAsia="黑体"/>
                <w:color w:val="auto"/>
                <w:highlight w:val="none"/>
              </w:rPr>
              <w:t>6</w:t>
            </w:r>
          </w:p>
        </w:tc>
        <w:tc>
          <w:tcPr>
            <w:tcW w:w="1519" w:type="dxa"/>
            <w:vMerge w:val="continue"/>
            <w:vAlign w:val="center"/>
          </w:tcPr>
          <w:p w14:paraId="476A901D">
            <w:pPr>
              <w:spacing w:line="341" w:lineRule="exact"/>
              <w:jc w:val="center"/>
              <w:rPr>
                <w:color w:val="auto"/>
                <w:spacing w:val="-1"/>
                <w:highlight w:val="none"/>
              </w:rPr>
            </w:pPr>
          </w:p>
        </w:tc>
        <w:tc>
          <w:tcPr>
            <w:tcW w:w="2220" w:type="dxa"/>
            <w:vAlign w:val="center"/>
          </w:tcPr>
          <w:p w14:paraId="0BAAB44A">
            <w:pPr>
              <w:spacing w:line="341" w:lineRule="exact"/>
              <w:jc w:val="center"/>
              <w:rPr>
                <w:color w:val="auto"/>
                <w:spacing w:val="-1"/>
                <w:highlight w:val="none"/>
              </w:rPr>
            </w:pPr>
            <w:r>
              <w:rPr>
                <w:rFonts w:hint="eastAsia"/>
                <w:color w:val="auto"/>
                <w:spacing w:val="-1"/>
                <w:highlight w:val="none"/>
              </w:rPr>
              <w:t>d.服务响应管理方案</w:t>
            </w:r>
          </w:p>
        </w:tc>
        <w:tc>
          <w:tcPr>
            <w:tcW w:w="1261" w:type="dxa"/>
            <w:vAlign w:val="center"/>
          </w:tcPr>
          <w:p w14:paraId="16BAD91E">
            <w:pPr>
              <w:spacing w:line="360" w:lineRule="atLeast"/>
              <w:jc w:val="center"/>
              <w:rPr>
                <w:color w:val="auto"/>
                <w:highlight w:val="none"/>
              </w:rPr>
            </w:pPr>
          </w:p>
        </w:tc>
        <w:tc>
          <w:tcPr>
            <w:tcW w:w="1261" w:type="dxa"/>
            <w:vAlign w:val="center"/>
          </w:tcPr>
          <w:p w14:paraId="30DD78B8">
            <w:pPr>
              <w:spacing w:line="360" w:lineRule="atLeast"/>
              <w:jc w:val="center"/>
              <w:rPr>
                <w:color w:val="auto"/>
                <w:highlight w:val="none"/>
              </w:rPr>
            </w:pPr>
          </w:p>
        </w:tc>
        <w:tc>
          <w:tcPr>
            <w:tcW w:w="1261" w:type="dxa"/>
            <w:vAlign w:val="center"/>
          </w:tcPr>
          <w:p w14:paraId="656F898B">
            <w:pPr>
              <w:spacing w:line="360" w:lineRule="atLeast"/>
              <w:jc w:val="center"/>
              <w:rPr>
                <w:color w:val="auto"/>
                <w:highlight w:val="none"/>
              </w:rPr>
            </w:pPr>
          </w:p>
        </w:tc>
        <w:tc>
          <w:tcPr>
            <w:tcW w:w="1261" w:type="dxa"/>
            <w:vAlign w:val="center"/>
          </w:tcPr>
          <w:p w14:paraId="5BEE664E">
            <w:pPr>
              <w:spacing w:line="360" w:lineRule="atLeast"/>
              <w:jc w:val="center"/>
              <w:rPr>
                <w:color w:val="auto"/>
                <w:highlight w:val="none"/>
              </w:rPr>
            </w:pPr>
          </w:p>
        </w:tc>
        <w:tc>
          <w:tcPr>
            <w:tcW w:w="1261" w:type="dxa"/>
            <w:vAlign w:val="center"/>
          </w:tcPr>
          <w:p w14:paraId="295F6518">
            <w:pPr>
              <w:spacing w:line="360" w:lineRule="atLeast"/>
              <w:jc w:val="center"/>
              <w:rPr>
                <w:color w:val="auto"/>
                <w:highlight w:val="none"/>
              </w:rPr>
            </w:pPr>
          </w:p>
        </w:tc>
        <w:tc>
          <w:tcPr>
            <w:tcW w:w="1261" w:type="dxa"/>
            <w:vAlign w:val="center"/>
          </w:tcPr>
          <w:p w14:paraId="79F6023A">
            <w:pPr>
              <w:spacing w:line="360" w:lineRule="atLeast"/>
              <w:jc w:val="center"/>
              <w:rPr>
                <w:color w:val="auto"/>
                <w:highlight w:val="none"/>
              </w:rPr>
            </w:pPr>
          </w:p>
        </w:tc>
        <w:tc>
          <w:tcPr>
            <w:tcW w:w="1261" w:type="dxa"/>
            <w:vAlign w:val="center"/>
          </w:tcPr>
          <w:p w14:paraId="53414333">
            <w:pPr>
              <w:spacing w:line="360" w:lineRule="atLeast"/>
              <w:jc w:val="center"/>
              <w:rPr>
                <w:color w:val="auto"/>
                <w:highlight w:val="none"/>
              </w:rPr>
            </w:pPr>
          </w:p>
        </w:tc>
        <w:tc>
          <w:tcPr>
            <w:tcW w:w="1261" w:type="dxa"/>
            <w:vAlign w:val="center"/>
          </w:tcPr>
          <w:p w14:paraId="6A170A48">
            <w:pPr>
              <w:spacing w:line="360" w:lineRule="atLeast"/>
              <w:jc w:val="center"/>
              <w:rPr>
                <w:color w:val="auto"/>
                <w:highlight w:val="none"/>
              </w:rPr>
            </w:pPr>
          </w:p>
        </w:tc>
        <w:tc>
          <w:tcPr>
            <w:tcW w:w="1261" w:type="dxa"/>
            <w:vAlign w:val="center"/>
          </w:tcPr>
          <w:p w14:paraId="75F46B20">
            <w:pPr>
              <w:spacing w:line="360" w:lineRule="atLeast"/>
              <w:jc w:val="center"/>
              <w:rPr>
                <w:color w:val="auto"/>
                <w:highlight w:val="none"/>
              </w:rPr>
            </w:pPr>
          </w:p>
        </w:tc>
      </w:tr>
      <w:tr w14:paraId="7CC40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exact"/>
          <w:jc w:val="center"/>
        </w:trPr>
        <w:tc>
          <w:tcPr>
            <w:tcW w:w="912" w:type="dxa"/>
            <w:vAlign w:val="center"/>
          </w:tcPr>
          <w:p w14:paraId="39998A1C">
            <w:pPr>
              <w:spacing w:line="360" w:lineRule="atLeast"/>
              <w:jc w:val="center"/>
              <w:rPr>
                <w:rFonts w:eastAsia="黑体"/>
                <w:color w:val="auto"/>
                <w:highlight w:val="none"/>
              </w:rPr>
            </w:pPr>
          </w:p>
        </w:tc>
        <w:tc>
          <w:tcPr>
            <w:tcW w:w="1519" w:type="dxa"/>
            <w:vMerge w:val="continue"/>
          </w:tcPr>
          <w:p w14:paraId="418650AB">
            <w:pPr>
              <w:spacing w:line="403" w:lineRule="exact"/>
              <w:ind w:left="1028"/>
              <w:rPr>
                <w:color w:val="auto"/>
                <w:spacing w:val="-1"/>
                <w:highlight w:val="none"/>
              </w:rPr>
            </w:pPr>
          </w:p>
        </w:tc>
        <w:tc>
          <w:tcPr>
            <w:tcW w:w="2220" w:type="dxa"/>
          </w:tcPr>
          <w:p w14:paraId="1B0C1F40">
            <w:pPr>
              <w:spacing w:line="403" w:lineRule="exact"/>
              <w:ind w:left="1028"/>
              <w:rPr>
                <w:color w:val="auto"/>
                <w:highlight w:val="none"/>
              </w:rPr>
            </w:pPr>
            <w:r>
              <w:rPr>
                <w:color w:val="auto"/>
                <w:spacing w:val="-1"/>
                <w:highlight w:val="none"/>
              </w:rPr>
              <w:t>……</w:t>
            </w:r>
          </w:p>
        </w:tc>
        <w:tc>
          <w:tcPr>
            <w:tcW w:w="1261" w:type="dxa"/>
            <w:vAlign w:val="center"/>
          </w:tcPr>
          <w:p w14:paraId="031DA992">
            <w:pPr>
              <w:spacing w:line="360" w:lineRule="atLeast"/>
              <w:jc w:val="center"/>
              <w:rPr>
                <w:color w:val="auto"/>
                <w:highlight w:val="none"/>
              </w:rPr>
            </w:pPr>
          </w:p>
        </w:tc>
        <w:tc>
          <w:tcPr>
            <w:tcW w:w="1261" w:type="dxa"/>
            <w:vAlign w:val="center"/>
          </w:tcPr>
          <w:p w14:paraId="212A32B6">
            <w:pPr>
              <w:spacing w:line="360" w:lineRule="atLeast"/>
              <w:jc w:val="center"/>
              <w:rPr>
                <w:color w:val="auto"/>
                <w:highlight w:val="none"/>
              </w:rPr>
            </w:pPr>
          </w:p>
        </w:tc>
        <w:tc>
          <w:tcPr>
            <w:tcW w:w="1261" w:type="dxa"/>
            <w:vAlign w:val="center"/>
          </w:tcPr>
          <w:p w14:paraId="0BF84DB2">
            <w:pPr>
              <w:spacing w:line="360" w:lineRule="atLeast"/>
              <w:jc w:val="center"/>
              <w:rPr>
                <w:color w:val="auto"/>
                <w:highlight w:val="none"/>
              </w:rPr>
            </w:pPr>
          </w:p>
        </w:tc>
        <w:tc>
          <w:tcPr>
            <w:tcW w:w="1261" w:type="dxa"/>
            <w:vAlign w:val="center"/>
          </w:tcPr>
          <w:p w14:paraId="1FADB81F">
            <w:pPr>
              <w:spacing w:line="360" w:lineRule="atLeast"/>
              <w:jc w:val="center"/>
              <w:rPr>
                <w:color w:val="auto"/>
                <w:highlight w:val="none"/>
              </w:rPr>
            </w:pPr>
          </w:p>
        </w:tc>
        <w:tc>
          <w:tcPr>
            <w:tcW w:w="1261" w:type="dxa"/>
            <w:vAlign w:val="center"/>
          </w:tcPr>
          <w:p w14:paraId="2DBA9A06">
            <w:pPr>
              <w:spacing w:line="360" w:lineRule="atLeast"/>
              <w:jc w:val="center"/>
              <w:rPr>
                <w:color w:val="auto"/>
                <w:highlight w:val="none"/>
              </w:rPr>
            </w:pPr>
          </w:p>
        </w:tc>
        <w:tc>
          <w:tcPr>
            <w:tcW w:w="1261" w:type="dxa"/>
            <w:vAlign w:val="center"/>
          </w:tcPr>
          <w:p w14:paraId="3EF83435">
            <w:pPr>
              <w:spacing w:line="360" w:lineRule="atLeast"/>
              <w:jc w:val="center"/>
              <w:rPr>
                <w:color w:val="auto"/>
                <w:highlight w:val="none"/>
              </w:rPr>
            </w:pPr>
          </w:p>
        </w:tc>
        <w:tc>
          <w:tcPr>
            <w:tcW w:w="1261" w:type="dxa"/>
            <w:vAlign w:val="center"/>
          </w:tcPr>
          <w:p w14:paraId="65B329A3">
            <w:pPr>
              <w:spacing w:line="360" w:lineRule="atLeast"/>
              <w:jc w:val="center"/>
              <w:rPr>
                <w:color w:val="auto"/>
                <w:highlight w:val="none"/>
              </w:rPr>
            </w:pPr>
          </w:p>
        </w:tc>
        <w:tc>
          <w:tcPr>
            <w:tcW w:w="1261" w:type="dxa"/>
            <w:vAlign w:val="center"/>
          </w:tcPr>
          <w:p w14:paraId="1F58B821">
            <w:pPr>
              <w:spacing w:line="360" w:lineRule="atLeast"/>
              <w:jc w:val="center"/>
              <w:rPr>
                <w:color w:val="auto"/>
                <w:highlight w:val="none"/>
              </w:rPr>
            </w:pPr>
          </w:p>
        </w:tc>
        <w:tc>
          <w:tcPr>
            <w:tcW w:w="1261" w:type="dxa"/>
            <w:vAlign w:val="center"/>
          </w:tcPr>
          <w:p w14:paraId="350FEAF4">
            <w:pPr>
              <w:spacing w:line="360" w:lineRule="atLeast"/>
              <w:jc w:val="center"/>
              <w:rPr>
                <w:color w:val="auto"/>
                <w:highlight w:val="none"/>
              </w:rPr>
            </w:pPr>
          </w:p>
        </w:tc>
      </w:tr>
      <w:tr w14:paraId="14BA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7F326627">
            <w:pPr>
              <w:spacing w:line="360" w:lineRule="atLeast"/>
              <w:jc w:val="center"/>
              <w:rPr>
                <w:color w:val="auto"/>
                <w:highlight w:val="none"/>
              </w:rPr>
            </w:pPr>
          </w:p>
        </w:tc>
        <w:tc>
          <w:tcPr>
            <w:tcW w:w="3739" w:type="dxa"/>
            <w:gridSpan w:val="2"/>
            <w:vAlign w:val="center"/>
          </w:tcPr>
          <w:p w14:paraId="3090F302">
            <w:pPr>
              <w:spacing w:line="360" w:lineRule="atLeast"/>
              <w:jc w:val="center"/>
              <w:rPr>
                <w:color w:val="auto"/>
                <w:highlight w:val="none"/>
              </w:rPr>
            </w:pPr>
            <w:r>
              <w:rPr>
                <w:rFonts w:hint="eastAsia"/>
                <w:color w:val="auto"/>
                <w:highlight w:val="none"/>
              </w:rPr>
              <w:t>总得分</w:t>
            </w:r>
          </w:p>
        </w:tc>
        <w:tc>
          <w:tcPr>
            <w:tcW w:w="1261" w:type="dxa"/>
            <w:vAlign w:val="center"/>
          </w:tcPr>
          <w:p w14:paraId="09CA2285">
            <w:pPr>
              <w:spacing w:line="360" w:lineRule="atLeast"/>
              <w:jc w:val="center"/>
              <w:rPr>
                <w:color w:val="auto"/>
                <w:highlight w:val="none"/>
              </w:rPr>
            </w:pPr>
          </w:p>
        </w:tc>
        <w:tc>
          <w:tcPr>
            <w:tcW w:w="1261" w:type="dxa"/>
            <w:vAlign w:val="center"/>
          </w:tcPr>
          <w:p w14:paraId="3C3089A7">
            <w:pPr>
              <w:spacing w:line="360" w:lineRule="atLeast"/>
              <w:jc w:val="center"/>
              <w:rPr>
                <w:color w:val="auto"/>
                <w:highlight w:val="none"/>
              </w:rPr>
            </w:pPr>
          </w:p>
        </w:tc>
        <w:tc>
          <w:tcPr>
            <w:tcW w:w="1261" w:type="dxa"/>
            <w:vAlign w:val="center"/>
          </w:tcPr>
          <w:p w14:paraId="5ADDCF3F">
            <w:pPr>
              <w:spacing w:line="360" w:lineRule="atLeast"/>
              <w:jc w:val="center"/>
              <w:rPr>
                <w:color w:val="auto"/>
                <w:highlight w:val="none"/>
              </w:rPr>
            </w:pPr>
          </w:p>
        </w:tc>
        <w:tc>
          <w:tcPr>
            <w:tcW w:w="1261" w:type="dxa"/>
            <w:vAlign w:val="center"/>
          </w:tcPr>
          <w:p w14:paraId="3C6889EF">
            <w:pPr>
              <w:spacing w:line="360" w:lineRule="atLeast"/>
              <w:jc w:val="center"/>
              <w:rPr>
                <w:color w:val="auto"/>
                <w:highlight w:val="none"/>
              </w:rPr>
            </w:pPr>
          </w:p>
        </w:tc>
        <w:tc>
          <w:tcPr>
            <w:tcW w:w="1261" w:type="dxa"/>
            <w:vAlign w:val="center"/>
          </w:tcPr>
          <w:p w14:paraId="5A67661C">
            <w:pPr>
              <w:spacing w:line="360" w:lineRule="atLeast"/>
              <w:jc w:val="center"/>
              <w:rPr>
                <w:color w:val="auto"/>
                <w:highlight w:val="none"/>
              </w:rPr>
            </w:pPr>
          </w:p>
        </w:tc>
        <w:tc>
          <w:tcPr>
            <w:tcW w:w="1261" w:type="dxa"/>
            <w:vAlign w:val="center"/>
          </w:tcPr>
          <w:p w14:paraId="2A653DC4">
            <w:pPr>
              <w:spacing w:line="360" w:lineRule="atLeast"/>
              <w:jc w:val="center"/>
              <w:rPr>
                <w:color w:val="auto"/>
                <w:highlight w:val="none"/>
              </w:rPr>
            </w:pPr>
          </w:p>
        </w:tc>
        <w:tc>
          <w:tcPr>
            <w:tcW w:w="1261" w:type="dxa"/>
            <w:vAlign w:val="center"/>
          </w:tcPr>
          <w:p w14:paraId="45FB60DB">
            <w:pPr>
              <w:spacing w:line="360" w:lineRule="atLeast"/>
              <w:jc w:val="center"/>
              <w:rPr>
                <w:color w:val="auto"/>
                <w:highlight w:val="none"/>
              </w:rPr>
            </w:pPr>
          </w:p>
        </w:tc>
        <w:tc>
          <w:tcPr>
            <w:tcW w:w="1261" w:type="dxa"/>
            <w:vAlign w:val="center"/>
          </w:tcPr>
          <w:p w14:paraId="6F2B62BD">
            <w:pPr>
              <w:spacing w:line="360" w:lineRule="atLeast"/>
              <w:jc w:val="center"/>
              <w:rPr>
                <w:color w:val="auto"/>
                <w:highlight w:val="none"/>
              </w:rPr>
            </w:pPr>
          </w:p>
        </w:tc>
        <w:tc>
          <w:tcPr>
            <w:tcW w:w="1261" w:type="dxa"/>
            <w:vAlign w:val="center"/>
          </w:tcPr>
          <w:p w14:paraId="46995D9A">
            <w:pPr>
              <w:spacing w:line="360" w:lineRule="atLeast"/>
              <w:jc w:val="center"/>
              <w:rPr>
                <w:color w:val="auto"/>
                <w:highlight w:val="none"/>
              </w:rPr>
            </w:pPr>
          </w:p>
        </w:tc>
      </w:tr>
    </w:tbl>
    <w:p w14:paraId="517A6C07">
      <w:pPr>
        <w:rPr>
          <w:rFonts w:eastAsia="楷体_GB2312"/>
          <w:color w:val="auto"/>
          <w:szCs w:val="21"/>
          <w:highlight w:val="none"/>
        </w:rPr>
      </w:pPr>
    </w:p>
    <w:p w14:paraId="089F7C51">
      <w:pPr>
        <w:rPr>
          <w:color w:val="auto"/>
          <w:highlight w:val="none"/>
        </w:rPr>
      </w:pPr>
      <w:r>
        <w:rPr>
          <w:rFonts w:eastAsia="楷体_GB2312"/>
          <w:b/>
          <w:color w:val="auto"/>
          <w:highlight w:val="none"/>
        </w:rPr>
        <w:t>备注：</w:t>
      </w:r>
      <w:r>
        <w:rPr>
          <w:rFonts w:hint="eastAsia" w:ascii="楷体" w:hAnsi="楷体" w:eastAsia="楷体"/>
          <w:b/>
          <w:color w:val="auto"/>
          <w:szCs w:val="21"/>
          <w:highlight w:val="none"/>
        </w:rPr>
        <w:t>每个小点评分按优、良、中、一般、差五个等级，并对各评分等级设置一个具体分值，不设评分区间。</w:t>
      </w:r>
    </w:p>
    <w:p w14:paraId="021BCD9C">
      <w:pPr>
        <w:spacing w:line="440" w:lineRule="exact"/>
        <w:rPr>
          <w:color w:val="auto"/>
          <w:highlight w:val="none"/>
        </w:rPr>
      </w:pPr>
      <w:r>
        <w:rPr>
          <w:rFonts w:hint="eastAsia"/>
          <w:color w:val="auto"/>
          <w:highlight w:val="none"/>
        </w:rPr>
        <w:t>评审评委</w:t>
      </w:r>
      <w:r>
        <w:rPr>
          <w:color w:val="auto"/>
          <w:highlight w:val="none"/>
        </w:rPr>
        <w:t>签名：                                                                       日期：        年     月     日</w:t>
      </w:r>
    </w:p>
    <w:p w14:paraId="222DA382">
      <w:pPr>
        <w:rPr>
          <w:rFonts w:eastAsia="黑体"/>
          <w:color w:val="auto"/>
          <w:szCs w:val="21"/>
          <w:highlight w:val="none"/>
        </w:rPr>
        <w:sectPr>
          <w:pgSz w:w="16838" w:h="11906" w:orient="landscape"/>
          <w:pgMar w:top="1440" w:right="1440" w:bottom="1440" w:left="1797" w:header="851" w:footer="851" w:gutter="0"/>
          <w:cols w:space="720" w:num="1"/>
          <w:docGrid w:linePitch="312" w:charSpace="0"/>
        </w:sectPr>
      </w:pPr>
    </w:p>
    <w:p w14:paraId="13BE3F46">
      <w:pPr>
        <w:spacing w:line="440" w:lineRule="exact"/>
        <w:rPr>
          <w:b/>
          <w:color w:val="auto"/>
          <w:highlight w:val="none"/>
        </w:rPr>
      </w:pPr>
      <w:r>
        <w:rPr>
          <w:b/>
          <w:color w:val="auto"/>
          <w:highlight w:val="none"/>
        </w:rPr>
        <w:t>附表A-</w:t>
      </w:r>
      <w:r>
        <w:rPr>
          <w:rFonts w:hint="eastAsia"/>
          <w:b/>
          <w:color w:val="auto"/>
          <w:highlight w:val="none"/>
        </w:rPr>
        <w:t>9</w:t>
      </w:r>
      <w:r>
        <w:rPr>
          <w:b/>
          <w:color w:val="auto"/>
          <w:highlight w:val="none"/>
        </w:rPr>
        <w:t>：</w:t>
      </w:r>
      <w:r>
        <w:rPr>
          <w:rFonts w:hint="eastAsia"/>
          <w:b/>
          <w:color w:val="auto"/>
          <w:highlight w:val="none"/>
        </w:rPr>
        <w:t>技术标评分计算表</w:t>
      </w:r>
    </w:p>
    <w:p w14:paraId="0A24262C">
      <w:pPr>
        <w:spacing w:line="440" w:lineRule="exact"/>
        <w:jc w:val="center"/>
        <w:rPr>
          <w:color w:val="auto"/>
          <w:highlight w:val="none"/>
        </w:rPr>
      </w:pPr>
      <w:r>
        <w:rPr>
          <w:rFonts w:hint="eastAsia" w:eastAsia="黑体"/>
          <w:color w:val="auto"/>
          <w:sz w:val="28"/>
          <w:szCs w:val="28"/>
          <w:highlight w:val="none"/>
          <w:u w:val="single"/>
        </w:rPr>
        <w:t>投标人名称（或代码）</w:t>
      </w:r>
      <w:r>
        <w:rPr>
          <w:rFonts w:hint="eastAsia" w:eastAsia="黑体"/>
          <w:color w:val="auto"/>
          <w:sz w:val="28"/>
          <w:szCs w:val="28"/>
          <w:highlight w:val="none"/>
        </w:rPr>
        <w:t>技术标评分计算表</w:t>
      </w:r>
    </w:p>
    <w:p w14:paraId="3F9CEEBC">
      <w:pPr>
        <w:spacing w:after="72" w:afterLines="30" w:line="440" w:lineRule="exact"/>
        <w:rPr>
          <w:color w:val="auto"/>
          <w:highlight w:val="none"/>
        </w:rPr>
      </w:pPr>
      <w:r>
        <w:rPr>
          <w:rFonts w:hint="eastAsia"/>
          <w:color w:val="auto"/>
          <w:highlight w:val="none"/>
        </w:rPr>
        <w:t>项目</w:t>
      </w:r>
      <w:r>
        <w:rPr>
          <w:color w:val="auto"/>
          <w:highlight w:val="none"/>
        </w:rPr>
        <w:t>名称</w:t>
      </w:r>
      <w:r>
        <w:rPr>
          <w:rFonts w:hint="eastAsia"/>
          <w:color w:val="auto"/>
          <w:highlight w:val="none"/>
        </w:rPr>
        <w:t>及项目招标编号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443"/>
        <w:gridCol w:w="1349"/>
        <w:gridCol w:w="937"/>
        <w:gridCol w:w="937"/>
        <w:gridCol w:w="940"/>
        <w:gridCol w:w="940"/>
        <w:gridCol w:w="940"/>
        <w:gridCol w:w="940"/>
        <w:gridCol w:w="951"/>
        <w:gridCol w:w="940"/>
        <w:gridCol w:w="940"/>
        <w:gridCol w:w="940"/>
        <w:gridCol w:w="940"/>
      </w:tblGrid>
      <w:tr w14:paraId="01E0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6" w:type="pct"/>
            <w:vMerge w:val="restart"/>
            <w:vAlign w:val="center"/>
          </w:tcPr>
          <w:p w14:paraId="5ABAD930">
            <w:pPr>
              <w:spacing w:line="360" w:lineRule="atLeast"/>
              <w:jc w:val="center"/>
              <w:rPr>
                <w:rFonts w:eastAsia="黑体"/>
                <w:color w:val="auto"/>
                <w:highlight w:val="none"/>
              </w:rPr>
            </w:pPr>
            <w:r>
              <w:rPr>
                <w:color w:val="auto"/>
                <w:highlight w:val="none"/>
              </w:rPr>
              <w:t>序号</w:t>
            </w:r>
          </w:p>
        </w:tc>
        <w:tc>
          <w:tcPr>
            <w:tcW w:w="1010" w:type="pct"/>
            <w:gridSpan w:val="2"/>
            <w:vMerge w:val="restart"/>
            <w:vAlign w:val="center"/>
          </w:tcPr>
          <w:p w14:paraId="3D4DF67B">
            <w:pPr>
              <w:spacing w:line="341" w:lineRule="exact"/>
              <w:jc w:val="center"/>
              <w:rPr>
                <w:color w:val="auto"/>
                <w:spacing w:val="-1"/>
                <w:highlight w:val="none"/>
              </w:rPr>
            </w:pPr>
            <w:r>
              <w:rPr>
                <w:color w:val="auto"/>
                <w:highlight w:val="none"/>
              </w:rPr>
              <w:t>评审因素</w:t>
            </w:r>
          </w:p>
        </w:tc>
        <w:tc>
          <w:tcPr>
            <w:tcW w:w="2382" w:type="pct"/>
            <w:gridSpan w:val="7"/>
            <w:vAlign w:val="center"/>
          </w:tcPr>
          <w:p w14:paraId="183969C8">
            <w:pPr>
              <w:spacing w:line="360" w:lineRule="atLeast"/>
              <w:jc w:val="center"/>
              <w:rPr>
                <w:color w:val="auto"/>
                <w:highlight w:val="none"/>
              </w:rPr>
            </w:pPr>
            <w:r>
              <w:rPr>
                <w:rFonts w:hint="eastAsia" w:ascii="宋体" w:hAnsi="宋体"/>
                <w:color w:val="auto"/>
                <w:szCs w:val="21"/>
                <w:highlight w:val="none"/>
              </w:rPr>
              <w:t>评委姓名</w:t>
            </w:r>
          </w:p>
        </w:tc>
        <w:tc>
          <w:tcPr>
            <w:tcW w:w="340" w:type="pct"/>
            <w:vMerge w:val="restart"/>
            <w:vAlign w:val="center"/>
          </w:tcPr>
          <w:p w14:paraId="3FFB0DD1">
            <w:pPr>
              <w:spacing w:line="360" w:lineRule="atLeast"/>
              <w:jc w:val="center"/>
              <w:rPr>
                <w:color w:val="auto"/>
                <w:highlight w:val="none"/>
              </w:rPr>
            </w:pPr>
            <w:r>
              <w:rPr>
                <w:rFonts w:hint="eastAsia" w:ascii="宋体" w:hAnsi="宋体"/>
                <w:color w:val="auto"/>
                <w:szCs w:val="21"/>
                <w:highlight w:val="none"/>
              </w:rPr>
              <w:t>评分基准值</w:t>
            </w:r>
          </w:p>
        </w:tc>
        <w:tc>
          <w:tcPr>
            <w:tcW w:w="340" w:type="pct"/>
            <w:vMerge w:val="restart"/>
            <w:vAlign w:val="center"/>
          </w:tcPr>
          <w:p w14:paraId="778B4FEA">
            <w:pPr>
              <w:spacing w:line="360" w:lineRule="atLeast"/>
              <w:jc w:val="center"/>
              <w:rPr>
                <w:color w:val="auto"/>
                <w:highlight w:val="none"/>
              </w:rPr>
            </w:pPr>
            <w:r>
              <w:rPr>
                <w:rFonts w:hint="eastAsia" w:ascii="宋体" w:hAnsi="宋体"/>
                <w:color w:val="auto"/>
                <w:szCs w:val="21"/>
                <w:highlight w:val="none"/>
              </w:rPr>
              <w:t>各评委有效评分合计</w:t>
            </w:r>
          </w:p>
        </w:tc>
        <w:tc>
          <w:tcPr>
            <w:tcW w:w="340" w:type="pct"/>
            <w:vMerge w:val="restart"/>
          </w:tcPr>
          <w:p w14:paraId="28CDC569">
            <w:pPr>
              <w:spacing w:line="360" w:lineRule="atLeast"/>
              <w:jc w:val="center"/>
              <w:rPr>
                <w:color w:val="auto"/>
                <w:highlight w:val="none"/>
              </w:rPr>
            </w:pPr>
            <w:r>
              <w:rPr>
                <w:rFonts w:hint="eastAsia" w:ascii="宋体" w:hAnsi="宋体"/>
                <w:color w:val="auto"/>
                <w:szCs w:val="21"/>
                <w:highlight w:val="none"/>
              </w:rPr>
              <w:t>有效评分人数</w:t>
            </w:r>
          </w:p>
        </w:tc>
        <w:tc>
          <w:tcPr>
            <w:tcW w:w="340" w:type="pct"/>
            <w:vMerge w:val="restart"/>
          </w:tcPr>
          <w:p w14:paraId="6574C8EF">
            <w:pPr>
              <w:spacing w:line="360" w:lineRule="atLeast"/>
              <w:jc w:val="center"/>
              <w:rPr>
                <w:rFonts w:ascii="宋体" w:hAnsi="宋体"/>
                <w:color w:val="auto"/>
                <w:szCs w:val="21"/>
                <w:highlight w:val="none"/>
              </w:rPr>
            </w:pPr>
            <w:r>
              <w:rPr>
                <w:rFonts w:hint="eastAsia" w:ascii="宋体" w:hAnsi="宋体"/>
                <w:color w:val="auto"/>
                <w:szCs w:val="21"/>
                <w:highlight w:val="none"/>
              </w:rPr>
              <w:t>该项最终得分</w:t>
            </w:r>
          </w:p>
        </w:tc>
      </w:tr>
      <w:tr w14:paraId="0A51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246" w:type="pct"/>
            <w:vMerge w:val="continue"/>
            <w:vAlign w:val="center"/>
          </w:tcPr>
          <w:p w14:paraId="2BCD7F22">
            <w:pPr>
              <w:spacing w:line="360" w:lineRule="atLeast"/>
              <w:jc w:val="center"/>
              <w:rPr>
                <w:rFonts w:eastAsia="黑体"/>
                <w:color w:val="auto"/>
                <w:highlight w:val="none"/>
              </w:rPr>
            </w:pPr>
          </w:p>
        </w:tc>
        <w:tc>
          <w:tcPr>
            <w:tcW w:w="1010" w:type="pct"/>
            <w:gridSpan w:val="2"/>
            <w:vMerge w:val="continue"/>
            <w:vAlign w:val="center"/>
          </w:tcPr>
          <w:p w14:paraId="096DCA04">
            <w:pPr>
              <w:spacing w:line="341" w:lineRule="exact"/>
              <w:jc w:val="center"/>
              <w:rPr>
                <w:color w:val="auto"/>
                <w:spacing w:val="-1"/>
                <w:highlight w:val="none"/>
              </w:rPr>
            </w:pPr>
          </w:p>
        </w:tc>
        <w:tc>
          <w:tcPr>
            <w:tcW w:w="339" w:type="pct"/>
            <w:vAlign w:val="center"/>
          </w:tcPr>
          <w:p w14:paraId="35A02425">
            <w:pPr>
              <w:spacing w:line="360" w:lineRule="atLeast"/>
              <w:jc w:val="center"/>
              <w:rPr>
                <w:color w:val="auto"/>
                <w:highlight w:val="none"/>
              </w:rPr>
            </w:pPr>
            <w:r>
              <w:rPr>
                <w:rFonts w:hint="eastAsia"/>
                <w:color w:val="auto"/>
                <w:highlight w:val="none"/>
              </w:rPr>
              <w:t>1</w:t>
            </w:r>
          </w:p>
        </w:tc>
        <w:tc>
          <w:tcPr>
            <w:tcW w:w="339" w:type="pct"/>
            <w:vAlign w:val="center"/>
          </w:tcPr>
          <w:p w14:paraId="1893EC95">
            <w:pPr>
              <w:spacing w:line="360" w:lineRule="atLeast"/>
              <w:jc w:val="center"/>
              <w:rPr>
                <w:color w:val="auto"/>
                <w:highlight w:val="none"/>
              </w:rPr>
            </w:pPr>
            <w:r>
              <w:rPr>
                <w:rFonts w:hint="eastAsia"/>
                <w:color w:val="auto"/>
                <w:highlight w:val="none"/>
              </w:rPr>
              <w:t>2</w:t>
            </w:r>
          </w:p>
        </w:tc>
        <w:tc>
          <w:tcPr>
            <w:tcW w:w="340" w:type="pct"/>
            <w:vAlign w:val="center"/>
          </w:tcPr>
          <w:p w14:paraId="6C79C526">
            <w:pPr>
              <w:spacing w:line="360" w:lineRule="atLeast"/>
              <w:jc w:val="center"/>
              <w:rPr>
                <w:color w:val="auto"/>
                <w:highlight w:val="none"/>
              </w:rPr>
            </w:pPr>
            <w:r>
              <w:rPr>
                <w:rFonts w:hint="eastAsia"/>
                <w:color w:val="auto"/>
                <w:highlight w:val="none"/>
              </w:rPr>
              <w:t>3</w:t>
            </w:r>
          </w:p>
        </w:tc>
        <w:tc>
          <w:tcPr>
            <w:tcW w:w="340" w:type="pct"/>
            <w:vAlign w:val="center"/>
          </w:tcPr>
          <w:p w14:paraId="28415DD1">
            <w:pPr>
              <w:spacing w:line="360" w:lineRule="atLeast"/>
              <w:jc w:val="center"/>
              <w:rPr>
                <w:color w:val="auto"/>
                <w:highlight w:val="none"/>
              </w:rPr>
            </w:pPr>
            <w:r>
              <w:rPr>
                <w:rFonts w:hint="eastAsia"/>
                <w:color w:val="auto"/>
                <w:highlight w:val="none"/>
              </w:rPr>
              <w:t>4</w:t>
            </w:r>
          </w:p>
        </w:tc>
        <w:tc>
          <w:tcPr>
            <w:tcW w:w="340" w:type="pct"/>
            <w:vAlign w:val="center"/>
          </w:tcPr>
          <w:p w14:paraId="56444D99">
            <w:pPr>
              <w:spacing w:line="360" w:lineRule="atLeast"/>
              <w:jc w:val="center"/>
              <w:rPr>
                <w:color w:val="auto"/>
                <w:highlight w:val="none"/>
              </w:rPr>
            </w:pPr>
            <w:r>
              <w:rPr>
                <w:rFonts w:hint="eastAsia"/>
                <w:color w:val="auto"/>
                <w:highlight w:val="none"/>
              </w:rPr>
              <w:t>5</w:t>
            </w:r>
          </w:p>
        </w:tc>
        <w:tc>
          <w:tcPr>
            <w:tcW w:w="340" w:type="pct"/>
            <w:vAlign w:val="center"/>
          </w:tcPr>
          <w:p w14:paraId="744517F7">
            <w:pPr>
              <w:spacing w:line="360" w:lineRule="atLeast"/>
              <w:jc w:val="center"/>
              <w:rPr>
                <w:color w:val="auto"/>
                <w:highlight w:val="none"/>
              </w:rPr>
            </w:pPr>
            <w:r>
              <w:rPr>
                <w:rFonts w:hint="eastAsia"/>
                <w:color w:val="auto"/>
                <w:highlight w:val="none"/>
              </w:rPr>
              <w:t>6</w:t>
            </w:r>
          </w:p>
        </w:tc>
        <w:tc>
          <w:tcPr>
            <w:tcW w:w="341" w:type="pct"/>
            <w:vAlign w:val="center"/>
          </w:tcPr>
          <w:p w14:paraId="45DB60B8">
            <w:pPr>
              <w:spacing w:line="360" w:lineRule="atLeast"/>
              <w:jc w:val="center"/>
              <w:rPr>
                <w:color w:val="auto"/>
                <w:highlight w:val="none"/>
              </w:rPr>
            </w:pPr>
            <w:r>
              <w:rPr>
                <w:rFonts w:hint="eastAsia"/>
                <w:color w:val="auto"/>
                <w:highlight w:val="none"/>
              </w:rPr>
              <w:t>7</w:t>
            </w:r>
          </w:p>
        </w:tc>
        <w:tc>
          <w:tcPr>
            <w:tcW w:w="340" w:type="pct"/>
            <w:vMerge w:val="continue"/>
            <w:vAlign w:val="center"/>
          </w:tcPr>
          <w:p w14:paraId="3203A7FD">
            <w:pPr>
              <w:spacing w:line="360" w:lineRule="atLeast"/>
              <w:jc w:val="center"/>
              <w:rPr>
                <w:color w:val="auto"/>
                <w:highlight w:val="none"/>
              </w:rPr>
            </w:pPr>
          </w:p>
        </w:tc>
        <w:tc>
          <w:tcPr>
            <w:tcW w:w="340" w:type="pct"/>
            <w:vMerge w:val="continue"/>
            <w:vAlign w:val="center"/>
          </w:tcPr>
          <w:p w14:paraId="24E89C6A">
            <w:pPr>
              <w:spacing w:line="360" w:lineRule="atLeast"/>
              <w:jc w:val="center"/>
              <w:rPr>
                <w:color w:val="auto"/>
                <w:highlight w:val="none"/>
              </w:rPr>
            </w:pPr>
          </w:p>
        </w:tc>
        <w:tc>
          <w:tcPr>
            <w:tcW w:w="340" w:type="pct"/>
            <w:vMerge w:val="continue"/>
          </w:tcPr>
          <w:p w14:paraId="0B5F4DDB">
            <w:pPr>
              <w:spacing w:line="360" w:lineRule="atLeast"/>
              <w:jc w:val="center"/>
              <w:rPr>
                <w:color w:val="auto"/>
                <w:highlight w:val="none"/>
              </w:rPr>
            </w:pPr>
          </w:p>
        </w:tc>
        <w:tc>
          <w:tcPr>
            <w:tcW w:w="340" w:type="pct"/>
            <w:vMerge w:val="continue"/>
          </w:tcPr>
          <w:p w14:paraId="2FDF29FE">
            <w:pPr>
              <w:spacing w:line="360" w:lineRule="atLeast"/>
              <w:jc w:val="center"/>
              <w:rPr>
                <w:color w:val="auto"/>
                <w:highlight w:val="none"/>
              </w:rPr>
            </w:pPr>
          </w:p>
        </w:tc>
      </w:tr>
      <w:tr w14:paraId="467D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6" w:type="pct"/>
            <w:vMerge w:val="restart"/>
            <w:vAlign w:val="center"/>
          </w:tcPr>
          <w:p w14:paraId="3A0F2AC7">
            <w:pPr>
              <w:spacing w:line="360" w:lineRule="atLeast"/>
              <w:jc w:val="center"/>
              <w:rPr>
                <w:rFonts w:eastAsia="黑体"/>
                <w:color w:val="auto"/>
                <w:highlight w:val="none"/>
              </w:rPr>
            </w:pPr>
            <w:r>
              <w:rPr>
                <w:rFonts w:eastAsia="黑体"/>
                <w:color w:val="auto"/>
                <w:highlight w:val="none"/>
              </w:rPr>
              <w:t>1</w:t>
            </w:r>
          </w:p>
        </w:tc>
        <w:tc>
          <w:tcPr>
            <w:tcW w:w="522" w:type="pct"/>
            <w:vMerge w:val="restart"/>
            <w:vAlign w:val="center"/>
          </w:tcPr>
          <w:p w14:paraId="21D31978">
            <w:pPr>
              <w:spacing w:line="341" w:lineRule="exact"/>
              <w:jc w:val="center"/>
              <w:rPr>
                <w:color w:val="auto"/>
                <w:spacing w:val="-1"/>
                <w:highlight w:val="none"/>
              </w:rPr>
            </w:pPr>
            <w:r>
              <w:rPr>
                <w:rFonts w:hint="eastAsia"/>
                <w:color w:val="auto"/>
                <w:spacing w:val="-1"/>
                <w:highlight w:val="none"/>
              </w:rPr>
              <w:t>设计实施人员配备</w:t>
            </w:r>
          </w:p>
        </w:tc>
        <w:tc>
          <w:tcPr>
            <w:tcW w:w="488" w:type="pct"/>
            <w:vMerge w:val="restart"/>
            <w:vAlign w:val="center"/>
          </w:tcPr>
          <w:p w14:paraId="5795AE41">
            <w:pPr>
              <w:spacing w:line="341" w:lineRule="exact"/>
              <w:jc w:val="center"/>
              <w:rPr>
                <w:color w:val="auto"/>
                <w:spacing w:val="-1"/>
                <w:highlight w:val="none"/>
              </w:rPr>
            </w:pPr>
            <w:r>
              <w:rPr>
                <w:rFonts w:hint="eastAsia"/>
                <w:color w:val="auto"/>
                <w:spacing w:val="-1"/>
                <w:highlight w:val="none"/>
              </w:rPr>
              <w:t>（1）设计实施人员配备</w:t>
            </w:r>
          </w:p>
        </w:tc>
        <w:tc>
          <w:tcPr>
            <w:tcW w:w="339" w:type="pct"/>
            <w:vAlign w:val="center"/>
          </w:tcPr>
          <w:p w14:paraId="7D3F98E0">
            <w:pPr>
              <w:spacing w:line="360" w:lineRule="atLeast"/>
              <w:jc w:val="center"/>
              <w:rPr>
                <w:color w:val="auto"/>
                <w:highlight w:val="none"/>
              </w:rPr>
            </w:pPr>
            <w:r>
              <w:rPr>
                <w:rFonts w:hint="eastAsia"/>
                <w:color w:val="auto"/>
                <w:highlight w:val="none"/>
              </w:rPr>
              <w:t>分值</w:t>
            </w:r>
          </w:p>
        </w:tc>
        <w:tc>
          <w:tcPr>
            <w:tcW w:w="339" w:type="pct"/>
            <w:vAlign w:val="center"/>
          </w:tcPr>
          <w:p w14:paraId="1D69594D">
            <w:pPr>
              <w:spacing w:line="360" w:lineRule="atLeast"/>
              <w:jc w:val="center"/>
              <w:rPr>
                <w:color w:val="auto"/>
                <w:highlight w:val="none"/>
              </w:rPr>
            </w:pPr>
            <w:r>
              <w:rPr>
                <w:rFonts w:hint="eastAsia"/>
                <w:color w:val="auto"/>
                <w:highlight w:val="none"/>
              </w:rPr>
              <w:t>分值</w:t>
            </w:r>
          </w:p>
        </w:tc>
        <w:tc>
          <w:tcPr>
            <w:tcW w:w="340" w:type="pct"/>
            <w:vAlign w:val="center"/>
          </w:tcPr>
          <w:p w14:paraId="3C08BCFA">
            <w:pPr>
              <w:spacing w:line="360" w:lineRule="atLeast"/>
              <w:jc w:val="center"/>
              <w:rPr>
                <w:color w:val="auto"/>
                <w:highlight w:val="none"/>
              </w:rPr>
            </w:pPr>
            <w:r>
              <w:rPr>
                <w:rFonts w:hint="eastAsia"/>
                <w:color w:val="auto"/>
                <w:highlight w:val="none"/>
              </w:rPr>
              <w:t>分值</w:t>
            </w:r>
          </w:p>
        </w:tc>
        <w:tc>
          <w:tcPr>
            <w:tcW w:w="340" w:type="pct"/>
            <w:vAlign w:val="center"/>
          </w:tcPr>
          <w:p w14:paraId="70639B0C">
            <w:pPr>
              <w:spacing w:line="360" w:lineRule="atLeast"/>
              <w:jc w:val="center"/>
              <w:rPr>
                <w:color w:val="auto"/>
                <w:highlight w:val="none"/>
              </w:rPr>
            </w:pPr>
            <w:r>
              <w:rPr>
                <w:rFonts w:hint="eastAsia"/>
                <w:color w:val="auto"/>
                <w:highlight w:val="none"/>
              </w:rPr>
              <w:t>分值</w:t>
            </w:r>
          </w:p>
        </w:tc>
        <w:tc>
          <w:tcPr>
            <w:tcW w:w="340" w:type="pct"/>
            <w:vAlign w:val="center"/>
          </w:tcPr>
          <w:p w14:paraId="213BD886">
            <w:pPr>
              <w:spacing w:line="360" w:lineRule="atLeast"/>
              <w:jc w:val="center"/>
              <w:rPr>
                <w:color w:val="auto"/>
                <w:highlight w:val="none"/>
              </w:rPr>
            </w:pPr>
            <w:r>
              <w:rPr>
                <w:rFonts w:hint="eastAsia"/>
                <w:color w:val="auto"/>
                <w:highlight w:val="none"/>
              </w:rPr>
              <w:t>分值</w:t>
            </w:r>
          </w:p>
        </w:tc>
        <w:tc>
          <w:tcPr>
            <w:tcW w:w="340" w:type="pct"/>
            <w:vAlign w:val="center"/>
          </w:tcPr>
          <w:p w14:paraId="749BB91F">
            <w:pPr>
              <w:spacing w:line="360" w:lineRule="atLeast"/>
              <w:jc w:val="center"/>
              <w:rPr>
                <w:color w:val="auto"/>
                <w:highlight w:val="none"/>
              </w:rPr>
            </w:pPr>
            <w:r>
              <w:rPr>
                <w:rFonts w:hint="eastAsia"/>
                <w:color w:val="auto"/>
                <w:highlight w:val="none"/>
              </w:rPr>
              <w:t>分值</w:t>
            </w:r>
          </w:p>
        </w:tc>
        <w:tc>
          <w:tcPr>
            <w:tcW w:w="341" w:type="pct"/>
            <w:vAlign w:val="center"/>
          </w:tcPr>
          <w:p w14:paraId="16642C6F">
            <w:pPr>
              <w:spacing w:line="360" w:lineRule="atLeast"/>
              <w:jc w:val="center"/>
              <w:rPr>
                <w:color w:val="auto"/>
                <w:highlight w:val="none"/>
              </w:rPr>
            </w:pPr>
            <w:r>
              <w:rPr>
                <w:rFonts w:hint="eastAsia"/>
                <w:color w:val="auto"/>
                <w:highlight w:val="none"/>
              </w:rPr>
              <w:t>分值</w:t>
            </w:r>
          </w:p>
        </w:tc>
        <w:tc>
          <w:tcPr>
            <w:tcW w:w="340" w:type="pct"/>
            <w:vMerge w:val="restart"/>
            <w:vAlign w:val="center"/>
          </w:tcPr>
          <w:p w14:paraId="7DE3F69A">
            <w:pPr>
              <w:spacing w:line="360" w:lineRule="atLeast"/>
              <w:jc w:val="center"/>
              <w:rPr>
                <w:color w:val="auto"/>
                <w:highlight w:val="none"/>
              </w:rPr>
            </w:pPr>
          </w:p>
        </w:tc>
        <w:tc>
          <w:tcPr>
            <w:tcW w:w="340" w:type="pct"/>
            <w:vMerge w:val="restart"/>
            <w:vAlign w:val="center"/>
          </w:tcPr>
          <w:p w14:paraId="56A59B7D">
            <w:pPr>
              <w:spacing w:line="360" w:lineRule="atLeast"/>
              <w:jc w:val="center"/>
              <w:rPr>
                <w:color w:val="auto"/>
                <w:highlight w:val="none"/>
              </w:rPr>
            </w:pPr>
          </w:p>
        </w:tc>
        <w:tc>
          <w:tcPr>
            <w:tcW w:w="340" w:type="pct"/>
            <w:vMerge w:val="restart"/>
          </w:tcPr>
          <w:p w14:paraId="245FEAE9">
            <w:pPr>
              <w:spacing w:line="360" w:lineRule="atLeast"/>
              <w:jc w:val="center"/>
              <w:rPr>
                <w:color w:val="auto"/>
                <w:highlight w:val="none"/>
              </w:rPr>
            </w:pPr>
          </w:p>
        </w:tc>
        <w:tc>
          <w:tcPr>
            <w:tcW w:w="340" w:type="pct"/>
            <w:vMerge w:val="restart"/>
          </w:tcPr>
          <w:p w14:paraId="54746350">
            <w:pPr>
              <w:spacing w:line="360" w:lineRule="atLeast"/>
              <w:jc w:val="center"/>
              <w:rPr>
                <w:color w:val="auto"/>
                <w:highlight w:val="none"/>
              </w:rPr>
            </w:pPr>
          </w:p>
        </w:tc>
      </w:tr>
      <w:tr w14:paraId="372A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6" w:type="pct"/>
            <w:vMerge w:val="continue"/>
            <w:vAlign w:val="center"/>
          </w:tcPr>
          <w:p w14:paraId="25AB6CFC">
            <w:pPr>
              <w:spacing w:line="360" w:lineRule="atLeast"/>
              <w:jc w:val="center"/>
              <w:rPr>
                <w:rFonts w:eastAsia="黑体"/>
                <w:color w:val="auto"/>
                <w:highlight w:val="none"/>
              </w:rPr>
            </w:pPr>
          </w:p>
        </w:tc>
        <w:tc>
          <w:tcPr>
            <w:tcW w:w="522" w:type="pct"/>
            <w:vMerge w:val="continue"/>
            <w:vAlign w:val="center"/>
          </w:tcPr>
          <w:p w14:paraId="2C5B63AD">
            <w:pPr>
              <w:spacing w:line="341" w:lineRule="exact"/>
              <w:jc w:val="center"/>
              <w:rPr>
                <w:color w:val="auto"/>
                <w:spacing w:val="-1"/>
                <w:highlight w:val="none"/>
              </w:rPr>
            </w:pPr>
          </w:p>
        </w:tc>
        <w:tc>
          <w:tcPr>
            <w:tcW w:w="488" w:type="pct"/>
            <w:vMerge w:val="continue"/>
            <w:vAlign w:val="center"/>
          </w:tcPr>
          <w:p w14:paraId="4F4FFBFE">
            <w:pPr>
              <w:spacing w:line="341" w:lineRule="exact"/>
              <w:jc w:val="center"/>
              <w:rPr>
                <w:color w:val="auto"/>
                <w:spacing w:val="-1"/>
                <w:highlight w:val="none"/>
              </w:rPr>
            </w:pPr>
          </w:p>
        </w:tc>
        <w:tc>
          <w:tcPr>
            <w:tcW w:w="339" w:type="pct"/>
            <w:vAlign w:val="center"/>
          </w:tcPr>
          <w:p w14:paraId="792DE058">
            <w:pPr>
              <w:spacing w:line="360" w:lineRule="atLeast"/>
              <w:jc w:val="center"/>
              <w:rPr>
                <w:color w:val="auto"/>
                <w:highlight w:val="none"/>
              </w:rPr>
            </w:pPr>
            <w:r>
              <w:rPr>
                <w:rFonts w:hint="eastAsia"/>
                <w:color w:val="auto"/>
                <w:highlight w:val="none"/>
              </w:rPr>
              <w:t>偏差%</w:t>
            </w:r>
          </w:p>
        </w:tc>
        <w:tc>
          <w:tcPr>
            <w:tcW w:w="339" w:type="pct"/>
            <w:vAlign w:val="center"/>
          </w:tcPr>
          <w:p w14:paraId="015A0659">
            <w:pPr>
              <w:spacing w:line="360" w:lineRule="atLeast"/>
              <w:jc w:val="center"/>
              <w:rPr>
                <w:color w:val="auto"/>
                <w:highlight w:val="none"/>
              </w:rPr>
            </w:pPr>
            <w:r>
              <w:rPr>
                <w:rFonts w:hint="eastAsia"/>
                <w:color w:val="auto"/>
                <w:highlight w:val="none"/>
              </w:rPr>
              <w:t>偏差%</w:t>
            </w:r>
          </w:p>
        </w:tc>
        <w:tc>
          <w:tcPr>
            <w:tcW w:w="340" w:type="pct"/>
            <w:vAlign w:val="center"/>
          </w:tcPr>
          <w:p w14:paraId="47A06D1C">
            <w:pPr>
              <w:spacing w:line="360" w:lineRule="atLeast"/>
              <w:jc w:val="center"/>
              <w:rPr>
                <w:color w:val="auto"/>
                <w:highlight w:val="none"/>
              </w:rPr>
            </w:pPr>
            <w:r>
              <w:rPr>
                <w:rFonts w:hint="eastAsia"/>
                <w:color w:val="auto"/>
                <w:highlight w:val="none"/>
              </w:rPr>
              <w:t>偏差%</w:t>
            </w:r>
          </w:p>
        </w:tc>
        <w:tc>
          <w:tcPr>
            <w:tcW w:w="340" w:type="pct"/>
            <w:vAlign w:val="center"/>
          </w:tcPr>
          <w:p w14:paraId="2D27B40E">
            <w:pPr>
              <w:spacing w:line="360" w:lineRule="atLeast"/>
              <w:jc w:val="center"/>
              <w:rPr>
                <w:color w:val="auto"/>
                <w:highlight w:val="none"/>
              </w:rPr>
            </w:pPr>
            <w:r>
              <w:rPr>
                <w:rFonts w:hint="eastAsia"/>
                <w:color w:val="auto"/>
                <w:highlight w:val="none"/>
              </w:rPr>
              <w:t>偏差%</w:t>
            </w:r>
          </w:p>
        </w:tc>
        <w:tc>
          <w:tcPr>
            <w:tcW w:w="340" w:type="pct"/>
            <w:vAlign w:val="center"/>
          </w:tcPr>
          <w:p w14:paraId="07CFA466">
            <w:pPr>
              <w:spacing w:line="360" w:lineRule="atLeast"/>
              <w:jc w:val="center"/>
              <w:rPr>
                <w:color w:val="auto"/>
                <w:highlight w:val="none"/>
              </w:rPr>
            </w:pPr>
            <w:r>
              <w:rPr>
                <w:rFonts w:hint="eastAsia"/>
                <w:color w:val="auto"/>
                <w:highlight w:val="none"/>
              </w:rPr>
              <w:t>偏差%</w:t>
            </w:r>
          </w:p>
        </w:tc>
        <w:tc>
          <w:tcPr>
            <w:tcW w:w="340" w:type="pct"/>
            <w:vAlign w:val="center"/>
          </w:tcPr>
          <w:p w14:paraId="1EA42BBB">
            <w:pPr>
              <w:spacing w:line="360" w:lineRule="atLeast"/>
              <w:jc w:val="center"/>
              <w:rPr>
                <w:color w:val="auto"/>
                <w:highlight w:val="none"/>
              </w:rPr>
            </w:pPr>
            <w:r>
              <w:rPr>
                <w:rFonts w:hint="eastAsia"/>
                <w:color w:val="auto"/>
                <w:highlight w:val="none"/>
              </w:rPr>
              <w:t>偏差%</w:t>
            </w:r>
          </w:p>
        </w:tc>
        <w:tc>
          <w:tcPr>
            <w:tcW w:w="341" w:type="pct"/>
            <w:vAlign w:val="center"/>
          </w:tcPr>
          <w:p w14:paraId="41BE5CE0">
            <w:pPr>
              <w:spacing w:line="360" w:lineRule="atLeast"/>
              <w:jc w:val="center"/>
              <w:rPr>
                <w:color w:val="auto"/>
                <w:highlight w:val="none"/>
              </w:rPr>
            </w:pPr>
            <w:r>
              <w:rPr>
                <w:rFonts w:hint="eastAsia"/>
                <w:color w:val="auto"/>
                <w:highlight w:val="none"/>
              </w:rPr>
              <w:t>偏差%</w:t>
            </w:r>
          </w:p>
        </w:tc>
        <w:tc>
          <w:tcPr>
            <w:tcW w:w="340" w:type="pct"/>
            <w:vMerge w:val="continue"/>
            <w:vAlign w:val="center"/>
          </w:tcPr>
          <w:p w14:paraId="0BA548F6">
            <w:pPr>
              <w:spacing w:line="360" w:lineRule="atLeast"/>
              <w:jc w:val="center"/>
              <w:rPr>
                <w:color w:val="auto"/>
                <w:highlight w:val="none"/>
              </w:rPr>
            </w:pPr>
          </w:p>
        </w:tc>
        <w:tc>
          <w:tcPr>
            <w:tcW w:w="340" w:type="pct"/>
            <w:vMerge w:val="continue"/>
            <w:vAlign w:val="center"/>
          </w:tcPr>
          <w:p w14:paraId="4E23A0BE">
            <w:pPr>
              <w:spacing w:line="360" w:lineRule="atLeast"/>
              <w:jc w:val="center"/>
              <w:rPr>
                <w:color w:val="auto"/>
                <w:highlight w:val="none"/>
              </w:rPr>
            </w:pPr>
          </w:p>
        </w:tc>
        <w:tc>
          <w:tcPr>
            <w:tcW w:w="340" w:type="pct"/>
            <w:vMerge w:val="continue"/>
          </w:tcPr>
          <w:p w14:paraId="1FEDA38E">
            <w:pPr>
              <w:spacing w:line="360" w:lineRule="atLeast"/>
              <w:jc w:val="center"/>
              <w:rPr>
                <w:color w:val="auto"/>
                <w:highlight w:val="none"/>
              </w:rPr>
            </w:pPr>
          </w:p>
        </w:tc>
        <w:tc>
          <w:tcPr>
            <w:tcW w:w="340" w:type="pct"/>
            <w:vMerge w:val="continue"/>
          </w:tcPr>
          <w:p w14:paraId="12B52B95">
            <w:pPr>
              <w:spacing w:line="360" w:lineRule="atLeast"/>
              <w:jc w:val="center"/>
              <w:rPr>
                <w:color w:val="auto"/>
                <w:highlight w:val="none"/>
              </w:rPr>
            </w:pPr>
          </w:p>
        </w:tc>
      </w:tr>
      <w:tr w14:paraId="540B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6" w:type="pct"/>
            <w:vMerge w:val="restart"/>
            <w:vAlign w:val="center"/>
          </w:tcPr>
          <w:p w14:paraId="04CEDF49">
            <w:pPr>
              <w:spacing w:line="360" w:lineRule="atLeast"/>
              <w:jc w:val="center"/>
              <w:rPr>
                <w:rFonts w:eastAsia="黑体"/>
                <w:color w:val="auto"/>
                <w:highlight w:val="none"/>
              </w:rPr>
            </w:pPr>
            <w:r>
              <w:rPr>
                <w:rFonts w:eastAsia="黑体"/>
                <w:color w:val="auto"/>
                <w:highlight w:val="none"/>
              </w:rPr>
              <w:t>2</w:t>
            </w:r>
          </w:p>
        </w:tc>
        <w:tc>
          <w:tcPr>
            <w:tcW w:w="522" w:type="pct"/>
            <w:vMerge w:val="continue"/>
            <w:vAlign w:val="center"/>
          </w:tcPr>
          <w:p w14:paraId="7D12954A">
            <w:pPr>
              <w:spacing w:line="341" w:lineRule="exact"/>
              <w:jc w:val="center"/>
              <w:rPr>
                <w:color w:val="auto"/>
                <w:spacing w:val="-1"/>
                <w:highlight w:val="none"/>
              </w:rPr>
            </w:pPr>
          </w:p>
        </w:tc>
        <w:tc>
          <w:tcPr>
            <w:tcW w:w="488" w:type="pct"/>
            <w:vMerge w:val="restart"/>
            <w:vAlign w:val="center"/>
          </w:tcPr>
          <w:p w14:paraId="62D64C41">
            <w:pPr>
              <w:spacing w:line="341" w:lineRule="exact"/>
              <w:jc w:val="center"/>
              <w:rPr>
                <w:color w:val="auto"/>
                <w:spacing w:val="-1"/>
                <w:highlight w:val="none"/>
              </w:rPr>
            </w:pPr>
            <w:r>
              <w:rPr>
                <w:rFonts w:hint="eastAsia"/>
                <w:color w:val="auto"/>
                <w:spacing w:val="-1"/>
                <w:highlight w:val="none"/>
              </w:rPr>
              <w:t>（2）其他主要设计人员</w:t>
            </w:r>
            <w:r>
              <w:rPr>
                <w:rFonts w:hint="eastAsia" w:cs="宋体"/>
                <w:color w:val="auto"/>
                <w:kern w:val="0"/>
                <w:highlight w:val="none"/>
              </w:rPr>
              <w:t>要求</w:t>
            </w:r>
          </w:p>
        </w:tc>
        <w:tc>
          <w:tcPr>
            <w:tcW w:w="339" w:type="pct"/>
            <w:vAlign w:val="center"/>
          </w:tcPr>
          <w:p w14:paraId="20DA49DA">
            <w:pPr>
              <w:spacing w:line="360" w:lineRule="atLeast"/>
              <w:jc w:val="center"/>
              <w:rPr>
                <w:color w:val="auto"/>
                <w:highlight w:val="none"/>
              </w:rPr>
            </w:pPr>
            <w:r>
              <w:rPr>
                <w:rFonts w:hint="eastAsia"/>
                <w:color w:val="auto"/>
                <w:highlight w:val="none"/>
              </w:rPr>
              <w:t>分值</w:t>
            </w:r>
          </w:p>
        </w:tc>
        <w:tc>
          <w:tcPr>
            <w:tcW w:w="339" w:type="pct"/>
            <w:vAlign w:val="center"/>
          </w:tcPr>
          <w:p w14:paraId="0136CB4E">
            <w:pPr>
              <w:spacing w:line="360" w:lineRule="atLeast"/>
              <w:jc w:val="center"/>
              <w:rPr>
                <w:color w:val="auto"/>
                <w:highlight w:val="none"/>
              </w:rPr>
            </w:pPr>
            <w:r>
              <w:rPr>
                <w:rFonts w:hint="eastAsia"/>
                <w:color w:val="auto"/>
                <w:highlight w:val="none"/>
              </w:rPr>
              <w:t>分值</w:t>
            </w:r>
          </w:p>
        </w:tc>
        <w:tc>
          <w:tcPr>
            <w:tcW w:w="340" w:type="pct"/>
            <w:vAlign w:val="center"/>
          </w:tcPr>
          <w:p w14:paraId="2CA08E03">
            <w:pPr>
              <w:spacing w:line="360" w:lineRule="atLeast"/>
              <w:jc w:val="center"/>
              <w:rPr>
                <w:color w:val="auto"/>
                <w:highlight w:val="none"/>
              </w:rPr>
            </w:pPr>
            <w:r>
              <w:rPr>
                <w:rFonts w:hint="eastAsia"/>
                <w:color w:val="auto"/>
                <w:highlight w:val="none"/>
              </w:rPr>
              <w:t>分值</w:t>
            </w:r>
          </w:p>
        </w:tc>
        <w:tc>
          <w:tcPr>
            <w:tcW w:w="340" w:type="pct"/>
            <w:vAlign w:val="center"/>
          </w:tcPr>
          <w:p w14:paraId="478F7D73">
            <w:pPr>
              <w:spacing w:line="360" w:lineRule="atLeast"/>
              <w:jc w:val="center"/>
              <w:rPr>
                <w:color w:val="auto"/>
                <w:highlight w:val="none"/>
              </w:rPr>
            </w:pPr>
            <w:r>
              <w:rPr>
                <w:rFonts w:hint="eastAsia"/>
                <w:color w:val="auto"/>
                <w:highlight w:val="none"/>
              </w:rPr>
              <w:t>分值</w:t>
            </w:r>
          </w:p>
        </w:tc>
        <w:tc>
          <w:tcPr>
            <w:tcW w:w="340" w:type="pct"/>
            <w:vAlign w:val="center"/>
          </w:tcPr>
          <w:p w14:paraId="02DF5891">
            <w:pPr>
              <w:spacing w:line="360" w:lineRule="atLeast"/>
              <w:jc w:val="center"/>
              <w:rPr>
                <w:color w:val="auto"/>
                <w:highlight w:val="none"/>
              </w:rPr>
            </w:pPr>
            <w:r>
              <w:rPr>
                <w:rFonts w:hint="eastAsia"/>
                <w:color w:val="auto"/>
                <w:highlight w:val="none"/>
              </w:rPr>
              <w:t>分值</w:t>
            </w:r>
          </w:p>
        </w:tc>
        <w:tc>
          <w:tcPr>
            <w:tcW w:w="340" w:type="pct"/>
            <w:vAlign w:val="center"/>
          </w:tcPr>
          <w:p w14:paraId="565366EC">
            <w:pPr>
              <w:spacing w:line="360" w:lineRule="atLeast"/>
              <w:jc w:val="center"/>
              <w:rPr>
                <w:color w:val="auto"/>
                <w:highlight w:val="none"/>
              </w:rPr>
            </w:pPr>
            <w:r>
              <w:rPr>
                <w:rFonts w:hint="eastAsia"/>
                <w:color w:val="auto"/>
                <w:highlight w:val="none"/>
              </w:rPr>
              <w:t>分值</w:t>
            </w:r>
          </w:p>
        </w:tc>
        <w:tc>
          <w:tcPr>
            <w:tcW w:w="341" w:type="pct"/>
            <w:vAlign w:val="center"/>
          </w:tcPr>
          <w:p w14:paraId="45676461">
            <w:pPr>
              <w:spacing w:line="360" w:lineRule="atLeast"/>
              <w:jc w:val="center"/>
              <w:rPr>
                <w:color w:val="auto"/>
                <w:highlight w:val="none"/>
              </w:rPr>
            </w:pPr>
            <w:r>
              <w:rPr>
                <w:rFonts w:hint="eastAsia"/>
                <w:color w:val="auto"/>
                <w:highlight w:val="none"/>
              </w:rPr>
              <w:t>分值</w:t>
            </w:r>
          </w:p>
        </w:tc>
        <w:tc>
          <w:tcPr>
            <w:tcW w:w="340" w:type="pct"/>
            <w:vMerge w:val="restart"/>
            <w:vAlign w:val="center"/>
          </w:tcPr>
          <w:p w14:paraId="47758374">
            <w:pPr>
              <w:spacing w:line="360" w:lineRule="atLeast"/>
              <w:jc w:val="center"/>
              <w:rPr>
                <w:color w:val="auto"/>
                <w:highlight w:val="none"/>
              </w:rPr>
            </w:pPr>
          </w:p>
        </w:tc>
        <w:tc>
          <w:tcPr>
            <w:tcW w:w="340" w:type="pct"/>
            <w:vMerge w:val="restart"/>
            <w:vAlign w:val="center"/>
          </w:tcPr>
          <w:p w14:paraId="3F2B5E74">
            <w:pPr>
              <w:spacing w:line="360" w:lineRule="atLeast"/>
              <w:jc w:val="center"/>
              <w:rPr>
                <w:color w:val="auto"/>
                <w:highlight w:val="none"/>
              </w:rPr>
            </w:pPr>
          </w:p>
        </w:tc>
        <w:tc>
          <w:tcPr>
            <w:tcW w:w="340" w:type="pct"/>
            <w:vMerge w:val="restart"/>
          </w:tcPr>
          <w:p w14:paraId="1806FD25">
            <w:pPr>
              <w:spacing w:line="360" w:lineRule="atLeast"/>
              <w:jc w:val="center"/>
              <w:rPr>
                <w:color w:val="auto"/>
                <w:highlight w:val="none"/>
              </w:rPr>
            </w:pPr>
          </w:p>
        </w:tc>
        <w:tc>
          <w:tcPr>
            <w:tcW w:w="340" w:type="pct"/>
            <w:vMerge w:val="restart"/>
          </w:tcPr>
          <w:p w14:paraId="258E9A92">
            <w:pPr>
              <w:spacing w:line="360" w:lineRule="atLeast"/>
              <w:jc w:val="center"/>
              <w:rPr>
                <w:color w:val="auto"/>
                <w:highlight w:val="none"/>
              </w:rPr>
            </w:pPr>
          </w:p>
        </w:tc>
      </w:tr>
      <w:tr w14:paraId="1E7F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6" w:type="pct"/>
            <w:vMerge w:val="continue"/>
            <w:vAlign w:val="center"/>
          </w:tcPr>
          <w:p w14:paraId="4F064BCE">
            <w:pPr>
              <w:spacing w:line="360" w:lineRule="atLeast"/>
              <w:jc w:val="center"/>
              <w:rPr>
                <w:rFonts w:eastAsia="黑体"/>
                <w:color w:val="auto"/>
                <w:highlight w:val="none"/>
              </w:rPr>
            </w:pPr>
          </w:p>
        </w:tc>
        <w:tc>
          <w:tcPr>
            <w:tcW w:w="522" w:type="pct"/>
            <w:vMerge w:val="continue"/>
            <w:vAlign w:val="center"/>
          </w:tcPr>
          <w:p w14:paraId="65FE458A">
            <w:pPr>
              <w:spacing w:line="341" w:lineRule="exact"/>
              <w:jc w:val="center"/>
              <w:rPr>
                <w:color w:val="auto"/>
                <w:spacing w:val="-1"/>
                <w:highlight w:val="none"/>
              </w:rPr>
            </w:pPr>
          </w:p>
        </w:tc>
        <w:tc>
          <w:tcPr>
            <w:tcW w:w="488" w:type="pct"/>
            <w:vMerge w:val="continue"/>
            <w:vAlign w:val="center"/>
          </w:tcPr>
          <w:p w14:paraId="50A0B03A">
            <w:pPr>
              <w:spacing w:line="341" w:lineRule="exact"/>
              <w:jc w:val="center"/>
              <w:rPr>
                <w:color w:val="auto"/>
                <w:spacing w:val="-1"/>
                <w:highlight w:val="none"/>
              </w:rPr>
            </w:pPr>
          </w:p>
        </w:tc>
        <w:tc>
          <w:tcPr>
            <w:tcW w:w="339" w:type="pct"/>
            <w:vAlign w:val="center"/>
          </w:tcPr>
          <w:p w14:paraId="2E4BD6C5">
            <w:pPr>
              <w:spacing w:line="360" w:lineRule="atLeast"/>
              <w:jc w:val="center"/>
              <w:rPr>
                <w:color w:val="auto"/>
                <w:highlight w:val="none"/>
              </w:rPr>
            </w:pPr>
            <w:r>
              <w:rPr>
                <w:rFonts w:hint="eastAsia"/>
                <w:color w:val="auto"/>
                <w:highlight w:val="none"/>
              </w:rPr>
              <w:t>偏差%</w:t>
            </w:r>
          </w:p>
        </w:tc>
        <w:tc>
          <w:tcPr>
            <w:tcW w:w="339" w:type="pct"/>
            <w:vAlign w:val="center"/>
          </w:tcPr>
          <w:p w14:paraId="33510BF8">
            <w:pPr>
              <w:spacing w:line="360" w:lineRule="atLeast"/>
              <w:jc w:val="center"/>
              <w:rPr>
                <w:color w:val="auto"/>
                <w:highlight w:val="none"/>
              </w:rPr>
            </w:pPr>
            <w:r>
              <w:rPr>
                <w:rFonts w:hint="eastAsia"/>
                <w:color w:val="auto"/>
                <w:highlight w:val="none"/>
              </w:rPr>
              <w:t>偏差%</w:t>
            </w:r>
          </w:p>
        </w:tc>
        <w:tc>
          <w:tcPr>
            <w:tcW w:w="340" w:type="pct"/>
            <w:vAlign w:val="center"/>
          </w:tcPr>
          <w:p w14:paraId="799E9189">
            <w:pPr>
              <w:spacing w:line="360" w:lineRule="atLeast"/>
              <w:jc w:val="center"/>
              <w:rPr>
                <w:color w:val="auto"/>
                <w:highlight w:val="none"/>
              </w:rPr>
            </w:pPr>
            <w:r>
              <w:rPr>
                <w:rFonts w:hint="eastAsia"/>
                <w:color w:val="auto"/>
                <w:highlight w:val="none"/>
              </w:rPr>
              <w:t>偏差%</w:t>
            </w:r>
          </w:p>
        </w:tc>
        <w:tc>
          <w:tcPr>
            <w:tcW w:w="340" w:type="pct"/>
            <w:vAlign w:val="center"/>
          </w:tcPr>
          <w:p w14:paraId="55969F93">
            <w:pPr>
              <w:spacing w:line="360" w:lineRule="atLeast"/>
              <w:jc w:val="center"/>
              <w:rPr>
                <w:color w:val="auto"/>
                <w:highlight w:val="none"/>
              </w:rPr>
            </w:pPr>
            <w:r>
              <w:rPr>
                <w:rFonts w:hint="eastAsia"/>
                <w:color w:val="auto"/>
                <w:highlight w:val="none"/>
              </w:rPr>
              <w:t>偏差%</w:t>
            </w:r>
          </w:p>
        </w:tc>
        <w:tc>
          <w:tcPr>
            <w:tcW w:w="340" w:type="pct"/>
            <w:vAlign w:val="center"/>
          </w:tcPr>
          <w:p w14:paraId="71C72831">
            <w:pPr>
              <w:spacing w:line="360" w:lineRule="atLeast"/>
              <w:jc w:val="center"/>
              <w:rPr>
                <w:color w:val="auto"/>
                <w:highlight w:val="none"/>
              </w:rPr>
            </w:pPr>
            <w:r>
              <w:rPr>
                <w:rFonts w:hint="eastAsia"/>
                <w:color w:val="auto"/>
                <w:highlight w:val="none"/>
              </w:rPr>
              <w:t>偏差%</w:t>
            </w:r>
          </w:p>
        </w:tc>
        <w:tc>
          <w:tcPr>
            <w:tcW w:w="340" w:type="pct"/>
            <w:vAlign w:val="center"/>
          </w:tcPr>
          <w:p w14:paraId="33555DB9">
            <w:pPr>
              <w:spacing w:line="360" w:lineRule="atLeast"/>
              <w:jc w:val="center"/>
              <w:rPr>
                <w:color w:val="auto"/>
                <w:highlight w:val="none"/>
              </w:rPr>
            </w:pPr>
            <w:r>
              <w:rPr>
                <w:rFonts w:hint="eastAsia"/>
                <w:color w:val="auto"/>
                <w:highlight w:val="none"/>
              </w:rPr>
              <w:t>偏差%</w:t>
            </w:r>
          </w:p>
        </w:tc>
        <w:tc>
          <w:tcPr>
            <w:tcW w:w="341" w:type="pct"/>
            <w:vAlign w:val="center"/>
          </w:tcPr>
          <w:p w14:paraId="1F9B65BB">
            <w:pPr>
              <w:spacing w:line="360" w:lineRule="atLeast"/>
              <w:jc w:val="center"/>
              <w:rPr>
                <w:color w:val="auto"/>
                <w:highlight w:val="none"/>
              </w:rPr>
            </w:pPr>
            <w:r>
              <w:rPr>
                <w:rFonts w:hint="eastAsia"/>
                <w:color w:val="auto"/>
                <w:highlight w:val="none"/>
              </w:rPr>
              <w:t>偏差%</w:t>
            </w:r>
          </w:p>
        </w:tc>
        <w:tc>
          <w:tcPr>
            <w:tcW w:w="340" w:type="pct"/>
            <w:vMerge w:val="continue"/>
            <w:vAlign w:val="center"/>
          </w:tcPr>
          <w:p w14:paraId="79F48946">
            <w:pPr>
              <w:spacing w:line="360" w:lineRule="atLeast"/>
              <w:jc w:val="center"/>
              <w:rPr>
                <w:color w:val="auto"/>
                <w:highlight w:val="none"/>
              </w:rPr>
            </w:pPr>
          </w:p>
        </w:tc>
        <w:tc>
          <w:tcPr>
            <w:tcW w:w="340" w:type="pct"/>
            <w:vMerge w:val="continue"/>
            <w:vAlign w:val="center"/>
          </w:tcPr>
          <w:p w14:paraId="75003BFB">
            <w:pPr>
              <w:spacing w:line="360" w:lineRule="atLeast"/>
              <w:jc w:val="center"/>
              <w:rPr>
                <w:color w:val="auto"/>
                <w:highlight w:val="none"/>
              </w:rPr>
            </w:pPr>
          </w:p>
        </w:tc>
        <w:tc>
          <w:tcPr>
            <w:tcW w:w="340" w:type="pct"/>
            <w:vMerge w:val="continue"/>
          </w:tcPr>
          <w:p w14:paraId="48A36E88">
            <w:pPr>
              <w:spacing w:line="360" w:lineRule="atLeast"/>
              <w:jc w:val="center"/>
              <w:rPr>
                <w:color w:val="auto"/>
                <w:highlight w:val="none"/>
              </w:rPr>
            </w:pPr>
          </w:p>
        </w:tc>
        <w:tc>
          <w:tcPr>
            <w:tcW w:w="340" w:type="pct"/>
            <w:vMerge w:val="continue"/>
          </w:tcPr>
          <w:p w14:paraId="66F7280A">
            <w:pPr>
              <w:spacing w:line="360" w:lineRule="atLeast"/>
              <w:jc w:val="center"/>
              <w:rPr>
                <w:color w:val="auto"/>
                <w:highlight w:val="none"/>
              </w:rPr>
            </w:pPr>
          </w:p>
        </w:tc>
      </w:tr>
      <w:tr w14:paraId="3103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46" w:type="pct"/>
            <w:vMerge w:val="restart"/>
            <w:vAlign w:val="center"/>
          </w:tcPr>
          <w:p w14:paraId="33F13DB2">
            <w:pPr>
              <w:spacing w:line="360" w:lineRule="atLeast"/>
              <w:jc w:val="center"/>
              <w:rPr>
                <w:rFonts w:eastAsia="黑体"/>
                <w:color w:val="auto"/>
                <w:highlight w:val="none"/>
              </w:rPr>
            </w:pPr>
            <w:r>
              <w:rPr>
                <w:rFonts w:eastAsia="黑体"/>
                <w:color w:val="auto"/>
                <w:highlight w:val="none"/>
              </w:rPr>
              <w:t>3</w:t>
            </w:r>
          </w:p>
        </w:tc>
        <w:tc>
          <w:tcPr>
            <w:tcW w:w="522" w:type="pct"/>
            <w:vMerge w:val="restart"/>
            <w:vAlign w:val="center"/>
          </w:tcPr>
          <w:p w14:paraId="71BF3BCE">
            <w:pPr>
              <w:spacing w:line="341" w:lineRule="exact"/>
              <w:jc w:val="center"/>
              <w:rPr>
                <w:color w:val="auto"/>
                <w:spacing w:val="-1"/>
                <w:highlight w:val="none"/>
              </w:rPr>
            </w:pPr>
            <w:r>
              <w:rPr>
                <w:rFonts w:hint="eastAsia"/>
                <w:color w:val="auto"/>
                <w:spacing w:val="-1"/>
                <w:highlight w:val="none"/>
              </w:rPr>
              <w:t xml:space="preserve">设计实施方案 </w:t>
            </w:r>
            <w:r>
              <w:rPr>
                <w:rFonts w:hint="eastAsia" w:ascii="楷体" w:hAnsi="楷体" w:eastAsia="楷体"/>
                <w:b/>
                <w:color w:val="auto"/>
                <w:szCs w:val="21"/>
                <w:highlight w:val="none"/>
              </w:rPr>
              <w:t>【暗标，如无特殊要求，如城市</w:t>
            </w:r>
            <w:r>
              <w:rPr>
                <w:rFonts w:eastAsia="楷体_GB2312"/>
                <w:b/>
                <w:color w:val="auto"/>
                <w:szCs w:val="21"/>
                <w:highlight w:val="none"/>
                <w:lang w:val="en"/>
              </w:rPr>
              <w:t>轨道</w:t>
            </w:r>
            <w:r>
              <w:rPr>
                <w:rFonts w:hint="eastAsia" w:eastAsia="楷体_GB2312"/>
                <w:b/>
                <w:color w:val="auto"/>
                <w:szCs w:val="21"/>
                <w:highlight w:val="none"/>
                <w:lang w:val="en"/>
              </w:rPr>
              <w:t>交通工程项目和铁路综合交通枢纽站城一体化项目</w:t>
            </w:r>
            <w:r>
              <w:rPr>
                <w:rFonts w:hint="eastAsia" w:ascii="楷体" w:hAnsi="楷体" w:eastAsia="楷体"/>
                <w:b/>
                <w:color w:val="auto"/>
                <w:szCs w:val="21"/>
                <w:highlight w:val="none"/>
              </w:rPr>
              <w:t>可以采用明标，设计方案采用暗标进行投标。】</w:t>
            </w:r>
          </w:p>
        </w:tc>
        <w:tc>
          <w:tcPr>
            <w:tcW w:w="488" w:type="pct"/>
            <w:vMerge w:val="restart"/>
            <w:vAlign w:val="center"/>
          </w:tcPr>
          <w:p w14:paraId="7047A573">
            <w:pPr>
              <w:spacing w:line="341" w:lineRule="exact"/>
              <w:jc w:val="center"/>
              <w:rPr>
                <w:color w:val="auto"/>
                <w:spacing w:val="-1"/>
                <w:highlight w:val="none"/>
              </w:rPr>
            </w:pPr>
            <w:r>
              <w:rPr>
                <w:rFonts w:hint="eastAsia"/>
                <w:color w:val="auto"/>
                <w:spacing w:val="-1"/>
                <w:highlight w:val="none"/>
              </w:rPr>
              <w:t>a.设计服务方案</w:t>
            </w:r>
          </w:p>
        </w:tc>
        <w:tc>
          <w:tcPr>
            <w:tcW w:w="339" w:type="pct"/>
            <w:vAlign w:val="center"/>
          </w:tcPr>
          <w:p w14:paraId="0B8CA2D1">
            <w:pPr>
              <w:spacing w:line="360" w:lineRule="atLeast"/>
              <w:jc w:val="center"/>
              <w:rPr>
                <w:color w:val="auto"/>
                <w:highlight w:val="none"/>
              </w:rPr>
            </w:pPr>
            <w:r>
              <w:rPr>
                <w:rFonts w:hint="eastAsia"/>
                <w:color w:val="auto"/>
                <w:highlight w:val="none"/>
              </w:rPr>
              <w:t>分值</w:t>
            </w:r>
          </w:p>
        </w:tc>
        <w:tc>
          <w:tcPr>
            <w:tcW w:w="339" w:type="pct"/>
            <w:vAlign w:val="center"/>
          </w:tcPr>
          <w:p w14:paraId="2595D5CD">
            <w:pPr>
              <w:spacing w:line="360" w:lineRule="atLeast"/>
              <w:jc w:val="center"/>
              <w:rPr>
                <w:color w:val="auto"/>
                <w:highlight w:val="none"/>
              </w:rPr>
            </w:pPr>
            <w:r>
              <w:rPr>
                <w:rFonts w:hint="eastAsia"/>
                <w:color w:val="auto"/>
                <w:highlight w:val="none"/>
              </w:rPr>
              <w:t>分值</w:t>
            </w:r>
          </w:p>
        </w:tc>
        <w:tc>
          <w:tcPr>
            <w:tcW w:w="340" w:type="pct"/>
            <w:vAlign w:val="center"/>
          </w:tcPr>
          <w:p w14:paraId="53A6812F">
            <w:pPr>
              <w:spacing w:line="360" w:lineRule="atLeast"/>
              <w:jc w:val="center"/>
              <w:rPr>
                <w:color w:val="auto"/>
                <w:highlight w:val="none"/>
              </w:rPr>
            </w:pPr>
            <w:r>
              <w:rPr>
                <w:rFonts w:hint="eastAsia"/>
                <w:color w:val="auto"/>
                <w:highlight w:val="none"/>
              </w:rPr>
              <w:t>分值</w:t>
            </w:r>
          </w:p>
        </w:tc>
        <w:tc>
          <w:tcPr>
            <w:tcW w:w="340" w:type="pct"/>
            <w:vAlign w:val="center"/>
          </w:tcPr>
          <w:p w14:paraId="046D5FFC">
            <w:pPr>
              <w:spacing w:line="360" w:lineRule="atLeast"/>
              <w:jc w:val="center"/>
              <w:rPr>
                <w:color w:val="auto"/>
                <w:highlight w:val="none"/>
              </w:rPr>
            </w:pPr>
            <w:r>
              <w:rPr>
                <w:rFonts w:hint="eastAsia"/>
                <w:color w:val="auto"/>
                <w:highlight w:val="none"/>
              </w:rPr>
              <w:t>分值</w:t>
            </w:r>
          </w:p>
        </w:tc>
        <w:tc>
          <w:tcPr>
            <w:tcW w:w="340" w:type="pct"/>
            <w:vAlign w:val="center"/>
          </w:tcPr>
          <w:p w14:paraId="77C457AA">
            <w:pPr>
              <w:spacing w:line="360" w:lineRule="atLeast"/>
              <w:jc w:val="center"/>
              <w:rPr>
                <w:color w:val="auto"/>
                <w:highlight w:val="none"/>
              </w:rPr>
            </w:pPr>
            <w:r>
              <w:rPr>
                <w:rFonts w:hint="eastAsia"/>
                <w:color w:val="auto"/>
                <w:highlight w:val="none"/>
              </w:rPr>
              <w:t>分值</w:t>
            </w:r>
          </w:p>
        </w:tc>
        <w:tc>
          <w:tcPr>
            <w:tcW w:w="340" w:type="pct"/>
            <w:vAlign w:val="center"/>
          </w:tcPr>
          <w:p w14:paraId="193F4460">
            <w:pPr>
              <w:spacing w:line="360" w:lineRule="atLeast"/>
              <w:jc w:val="center"/>
              <w:rPr>
                <w:color w:val="auto"/>
                <w:highlight w:val="none"/>
              </w:rPr>
            </w:pPr>
            <w:r>
              <w:rPr>
                <w:rFonts w:hint="eastAsia"/>
                <w:color w:val="auto"/>
                <w:highlight w:val="none"/>
              </w:rPr>
              <w:t>分值</w:t>
            </w:r>
          </w:p>
        </w:tc>
        <w:tc>
          <w:tcPr>
            <w:tcW w:w="341" w:type="pct"/>
            <w:vAlign w:val="center"/>
          </w:tcPr>
          <w:p w14:paraId="4C934444">
            <w:pPr>
              <w:spacing w:line="360" w:lineRule="atLeast"/>
              <w:jc w:val="center"/>
              <w:rPr>
                <w:color w:val="auto"/>
                <w:highlight w:val="none"/>
              </w:rPr>
            </w:pPr>
            <w:r>
              <w:rPr>
                <w:rFonts w:hint="eastAsia"/>
                <w:color w:val="auto"/>
                <w:highlight w:val="none"/>
              </w:rPr>
              <w:t>分值</w:t>
            </w:r>
          </w:p>
        </w:tc>
        <w:tc>
          <w:tcPr>
            <w:tcW w:w="340" w:type="pct"/>
            <w:vMerge w:val="restart"/>
            <w:vAlign w:val="center"/>
          </w:tcPr>
          <w:p w14:paraId="2617DD56">
            <w:pPr>
              <w:spacing w:line="360" w:lineRule="atLeast"/>
              <w:jc w:val="center"/>
              <w:rPr>
                <w:color w:val="auto"/>
                <w:highlight w:val="none"/>
              </w:rPr>
            </w:pPr>
          </w:p>
        </w:tc>
        <w:tc>
          <w:tcPr>
            <w:tcW w:w="340" w:type="pct"/>
            <w:vMerge w:val="restart"/>
            <w:vAlign w:val="center"/>
          </w:tcPr>
          <w:p w14:paraId="1C15A127">
            <w:pPr>
              <w:spacing w:line="360" w:lineRule="atLeast"/>
              <w:jc w:val="center"/>
              <w:rPr>
                <w:color w:val="auto"/>
                <w:highlight w:val="none"/>
              </w:rPr>
            </w:pPr>
          </w:p>
        </w:tc>
        <w:tc>
          <w:tcPr>
            <w:tcW w:w="340" w:type="pct"/>
            <w:vMerge w:val="restart"/>
          </w:tcPr>
          <w:p w14:paraId="368C2E9F">
            <w:pPr>
              <w:spacing w:line="360" w:lineRule="atLeast"/>
              <w:jc w:val="center"/>
              <w:rPr>
                <w:color w:val="auto"/>
                <w:highlight w:val="none"/>
              </w:rPr>
            </w:pPr>
          </w:p>
        </w:tc>
        <w:tc>
          <w:tcPr>
            <w:tcW w:w="340" w:type="pct"/>
            <w:vMerge w:val="restart"/>
          </w:tcPr>
          <w:p w14:paraId="79F11776">
            <w:pPr>
              <w:spacing w:line="360" w:lineRule="atLeast"/>
              <w:jc w:val="center"/>
              <w:rPr>
                <w:color w:val="auto"/>
                <w:highlight w:val="none"/>
              </w:rPr>
            </w:pPr>
          </w:p>
        </w:tc>
      </w:tr>
      <w:tr w14:paraId="616D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46" w:type="pct"/>
            <w:vMerge w:val="continue"/>
            <w:vAlign w:val="center"/>
          </w:tcPr>
          <w:p w14:paraId="4D093459">
            <w:pPr>
              <w:spacing w:line="360" w:lineRule="atLeast"/>
              <w:jc w:val="center"/>
              <w:rPr>
                <w:rFonts w:eastAsia="黑体"/>
                <w:color w:val="auto"/>
                <w:highlight w:val="none"/>
              </w:rPr>
            </w:pPr>
          </w:p>
        </w:tc>
        <w:tc>
          <w:tcPr>
            <w:tcW w:w="522" w:type="pct"/>
            <w:vMerge w:val="continue"/>
            <w:vAlign w:val="center"/>
          </w:tcPr>
          <w:p w14:paraId="4718143B">
            <w:pPr>
              <w:spacing w:line="341" w:lineRule="exact"/>
              <w:jc w:val="center"/>
              <w:rPr>
                <w:b/>
                <w:color w:val="auto"/>
                <w:highlight w:val="none"/>
              </w:rPr>
            </w:pPr>
          </w:p>
        </w:tc>
        <w:tc>
          <w:tcPr>
            <w:tcW w:w="488" w:type="pct"/>
            <w:vMerge w:val="continue"/>
            <w:vAlign w:val="center"/>
          </w:tcPr>
          <w:p w14:paraId="47BED625">
            <w:pPr>
              <w:spacing w:line="341" w:lineRule="exact"/>
              <w:jc w:val="center"/>
              <w:rPr>
                <w:color w:val="auto"/>
                <w:spacing w:val="-1"/>
                <w:highlight w:val="none"/>
              </w:rPr>
            </w:pPr>
          </w:p>
        </w:tc>
        <w:tc>
          <w:tcPr>
            <w:tcW w:w="339" w:type="pct"/>
            <w:vAlign w:val="center"/>
          </w:tcPr>
          <w:p w14:paraId="73FC8A9D">
            <w:pPr>
              <w:spacing w:line="360" w:lineRule="atLeast"/>
              <w:jc w:val="center"/>
              <w:rPr>
                <w:color w:val="auto"/>
                <w:highlight w:val="none"/>
              </w:rPr>
            </w:pPr>
            <w:r>
              <w:rPr>
                <w:rFonts w:hint="eastAsia"/>
                <w:color w:val="auto"/>
                <w:highlight w:val="none"/>
              </w:rPr>
              <w:t>偏差%</w:t>
            </w:r>
          </w:p>
        </w:tc>
        <w:tc>
          <w:tcPr>
            <w:tcW w:w="339" w:type="pct"/>
            <w:vAlign w:val="center"/>
          </w:tcPr>
          <w:p w14:paraId="336ECEFB">
            <w:pPr>
              <w:spacing w:line="360" w:lineRule="atLeast"/>
              <w:jc w:val="center"/>
              <w:rPr>
                <w:color w:val="auto"/>
                <w:highlight w:val="none"/>
              </w:rPr>
            </w:pPr>
            <w:r>
              <w:rPr>
                <w:rFonts w:hint="eastAsia"/>
                <w:color w:val="auto"/>
                <w:highlight w:val="none"/>
              </w:rPr>
              <w:t>偏差%</w:t>
            </w:r>
          </w:p>
        </w:tc>
        <w:tc>
          <w:tcPr>
            <w:tcW w:w="340" w:type="pct"/>
            <w:vAlign w:val="center"/>
          </w:tcPr>
          <w:p w14:paraId="4DB3D6DC">
            <w:pPr>
              <w:spacing w:line="360" w:lineRule="atLeast"/>
              <w:jc w:val="center"/>
              <w:rPr>
                <w:color w:val="auto"/>
                <w:highlight w:val="none"/>
              </w:rPr>
            </w:pPr>
            <w:r>
              <w:rPr>
                <w:rFonts w:hint="eastAsia"/>
                <w:color w:val="auto"/>
                <w:highlight w:val="none"/>
              </w:rPr>
              <w:t>偏差%</w:t>
            </w:r>
          </w:p>
        </w:tc>
        <w:tc>
          <w:tcPr>
            <w:tcW w:w="340" w:type="pct"/>
            <w:vAlign w:val="center"/>
          </w:tcPr>
          <w:p w14:paraId="169BDB06">
            <w:pPr>
              <w:spacing w:line="360" w:lineRule="atLeast"/>
              <w:jc w:val="center"/>
              <w:rPr>
                <w:color w:val="auto"/>
                <w:highlight w:val="none"/>
              </w:rPr>
            </w:pPr>
            <w:r>
              <w:rPr>
                <w:rFonts w:hint="eastAsia"/>
                <w:color w:val="auto"/>
                <w:highlight w:val="none"/>
              </w:rPr>
              <w:t>偏差%</w:t>
            </w:r>
          </w:p>
        </w:tc>
        <w:tc>
          <w:tcPr>
            <w:tcW w:w="340" w:type="pct"/>
            <w:vAlign w:val="center"/>
          </w:tcPr>
          <w:p w14:paraId="699343F5">
            <w:pPr>
              <w:spacing w:line="360" w:lineRule="atLeast"/>
              <w:jc w:val="center"/>
              <w:rPr>
                <w:color w:val="auto"/>
                <w:highlight w:val="none"/>
              </w:rPr>
            </w:pPr>
            <w:r>
              <w:rPr>
                <w:rFonts w:hint="eastAsia"/>
                <w:color w:val="auto"/>
                <w:highlight w:val="none"/>
              </w:rPr>
              <w:t>偏差%</w:t>
            </w:r>
          </w:p>
        </w:tc>
        <w:tc>
          <w:tcPr>
            <w:tcW w:w="340" w:type="pct"/>
            <w:vAlign w:val="center"/>
          </w:tcPr>
          <w:p w14:paraId="2F17248C">
            <w:pPr>
              <w:spacing w:line="360" w:lineRule="atLeast"/>
              <w:jc w:val="center"/>
              <w:rPr>
                <w:color w:val="auto"/>
                <w:highlight w:val="none"/>
              </w:rPr>
            </w:pPr>
            <w:r>
              <w:rPr>
                <w:rFonts w:hint="eastAsia"/>
                <w:color w:val="auto"/>
                <w:highlight w:val="none"/>
              </w:rPr>
              <w:t>偏差%</w:t>
            </w:r>
          </w:p>
        </w:tc>
        <w:tc>
          <w:tcPr>
            <w:tcW w:w="341" w:type="pct"/>
            <w:vAlign w:val="center"/>
          </w:tcPr>
          <w:p w14:paraId="012DA965">
            <w:pPr>
              <w:spacing w:line="360" w:lineRule="atLeast"/>
              <w:jc w:val="center"/>
              <w:rPr>
                <w:color w:val="auto"/>
                <w:highlight w:val="none"/>
              </w:rPr>
            </w:pPr>
            <w:r>
              <w:rPr>
                <w:rFonts w:hint="eastAsia"/>
                <w:color w:val="auto"/>
                <w:highlight w:val="none"/>
              </w:rPr>
              <w:t>偏差%</w:t>
            </w:r>
          </w:p>
        </w:tc>
        <w:tc>
          <w:tcPr>
            <w:tcW w:w="340" w:type="pct"/>
            <w:vMerge w:val="continue"/>
            <w:vAlign w:val="center"/>
          </w:tcPr>
          <w:p w14:paraId="3749B41F">
            <w:pPr>
              <w:spacing w:line="360" w:lineRule="atLeast"/>
              <w:jc w:val="center"/>
              <w:rPr>
                <w:color w:val="auto"/>
                <w:highlight w:val="none"/>
              </w:rPr>
            </w:pPr>
          </w:p>
        </w:tc>
        <w:tc>
          <w:tcPr>
            <w:tcW w:w="340" w:type="pct"/>
            <w:vMerge w:val="continue"/>
            <w:vAlign w:val="center"/>
          </w:tcPr>
          <w:p w14:paraId="605C7B69">
            <w:pPr>
              <w:spacing w:line="360" w:lineRule="atLeast"/>
              <w:jc w:val="center"/>
              <w:rPr>
                <w:color w:val="auto"/>
                <w:highlight w:val="none"/>
              </w:rPr>
            </w:pPr>
          </w:p>
        </w:tc>
        <w:tc>
          <w:tcPr>
            <w:tcW w:w="340" w:type="pct"/>
            <w:vMerge w:val="continue"/>
          </w:tcPr>
          <w:p w14:paraId="3093A29B">
            <w:pPr>
              <w:spacing w:line="360" w:lineRule="atLeast"/>
              <w:jc w:val="center"/>
              <w:rPr>
                <w:color w:val="auto"/>
                <w:highlight w:val="none"/>
              </w:rPr>
            </w:pPr>
          </w:p>
        </w:tc>
        <w:tc>
          <w:tcPr>
            <w:tcW w:w="340" w:type="pct"/>
            <w:vMerge w:val="continue"/>
          </w:tcPr>
          <w:p w14:paraId="4118DFDA">
            <w:pPr>
              <w:spacing w:line="360" w:lineRule="atLeast"/>
              <w:jc w:val="center"/>
              <w:rPr>
                <w:color w:val="auto"/>
                <w:highlight w:val="none"/>
              </w:rPr>
            </w:pPr>
          </w:p>
        </w:tc>
      </w:tr>
      <w:tr w14:paraId="1F53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246" w:type="pct"/>
            <w:vMerge w:val="restart"/>
            <w:vAlign w:val="center"/>
          </w:tcPr>
          <w:p w14:paraId="51C38E82">
            <w:pPr>
              <w:spacing w:line="360" w:lineRule="atLeast"/>
              <w:jc w:val="center"/>
              <w:rPr>
                <w:rFonts w:eastAsia="黑体"/>
                <w:color w:val="auto"/>
                <w:highlight w:val="none"/>
              </w:rPr>
            </w:pPr>
            <w:r>
              <w:rPr>
                <w:rFonts w:eastAsia="黑体"/>
                <w:color w:val="auto"/>
                <w:highlight w:val="none"/>
              </w:rPr>
              <w:t>4</w:t>
            </w:r>
          </w:p>
        </w:tc>
        <w:tc>
          <w:tcPr>
            <w:tcW w:w="522" w:type="pct"/>
            <w:vMerge w:val="continue"/>
            <w:vAlign w:val="center"/>
          </w:tcPr>
          <w:p w14:paraId="50BE6923">
            <w:pPr>
              <w:spacing w:line="341" w:lineRule="exact"/>
              <w:jc w:val="center"/>
              <w:rPr>
                <w:color w:val="auto"/>
                <w:spacing w:val="-1"/>
                <w:highlight w:val="none"/>
              </w:rPr>
            </w:pPr>
          </w:p>
        </w:tc>
        <w:tc>
          <w:tcPr>
            <w:tcW w:w="488" w:type="pct"/>
            <w:vMerge w:val="restart"/>
            <w:vAlign w:val="center"/>
          </w:tcPr>
          <w:p w14:paraId="6AB8F742">
            <w:pPr>
              <w:spacing w:line="341" w:lineRule="exact"/>
              <w:jc w:val="center"/>
              <w:rPr>
                <w:color w:val="auto"/>
                <w:spacing w:val="-1"/>
                <w:highlight w:val="none"/>
              </w:rPr>
            </w:pPr>
            <w:r>
              <w:rPr>
                <w:rFonts w:hint="eastAsia"/>
                <w:color w:val="auto"/>
                <w:spacing w:val="-1"/>
                <w:highlight w:val="none"/>
              </w:rPr>
              <w:t>b.设计与发包方前期工作的配合</w:t>
            </w:r>
          </w:p>
        </w:tc>
        <w:tc>
          <w:tcPr>
            <w:tcW w:w="339" w:type="pct"/>
            <w:vAlign w:val="center"/>
          </w:tcPr>
          <w:p w14:paraId="45E2C75B">
            <w:pPr>
              <w:spacing w:line="360" w:lineRule="atLeast"/>
              <w:jc w:val="center"/>
              <w:rPr>
                <w:color w:val="auto"/>
                <w:highlight w:val="none"/>
              </w:rPr>
            </w:pPr>
            <w:r>
              <w:rPr>
                <w:rFonts w:hint="eastAsia"/>
                <w:color w:val="auto"/>
                <w:highlight w:val="none"/>
              </w:rPr>
              <w:t>分值</w:t>
            </w:r>
          </w:p>
        </w:tc>
        <w:tc>
          <w:tcPr>
            <w:tcW w:w="339" w:type="pct"/>
            <w:vAlign w:val="center"/>
          </w:tcPr>
          <w:p w14:paraId="36E46BDC">
            <w:pPr>
              <w:spacing w:line="360" w:lineRule="atLeast"/>
              <w:jc w:val="center"/>
              <w:rPr>
                <w:color w:val="auto"/>
                <w:highlight w:val="none"/>
              </w:rPr>
            </w:pPr>
            <w:r>
              <w:rPr>
                <w:rFonts w:hint="eastAsia"/>
                <w:color w:val="auto"/>
                <w:highlight w:val="none"/>
              </w:rPr>
              <w:t>分值</w:t>
            </w:r>
          </w:p>
        </w:tc>
        <w:tc>
          <w:tcPr>
            <w:tcW w:w="340" w:type="pct"/>
            <w:vAlign w:val="center"/>
          </w:tcPr>
          <w:p w14:paraId="5F8ACA6B">
            <w:pPr>
              <w:spacing w:line="360" w:lineRule="atLeast"/>
              <w:jc w:val="center"/>
              <w:rPr>
                <w:color w:val="auto"/>
                <w:highlight w:val="none"/>
              </w:rPr>
            </w:pPr>
            <w:r>
              <w:rPr>
                <w:rFonts w:hint="eastAsia"/>
                <w:color w:val="auto"/>
                <w:highlight w:val="none"/>
              </w:rPr>
              <w:t>分值</w:t>
            </w:r>
          </w:p>
        </w:tc>
        <w:tc>
          <w:tcPr>
            <w:tcW w:w="340" w:type="pct"/>
            <w:vAlign w:val="center"/>
          </w:tcPr>
          <w:p w14:paraId="20C396D5">
            <w:pPr>
              <w:spacing w:line="360" w:lineRule="atLeast"/>
              <w:jc w:val="center"/>
              <w:rPr>
                <w:color w:val="auto"/>
                <w:highlight w:val="none"/>
              </w:rPr>
            </w:pPr>
            <w:r>
              <w:rPr>
                <w:rFonts w:hint="eastAsia"/>
                <w:color w:val="auto"/>
                <w:highlight w:val="none"/>
              </w:rPr>
              <w:t>分值</w:t>
            </w:r>
          </w:p>
        </w:tc>
        <w:tc>
          <w:tcPr>
            <w:tcW w:w="340" w:type="pct"/>
            <w:vAlign w:val="center"/>
          </w:tcPr>
          <w:p w14:paraId="74048467">
            <w:pPr>
              <w:spacing w:line="360" w:lineRule="atLeast"/>
              <w:jc w:val="center"/>
              <w:rPr>
                <w:color w:val="auto"/>
                <w:highlight w:val="none"/>
              </w:rPr>
            </w:pPr>
            <w:r>
              <w:rPr>
                <w:rFonts w:hint="eastAsia"/>
                <w:color w:val="auto"/>
                <w:highlight w:val="none"/>
              </w:rPr>
              <w:t>分值</w:t>
            </w:r>
          </w:p>
        </w:tc>
        <w:tc>
          <w:tcPr>
            <w:tcW w:w="340" w:type="pct"/>
            <w:vAlign w:val="center"/>
          </w:tcPr>
          <w:p w14:paraId="172E9610">
            <w:pPr>
              <w:spacing w:line="360" w:lineRule="atLeast"/>
              <w:jc w:val="center"/>
              <w:rPr>
                <w:color w:val="auto"/>
                <w:highlight w:val="none"/>
              </w:rPr>
            </w:pPr>
            <w:r>
              <w:rPr>
                <w:rFonts w:hint="eastAsia"/>
                <w:color w:val="auto"/>
                <w:highlight w:val="none"/>
              </w:rPr>
              <w:t>分值</w:t>
            </w:r>
          </w:p>
        </w:tc>
        <w:tc>
          <w:tcPr>
            <w:tcW w:w="341" w:type="pct"/>
            <w:vAlign w:val="center"/>
          </w:tcPr>
          <w:p w14:paraId="6A2B2F6C">
            <w:pPr>
              <w:spacing w:line="360" w:lineRule="atLeast"/>
              <w:jc w:val="center"/>
              <w:rPr>
                <w:color w:val="auto"/>
                <w:highlight w:val="none"/>
              </w:rPr>
            </w:pPr>
            <w:r>
              <w:rPr>
                <w:rFonts w:hint="eastAsia"/>
                <w:color w:val="auto"/>
                <w:highlight w:val="none"/>
              </w:rPr>
              <w:t>分值</w:t>
            </w:r>
          </w:p>
        </w:tc>
        <w:tc>
          <w:tcPr>
            <w:tcW w:w="340" w:type="pct"/>
            <w:vMerge w:val="restart"/>
            <w:vAlign w:val="center"/>
          </w:tcPr>
          <w:p w14:paraId="619BA43E">
            <w:pPr>
              <w:spacing w:line="360" w:lineRule="atLeast"/>
              <w:jc w:val="center"/>
              <w:rPr>
                <w:color w:val="auto"/>
                <w:highlight w:val="none"/>
              </w:rPr>
            </w:pPr>
          </w:p>
        </w:tc>
        <w:tc>
          <w:tcPr>
            <w:tcW w:w="340" w:type="pct"/>
            <w:vMerge w:val="restart"/>
            <w:vAlign w:val="center"/>
          </w:tcPr>
          <w:p w14:paraId="0BC955C6">
            <w:pPr>
              <w:spacing w:line="360" w:lineRule="atLeast"/>
              <w:jc w:val="center"/>
              <w:rPr>
                <w:color w:val="auto"/>
                <w:highlight w:val="none"/>
              </w:rPr>
            </w:pPr>
          </w:p>
        </w:tc>
        <w:tc>
          <w:tcPr>
            <w:tcW w:w="340" w:type="pct"/>
            <w:vMerge w:val="restart"/>
          </w:tcPr>
          <w:p w14:paraId="6A0F9A7B">
            <w:pPr>
              <w:spacing w:line="360" w:lineRule="atLeast"/>
              <w:jc w:val="center"/>
              <w:rPr>
                <w:color w:val="auto"/>
                <w:highlight w:val="none"/>
              </w:rPr>
            </w:pPr>
          </w:p>
        </w:tc>
        <w:tc>
          <w:tcPr>
            <w:tcW w:w="340" w:type="pct"/>
            <w:vMerge w:val="restart"/>
          </w:tcPr>
          <w:p w14:paraId="1E0C197A">
            <w:pPr>
              <w:spacing w:line="360" w:lineRule="atLeast"/>
              <w:jc w:val="center"/>
              <w:rPr>
                <w:color w:val="auto"/>
                <w:highlight w:val="none"/>
              </w:rPr>
            </w:pPr>
          </w:p>
        </w:tc>
      </w:tr>
      <w:tr w14:paraId="3C3C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246" w:type="pct"/>
            <w:vMerge w:val="continue"/>
            <w:vAlign w:val="center"/>
          </w:tcPr>
          <w:p w14:paraId="3E3DFD22">
            <w:pPr>
              <w:spacing w:line="360" w:lineRule="atLeast"/>
              <w:jc w:val="center"/>
              <w:rPr>
                <w:rFonts w:eastAsia="黑体"/>
                <w:color w:val="auto"/>
                <w:highlight w:val="none"/>
              </w:rPr>
            </w:pPr>
          </w:p>
        </w:tc>
        <w:tc>
          <w:tcPr>
            <w:tcW w:w="522" w:type="pct"/>
            <w:vMerge w:val="continue"/>
            <w:vAlign w:val="center"/>
          </w:tcPr>
          <w:p w14:paraId="16450047">
            <w:pPr>
              <w:spacing w:line="341" w:lineRule="exact"/>
              <w:jc w:val="center"/>
              <w:rPr>
                <w:color w:val="auto"/>
                <w:spacing w:val="-1"/>
                <w:highlight w:val="none"/>
              </w:rPr>
            </w:pPr>
          </w:p>
        </w:tc>
        <w:tc>
          <w:tcPr>
            <w:tcW w:w="488" w:type="pct"/>
            <w:vMerge w:val="continue"/>
            <w:vAlign w:val="center"/>
          </w:tcPr>
          <w:p w14:paraId="38473B7F">
            <w:pPr>
              <w:spacing w:line="341" w:lineRule="exact"/>
              <w:jc w:val="center"/>
              <w:rPr>
                <w:color w:val="auto"/>
                <w:spacing w:val="-1"/>
                <w:highlight w:val="none"/>
              </w:rPr>
            </w:pPr>
          </w:p>
        </w:tc>
        <w:tc>
          <w:tcPr>
            <w:tcW w:w="339" w:type="pct"/>
            <w:vAlign w:val="center"/>
          </w:tcPr>
          <w:p w14:paraId="3F7FF230">
            <w:pPr>
              <w:spacing w:line="360" w:lineRule="atLeast"/>
              <w:jc w:val="center"/>
              <w:rPr>
                <w:color w:val="auto"/>
                <w:highlight w:val="none"/>
              </w:rPr>
            </w:pPr>
            <w:r>
              <w:rPr>
                <w:rFonts w:hint="eastAsia"/>
                <w:color w:val="auto"/>
                <w:highlight w:val="none"/>
              </w:rPr>
              <w:t>偏差%</w:t>
            </w:r>
          </w:p>
        </w:tc>
        <w:tc>
          <w:tcPr>
            <w:tcW w:w="339" w:type="pct"/>
            <w:vAlign w:val="center"/>
          </w:tcPr>
          <w:p w14:paraId="1F63E280">
            <w:pPr>
              <w:spacing w:line="360" w:lineRule="atLeast"/>
              <w:jc w:val="center"/>
              <w:rPr>
                <w:color w:val="auto"/>
                <w:highlight w:val="none"/>
              </w:rPr>
            </w:pPr>
            <w:r>
              <w:rPr>
                <w:rFonts w:hint="eastAsia"/>
                <w:color w:val="auto"/>
                <w:highlight w:val="none"/>
              </w:rPr>
              <w:t>偏差%</w:t>
            </w:r>
          </w:p>
        </w:tc>
        <w:tc>
          <w:tcPr>
            <w:tcW w:w="340" w:type="pct"/>
            <w:vAlign w:val="center"/>
          </w:tcPr>
          <w:p w14:paraId="73F34DC0">
            <w:pPr>
              <w:spacing w:line="360" w:lineRule="atLeast"/>
              <w:jc w:val="center"/>
              <w:rPr>
                <w:color w:val="auto"/>
                <w:highlight w:val="none"/>
              </w:rPr>
            </w:pPr>
            <w:r>
              <w:rPr>
                <w:rFonts w:hint="eastAsia"/>
                <w:color w:val="auto"/>
                <w:highlight w:val="none"/>
              </w:rPr>
              <w:t>偏差%</w:t>
            </w:r>
          </w:p>
        </w:tc>
        <w:tc>
          <w:tcPr>
            <w:tcW w:w="340" w:type="pct"/>
            <w:vAlign w:val="center"/>
          </w:tcPr>
          <w:p w14:paraId="1A6754C9">
            <w:pPr>
              <w:spacing w:line="360" w:lineRule="atLeast"/>
              <w:jc w:val="center"/>
              <w:rPr>
                <w:color w:val="auto"/>
                <w:highlight w:val="none"/>
              </w:rPr>
            </w:pPr>
            <w:r>
              <w:rPr>
                <w:rFonts w:hint="eastAsia"/>
                <w:color w:val="auto"/>
                <w:highlight w:val="none"/>
              </w:rPr>
              <w:t>偏差%</w:t>
            </w:r>
          </w:p>
        </w:tc>
        <w:tc>
          <w:tcPr>
            <w:tcW w:w="340" w:type="pct"/>
            <w:vAlign w:val="center"/>
          </w:tcPr>
          <w:p w14:paraId="2B242F21">
            <w:pPr>
              <w:spacing w:line="360" w:lineRule="atLeast"/>
              <w:jc w:val="center"/>
              <w:rPr>
                <w:color w:val="auto"/>
                <w:highlight w:val="none"/>
              </w:rPr>
            </w:pPr>
            <w:r>
              <w:rPr>
                <w:rFonts w:hint="eastAsia"/>
                <w:color w:val="auto"/>
                <w:highlight w:val="none"/>
              </w:rPr>
              <w:t>偏差%</w:t>
            </w:r>
          </w:p>
        </w:tc>
        <w:tc>
          <w:tcPr>
            <w:tcW w:w="340" w:type="pct"/>
            <w:vAlign w:val="center"/>
          </w:tcPr>
          <w:p w14:paraId="6628B6FD">
            <w:pPr>
              <w:spacing w:line="360" w:lineRule="atLeast"/>
              <w:jc w:val="center"/>
              <w:rPr>
                <w:color w:val="auto"/>
                <w:highlight w:val="none"/>
              </w:rPr>
            </w:pPr>
            <w:r>
              <w:rPr>
                <w:rFonts w:hint="eastAsia"/>
                <w:color w:val="auto"/>
                <w:highlight w:val="none"/>
              </w:rPr>
              <w:t>偏差%</w:t>
            </w:r>
          </w:p>
        </w:tc>
        <w:tc>
          <w:tcPr>
            <w:tcW w:w="341" w:type="pct"/>
            <w:vAlign w:val="center"/>
          </w:tcPr>
          <w:p w14:paraId="3BBE5EF4">
            <w:pPr>
              <w:spacing w:line="360" w:lineRule="atLeast"/>
              <w:jc w:val="center"/>
              <w:rPr>
                <w:color w:val="auto"/>
                <w:highlight w:val="none"/>
              </w:rPr>
            </w:pPr>
            <w:r>
              <w:rPr>
                <w:rFonts w:hint="eastAsia"/>
                <w:color w:val="auto"/>
                <w:highlight w:val="none"/>
              </w:rPr>
              <w:t>偏差%</w:t>
            </w:r>
          </w:p>
        </w:tc>
        <w:tc>
          <w:tcPr>
            <w:tcW w:w="340" w:type="pct"/>
            <w:vMerge w:val="continue"/>
            <w:vAlign w:val="center"/>
          </w:tcPr>
          <w:p w14:paraId="546610C9">
            <w:pPr>
              <w:spacing w:line="360" w:lineRule="atLeast"/>
              <w:jc w:val="center"/>
              <w:rPr>
                <w:color w:val="auto"/>
                <w:highlight w:val="none"/>
              </w:rPr>
            </w:pPr>
          </w:p>
        </w:tc>
        <w:tc>
          <w:tcPr>
            <w:tcW w:w="340" w:type="pct"/>
            <w:vMerge w:val="continue"/>
            <w:vAlign w:val="center"/>
          </w:tcPr>
          <w:p w14:paraId="3800F222">
            <w:pPr>
              <w:spacing w:line="360" w:lineRule="atLeast"/>
              <w:jc w:val="center"/>
              <w:rPr>
                <w:color w:val="auto"/>
                <w:highlight w:val="none"/>
              </w:rPr>
            </w:pPr>
          </w:p>
        </w:tc>
        <w:tc>
          <w:tcPr>
            <w:tcW w:w="340" w:type="pct"/>
            <w:vMerge w:val="continue"/>
          </w:tcPr>
          <w:p w14:paraId="6425E486">
            <w:pPr>
              <w:spacing w:line="360" w:lineRule="atLeast"/>
              <w:jc w:val="center"/>
              <w:rPr>
                <w:color w:val="auto"/>
                <w:highlight w:val="none"/>
              </w:rPr>
            </w:pPr>
          </w:p>
        </w:tc>
        <w:tc>
          <w:tcPr>
            <w:tcW w:w="340" w:type="pct"/>
            <w:vMerge w:val="continue"/>
          </w:tcPr>
          <w:p w14:paraId="720354E6">
            <w:pPr>
              <w:spacing w:line="360" w:lineRule="atLeast"/>
              <w:jc w:val="center"/>
              <w:rPr>
                <w:color w:val="auto"/>
                <w:highlight w:val="none"/>
              </w:rPr>
            </w:pPr>
          </w:p>
        </w:tc>
      </w:tr>
      <w:tr w14:paraId="7CAB0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exact"/>
          <w:jc w:val="center"/>
        </w:trPr>
        <w:tc>
          <w:tcPr>
            <w:tcW w:w="246" w:type="pct"/>
            <w:vMerge w:val="restart"/>
            <w:vAlign w:val="center"/>
          </w:tcPr>
          <w:p w14:paraId="19E31AD1">
            <w:pPr>
              <w:spacing w:line="360" w:lineRule="atLeast"/>
              <w:jc w:val="center"/>
              <w:rPr>
                <w:rFonts w:eastAsia="黑体"/>
                <w:color w:val="auto"/>
                <w:highlight w:val="none"/>
              </w:rPr>
            </w:pPr>
            <w:r>
              <w:rPr>
                <w:rFonts w:eastAsia="黑体"/>
                <w:color w:val="auto"/>
                <w:highlight w:val="none"/>
              </w:rPr>
              <w:t>5</w:t>
            </w:r>
          </w:p>
        </w:tc>
        <w:tc>
          <w:tcPr>
            <w:tcW w:w="522" w:type="pct"/>
            <w:vMerge w:val="continue"/>
            <w:vAlign w:val="center"/>
          </w:tcPr>
          <w:p w14:paraId="11CB684A">
            <w:pPr>
              <w:spacing w:line="341" w:lineRule="exact"/>
              <w:jc w:val="center"/>
              <w:rPr>
                <w:color w:val="auto"/>
                <w:spacing w:val="-1"/>
                <w:highlight w:val="none"/>
              </w:rPr>
            </w:pPr>
          </w:p>
        </w:tc>
        <w:tc>
          <w:tcPr>
            <w:tcW w:w="488" w:type="pct"/>
            <w:vMerge w:val="restart"/>
            <w:vAlign w:val="center"/>
          </w:tcPr>
          <w:p w14:paraId="100D6837">
            <w:pPr>
              <w:spacing w:line="341" w:lineRule="exact"/>
              <w:jc w:val="center"/>
              <w:rPr>
                <w:color w:val="auto"/>
                <w:spacing w:val="-1"/>
                <w:highlight w:val="none"/>
              </w:rPr>
            </w:pPr>
            <w:r>
              <w:rPr>
                <w:rFonts w:hint="eastAsia"/>
                <w:color w:val="auto"/>
                <w:spacing w:val="-1"/>
                <w:highlight w:val="none"/>
              </w:rPr>
              <w:t>c.设计在项目施工过程中的工作配合</w:t>
            </w:r>
          </w:p>
        </w:tc>
        <w:tc>
          <w:tcPr>
            <w:tcW w:w="339" w:type="pct"/>
            <w:vAlign w:val="center"/>
          </w:tcPr>
          <w:p w14:paraId="28314039">
            <w:pPr>
              <w:spacing w:line="360" w:lineRule="atLeast"/>
              <w:jc w:val="center"/>
              <w:rPr>
                <w:color w:val="auto"/>
                <w:highlight w:val="none"/>
              </w:rPr>
            </w:pPr>
            <w:r>
              <w:rPr>
                <w:rFonts w:hint="eastAsia"/>
                <w:color w:val="auto"/>
                <w:highlight w:val="none"/>
              </w:rPr>
              <w:t>分值</w:t>
            </w:r>
          </w:p>
        </w:tc>
        <w:tc>
          <w:tcPr>
            <w:tcW w:w="339" w:type="pct"/>
            <w:vAlign w:val="center"/>
          </w:tcPr>
          <w:p w14:paraId="4D933EB6">
            <w:pPr>
              <w:spacing w:line="360" w:lineRule="atLeast"/>
              <w:jc w:val="center"/>
              <w:rPr>
                <w:color w:val="auto"/>
                <w:highlight w:val="none"/>
              </w:rPr>
            </w:pPr>
            <w:r>
              <w:rPr>
                <w:rFonts w:hint="eastAsia"/>
                <w:color w:val="auto"/>
                <w:highlight w:val="none"/>
              </w:rPr>
              <w:t>分值</w:t>
            </w:r>
          </w:p>
        </w:tc>
        <w:tc>
          <w:tcPr>
            <w:tcW w:w="340" w:type="pct"/>
            <w:vAlign w:val="center"/>
          </w:tcPr>
          <w:p w14:paraId="2697C62C">
            <w:pPr>
              <w:spacing w:line="360" w:lineRule="atLeast"/>
              <w:jc w:val="center"/>
              <w:rPr>
                <w:color w:val="auto"/>
                <w:highlight w:val="none"/>
              </w:rPr>
            </w:pPr>
            <w:r>
              <w:rPr>
                <w:rFonts w:hint="eastAsia"/>
                <w:color w:val="auto"/>
                <w:highlight w:val="none"/>
              </w:rPr>
              <w:t>分值</w:t>
            </w:r>
          </w:p>
        </w:tc>
        <w:tc>
          <w:tcPr>
            <w:tcW w:w="340" w:type="pct"/>
            <w:vAlign w:val="center"/>
          </w:tcPr>
          <w:p w14:paraId="2D180A38">
            <w:pPr>
              <w:spacing w:line="360" w:lineRule="atLeast"/>
              <w:jc w:val="center"/>
              <w:rPr>
                <w:color w:val="auto"/>
                <w:highlight w:val="none"/>
              </w:rPr>
            </w:pPr>
            <w:r>
              <w:rPr>
                <w:rFonts w:hint="eastAsia"/>
                <w:color w:val="auto"/>
                <w:highlight w:val="none"/>
              </w:rPr>
              <w:t>分值</w:t>
            </w:r>
          </w:p>
        </w:tc>
        <w:tc>
          <w:tcPr>
            <w:tcW w:w="340" w:type="pct"/>
            <w:vAlign w:val="center"/>
          </w:tcPr>
          <w:p w14:paraId="2C1F8031">
            <w:pPr>
              <w:spacing w:line="360" w:lineRule="atLeast"/>
              <w:jc w:val="center"/>
              <w:rPr>
                <w:color w:val="auto"/>
                <w:highlight w:val="none"/>
              </w:rPr>
            </w:pPr>
            <w:r>
              <w:rPr>
                <w:rFonts w:hint="eastAsia"/>
                <w:color w:val="auto"/>
                <w:highlight w:val="none"/>
              </w:rPr>
              <w:t>分值</w:t>
            </w:r>
          </w:p>
        </w:tc>
        <w:tc>
          <w:tcPr>
            <w:tcW w:w="340" w:type="pct"/>
            <w:vAlign w:val="center"/>
          </w:tcPr>
          <w:p w14:paraId="2BF07336">
            <w:pPr>
              <w:spacing w:line="360" w:lineRule="atLeast"/>
              <w:jc w:val="center"/>
              <w:rPr>
                <w:color w:val="auto"/>
                <w:highlight w:val="none"/>
              </w:rPr>
            </w:pPr>
            <w:r>
              <w:rPr>
                <w:rFonts w:hint="eastAsia"/>
                <w:color w:val="auto"/>
                <w:highlight w:val="none"/>
              </w:rPr>
              <w:t>分值</w:t>
            </w:r>
          </w:p>
        </w:tc>
        <w:tc>
          <w:tcPr>
            <w:tcW w:w="341" w:type="pct"/>
            <w:vAlign w:val="center"/>
          </w:tcPr>
          <w:p w14:paraId="7CC36C85">
            <w:pPr>
              <w:spacing w:line="360" w:lineRule="atLeast"/>
              <w:jc w:val="center"/>
              <w:rPr>
                <w:color w:val="auto"/>
                <w:highlight w:val="none"/>
              </w:rPr>
            </w:pPr>
            <w:r>
              <w:rPr>
                <w:rFonts w:hint="eastAsia"/>
                <w:color w:val="auto"/>
                <w:highlight w:val="none"/>
              </w:rPr>
              <w:t>分值</w:t>
            </w:r>
          </w:p>
        </w:tc>
        <w:tc>
          <w:tcPr>
            <w:tcW w:w="340" w:type="pct"/>
            <w:vMerge w:val="restart"/>
            <w:vAlign w:val="center"/>
          </w:tcPr>
          <w:p w14:paraId="7FF1CF9D">
            <w:pPr>
              <w:spacing w:line="360" w:lineRule="atLeast"/>
              <w:jc w:val="center"/>
              <w:rPr>
                <w:color w:val="auto"/>
                <w:highlight w:val="none"/>
              </w:rPr>
            </w:pPr>
          </w:p>
        </w:tc>
        <w:tc>
          <w:tcPr>
            <w:tcW w:w="340" w:type="pct"/>
            <w:vMerge w:val="restart"/>
            <w:vAlign w:val="center"/>
          </w:tcPr>
          <w:p w14:paraId="2AD72969">
            <w:pPr>
              <w:spacing w:line="360" w:lineRule="atLeast"/>
              <w:jc w:val="center"/>
              <w:rPr>
                <w:color w:val="auto"/>
                <w:highlight w:val="none"/>
              </w:rPr>
            </w:pPr>
          </w:p>
        </w:tc>
        <w:tc>
          <w:tcPr>
            <w:tcW w:w="340" w:type="pct"/>
            <w:vMerge w:val="restart"/>
          </w:tcPr>
          <w:p w14:paraId="0DC5089A">
            <w:pPr>
              <w:spacing w:line="360" w:lineRule="atLeast"/>
              <w:jc w:val="center"/>
              <w:rPr>
                <w:color w:val="auto"/>
                <w:highlight w:val="none"/>
              </w:rPr>
            </w:pPr>
          </w:p>
        </w:tc>
        <w:tc>
          <w:tcPr>
            <w:tcW w:w="340" w:type="pct"/>
            <w:vMerge w:val="restart"/>
          </w:tcPr>
          <w:p w14:paraId="3F883105">
            <w:pPr>
              <w:spacing w:line="360" w:lineRule="atLeast"/>
              <w:jc w:val="center"/>
              <w:rPr>
                <w:color w:val="auto"/>
                <w:highlight w:val="none"/>
              </w:rPr>
            </w:pPr>
          </w:p>
        </w:tc>
      </w:tr>
      <w:tr w14:paraId="2208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246" w:type="pct"/>
            <w:vMerge w:val="continue"/>
            <w:vAlign w:val="center"/>
          </w:tcPr>
          <w:p w14:paraId="24F749AA">
            <w:pPr>
              <w:spacing w:line="360" w:lineRule="atLeast"/>
              <w:jc w:val="center"/>
              <w:rPr>
                <w:rFonts w:eastAsia="黑体"/>
                <w:color w:val="auto"/>
                <w:highlight w:val="none"/>
              </w:rPr>
            </w:pPr>
          </w:p>
        </w:tc>
        <w:tc>
          <w:tcPr>
            <w:tcW w:w="522" w:type="pct"/>
            <w:vMerge w:val="continue"/>
            <w:vAlign w:val="center"/>
          </w:tcPr>
          <w:p w14:paraId="292C51AE">
            <w:pPr>
              <w:spacing w:line="341" w:lineRule="exact"/>
              <w:jc w:val="center"/>
              <w:rPr>
                <w:color w:val="auto"/>
                <w:spacing w:val="-1"/>
                <w:highlight w:val="none"/>
              </w:rPr>
            </w:pPr>
          </w:p>
        </w:tc>
        <w:tc>
          <w:tcPr>
            <w:tcW w:w="488" w:type="pct"/>
            <w:vMerge w:val="continue"/>
            <w:vAlign w:val="center"/>
          </w:tcPr>
          <w:p w14:paraId="669E467D">
            <w:pPr>
              <w:spacing w:line="341" w:lineRule="exact"/>
              <w:jc w:val="center"/>
              <w:rPr>
                <w:color w:val="auto"/>
                <w:spacing w:val="-1"/>
                <w:highlight w:val="none"/>
              </w:rPr>
            </w:pPr>
          </w:p>
        </w:tc>
        <w:tc>
          <w:tcPr>
            <w:tcW w:w="339" w:type="pct"/>
            <w:vAlign w:val="center"/>
          </w:tcPr>
          <w:p w14:paraId="54FF3A1D">
            <w:pPr>
              <w:spacing w:line="360" w:lineRule="atLeast"/>
              <w:jc w:val="center"/>
              <w:rPr>
                <w:color w:val="auto"/>
                <w:highlight w:val="none"/>
              </w:rPr>
            </w:pPr>
            <w:r>
              <w:rPr>
                <w:rFonts w:hint="eastAsia"/>
                <w:color w:val="auto"/>
                <w:highlight w:val="none"/>
              </w:rPr>
              <w:t>偏差%</w:t>
            </w:r>
          </w:p>
        </w:tc>
        <w:tc>
          <w:tcPr>
            <w:tcW w:w="339" w:type="pct"/>
            <w:vAlign w:val="center"/>
          </w:tcPr>
          <w:p w14:paraId="23BB6F1D">
            <w:pPr>
              <w:spacing w:line="360" w:lineRule="atLeast"/>
              <w:jc w:val="center"/>
              <w:rPr>
                <w:color w:val="auto"/>
                <w:highlight w:val="none"/>
              </w:rPr>
            </w:pPr>
            <w:r>
              <w:rPr>
                <w:rFonts w:hint="eastAsia"/>
                <w:color w:val="auto"/>
                <w:highlight w:val="none"/>
              </w:rPr>
              <w:t>偏差%</w:t>
            </w:r>
          </w:p>
        </w:tc>
        <w:tc>
          <w:tcPr>
            <w:tcW w:w="340" w:type="pct"/>
            <w:vAlign w:val="center"/>
          </w:tcPr>
          <w:p w14:paraId="6D9F01E6">
            <w:pPr>
              <w:spacing w:line="360" w:lineRule="atLeast"/>
              <w:jc w:val="center"/>
              <w:rPr>
                <w:color w:val="auto"/>
                <w:highlight w:val="none"/>
              </w:rPr>
            </w:pPr>
            <w:r>
              <w:rPr>
                <w:rFonts w:hint="eastAsia"/>
                <w:color w:val="auto"/>
                <w:highlight w:val="none"/>
              </w:rPr>
              <w:t>偏差%</w:t>
            </w:r>
          </w:p>
        </w:tc>
        <w:tc>
          <w:tcPr>
            <w:tcW w:w="340" w:type="pct"/>
            <w:vAlign w:val="center"/>
          </w:tcPr>
          <w:p w14:paraId="133E610D">
            <w:pPr>
              <w:spacing w:line="360" w:lineRule="atLeast"/>
              <w:jc w:val="center"/>
              <w:rPr>
                <w:color w:val="auto"/>
                <w:highlight w:val="none"/>
              </w:rPr>
            </w:pPr>
            <w:r>
              <w:rPr>
                <w:rFonts w:hint="eastAsia"/>
                <w:color w:val="auto"/>
                <w:highlight w:val="none"/>
              </w:rPr>
              <w:t>偏差%</w:t>
            </w:r>
          </w:p>
        </w:tc>
        <w:tc>
          <w:tcPr>
            <w:tcW w:w="340" w:type="pct"/>
            <w:vAlign w:val="center"/>
          </w:tcPr>
          <w:p w14:paraId="76ABCC7A">
            <w:pPr>
              <w:spacing w:line="360" w:lineRule="atLeast"/>
              <w:jc w:val="center"/>
              <w:rPr>
                <w:color w:val="auto"/>
                <w:highlight w:val="none"/>
              </w:rPr>
            </w:pPr>
            <w:r>
              <w:rPr>
                <w:rFonts w:hint="eastAsia"/>
                <w:color w:val="auto"/>
                <w:highlight w:val="none"/>
              </w:rPr>
              <w:t>偏差%</w:t>
            </w:r>
          </w:p>
        </w:tc>
        <w:tc>
          <w:tcPr>
            <w:tcW w:w="340" w:type="pct"/>
            <w:vAlign w:val="center"/>
          </w:tcPr>
          <w:p w14:paraId="65F90615">
            <w:pPr>
              <w:spacing w:line="360" w:lineRule="atLeast"/>
              <w:jc w:val="center"/>
              <w:rPr>
                <w:color w:val="auto"/>
                <w:highlight w:val="none"/>
              </w:rPr>
            </w:pPr>
            <w:r>
              <w:rPr>
                <w:rFonts w:hint="eastAsia"/>
                <w:color w:val="auto"/>
                <w:highlight w:val="none"/>
              </w:rPr>
              <w:t>偏差%</w:t>
            </w:r>
          </w:p>
        </w:tc>
        <w:tc>
          <w:tcPr>
            <w:tcW w:w="341" w:type="pct"/>
            <w:vAlign w:val="center"/>
          </w:tcPr>
          <w:p w14:paraId="5DA8A471">
            <w:pPr>
              <w:spacing w:line="360" w:lineRule="atLeast"/>
              <w:jc w:val="center"/>
              <w:rPr>
                <w:color w:val="auto"/>
                <w:highlight w:val="none"/>
              </w:rPr>
            </w:pPr>
            <w:r>
              <w:rPr>
                <w:rFonts w:hint="eastAsia"/>
                <w:color w:val="auto"/>
                <w:highlight w:val="none"/>
              </w:rPr>
              <w:t>偏差%</w:t>
            </w:r>
          </w:p>
        </w:tc>
        <w:tc>
          <w:tcPr>
            <w:tcW w:w="340" w:type="pct"/>
            <w:vMerge w:val="continue"/>
            <w:vAlign w:val="center"/>
          </w:tcPr>
          <w:p w14:paraId="44E6E859">
            <w:pPr>
              <w:spacing w:line="360" w:lineRule="atLeast"/>
              <w:jc w:val="center"/>
              <w:rPr>
                <w:color w:val="auto"/>
                <w:highlight w:val="none"/>
              </w:rPr>
            </w:pPr>
          </w:p>
        </w:tc>
        <w:tc>
          <w:tcPr>
            <w:tcW w:w="340" w:type="pct"/>
            <w:vMerge w:val="continue"/>
            <w:vAlign w:val="center"/>
          </w:tcPr>
          <w:p w14:paraId="62739011">
            <w:pPr>
              <w:spacing w:line="360" w:lineRule="atLeast"/>
              <w:jc w:val="center"/>
              <w:rPr>
                <w:color w:val="auto"/>
                <w:highlight w:val="none"/>
              </w:rPr>
            </w:pPr>
          </w:p>
        </w:tc>
        <w:tc>
          <w:tcPr>
            <w:tcW w:w="340" w:type="pct"/>
            <w:vMerge w:val="continue"/>
          </w:tcPr>
          <w:p w14:paraId="15DA586F">
            <w:pPr>
              <w:spacing w:line="360" w:lineRule="atLeast"/>
              <w:jc w:val="center"/>
              <w:rPr>
                <w:color w:val="auto"/>
                <w:highlight w:val="none"/>
              </w:rPr>
            </w:pPr>
          </w:p>
        </w:tc>
        <w:tc>
          <w:tcPr>
            <w:tcW w:w="340" w:type="pct"/>
            <w:vMerge w:val="continue"/>
          </w:tcPr>
          <w:p w14:paraId="5E0D9501">
            <w:pPr>
              <w:spacing w:line="360" w:lineRule="atLeast"/>
              <w:jc w:val="center"/>
              <w:rPr>
                <w:color w:val="auto"/>
                <w:highlight w:val="none"/>
              </w:rPr>
            </w:pPr>
          </w:p>
        </w:tc>
      </w:tr>
      <w:tr w14:paraId="167D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246" w:type="pct"/>
            <w:vMerge w:val="restart"/>
            <w:vAlign w:val="center"/>
          </w:tcPr>
          <w:p w14:paraId="55D75170">
            <w:pPr>
              <w:spacing w:line="360" w:lineRule="atLeast"/>
              <w:jc w:val="center"/>
              <w:rPr>
                <w:rFonts w:eastAsia="黑体"/>
                <w:color w:val="auto"/>
                <w:highlight w:val="none"/>
              </w:rPr>
            </w:pPr>
            <w:r>
              <w:rPr>
                <w:rFonts w:hint="eastAsia" w:eastAsia="黑体"/>
                <w:color w:val="auto"/>
                <w:highlight w:val="none"/>
              </w:rPr>
              <w:t>6</w:t>
            </w:r>
          </w:p>
        </w:tc>
        <w:tc>
          <w:tcPr>
            <w:tcW w:w="522" w:type="pct"/>
            <w:vMerge w:val="continue"/>
            <w:vAlign w:val="center"/>
          </w:tcPr>
          <w:p w14:paraId="492E8644">
            <w:pPr>
              <w:spacing w:line="341" w:lineRule="exact"/>
              <w:jc w:val="center"/>
              <w:rPr>
                <w:color w:val="auto"/>
                <w:spacing w:val="-1"/>
                <w:highlight w:val="none"/>
              </w:rPr>
            </w:pPr>
          </w:p>
        </w:tc>
        <w:tc>
          <w:tcPr>
            <w:tcW w:w="488" w:type="pct"/>
            <w:vMerge w:val="restart"/>
            <w:vAlign w:val="center"/>
          </w:tcPr>
          <w:p w14:paraId="00B7F4ED">
            <w:pPr>
              <w:spacing w:line="341" w:lineRule="exact"/>
              <w:jc w:val="center"/>
              <w:rPr>
                <w:color w:val="auto"/>
                <w:spacing w:val="-1"/>
                <w:highlight w:val="none"/>
              </w:rPr>
            </w:pPr>
            <w:r>
              <w:rPr>
                <w:rFonts w:hint="eastAsia"/>
                <w:color w:val="auto"/>
                <w:spacing w:val="-1"/>
                <w:highlight w:val="none"/>
              </w:rPr>
              <w:t>d.服务响应管理方案</w:t>
            </w:r>
          </w:p>
        </w:tc>
        <w:tc>
          <w:tcPr>
            <w:tcW w:w="339" w:type="pct"/>
            <w:vAlign w:val="center"/>
          </w:tcPr>
          <w:p w14:paraId="52F88DC6">
            <w:pPr>
              <w:spacing w:line="360" w:lineRule="atLeast"/>
              <w:jc w:val="center"/>
              <w:rPr>
                <w:color w:val="auto"/>
                <w:highlight w:val="none"/>
              </w:rPr>
            </w:pPr>
            <w:r>
              <w:rPr>
                <w:rFonts w:hint="eastAsia"/>
                <w:color w:val="auto"/>
                <w:highlight w:val="none"/>
              </w:rPr>
              <w:t>分值</w:t>
            </w:r>
          </w:p>
        </w:tc>
        <w:tc>
          <w:tcPr>
            <w:tcW w:w="339" w:type="pct"/>
            <w:vAlign w:val="center"/>
          </w:tcPr>
          <w:p w14:paraId="6BD03536">
            <w:pPr>
              <w:spacing w:line="360" w:lineRule="atLeast"/>
              <w:jc w:val="center"/>
              <w:rPr>
                <w:color w:val="auto"/>
                <w:highlight w:val="none"/>
              </w:rPr>
            </w:pPr>
            <w:r>
              <w:rPr>
                <w:rFonts w:hint="eastAsia"/>
                <w:color w:val="auto"/>
                <w:highlight w:val="none"/>
              </w:rPr>
              <w:t>分值</w:t>
            </w:r>
          </w:p>
        </w:tc>
        <w:tc>
          <w:tcPr>
            <w:tcW w:w="340" w:type="pct"/>
            <w:vAlign w:val="center"/>
          </w:tcPr>
          <w:p w14:paraId="6DCCBB2E">
            <w:pPr>
              <w:spacing w:line="360" w:lineRule="atLeast"/>
              <w:jc w:val="center"/>
              <w:rPr>
                <w:color w:val="auto"/>
                <w:highlight w:val="none"/>
              </w:rPr>
            </w:pPr>
            <w:r>
              <w:rPr>
                <w:rFonts w:hint="eastAsia"/>
                <w:color w:val="auto"/>
                <w:highlight w:val="none"/>
              </w:rPr>
              <w:t>分值</w:t>
            </w:r>
          </w:p>
        </w:tc>
        <w:tc>
          <w:tcPr>
            <w:tcW w:w="340" w:type="pct"/>
            <w:vAlign w:val="center"/>
          </w:tcPr>
          <w:p w14:paraId="698BCB86">
            <w:pPr>
              <w:spacing w:line="360" w:lineRule="atLeast"/>
              <w:jc w:val="center"/>
              <w:rPr>
                <w:color w:val="auto"/>
                <w:highlight w:val="none"/>
              </w:rPr>
            </w:pPr>
            <w:r>
              <w:rPr>
                <w:rFonts w:hint="eastAsia"/>
                <w:color w:val="auto"/>
                <w:highlight w:val="none"/>
              </w:rPr>
              <w:t>分值</w:t>
            </w:r>
          </w:p>
        </w:tc>
        <w:tc>
          <w:tcPr>
            <w:tcW w:w="340" w:type="pct"/>
            <w:vAlign w:val="center"/>
          </w:tcPr>
          <w:p w14:paraId="5C9859B7">
            <w:pPr>
              <w:spacing w:line="360" w:lineRule="atLeast"/>
              <w:jc w:val="center"/>
              <w:rPr>
                <w:color w:val="auto"/>
                <w:highlight w:val="none"/>
              </w:rPr>
            </w:pPr>
            <w:r>
              <w:rPr>
                <w:rFonts w:hint="eastAsia"/>
                <w:color w:val="auto"/>
                <w:highlight w:val="none"/>
              </w:rPr>
              <w:t>分值</w:t>
            </w:r>
          </w:p>
        </w:tc>
        <w:tc>
          <w:tcPr>
            <w:tcW w:w="340" w:type="pct"/>
            <w:vAlign w:val="center"/>
          </w:tcPr>
          <w:p w14:paraId="02786C49">
            <w:pPr>
              <w:spacing w:line="360" w:lineRule="atLeast"/>
              <w:jc w:val="center"/>
              <w:rPr>
                <w:color w:val="auto"/>
                <w:highlight w:val="none"/>
              </w:rPr>
            </w:pPr>
            <w:r>
              <w:rPr>
                <w:rFonts w:hint="eastAsia"/>
                <w:color w:val="auto"/>
                <w:highlight w:val="none"/>
              </w:rPr>
              <w:t>分值</w:t>
            </w:r>
          </w:p>
        </w:tc>
        <w:tc>
          <w:tcPr>
            <w:tcW w:w="341" w:type="pct"/>
            <w:vAlign w:val="center"/>
          </w:tcPr>
          <w:p w14:paraId="0081BE98">
            <w:pPr>
              <w:spacing w:line="360" w:lineRule="atLeast"/>
              <w:jc w:val="center"/>
              <w:rPr>
                <w:color w:val="auto"/>
                <w:highlight w:val="none"/>
              </w:rPr>
            </w:pPr>
            <w:r>
              <w:rPr>
                <w:rFonts w:hint="eastAsia"/>
                <w:color w:val="auto"/>
                <w:highlight w:val="none"/>
              </w:rPr>
              <w:t>分值</w:t>
            </w:r>
          </w:p>
        </w:tc>
        <w:tc>
          <w:tcPr>
            <w:tcW w:w="340" w:type="pct"/>
            <w:vMerge w:val="restart"/>
            <w:vAlign w:val="center"/>
          </w:tcPr>
          <w:p w14:paraId="3CBA8ECE">
            <w:pPr>
              <w:spacing w:line="360" w:lineRule="atLeast"/>
              <w:jc w:val="center"/>
              <w:rPr>
                <w:color w:val="auto"/>
                <w:highlight w:val="none"/>
              </w:rPr>
            </w:pPr>
          </w:p>
        </w:tc>
        <w:tc>
          <w:tcPr>
            <w:tcW w:w="340" w:type="pct"/>
            <w:vMerge w:val="restart"/>
            <w:vAlign w:val="center"/>
          </w:tcPr>
          <w:p w14:paraId="1CD9A505">
            <w:pPr>
              <w:spacing w:line="360" w:lineRule="atLeast"/>
              <w:jc w:val="center"/>
              <w:rPr>
                <w:color w:val="auto"/>
                <w:highlight w:val="none"/>
              </w:rPr>
            </w:pPr>
          </w:p>
        </w:tc>
        <w:tc>
          <w:tcPr>
            <w:tcW w:w="340" w:type="pct"/>
            <w:vMerge w:val="restart"/>
          </w:tcPr>
          <w:p w14:paraId="6B458BF0">
            <w:pPr>
              <w:spacing w:line="360" w:lineRule="atLeast"/>
              <w:jc w:val="center"/>
              <w:rPr>
                <w:color w:val="auto"/>
                <w:highlight w:val="none"/>
              </w:rPr>
            </w:pPr>
          </w:p>
        </w:tc>
        <w:tc>
          <w:tcPr>
            <w:tcW w:w="340" w:type="pct"/>
            <w:vMerge w:val="restart"/>
          </w:tcPr>
          <w:p w14:paraId="30C75DEB">
            <w:pPr>
              <w:spacing w:line="360" w:lineRule="atLeast"/>
              <w:jc w:val="center"/>
              <w:rPr>
                <w:color w:val="auto"/>
                <w:highlight w:val="none"/>
              </w:rPr>
            </w:pPr>
          </w:p>
        </w:tc>
      </w:tr>
      <w:tr w14:paraId="355D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exact"/>
          <w:jc w:val="center"/>
        </w:trPr>
        <w:tc>
          <w:tcPr>
            <w:tcW w:w="246" w:type="pct"/>
            <w:vMerge w:val="continue"/>
            <w:vAlign w:val="center"/>
          </w:tcPr>
          <w:p w14:paraId="02ACABF0">
            <w:pPr>
              <w:spacing w:line="360" w:lineRule="atLeast"/>
              <w:jc w:val="center"/>
              <w:rPr>
                <w:rFonts w:eastAsia="黑体"/>
                <w:color w:val="auto"/>
                <w:highlight w:val="none"/>
              </w:rPr>
            </w:pPr>
          </w:p>
        </w:tc>
        <w:tc>
          <w:tcPr>
            <w:tcW w:w="522" w:type="pct"/>
            <w:vMerge w:val="continue"/>
          </w:tcPr>
          <w:p w14:paraId="0D3947BB">
            <w:pPr>
              <w:spacing w:line="341" w:lineRule="exact"/>
              <w:jc w:val="center"/>
              <w:rPr>
                <w:color w:val="auto"/>
                <w:spacing w:val="-1"/>
                <w:highlight w:val="none"/>
              </w:rPr>
            </w:pPr>
          </w:p>
        </w:tc>
        <w:tc>
          <w:tcPr>
            <w:tcW w:w="488" w:type="pct"/>
            <w:vMerge w:val="continue"/>
          </w:tcPr>
          <w:p w14:paraId="3E7A26C6">
            <w:pPr>
              <w:spacing w:line="341" w:lineRule="exact"/>
              <w:jc w:val="center"/>
              <w:rPr>
                <w:color w:val="auto"/>
                <w:spacing w:val="-1"/>
                <w:highlight w:val="none"/>
              </w:rPr>
            </w:pPr>
          </w:p>
        </w:tc>
        <w:tc>
          <w:tcPr>
            <w:tcW w:w="339" w:type="pct"/>
            <w:vAlign w:val="center"/>
          </w:tcPr>
          <w:p w14:paraId="3425F1B4">
            <w:pPr>
              <w:spacing w:line="360" w:lineRule="atLeast"/>
              <w:jc w:val="center"/>
              <w:rPr>
                <w:color w:val="auto"/>
                <w:highlight w:val="none"/>
              </w:rPr>
            </w:pPr>
            <w:r>
              <w:rPr>
                <w:rFonts w:hint="eastAsia"/>
                <w:color w:val="auto"/>
                <w:highlight w:val="none"/>
              </w:rPr>
              <w:t>偏差%</w:t>
            </w:r>
          </w:p>
        </w:tc>
        <w:tc>
          <w:tcPr>
            <w:tcW w:w="339" w:type="pct"/>
            <w:vAlign w:val="center"/>
          </w:tcPr>
          <w:p w14:paraId="2F3918A9">
            <w:pPr>
              <w:spacing w:line="360" w:lineRule="atLeast"/>
              <w:jc w:val="center"/>
              <w:rPr>
                <w:color w:val="auto"/>
                <w:highlight w:val="none"/>
              </w:rPr>
            </w:pPr>
            <w:r>
              <w:rPr>
                <w:rFonts w:hint="eastAsia"/>
                <w:color w:val="auto"/>
                <w:highlight w:val="none"/>
              </w:rPr>
              <w:t>偏差%</w:t>
            </w:r>
          </w:p>
        </w:tc>
        <w:tc>
          <w:tcPr>
            <w:tcW w:w="340" w:type="pct"/>
            <w:vAlign w:val="center"/>
          </w:tcPr>
          <w:p w14:paraId="3839F5A7">
            <w:pPr>
              <w:spacing w:line="360" w:lineRule="atLeast"/>
              <w:jc w:val="center"/>
              <w:rPr>
                <w:color w:val="auto"/>
                <w:highlight w:val="none"/>
              </w:rPr>
            </w:pPr>
            <w:r>
              <w:rPr>
                <w:rFonts w:hint="eastAsia"/>
                <w:color w:val="auto"/>
                <w:highlight w:val="none"/>
              </w:rPr>
              <w:t>偏差%</w:t>
            </w:r>
          </w:p>
        </w:tc>
        <w:tc>
          <w:tcPr>
            <w:tcW w:w="340" w:type="pct"/>
            <w:vAlign w:val="center"/>
          </w:tcPr>
          <w:p w14:paraId="361ADFE1">
            <w:pPr>
              <w:spacing w:line="360" w:lineRule="atLeast"/>
              <w:jc w:val="center"/>
              <w:rPr>
                <w:color w:val="auto"/>
                <w:highlight w:val="none"/>
              </w:rPr>
            </w:pPr>
            <w:r>
              <w:rPr>
                <w:rFonts w:hint="eastAsia"/>
                <w:color w:val="auto"/>
                <w:highlight w:val="none"/>
              </w:rPr>
              <w:t>偏差%</w:t>
            </w:r>
          </w:p>
        </w:tc>
        <w:tc>
          <w:tcPr>
            <w:tcW w:w="340" w:type="pct"/>
            <w:vAlign w:val="center"/>
          </w:tcPr>
          <w:p w14:paraId="7A0D86D4">
            <w:pPr>
              <w:spacing w:line="360" w:lineRule="atLeast"/>
              <w:jc w:val="center"/>
              <w:rPr>
                <w:color w:val="auto"/>
                <w:highlight w:val="none"/>
              </w:rPr>
            </w:pPr>
            <w:r>
              <w:rPr>
                <w:rFonts w:hint="eastAsia"/>
                <w:color w:val="auto"/>
                <w:highlight w:val="none"/>
              </w:rPr>
              <w:t>偏差%</w:t>
            </w:r>
          </w:p>
        </w:tc>
        <w:tc>
          <w:tcPr>
            <w:tcW w:w="340" w:type="pct"/>
            <w:vAlign w:val="center"/>
          </w:tcPr>
          <w:p w14:paraId="16D7B27F">
            <w:pPr>
              <w:spacing w:line="360" w:lineRule="atLeast"/>
              <w:jc w:val="center"/>
              <w:rPr>
                <w:color w:val="auto"/>
                <w:highlight w:val="none"/>
              </w:rPr>
            </w:pPr>
            <w:r>
              <w:rPr>
                <w:rFonts w:hint="eastAsia"/>
                <w:color w:val="auto"/>
                <w:highlight w:val="none"/>
              </w:rPr>
              <w:t>偏差%</w:t>
            </w:r>
          </w:p>
        </w:tc>
        <w:tc>
          <w:tcPr>
            <w:tcW w:w="341" w:type="pct"/>
            <w:vAlign w:val="center"/>
          </w:tcPr>
          <w:p w14:paraId="3CB16168">
            <w:pPr>
              <w:spacing w:line="360" w:lineRule="atLeast"/>
              <w:jc w:val="center"/>
              <w:rPr>
                <w:color w:val="auto"/>
                <w:highlight w:val="none"/>
              </w:rPr>
            </w:pPr>
            <w:r>
              <w:rPr>
                <w:rFonts w:hint="eastAsia"/>
                <w:color w:val="auto"/>
                <w:highlight w:val="none"/>
              </w:rPr>
              <w:t>偏差%</w:t>
            </w:r>
          </w:p>
        </w:tc>
        <w:tc>
          <w:tcPr>
            <w:tcW w:w="340" w:type="pct"/>
            <w:vMerge w:val="continue"/>
            <w:vAlign w:val="center"/>
          </w:tcPr>
          <w:p w14:paraId="3DC34051">
            <w:pPr>
              <w:spacing w:line="360" w:lineRule="atLeast"/>
              <w:jc w:val="center"/>
              <w:rPr>
                <w:color w:val="auto"/>
                <w:highlight w:val="none"/>
              </w:rPr>
            </w:pPr>
          </w:p>
        </w:tc>
        <w:tc>
          <w:tcPr>
            <w:tcW w:w="340" w:type="pct"/>
            <w:vMerge w:val="continue"/>
            <w:vAlign w:val="center"/>
          </w:tcPr>
          <w:p w14:paraId="67D9E467">
            <w:pPr>
              <w:spacing w:line="360" w:lineRule="atLeast"/>
              <w:jc w:val="center"/>
              <w:rPr>
                <w:color w:val="auto"/>
                <w:highlight w:val="none"/>
              </w:rPr>
            </w:pPr>
          </w:p>
        </w:tc>
        <w:tc>
          <w:tcPr>
            <w:tcW w:w="340" w:type="pct"/>
            <w:vMerge w:val="continue"/>
          </w:tcPr>
          <w:p w14:paraId="2BA51A9A">
            <w:pPr>
              <w:spacing w:line="360" w:lineRule="atLeast"/>
              <w:jc w:val="center"/>
              <w:rPr>
                <w:color w:val="auto"/>
                <w:highlight w:val="none"/>
              </w:rPr>
            </w:pPr>
          </w:p>
        </w:tc>
        <w:tc>
          <w:tcPr>
            <w:tcW w:w="340" w:type="pct"/>
            <w:vMerge w:val="continue"/>
          </w:tcPr>
          <w:p w14:paraId="004E53DC">
            <w:pPr>
              <w:spacing w:line="360" w:lineRule="atLeast"/>
              <w:jc w:val="center"/>
              <w:rPr>
                <w:color w:val="auto"/>
                <w:highlight w:val="none"/>
              </w:rPr>
            </w:pPr>
          </w:p>
        </w:tc>
      </w:tr>
      <w:tr w14:paraId="24FF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246" w:type="pct"/>
            <w:vMerge w:val="restart"/>
            <w:vAlign w:val="center"/>
          </w:tcPr>
          <w:p w14:paraId="61EB95C9">
            <w:pPr>
              <w:spacing w:line="360" w:lineRule="atLeast"/>
              <w:jc w:val="center"/>
              <w:rPr>
                <w:rFonts w:eastAsia="黑体"/>
                <w:color w:val="auto"/>
                <w:highlight w:val="none"/>
              </w:rPr>
            </w:pPr>
            <w:r>
              <w:rPr>
                <w:rFonts w:hint="eastAsia" w:eastAsia="黑体"/>
                <w:color w:val="auto"/>
                <w:highlight w:val="none"/>
              </w:rPr>
              <w:t>7</w:t>
            </w:r>
          </w:p>
        </w:tc>
        <w:tc>
          <w:tcPr>
            <w:tcW w:w="522" w:type="pct"/>
            <w:vMerge w:val="restart"/>
          </w:tcPr>
          <w:p w14:paraId="78DFE340">
            <w:pPr>
              <w:spacing w:line="341" w:lineRule="exact"/>
              <w:jc w:val="center"/>
              <w:rPr>
                <w:color w:val="auto"/>
                <w:spacing w:val="-1"/>
                <w:highlight w:val="none"/>
              </w:rPr>
            </w:pPr>
          </w:p>
        </w:tc>
        <w:tc>
          <w:tcPr>
            <w:tcW w:w="488" w:type="pct"/>
            <w:vMerge w:val="restart"/>
          </w:tcPr>
          <w:p w14:paraId="0A316D3B">
            <w:pPr>
              <w:spacing w:line="341" w:lineRule="exact"/>
              <w:jc w:val="center"/>
              <w:rPr>
                <w:color w:val="auto"/>
                <w:spacing w:val="-1"/>
                <w:highlight w:val="none"/>
              </w:rPr>
            </w:pPr>
            <w:r>
              <w:rPr>
                <w:color w:val="auto"/>
                <w:spacing w:val="-1"/>
                <w:highlight w:val="none"/>
              </w:rPr>
              <w:t>……</w:t>
            </w:r>
          </w:p>
        </w:tc>
        <w:tc>
          <w:tcPr>
            <w:tcW w:w="339" w:type="pct"/>
            <w:vAlign w:val="center"/>
          </w:tcPr>
          <w:p w14:paraId="0D3DEC09">
            <w:pPr>
              <w:spacing w:line="360" w:lineRule="atLeast"/>
              <w:jc w:val="center"/>
              <w:rPr>
                <w:color w:val="auto"/>
                <w:highlight w:val="none"/>
              </w:rPr>
            </w:pPr>
            <w:r>
              <w:rPr>
                <w:rFonts w:hint="eastAsia"/>
                <w:color w:val="auto"/>
                <w:highlight w:val="none"/>
              </w:rPr>
              <w:t>分值</w:t>
            </w:r>
          </w:p>
        </w:tc>
        <w:tc>
          <w:tcPr>
            <w:tcW w:w="339" w:type="pct"/>
            <w:vAlign w:val="center"/>
          </w:tcPr>
          <w:p w14:paraId="14553C71">
            <w:pPr>
              <w:spacing w:line="360" w:lineRule="atLeast"/>
              <w:jc w:val="center"/>
              <w:rPr>
                <w:color w:val="auto"/>
                <w:highlight w:val="none"/>
              </w:rPr>
            </w:pPr>
            <w:r>
              <w:rPr>
                <w:rFonts w:hint="eastAsia"/>
                <w:color w:val="auto"/>
                <w:highlight w:val="none"/>
              </w:rPr>
              <w:t>分值</w:t>
            </w:r>
          </w:p>
        </w:tc>
        <w:tc>
          <w:tcPr>
            <w:tcW w:w="340" w:type="pct"/>
            <w:vAlign w:val="center"/>
          </w:tcPr>
          <w:p w14:paraId="4668EE79">
            <w:pPr>
              <w:spacing w:line="360" w:lineRule="atLeast"/>
              <w:jc w:val="center"/>
              <w:rPr>
                <w:color w:val="auto"/>
                <w:highlight w:val="none"/>
              </w:rPr>
            </w:pPr>
            <w:r>
              <w:rPr>
                <w:rFonts w:hint="eastAsia"/>
                <w:color w:val="auto"/>
                <w:highlight w:val="none"/>
              </w:rPr>
              <w:t>分值</w:t>
            </w:r>
          </w:p>
        </w:tc>
        <w:tc>
          <w:tcPr>
            <w:tcW w:w="340" w:type="pct"/>
            <w:vAlign w:val="center"/>
          </w:tcPr>
          <w:p w14:paraId="59677B4C">
            <w:pPr>
              <w:spacing w:line="360" w:lineRule="atLeast"/>
              <w:jc w:val="center"/>
              <w:rPr>
                <w:color w:val="auto"/>
                <w:highlight w:val="none"/>
              </w:rPr>
            </w:pPr>
            <w:r>
              <w:rPr>
                <w:rFonts w:hint="eastAsia"/>
                <w:color w:val="auto"/>
                <w:highlight w:val="none"/>
              </w:rPr>
              <w:t>分值</w:t>
            </w:r>
          </w:p>
        </w:tc>
        <w:tc>
          <w:tcPr>
            <w:tcW w:w="340" w:type="pct"/>
            <w:vAlign w:val="center"/>
          </w:tcPr>
          <w:p w14:paraId="1589CEA0">
            <w:pPr>
              <w:spacing w:line="360" w:lineRule="atLeast"/>
              <w:jc w:val="center"/>
              <w:rPr>
                <w:color w:val="auto"/>
                <w:highlight w:val="none"/>
              </w:rPr>
            </w:pPr>
            <w:r>
              <w:rPr>
                <w:rFonts w:hint="eastAsia"/>
                <w:color w:val="auto"/>
                <w:highlight w:val="none"/>
              </w:rPr>
              <w:t>分值</w:t>
            </w:r>
          </w:p>
        </w:tc>
        <w:tc>
          <w:tcPr>
            <w:tcW w:w="340" w:type="pct"/>
            <w:vAlign w:val="center"/>
          </w:tcPr>
          <w:p w14:paraId="50DFA39D">
            <w:pPr>
              <w:spacing w:line="360" w:lineRule="atLeast"/>
              <w:jc w:val="center"/>
              <w:rPr>
                <w:color w:val="auto"/>
                <w:highlight w:val="none"/>
              </w:rPr>
            </w:pPr>
            <w:r>
              <w:rPr>
                <w:rFonts w:hint="eastAsia"/>
                <w:color w:val="auto"/>
                <w:highlight w:val="none"/>
              </w:rPr>
              <w:t>分值</w:t>
            </w:r>
          </w:p>
        </w:tc>
        <w:tc>
          <w:tcPr>
            <w:tcW w:w="341" w:type="pct"/>
            <w:vAlign w:val="center"/>
          </w:tcPr>
          <w:p w14:paraId="3DAA67DD">
            <w:pPr>
              <w:spacing w:line="360" w:lineRule="atLeast"/>
              <w:jc w:val="center"/>
              <w:rPr>
                <w:color w:val="auto"/>
                <w:highlight w:val="none"/>
              </w:rPr>
            </w:pPr>
            <w:r>
              <w:rPr>
                <w:rFonts w:hint="eastAsia"/>
                <w:color w:val="auto"/>
                <w:highlight w:val="none"/>
              </w:rPr>
              <w:t>分值</w:t>
            </w:r>
          </w:p>
        </w:tc>
        <w:tc>
          <w:tcPr>
            <w:tcW w:w="340" w:type="pct"/>
            <w:vAlign w:val="center"/>
          </w:tcPr>
          <w:p w14:paraId="7D3A52A3">
            <w:pPr>
              <w:spacing w:line="360" w:lineRule="atLeast"/>
              <w:jc w:val="center"/>
              <w:rPr>
                <w:color w:val="auto"/>
                <w:highlight w:val="none"/>
              </w:rPr>
            </w:pPr>
          </w:p>
        </w:tc>
        <w:tc>
          <w:tcPr>
            <w:tcW w:w="340" w:type="pct"/>
            <w:vAlign w:val="center"/>
          </w:tcPr>
          <w:p w14:paraId="6022C756">
            <w:pPr>
              <w:spacing w:line="360" w:lineRule="atLeast"/>
              <w:jc w:val="center"/>
              <w:rPr>
                <w:color w:val="auto"/>
                <w:highlight w:val="none"/>
              </w:rPr>
            </w:pPr>
          </w:p>
        </w:tc>
        <w:tc>
          <w:tcPr>
            <w:tcW w:w="340" w:type="pct"/>
          </w:tcPr>
          <w:p w14:paraId="0AFE25CC">
            <w:pPr>
              <w:spacing w:line="360" w:lineRule="atLeast"/>
              <w:jc w:val="center"/>
              <w:rPr>
                <w:color w:val="auto"/>
                <w:highlight w:val="none"/>
              </w:rPr>
            </w:pPr>
          </w:p>
        </w:tc>
        <w:tc>
          <w:tcPr>
            <w:tcW w:w="340" w:type="pct"/>
          </w:tcPr>
          <w:p w14:paraId="34691C35">
            <w:pPr>
              <w:spacing w:line="360" w:lineRule="atLeast"/>
              <w:jc w:val="center"/>
              <w:rPr>
                <w:color w:val="auto"/>
                <w:highlight w:val="none"/>
              </w:rPr>
            </w:pPr>
          </w:p>
        </w:tc>
      </w:tr>
      <w:tr w14:paraId="0149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246" w:type="pct"/>
            <w:vMerge w:val="continue"/>
            <w:vAlign w:val="center"/>
          </w:tcPr>
          <w:p w14:paraId="75864FA6">
            <w:pPr>
              <w:spacing w:line="360" w:lineRule="atLeast"/>
              <w:jc w:val="center"/>
              <w:rPr>
                <w:rFonts w:eastAsia="黑体"/>
                <w:color w:val="auto"/>
                <w:highlight w:val="none"/>
              </w:rPr>
            </w:pPr>
          </w:p>
        </w:tc>
        <w:tc>
          <w:tcPr>
            <w:tcW w:w="522" w:type="pct"/>
            <w:vMerge w:val="continue"/>
          </w:tcPr>
          <w:p w14:paraId="2C5278C1">
            <w:pPr>
              <w:spacing w:line="341" w:lineRule="exact"/>
              <w:jc w:val="center"/>
              <w:rPr>
                <w:color w:val="auto"/>
                <w:spacing w:val="-1"/>
                <w:highlight w:val="none"/>
              </w:rPr>
            </w:pPr>
          </w:p>
        </w:tc>
        <w:tc>
          <w:tcPr>
            <w:tcW w:w="488" w:type="pct"/>
            <w:vMerge w:val="continue"/>
          </w:tcPr>
          <w:p w14:paraId="6B490FF3">
            <w:pPr>
              <w:spacing w:line="341" w:lineRule="exact"/>
              <w:jc w:val="center"/>
              <w:rPr>
                <w:color w:val="auto"/>
                <w:spacing w:val="-1"/>
                <w:highlight w:val="none"/>
              </w:rPr>
            </w:pPr>
          </w:p>
        </w:tc>
        <w:tc>
          <w:tcPr>
            <w:tcW w:w="339" w:type="pct"/>
            <w:vAlign w:val="center"/>
          </w:tcPr>
          <w:p w14:paraId="7C9E580E">
            <w:pPr>
              <w:spacing w:line="360" w:lineRule="atLeast"/>
              <w:jc w:val="center"/>
              <w:rPr>
                <w:color w:val="auto"/>
                <w:highlight w:val="none"/>
              </w:rPr>
            </w:pPr>
            <w:r>
              <w:rPr>
                <w:rFonts w:hint="eastAsia"/>
                <w:color w:val="auto"/>
                <w:highlight w:val="none"/>
              </w:rPr>
              <w:t>偏差%</w:t>
            </w:r>
          </w:p>
        </w:tc>
        <w:tc>
          <w:tcPr>
            <w:tcW w:w="339" w:type="pct"/>
            <w:vAlign w:val="center"/>
          </w:tcPr>
          <w:p w14:paraId="73AB8E08">
            <w:pPr>
              <w:spacing w:line="360" w:lineRule="atLeast"/>
              <w:jc w:val="center"/>
              <w:rPr>
                <w:color w:val="auto"/>
                <w:highlight w:val="none"/>
              </w:rPr>
            </w:pPr>
            <w:r>
              <w:rPr>
                <w:rFonts w:hint="eastAsia"/>
                <w:color w:val="auto"/>
                <w:highlight w:val="none"/>
              </w:rPr>
              <w:t>偏差%</w:t>
            </w:r>
          </w:p>
        </w:tc>
        <w:tc>
          <w:tcPr>
            <w:tcW w:w="340" w:type="pct"/>
            <w:vAlign w:val="center"/>
          </w:tcPr>
          <w:p w14:paraId="548D94DA">
            <w:pPr>
              <w:spacing w:line="360" w:lineRule="atLeast"/>
              <w:jc w:val="center"/>
              <w:rPr>
                <w:color w:val="auto"/>
                <w:highlight w:val="none"/>
              </w:rPr>
            </w:pPr>
            <w:r>
              <w:rPr>
                <w:rFonts w:hint="eastAsia"/>
                <w:color w:val="auto"/>
                <w:highlight w:val="none"/>
              </w:rPr>
              <w:t>偏差%</w:t>
            </w:r>
          </w:p>
        </w:tc>
        <w:tc>
          <w:tcPr>
            <w:tcW w:w="340" w:type="pct"/>
            <w:vAlign w:val="center"/>
          </w:tcPr>
          <w:p w14:paraId="30A8041F">
            <w:pPr>
              <w:spacing w:line="360" w:lineRule="atLeast"/>
              <w:jc w:val="center"/>
              <w:rPr>
                <w:color w:val="auto"/>
                <w:highlight w:val="none"/>
              </w:rPr>
            </w:pPr>
            <w:r>
              <w:rPr>
                <w:rFonts w:hint="eastAsia"/>
                <w:color w:val="auto"/>
                <w:highlight w:val="none"/>
              </w:rPr>
              <w:t>偏差%</w:t>
            </w:r>
          </w:p>
        </w:tc>
        <w:tc>
          <w:tcPr>
            <w:tcW w:w="340" w:type="pct"/>
            <w:vAlign w:val="center"/>
          </w:tcPr>
          <w:p w14:paraId="0B71155D">
            <w:pPr>
              <w:spacing w:line="360" w:lineRule="atLeast"/>
              <w:jc w:val="center"/>
              <w:rPr>
                <w:color w:val="auto"/>
                <w:highlight w:val="none"/>
              </w:rPr>
            </w:pPr>
            <w:r>
              <w:rPr>
                <w:rFonts w:hint="eastAsia"/>
                <w:color w:val="auto"/>
                <w:highlight w:val="none"/>
              </w:rPr>
              <w:t>偏差%</w:t>
            </w:r>
          </w:p>
        </w:tc>
        <w:tc>
          <w:tcPr>
            <w:tcW w:w="340" w:type="pct"/>
            <w:vAlign w:val="center"/>
          </w:tcPr>
          <w:p w14:paraId="0CCFA0CF">
            <w:pPr>
              <w:spacing w:line="360" w:lineRule="atLeast"/>
              <w:jc w:val="center"/>
              <w:rPr>
                <w:color w:val="auto"/>
                <w:highlight w:val="none"/>
              </w:rPr>
            </w:pPr>
            <w:r>
              <w:rPr>
                <w:rFonts w:hint="eastAsia"/>
                <w:color w:val="auto"/>
                <w:highlight w:val="none"/>
              </w:rPr>
              <w:t>偏差%</w:t>
            </w:r>
          </w:p>
        </w:tc>
        <w:tc>
          <w:tcPr>
            <w:tcW w:w="341" w:type="pct"/>
            <w:vAlign w:val="center"/>
          </w:tcPr>
          <w:p w14:paraId="70E1EE73">
            <w:pPr>
              <w:spacing w:line="360" w:lineRule="atLeast"/>
              <w:jc w:val="center"/>
              <w:rPr>
                <w:color w:val="auto"/>
                <w:highlight w:val="none"/>
              </w:rPr>
            </w:pPr>
            <w:r>
              <w:rPr>
                <w:rFonts w:hint="eastAsia"/>
                <w:color w:val="auto"/>
                <w:highlight w:val="none"/>
              </w:rPr>
              <w:t>偏差%</w:t>
            </w:r>
          </w:p>
        </w:tc>
        <w:tc>
          <w:tcPr>
            <w:tcW w:w="340" w:type="pct"/>
            <w:vAlign w:val="center"/>
          </w:tcPr>
          <w:p w14:paraId="6B7A2C99">
            <w:pPr>
              <w:spacing w:line="360" w:lineRule="atLeast"/>
              <w:jc w:val="center"/>
              <w:rPr>
                <w:color w:val="auto"/>
                <w:highlight w:val="none"/>
              </w:rPr>
            </w:pPr>
          </w:p>
        </w:tc>
        <w:tc>
          <w:tcPr>
            <w:tcW w:w="340" w:type="pct"/>
            <w:vAlign w:val="center"/>
          </w:tcPr>
          <w:p w14:paraId="2DEE7BB9">
            <w:pPr>
              <w:spacing w:line="360" w:lineRule="atLeast"/>
              <w:jc w:val="center"/>
              <w:rPr>
                <w:color w:val="auto"/>
                <w:highlight w:val="none"/>
              </w:rPr>
            </w:pPr>
          </w:p>
        </w:tc>
        <w:tc>
          <w:tcPr>
            <w:tcW w:w="340" w:type="pct"/>
          </w:tcPr>
          <w:p w14:paraId="2B9F18F1">
            <w:pPr>
              <w:spacing w:line="360" w:lineRule="atLeast"/>
              <w:jc w:val="center"/>
              <w:rPr>
                <w:color w:val="auto"/>
                <w:highlight w:val="none"/>
              </w:rPr>
            </w:pPr>
          </w:p>
        </w:tc>
        <w:tc>
          <w:tcPr>
            <w:tcW w:w="340" w:type="pct"/>
          </w:tcPr>
          <w:p w14:paraId="7A982470">
            <w:pPr>
              <w:spacing w:line="360" w:lineRule="atLeast"/>
              <w:jc w:val="center"/>
              <w:rPr>
                <w:color w:val="auto"/>
                <w:highlight w:val="none"/>
              </w:rPr>
            </w:pPr>
          </w:p>
        </w:tc>
      </w:tr>
      <w:tr w14:paraId="6BF5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6" w:type="pct"/>
            <w:vAlign w:val="center"/>
          </w:tcPr>
          <w:p w14:paraId="345A4DE7">
            <w:pPr>
              <w:spacing w:line="360" w:lineRule="atLeast"/>
              <w:jc w:val="center"/>
              <w:rPr>
                <w:color w:val="auto"/>
                <w:highlight w:val="none"/>
              </w:rPr>
            </w:pPr>
          </w:p>
        </w:tc>
        <w:tc>
          <w:tcPr>
            <w:tcW w:w="1010" w:type="pct"/>
            <w:gridSpan w:val="2"/>
            <w:vAlign w:val="center"/>
          </w:tcPr>
          <w:p w14:paraId="72C8EFB8">
            <w:pPr>
              <w:spacing w:line="360" w:lineRule="atLeast"/>
              <w:jc w:val="center"/>
              <w:rPr>
                <w:color w:val="auto"/>
                <w:highlight w:val="none"/>
              </w:rPr>
            </w:pPr>
            <w:r>
              <w:rPr>
                <w:rFonts w:hint="eastAsia"/>
                <w:color w:val="auto"/>
                <w:highlight w:val="none"/>
              </w:rPr>
              <w:t>总得分</w:t>
            </w:r>
          </w:p>
        </w:tc>
        <w:tc>
          <w:tcPr>
            <w:tcW w:w="3742" w:type="pct"/>
            <w:gridSpan w:val="11"/>
            <w:vAlign w:val="center"/>
          </w:tcPr>
          <w:p w14:paraId="4016B437">
            <w:pPr>
              <w:spacing w:line="360" w:lineRule="atLeast"/>
              <w:jc w:val="center"/>
              <w:rPr>
                <w:color w:val="auto"/>
                <w:highlight w:val="none"/>
              </w:rPr>
            </w:pPr>
          </w:p>
        </w:tc>
      </w:tr>
    </w:tbl>
    <w:p w14:paraId="2CF9FC01">
      <w:pPr>
        <w:spacing w:after="240" w:afterLines="100"/>
        <w:rPr>
          <w:b/>
          <w:bCs/>
          <w:color w:val="auto"/>
          <w:highlight w:val="none"/>
        </w:rPr>
      </w:pPr>
      <w:r>
        <w:rPr>
          <w:rFonts w:hint="eastAsia" w:eastAsia="楷体_GB2312"/>
          <w:b/>
          <w:bCs/>
          <w:color w:val="auto"/>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4）技术标总得分为各项最终得分之和。</w:t>
      </w:r>
    </w:p>
    <w:p w14:paraId="69065D10">
      <w:pPr>
        <w:rPr>
          <w:rFonts w:eastAsia="楷体_GB2312"/>
          <w:color w:val="auto"/>
          <w:highlight w:val="none"/>
        </w:rPr>
      </w:pPr>
    </w:p>
    <w:p w14:paraId="400135EA">
      <w:pPr>
        <w:spacing w:line="440" w:lineRule="exact"/>
        <w:rPr>
          <w:color w:val="auto"/>
          <w:highlight w:val="none"/>
        </w:rPr>
      </w:pPr>
    </w:p>
    <w:p w14:paraId="184199B4">
      <w:pPr>
        <w:spacing w:line="440" w:lineRule="exact"/>
        <w:rPr>
          <w:color w:val="auto"/>
          <w:highlight w:val="none"/>
        </w:rPr>
      </w:pPr>
      <w:r>
        <w:rPr>
          <w:color w:val="auto"/>
          <w:highlight w:val="none"/>
        </w:rPr>
        <w:t>评标委员会全体</w:t>
      </w:r>
      <w:r>
        <w:rPr>
          <w:rFonts w:hint="eastAsia"/>
          <w:color w:val="auto"/>
          <w:highlight w:val="none"/>
        </w:rPr>
        <w:t>技术标评委</w:t>
      </w:r>
      <w:r>
        <w:rPr>
          <w:color w:val="auto"/>
          <w:highlight w:val="none"/>
        </w:rPr>
        <w:t>签名：                                                      日期：        年     月     日</w:t>
      </w:r>
    </w:p>
    <w:p w14:paraId="2010B855">
      <w:pPr>
        <w:spacing w:line="440" w:lineRule="exact"/>
        <w:rPr>
          <w:color w:val="auto"/>
          <w:highlight w:val="none"/>
        </w:rPr>
      </w:pPr>
    </w:p>
    <w:p w14:paraId="419391C7">
      <w:pPr>
        <w:spacing w:line="440" w:lineRule="exact"/>
        <w:rPr>
          <w:b/>
          <w:color w:val="auto"/>
          <w:highlight w:val="none"/>
        </w:rPr>
      </w:pPr>
    </w:p>
    <w:p w14:paraId="5DF87C69">
      <w:pPr>
        <w:spacing w:line="440" w:lineRule="exact"/>
        <w:rPr>
          <w:b/>
          <w:color w:val="auto"/>
          <w:highlight w:val="none"/>
        </w:rPr>
      </w:pPr>
    </w:p>
    <w:p w14:paraId="4CCC673B">
      <w:pPr>
        <w:spacing w:line="440" w:lineRule="exact"/>
        <w:rPr>
          <w:b/>
          <w:color w:val="auto"/>
          <w:highlight w:val="none"/>
        </w:rPr>
      </w:pPr>
    </w:p>
    <w:p w14:paraId="0590181E">
      <w:pPr>
        <w:spacing w:line="440" w:lineRule="exact"/>
        <w:rPr>
          <w:b/>
          <w:color w:val="auto"/>
          <w:highlight w:val="none"/>
        </w:rPr>
      </w:pPr>
    </w:p>
    <w:p w14:paraId="7A231E6C">
      <w:pPr>
        <w:spacing w:line="440" w:lineRule="exact"/>
        <w:rPr>
          <w:b/>
          <w:color w:val="auto"/>
          <w:highlight w:val="none"/>
        </w:rPr>
      </w:pPr>
    </w:p>
    <w:p w14:paraId="6FFC009D">
      <w:pPr>
        <w:spacing w:line="440" w:lineRule="exact"/>
        <w:rPr>
          <w:b/>
          <w:color w:val="auto"/>
          <w:highlight w:val="none"/>
        </w:rPr>
      </w:pPr>
    </w:p>
    <w:p w14:paraId="0D23990C">
      <w:pPr>
        <w:spacing w:line="440" w:lineRule="exact"/>
        <w:rPr>
          <w:b/>
          <w:color w:val="auto"/>
          <w:highlight w:val="none"/>
        </w:rPr>
      </w:pPr>
    </w:p>
    <w:p w14:paraId="520CC3A9">
      <w:pPr>
        <w:spacing w:line="440" w:lineRule="exact"/>
        <w:rPr>
          <w:b/>
          <w:color w:val="auto"/>
          <w:highlight w:val="none"/>
        </w:rPr>
      </w:pPr>
    </w:p>
    <w:p w14:paraId="6A4FA31D">
      <w:pPr>
        <w:spacing w:line="440" w:lineRule="exact"/>
        <w:rPr>
          <w:b/>
          <w:color w:val="auto"/>
          <w:highlight w:val="none"/>
        </w:rPr>
      </w:pPr>
    </w:p>
    <w:p w14:paraId="0916FBDD">
      <w:pPr>
        <w:spacing w:line="440" w:lineRule="exact"/>
        <w:rPr>
          <w:b/>
          <w:color w:val="auto"/>
          <w:highlight w:val="none"/>
        </w:rPr>
      </w:pPr>
    </w:p>
    <w:p w14:paraId="7F944887">
      <w:pPr>
        <w:spacing w:line="440" w:lineRule="exact"/>
        <w:rPr>
          <w:b/>
          <w:color w:val="auto"/>
          <w:highlight w:val="none"/>
        </w:rPr>
      </w:pPr>
    </w:p>
    <w:p w14:paraId="2D47D0B0">
      <w:pPr>
        <w:spacing w:line="440" w:lineRule="exact"/>
        <w:rPr>
          <w:b/>
          <w:color w:val="auto"/>
          <w:highlight w:val="none"/>
        </w:rPr>
      </w:pPr>
      <w:r>
        <w:rPr>
          <w:b/>
          <w:color w:val="auto"/>
          <w:highlight w:val="none"/>
        </w:rPr>
        <w:t>附表A-</w:t>
      </w:r>
      <w:r>
        <w:rPr>
          <w:rFonts w:hint="eastAsia"/>
          <w:b/>
          <w:color w:val="auto"/>
          <w:highlight w:val="none"/>
        </w:rPr>
        <w:t>10</w:t>
      </w:r>
      <w:r>
        <w:rPr>
          <w:b/>
          <w:color w:val="auto"/>
          <w:highlight w:val="none"/>
        </w:rPr>
        <w:t>：</w:t>
      </w:r>
      <w:r>
        <w:rPr>
          <w:rFonts w:hint="eastAsia"/>
          <w:b/>
          <w:color w:val="auto"/>
          <w:highlight w:val="none"/>
        </w:rPr>
        <w:t>设计方案（或设计团队）评</w:t>
      </w:r>
      <w:r>
        <w:rPr>
          <w:b/>
          <w:color w:val="auto"/>
          <w:highlight w:val="none"/>
        </w:rPr>
        <w:t>审记录表</w:t>
      </w:r>
    </w:p>
    <w:p w14:paraId="3E8D1159">
      <w:pPr>
        <w:spacing w:line="440" w:lineRule="exact"/>
        <w:jc w:val="center"/>
        <w:rPr>
          <w:color w:val="auto"/>
          <w:highlight w:val="none"/>
        </w:rPr>
      </w:pPr>
      <w:r>
        <w:rPr>
          <w:rFonts w:hint="eastAsia" w:eastAsia="黑体"/>
          <w:color w:val="auto"/>
          <w:sz w:val="28"/>
          <w:szCs w:val="28"/>
          <w:highlight w:val="none"/>
          <w:u w:val="single"/>
        </w:rPr>
        <w:t>投标人名称（或代码）</w:t>
      </w:r>
      <w:r>
        <w:rPr>
          <w:rFonts w:hint="eastAsia" w:eastAsia="黑体"/>
          <w:color w:val="auto"/>
          <w:sz w:val="28"/>
          <w:szCs w:val="28"/>
          <w:highlight w:val="none"/>
        </w:rPr>
        <w:t>设计方案（或设计团队）</w:t>
      </w:r>
      <w:r>
        <w:rPr>
          <w:rFonts w:eastAsia="黑体"/>
          <w:color w:val="auto"/>
          <w:sz w:val="28"/>
          <w:szCs w:val="28"/>
          <w:highlight w:val="none"/>
        </w:rPr>
        <w:t>评审记录表</w:t>
      </w:r>
    </w:p>
    <w:p w14:paraId="0FC47D7E">
      <w:pPr>
        <w:spacing w:after="72" w:afterLines="30" w:line="440" w:lineRule="exact"/>
        <w:jc w:val="center"/>
        <w:rPr>
          <w:color w:val="auto"/>
          <w:highlight w:val="none"/>
        </w:rPr>
      </w:pPr>
      <w:r>
        <w:rPr>
          <w:rFonts w:hint="eastAsia"/>
          <w:color w:val="auto"/>
          <w:highlight w:val="none"/>
        </w:rPr>
        <w:t>项目</w:t>
      </w:r>
      <w:r>
        <w:rPr>
          <w:color w:val="auto"/>
          <w:highlight w:val="none"/>
        </w:rPr>
        <w:t>名称</w:t>
      </w:r>
      <w:r>
        <w:rPr>
          <w:rFonts w:hint="eastAsia"/>
          <w:color w:val="auto"/>
          <w:highlight w:val="none"/>
        </w:rPr>
        <w:t>及项目招标编号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w:t>
      </w:r>
      <w:r>
        <w:rPr>
          <w:color w:val="auto"/>
          <w:highlight w:val="none"/>
          <w:u w:val="single"/>
        </w:rPr>
        <w:t xml:space="preserve">     </w:t>
      </w:r>
      <w:r>
        <w:rPr>
          <w:color w:val="auto"/>
          <w:highlight w:val="none"/>
        </w:rPr>
        <w:t xml:space="preserve"> 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w:t>
      </w:r>
    </w:p>
    <w:tbl>
      <w:tblPr>
        <w:tblStyle w:val="40"/>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575B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vAlign w:val="center"/>
          </w:tcPr>
          <w:p w14:paraId="14981611">
            <w:pPr>
              <w:spacing w:after="72" w:afterLines="30" w:line="440" w:lineRule="exact"/>
              <w:jc w:val="center"/>
              <w:rPr>
                <w:color w:val="auto"/>
                <w:highlight w:val="none"/>
              </w:rPr>
            </w:pPr>
            <w:r>
              <w:rPr>
                <w:color w:val="auto"/>
                <w:highlight w:val="none"/>
              </w:rPr>
              <w:t>序号</w:t>
            </w:r>
          </w:p>
        </w:tc>
        <w:tc>
          <w:tcPr>
            <w:tcW w:w="2156" w:type="dxa"/>
            <w:vMerge w:val="restart"/>
            <w:vAlign w:val="center"/>
          </w:tcPr>
          <w:p w14:paraId="5BC523C3">
            <w:pPr>
              <w:jc w:val="center"/>
              <w:rPr>
                <w:color w:val="auto"/>
                <w:highlight w:val="none"/>
              </w:rPr>
            </w:pPr>
            <w:r>
              <w:rPr>
                <w:color w:val="auto"/>
                <w:highlight w:val="none"/>
              </w:rPr>
              <w:t>评审因素</w:t>
            </w:r>
          </w:p>
        </w:tc>
        <w:tc>
          <w:tcPr>
            <w:tcW w:w="10776" w:type="dxa"/>
            <w:gridSpan w:val="9"/>
            <w:vAlign w:val="center"/>
          </w:tcPr>
          <w:p w14:paraId="51BECDBD">
            <w:pPr>
              <w:jc w:val="center"/>
              <w:rPr>
                <w:color w:val="auto"/>
                <w:highlight w:val="none"/>
              </w:rPr>
            </w:pPr>
            <w:r>
              <w:rPr>
                <w:color w:val="auto"/>
                <w:highlight w:val="none"/>
              </w:rPr>
              <w:t>投标人名称及评审意见</w:t>
            </w:r>
          </w:p>
        </w:tc>
      </w:tr>
      <w:tr w14:paraId="1089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vAlign w:val="center"/>
          </w:tcPr>
          <w:p w14:paraId="0357D159">
            <w:pPr>
              <w:jc w:val="center"/>
              <w:rPr>
                <w:rFonts w:eastAsia="黑体"/>
                <w:color w:val="auto"/>
                <w:highlight w:val="none"/>
              </w:rPr>
            </w:pPr>
          </w:p>
        </w:tc>
        <w:tc>
          <w:tcPr>
            <w:tcW w:w="2156" w:type="dxa"/>
            <w:vMerge w:val="continue"/>
            <w:vAlign w:val="center"/>
          </w:tcPr>
          <w:p w14:paraId="12270F2D">
            <w:pPr>
              <w:jc w:val="center"/>
              <w:rPr>
                <w:color w:val="auto"/>
                <w:highlight w:val="none"/>
              </w:rPr>
            </w:pPr>
          </w:p>
        </w:tc>
        <w:tc>
          <w:tcPr>
            <w:tcW w:w="1197" w:type="dxa"/>
            <w:vAlign w:val="center"/>
          </w:tcPr>
          <w:p w14:paraId="2A45BE68">
            <w:pPr>
              <w:jc w:val="center"/>
              <w:rPr>
                <w:color w:val="auto"/>
                <w:highlight w:val="none"/>
              </w:rPr>
            </w:pPr>
          </w:p>
        </w:tc>
        <w:tc>
          <w:tcPr>
            <w:tcW w:w="1197" w:type="dxa"/>
            <w:vAlign w:val="center"/>
          </w:tcPr>
          <w:p w14:paraId="70947ADE">
            <w:pPr>
              <w:jc w:val="center"/>
              <w:rPr>
                <w:color w:val="auto"/>
                <w:highlight w:val="none"/>
              </w:rPr>
            </w:pPr>
          </w:p>
        </w:tc>
        <w:tc>
          <w:tcPr>
            <w:tcW w:w="1198" w:type="dxa"/>
            <w:vAlign w:val="center"/>
          </w:tcPr>
          <w:p w14:paraId="1C5A0CD2">
            <w:pPr>
              <w:jc w:val="center"/>
              <w:rPr>
                <w:color w:val="auto"/>
                <w:highlight w:val="none"/>
              </w:rPr>
            </w:pPr>
          </w:p>
        </w:tc>
        <w:tc>
          <w:tcPr>
            <w:tcW w:w="1197" w:type="dxa"/>
            <w:vAlign w:val="center"/>
          </w:tcPr>
          <w:p w14:paraId="3C71A088">
            <w:pPr>
              <w:jc w:val="center"/>
              <w:rPr>
                <w:color w:val="auto"/>
                <w:highlight w:val="none"/>
              </w:rPr>
            </w:pPr>
          </w:p>
        </w:tc>
        <w:tc>
          <w:tcPr>
            <w:tcW w:w="1197" w:type="dxa"/>
            <w:vAlign w:val="center"/>
          </w:tcPr>
          <w:p w14:paraId="6676E9CA">
            <w:pPr>
              <w:jc w:val="center"/>
              <w:rPr>
                <w:color w:val="auto"/>
                <w:highlight w:val="none"/>
              </w:rPr>
            </w:pPr>
          </w:p>
        </w:tc>
        <w:tc>
          <w:tcPr>
            <w:tcW w:w="1198" w:type="dxa"/>
            <w:vAlign w:val="center"/>
          </w:tcPr>
          <w:p w14:paraId="5BE50C8B">
            <w:pPr>
              <w:jc w:val="center"/>
              <w:rPr>
                <w:color w:val="auto"/>
                <w:highlight w:val="none"/>
              </w:rPr>
            </w:pPr>
          </w:p>
        </w:tc>
        <w:tc>
          <w:tcPr>
            <w:tcW w:w="1197" w:type="dxa"/>
            <w:vAlign w:val="center"/>
          </w:tcPr>
          <w:p w14:paraId="53BDD1EC">
            <w:pPr>
              <w:jc w:val="center"/>
              <w:rPr>
                <w:color w:val="auto"/>
                <w:highlight w:val="none"/>
              </w:rPr>
            </w:pPr>
          </w:p>
        </w:tc>
        <w:tc>
          <w:tcPr>
            <w:tcW w:w="1197" w:type="dxa"/>
            <w:vAlign w:val="center"/>
          </w:tcPr>
          <w:p w14:paraId="2A6947B5">
            <w:pPr>
              <w:jc w:val="center"/>
              <w:rPr>
                <w:color w:val="auto"/>
                <w:highlight w:val="none"/>
              </w:rPr>
            </w:pPr>
          </w:p>
        </w:tc>
        <w:tc>
          <w:tcPr>
            <w:tcW w:w="1198" w:type="dxa"/>
            <w:vAlign w:val="center"/>
          </w:tcPr>
          <w:p w14:paraId="33A43E31">
            <w:pPr>
              <w:jc w:val="center"/>
              <w:rPr>
                <w:color w:val="auto"/>
                <w:highlight w:val="none"/>
              </w:rPr>
            </w:pPr>
          </w:p>
        </w:tc>
      </w:tr>
      <w:tr w14:paraId="4B08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75391AE7">
            <w:pPr>
              <w:spacing w:line="360" w:lineRule="atLeast"/>
              <w:jc w:val="center"/>
              <w:rPr>
                <w:rFonts w:eastAsia="黑体"/>
                <w:color w:val="auto"/>
                <w:highlight w:val="none"/>
              </w:rPr>
            </w:pPr>
            <w:r>
              <w:rPr>
                <w:rFonts w:eastAsia="黑体"/>
                <w:color w:val="auto"/>
                <w:highlight w:val="none"/>
              </w:rPr>
              <w:t>1</w:t>
            </w:r>
          </w:p>
        </w:tc>
        <w:tc>
          <w:tcPr>
            <w:tcW w:w="2156" w:type="dxa"/>
          </w:tcPr>
          <w:p w14:paraId="6E2BF29E">
            <w:pPr>
              <w:spacing w:line="338" w:lineRule="exact"/>
              <w:ind w:left="293"/>
              <w:rPr>
                <w:color w:val="auto"/>
                <w:highlight w:val="none"/>
              </w:rPr>
            </w:pPr>
          </w:p>
        </w:tc>
        <w:tc>
          <w:tcPr>
            <w:tcW w:w="1197" w:type="dxa"/>
            <w:vAlign w:val="center"/>
          </w:tcPr>
          <w:p w14:paraId="547F6923">
            <w:pPr>
              <w:spacing w:line="360" w:lineRule="atLeast"/>
              <w:jc w:val="center"/>
              <w:rPr>
                <w:color w:val="auto"/>
                <w:highlight w:val="none"/>
              </w:rPr>
            </w:pPr>
          </w:p>
        </w:tc>
        <w:tc>
          <w:tcPr>
            <w:tcW w:w="1197" w:type="dxa"/>
            <w:vAlign w:val="center"/>
          </w:tcPr>
          <w:p w14:paraId="1F210FA2">
            <w:pPr>
              <w:spacing w:line="360" w:lineRule="atLeast"/>
              <w:jc w:val="center"/>
              <w:rPr>
                <w:color w:val="auto"/>
                <w:highlight w:val="none"/>
              </w:rPr>
            </w:pPr>
          </w:p>
        </w:tc>
        <w:tc>
          <w:tcPr>
            <w:tcW w:w="1198" w:type="dxa"/>
            <w:vAlign w:val="center"/>
          </w:tcPr>
          <w:p w14:paraId="5902CBA2">
            <w:pPr>
              <w:spacing w:line="360" w:lineRule="atLeast"/>
              <w:jc w:val="center"/>
              <w:rPr>
                <w:color w:val="auto"/>
                <w:highlight w:val="none"/>
              </w:rPr>
            </w:pPr>
          </w:p>
        </w:tc>
        <w:tc>
          <w:tcPr>
            <w:tcW w:w="1197" w:type="dxa"/>
            <w:vAlign w:val="center"/>
          </w:tcPr>
          <w:p w14:paraId="5D4BC37B">
            <w:pPr>
              <w:spacing w:line="360" w:lineRule="atLeast"/>
              <w:jc w:val="center"/>
              <w:rPr>
                <w:color w:val="auto"/>
                <w:highlight w:val="none"/>
              </w:rPr>
            </w:pPr>
          </w:p>
        </w:tc>
        <w:tc>
          <w:tcPr>
            <w:tcW w:w="1197" w:type="dxa"/>
            <w:vAlign w:val="center"/>
          </w:tcPr>
          <w:p w14:paraId="1E531A9E">
            <w:pPr>
              <w:spacing w:line="360" w:lineRule="atLeast"/>
              <w:jc w:val="center"/>
              <w:rPr>
                <w:color w:val="auto"/>
                <w:highlight w:val="none"/>
              </w:rPr>
            </w:pPr>
          </w:p>
        </w:tc>
        <w:tc>
          <w:tcPr>
            <w:tcW w:w="1198" w:type="dxa"/>
            <w:vAlign w:val="center"/>
          </w:tcPr>
          <w:p w14:paraId="51D96E22">
            <w:pPr>
              <w:spacing w:line="360" w:lineRule="atLeast"/>
              <w:jc w:val="center"/>
              <w:rPr>
                <w:color w:val="auto"/>
                <w:highlight w:val="none"/>
              </w:rPr>
            </w:pPr>
          </w:p>
        </w:tc>
        <w:tc>
          <w:tcPr>
            <w:tcW w:w="1197" w:type="dxa"/>
            <w:vAlign w:val="center"/>
          </w:tcPr>
          <w:p w14:paraId="4D732480">
            <w:pPr>
              <w:spacing w:line="360" w:lineRule="atLeast"/>
              <w:jc w:val="center"/>
              <w:rPr>
                <w:color w:val="auto"/>
                <w:highlight w:val="none"/>
              </w:rPr>
            </w:pPr>
          </w:p>
        </w:tc>
        <w:tc>
          <w:tcPr>
            <w:tcW w:w="1197" w:type="dxa"/>
            <w:vAlign w:val="center"/>
          </w:tcPr>
          <w:p w14:paraId="5BC3445B">
            <w:pPr>
              <w:spacing w:line="360" w:lineRule="atLeast"/>
              <w:jc w:val="center"/>
              <w:rPr>
                <w:color w:val="auto"/>
                <w:highlight w:val="none"/>
              </w:rPr>
            </w:pPr>
          </w:p>
        </w:tc>
        <w:tc>
          <w:tcPr>
            <w:tcW w:w="1198" w:type="dxa"/>
            <w:vAlign w:val="center"/>
          </w:tcPr>
          <w:p w14:paraId="0BD153B7">
            <w:pPr>
              <w:spacing w:line="360" w:lineRule="atLeast"/>
              <w:jc w:val="center"/>
              <w:rPr>
                <w:color w:val="auto"/>
                <w:highlight w:val="none"/>
              </w:rPr>
            </w:pPr>
          </w:p>
        </w:tc>
      </w:tr>
      <w:tr w14:paraId="3EE4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2C1E0162">
            <w:pPr>
              <w:spacing w:line="360" w:lineRule="atLeast"/>
              <w:jc w:val="center"/>
              <w:rPr>
                <w:rFonts w:eastAsia="黑体"/>
                <w:color w:val="auto"/>
                <w:highlight w:val="none"/>
              </w:rPr>
            </w:pPr>
            <w:r>
              <w:rPr>
                <w:rFonts w:eastAsia="黑体"/>
                <w:color w:val="auto"/>
                <w:highlight w:val="none"/>
              </w:rPr>
              <w:t>2</w:t>
            </w:r>
          </w:p>
        </w:tc>
        <w:tc>
          <w:tcPr>
            <w:tcW w:w="2156" w:type="dxa"/>
          </w:tcPr>
          <w:p w14:paraId="40AC8BAD">
            <w:pPr>
              <w:spacing w:line="337" w:lineRule="exact"/>
              <w:ind w:left="108"/>
              <w:rPr>
                <w:color w:val="auto"/>
                <w:highlight w:val="none"/>
              </w:rPr>
            </w:pPr>
          </w:p>
        </w:tc>
        <w:tc>
          <w:tcPr>
            <w:tcW w:w="1197" w:type="dxa"/>
            <w:vAlign w:val="center"/>
          </w:tcPr>
          <w:p w14:paraId="5FB7A105">
            <w:pPr>
              <w:spacing w:line="360" w:lineRule="atLeast"/>
              <w:jc w:val="center"/>
              <w:rPr>
                <w:color w:val="auto"/>
                <w:highlight w:val="none"/>
              </w:rPr>
            </w:pPr>
          </w:p>
        </w:tc>
        <w:tc>
          <w:tcPr>
            <w:tcW w:w="1197" w:type="dxa"/>
            <w:vAlign w:val="center"/>
          </w:tcPr>
          <w:p w14:paraId="2960E225">
            <w:pPr>
              <w:spacing w:line="360" w:lineRule="atLeast"/>
              <w:jc w:val="center"/>
              <w:rPr>
                <w:color w:val="auto"/>
                <w:highlight w:val="none"/>
              </w:rPr>
            </w:pPr>
          </w:p>
        </w:tc>
        <w:tc>
          <w:tcPr>
            <w:tcW w:w="1198" w:type="dxa"/>
            <w:vAlign w:val="center"/>
          </w:tcPr>
          <w:p w14:paraId="63F5D09D">
            <w:pPr>
              <w:spacing w:line="360" w:lineRule="atLeast"/>
              <w:jc w:val="center"/>
              <w:rPr>
                <w:color w:val="auto"/>
                <w:highlight w:val="none"/>
              </w:rPr>
            </w:pPr>
          </w:p>
        </w:tc>
        <w:tc>
          <w:tcPr>
            <w:tcW w:w="1197" w:type="dxa"/>
            <w:vAlign w:val="center"/>
          </w:tcPr>
          <w:p w14:paraId="6AC14DFC">
            <w:pPr>
              <w:spacing w:line="360" w:lineRule="atLeast"/>
              <w:jc w:val="center"/>
              <w:rPr>
                <w:color w:val="auto"/>
                <w:highlight w:val="none"/>
              </w:rPr>
            </w:pPr>
          </w:p>
        </w:tc>
        <w:tc>
          <w:tcPr>
            <w:tcW w:w="1197" w:type="dxa"/>
            <w:vAlign w:val="center"/>
          </w:tcPr>
          <w:p w14:paraId="476F2337">
            <w:pPr>
              <w:spacing w:line="360" w:lineRule="atLeast"/>
              <w:jc w:val="center"/>
              <w:rPr>
                <w:color w:val="auto"/>
                <w:highlight w:val="none"/>
              </w:rPr>
            </w:pPr>
          </w:p>
        </w:tc>
        <w:tc>
          <w:tcPr>
            <w:tcW w:w="1198" w:type="dxa"/>
            <w:vAlign w:val="center"/>
          </w:tcPr>
          <w:p w14:paraId="5E2295E9">
            <w:pPr>
              <w:spacing w:line="360" w:lineRule="atLeast"/>
              <w:jc w:val="center"/>
              <w:rPr>
                <w:color w:val="auto"/>
                <w:highlight w:val="none"/>
              </w:rPr>
            </w:pPr>
          </w:p>
        </w:tc>
        <w:tc>
          <w:tcPr>
            <w:tcW w:w="1197" w:type="dxa"/>
            <w:vAlign w:val="center"/>
          </w:tcPr>
          <w:p w14:paraId="0ACDC77B">
            <w:pPr>
              <w:spacing w:line="360" w:lineRule="atLeast"/>
              <w:jc w:val="center"/>
              <w:rPr>
                <w:color w:val="auto"/>
                <w:highlight w:val="none"/>
              </w:rPr>
            </w:pPr>
          </w:p>
        </w:tc>
        <w:tc>
          <w:tcPr>
            <w:tcW w:w="1197" w:type="dxa"/>
            <w:vAlign w:val="center"/>
          </w:tcPr>
          <w:p w14:paraId="0509CB22">
            <w:pPr>
              <w:spacing w:line="360" w:lineRule="atLeast"/>
              <w:jc w:val="center"/>
              <w:rPr>
                <w:color w:val="auto"/>
                <w:highlight w:val="none"/>
              </w:rPr>
            </w:pPr>
          </w:p>
        </w:tc>
        <w:tc>
          <w:tcPr>
            <w:tcW w:w="1198" w:type="dxa"/>
            <w:vAlign w:val="center"/>
          </w:tcPr>
          <w:p w14:paraId="59DE10C6">
            <w:pPr>
              <w:spacing w:line="360" w:lineRule="atLeast"/>
              <w:jc w:val="center"/>
              <w:rPr>
                <w:color w:val="auto"/>
                <w:highlight w:val="none"/>
              </w:rPr>
            </w:pPr>
          </w:p>
        </w:tc>
      </w:tr>
      <w:tr w14:paraId="3D87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36D43121">
            <w:pPr>
              <w:spacing w:line="360" w:lineRule="atLeast"/>
              <w:jc w:val="center"/>
              <w:rPr>
                <w:rFonts w:eastAsia="黑体"/>
                <w:color w:val="auto"/>
                <w:highlight w:val="none"/>
              </w:rPr>
            </w:pPr>
            <w:r>
              <w:rPr>
                <w:rFonts w:eastAsia="黑体"/>
                <w:color w:val="auto"/>
                <w:highlight w:val="none"/>
              </w:rPr>
              <w:t>3</w:t>
            </w:r>
          </w:p>
        </w:tc>
        <w:tc>
          <w:tcPr>
            <w:tcW w:w="2156" w:type="dxa"/>
          </w:tcPr>
          <w:p w14:paraId="22525D05">
            <w:pPr>
              <w:spacing w:line="330" w:lineRule="exact"/>
              <w:ind w:left="82"/>
              <w:rPr>
                <w:color w:val="auto"/>
                <w:highlight w:val="none"/>
              </w:rPr>
            </w:pPr>
          </w:p>
        </w:tc>
        <w:tc>
          <w:tcPr>
            <w:tcW w:w="1197" w:type="dxa"/>
            <w:vAlign w:val="center"/>
          </w:tcPr>
          <w:p w14:paraId="4C43223F">
            <w:pPr>
              <w:spacing w:line="360" w:lineRule="atLeast"/>
              <w:jc w:val="center"/>
              <w:rPr>
                <w:color w:val="auto"/>
                <w:highlight w:val="none"/>
              </w:rPr>
            </w:pPr>
          </w:p>
        </w:tc>
        <w:tc>
          <w:tcPr>
            <w:tcW w:w="1197" w:type="dxa"/>
            <w:vAlign w:val="center"/>
          </w:tcPr>
          <w:p w14:paraId="4799D02C">
            <w:pPr>
              <w:spacing w:line="360" w:lineRule="atLeast"/>
              <w:jc w:val="center"/>
              <w:rPr>
                <w:color w:val="auto"/>
                <w:highlight w:val="none"/>
              </w:rPr>
            </w:pPr>
          </w:p>
        </w:tc>
        <w:tc>
          <w:tcPr>
            <w:tcW w:w="1198" w:type="dxa"/>
            <w:vAlign w:val="center"/>
          </w:tcPr>
          <w:p w14:paraId="210CE1E3">
            <w:pPr>
              <w:spacing w:line="360" w:lineRule="atLeast"/>
              <w:jc w:val="center"/>
              <w:rPr>
                <w:color w:val="auto"/>
                <w:highlight w:val="none"/>
              </w:rPr>
            </w:pPr>
          </w:p>
        </w:tc>
        <w:tc>
          <w:tcPr>
            <w:tcW w:w="1197" w:type="dxa"/>
            <w:vAlign w:val="center"/>
          </w:tcPr>
          <w:p w14:paraId="5E6832F5">
            <w:pPr>
              <w:spacing w:line="360" w:lineRule="atLeast"/>
              <w:jc w:val="center"/>
              <w:rPr>
                <w:color w:val="auto"/>
                <w:highlight w:val="none"/>
              </w:rPr>
            </w:pPr>
          </w:p>
        </w:tc>
        <w:tc>
          <w:tcPr>
            <w:tcW w:w="1197" w:type="dxa"/>
            <w:vAlign w:val="center"/>
          </w:tcPr>
          <w:p w14:paraId="1DC2736D">
            <w:pPr>
              <w:spacing w:line="360" w:lineRule="atLeast"/>
              <w:jc w:val="center"/>
              <w:rPr>
                <w:color w:val="auto"/>
                <w:highlight w:val="none"/>
              </w:rPr>
            </w:pPr>
          </w:p>
        </w:tc>
        <w:tc>
          <w:tcPr>
            <w:tcW w:w="1198" w:type="dxa"/>
            <w:vAlign w:val="center"/>
          </w:tcPr>
          <w:p w14:paraId="2E6E4E95">
            <w:pPr>
              <w:spacing w:line="360" w:lineRule="atLeast"/>
              <w:jc w:val="center"/>
              <w:rPr>
                <w:color w:val="auto"/>
                <w:highlight w:val="none"/>
              </w:rPr>
            </w:pPr>
          </w:p>
        </w:tc>
        <w:tc>
          <w:tcPr>
            <w:tcW w:w="1197" w:type="dxa"/>
            <w:vAlign w:val="center"/>
          </w:tcPr>
          <w:p w14:paraId="74C4DB5E">
            <w:pPr>
              <w:spacing w:line="360" w:lineRule="atLeast"/>
              <w:jc w:val="center"/>
              <w:rPr>
                <w:color w:val="auto"/>
                <w:highlight w:val="none"/>
              </w:rPr>
            </w:pPr>
          </w:p>
        </w:tc>
        <w:tc>
          <w:tcPr>
            <w:tcW w:w="1197" w:type="dxa"/>
            <w:vAlign w:val="center"/>
          </w:tcPr>
          <w:p w14:paraId="36C470D4">
            <w:pPr>
              <w:spacing w:line="360" w:lineRule="atLeast"/>
              <w:jc w:val="center"/>
              <w:rPr>
                <w:color w:val="auto"/>
                <w:highlight w:val="none"/>
              </w:rPr>
            </w:pPr>
          </w:p>
        </w:tc>
        <w:tc>
          <w:tcPr>
            <w:tcW w:w="1198" w:type="dxa"/>
            <w:vAlign w:val="center"/>
          </w:tcPr>
          <w:p w14:paraId="201DEB37">
            <w:pPr>
              <w:spacing w:line="360" w:lineRule="atLeast"/>
              <w:jc w:val="center"/>
              <w:rPr>
                <w:color w:val="auto"/>
                <w:highlight w:val="none"/>
              </w:rPr>
            </w:pPr>
          </w:p>
        </w:tc>
      </w:tr>
      <w:tr w14:paraId="3ED4C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6E020BF4">
            <w:pPr>
              <w:spacing w:line="360" w:lineRule="atLeast"/>
              <w:jc w:val="center"/>
              <w:rPr>
                <w:rFonts w:eastAsia="黑体"/>
                <w:color w:val="auto"/>
                <w:highlight w:val="none"/>
              </w:rPr>
            </w:pPr>
            <w:r>
              <w:rPr>
                <w:rFonts w:eastAsia="黑体"/>
                <w:color w:val="auto"/>
                <w:highlight w:val="none"/>
              </w:rPr>
              <w:t>4</w:t>
            </w:r>
          </w:p>
        </w:tc>
        <w:tc>
          <w:tcPr>
            <w:tcW w:w="2156" w:type="dxa"/>
          </w:tcPr>
          <w:p w14:paraId="450DD780">
            <w:pPr>
              <w:spacing w:line="332" w:lineRule="exact"/>
              <w:ind w:left="293"/>
              <w:rPr>
                <w:color w:val="auto"/>
                <w:highlight w:val="none"/>
              </w:rPr>
            </w:pPr>
          </w:p>
        </w:tc>
        <w:tc>
          <w:tcPr>
            <w:tcW w:w="1197" w:type="dxa"/>
            <w:vAlign w:val="center"/>
          </w:tcPr>
          <w:p w14:paraId="6488E3B3">
            <w:pPr>
              <w:spacing w:line="360" w:lineRule="atLeast"/>
              <w:jc w:val="center"/>
              <w:rPr>
                <w:color w:val="auto"/>
                <w:highlight w:val="none"/>
              </w:rPr>
            </w:pPr>
          </w:p>
        </w:tc>
        <w:tc>
          <w:tcPr>
            <w:tcW w:w="1197" w:type="dxa"/>
            <w:vAlign w:val="center"/>
          </w:tcPr>
          <w:p w14:paraId="43A5AF41">
            <w:pPr>
              <w:spacing w:line="360" w:lineRule="atLeast"/>
              <w:jc w:val="center"/>
              <w:rPr>
                <w:color w:val="auto"/>
                <w:highlight w:val="none"/>
              </w:rPr>
            </w:pPr>
          </w:p>
        </w:tc>
        <w:tc>
          <w:tcPr>
            <w:tcW w:w="1198" w:type="dxa"/>
            <w:vAlign w:val="center"/>
          </w:tcPr>
          <w:p w14:paraId="3D0C80C4">
            <w:pPr>
              <w:spacing w:line="360" w:lineRule="atLeast"/>
              <w:jc w:val="center"/>
              <w:rPr>
                <w:color w:val="auto"/>
                <w:highlight w:val="none"/>
              </w:rPr>
            </w:pPr>
          </w:p>
        </w:tc>
        <w:tc>
          <w:tcPr>
            <w:tcW w:w="1197" w:type="dxa"/>
            <w:vAlign w:val="center"/>
          </w:tcPr>
          <w:p w14:paraId="61A99B4C">
            <w:pPr>
              <w:spacing w:line="360" w:lineRule="atLeast"/>
              <w:jc w:val="center"/>
              <w:rPr>
                <w:color w:val="auto"/>
                <w:highlight w:val="none"/>
              </w:rPr>
            </w:pPr>
          </w:p>
        </w:tc>
        <w:tc>
          <w:tcPr>
            <w:tcW w:w="1197" w:type="dxa"/>
            <w:vAlign w:val="center"/>
          </w:tcPr>
          <w:p w14:paraId="6C799244">
            <w:pPr>
              <w:spacing w:line="360" w:lineRule="atLeast"/>
              <w:jc w:val="center"/>
              <w:rPr>
                <w:color w:val="auto"/>
                <w:highlight w:val="none"/>
              </w:rPr>
            </w:pPr>
          </w:p>
        </w:tc>
        <w:tc>
          <w:tcPr>
            <w:tcW w:w="1198" w:type="dxa"/>
            <w:vAlign w:val="center"/>
          </w:tcPr>
          <w:p w14:paraId="71E14076">
            <w:pPr>
              <w:spacing w:line="360" w:lineRule="atLeast"/>
              <w:jc w:val="center"/>
              <w:rPr>
                <w:color w:val="auto"/>
                <w:highlight w:val="none"/>
              </w:rPr>
            </w:pPr>
          </w:p>
        </w:tc>
        <w:tc>
          <w:tcPr>
            <w:tcW w:w="1197" w:type="dxa"/>
            <w:vAlign w:val="center"/>
          </w:tcPr>
          <w:p w14:paraId="6ABC4225">
            <w:pPr>
              <w:spacing w:line="360" w:lineRule="atLeast"/>
              <w:jc w:val="center"/>
              <w:rPr>
                <w:color w:val="auto"/>
                <w:highlight w:val="none"/>
              </w:rPr>
            </w:pPr>
          </w:p>
        </w:tc>
        <w:tc>
          <w:tcPr>
            <w:tcW w:w="1197" w:type="dxa"/>
            <w:vAlign w:val="center"/>
          </w:tcPr>
          <w:p w14:paraId="5DF9315F">
            <w:pPr>
              <w:spacing w:line="360" w:lineRule="atLeast"/>
              <w:jc w:val="center"/>
              <w:rPr>
                <w:color w:val="auto"/>
                <w:highlight w:val="none"/>
              </w:rPr>
            </w:pPr>
          </w:p>
        </w:tc>
        <w:tc>
          <w:tcPr>
            <w:tcW w:w="1198" w:type="dxa"/>
            <w:vAlign w:val="center"/>
          </w:tcPr>
          <w:p w14:paraId="57126D00">
            <w:pPr>
              <w:spacing w:line="360" w:lineRule="atLeast"/>
              <w:jc w:val="center"/>
              <w:rPr>
                <w:color w:val="auto"/>
                <w:highlight w:val="none"/>
              </w:rPr>
            </w:pPr>
          </w:p>
        </w:tc>
      </w:tr>
      <w:tr w14:paraId="2F60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CC67130">
            <w:pPr>
              <w:spacing w:line="360" w:lineRule="atLeast"/>
              <w:jc w:val="center"/>
              <w:rPr>
                <w:rFonts w:eastAsia="黑体"/>
                <w:color w:val="auto"/>
                <w:highlight w:val="none"/>
              </w:rPr>
            </w:pPr>
            <w:r>
              <w:rPr>
                <w:rFonts w:eastAsia="黑体"/>
                <w:color w:val="auto"/>
                <w:highlight w:val="none"/>
              </w:rPr>
              <w:t>5</w:t>
            </w:r>
          </w:p>
        </w:tc>
        <w:tc>
          <w:tcPr>
            <w:tcW w:w="2156" w:type="dxa"/>
          </w:tcPr>
          <w:p w14:paraId="3BCD8003">
            <w:pPr>
              <w:spacing w:line="274" w:lineRule="exact"/>
              <w:ind w:left="819"/>
              <w:rPr>
                <w:color w:val="auto"/>
                <w:highlight w:val="none"/>
              </w:rPr>
            </w:pPr>
          </w:p>
        </w:tc>
        <w:tc>
          <w:tcPr>
            <w:tcW w:w="1197" w:type="dxa"/>
            <w:vAlign w:val="center"/>
          </w:tcPr>
          <w:p w14:paraId="6CC022CB">
            <w:pPr>
              <w:spacing w:line="360" w:lineRule="atLeast"/>
              <w:jc w:val="center"/>
              <w:rPr>
                <w:color w:val="auto"/>
                <w:highlight w:val="none"/>
              </w:rPr>
            </w:pPr>
          </w:p>
        </w:tc>
        <w:tc>
          <w:tcPr>
            <w:tcW w:w="1197" w:type="dxa"/>
            <w:vAlign w:val="center"/>
          </w:tcPr>
          <w:p w14:paraId="1702283E">
            <w:pPr>
              <w:spacing w:line="360" w:lineRule="atLeast"/>
              <w:jc w:val="center"/>
              <w:rPr>
                <w:color w:val="auto"/>
                <w:highlight w:val="none"/>
              </w:rPr>
            </w:pPr>
          </w:p>
        </w:tc>
        <w:tc>
          <w:tcPr>
            <w:tcW w:w="1198" w:type="dxa"/>
            <w:vAlign w:val="center"/>
          </w:tcPr>
          <w:p w14:paraId="6986572C">
            <w:pPr>
              <w:spacing w:line="360" w:lineRule="atLeast"/>
              <w:jc w:val="center"/>
              <w:rPr>
                <w:color w:val="auto"/>
                <w:highlight w:val="none"/>
              </w:rPr>
            </w:pPr>
          </w:p>
        </w:tc>
        <w:tc>
          <w:tcPr>
            <w:tcW w:w="1197" w:type="dxa"/>
            <w:vAlign w:val="center"/>
          </w:tcPr>
          <w:p w14:paraId="0F01067F">
            <w:pPr>
              <w:spacing w:line="360" w:lineRule="atLeast"/>
              <w:jc w:val="center"/>
              <w:rPr>
                <w:color w:val="auto"/>
                <w:highlight w:val="none"/>
              </w:rPr>
            </w:pPr>
          </w:p>
        </w:tc>
        <w:tc>
          <w:tcPr>
            <w:tcW w:w="1197" w:type="dxa"/>
            <w:vAlign w:val="center"/>
          </w:tcPr>
          <w:p w14:paraId="0B1B3CCA">
            <w:pPr>
              <w:spacing w:line="360" w:lineRule="atLeast"/>
              <w:jc w:val="center"/>
              <w:rPr>
                <w:color w:val="auto"/>
                <w:highlight w:val="none"/>
              </w:rPr>
            </w:pPr>
          </w:p>
        </w:tc>
        <w:tc>
          <w:tcPr>
            <w:tcW w:w="1198" w:type="dxa"/>
            <w:vAlign w:val="center"/>
          </w:tcPr>
          <w:p w14:paraId="2E2532BF">
            <w:pPr>
              <w:spacing w:line="360" w:lineRule="atLeast"/>
              <w:jc w:val="center"/>
              <w:rPr>
                <w:color w:val="auto"/>
                <w:highlight w:val="none"/>
              </w:rPr>
            </w:pPr>
          </w:p>
        </w:tc>
        <w:tc>
          <w:tcPr>
            <w:tcW w:w="1197" w:type="dxa"/>
            <w:vAlign w:val="center"/>
          </w:tcPr>
          <w:p w14:paraId="4289E395">
            <w:pPr>
              <w:spacing w:line="360" w:lineRule="atLeast"/>
              <w:jc w:val="center"/>
              <w:rPr>
                <w:color w:val="auto"/>
                <w:highlight w:val="none"/>
              </w:rPr>
            </w:pPr>
          </w:p>
        </w:tc>
        <w:tc>
          <w:tcPr>
            <w:tcW w:w="1197" w:type="dxa"/>
            <w:vAlign w:val="center"/>
          </w:tcPr>
          <w:p w14:paraId="6A1FAEA5">
            <w:pPr>
              <w:spacing w:line="360" w:lineRule="atLeast"/>
              <w:jc w:val="center"/>
              <w:rPr>
                <w:color w:val="auto"/>
                <w:highlight w:val="none"/>
              </w:rPr>
            </w:pPr>
          </w:p>
        </w:tc>
        <w:tc>
          <w:tcPr>
            <w:tcW w:w="1198" w:type="dxa"/>
            <w:vAlign w:val="center"/>
          </w:tcPr>
          <w:p w14:paraId="14BFD371">
            <w:pPr>
              <w:spacing w:line="360" w:lineRule="atLeast"/>
              <w:jc w:val="center"/>
              <w:rPr>
                <w:color w:val="auto"/>
                <w:highlight w:val="none"/>
              </w:rPr>
            </w:pPr>
          </w:p>
        </w:tc>
      </w:tr>
      <w:tr w14:paraId="01CD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2BCF2325">
            <w:pPr>
              <w:spacing w:line="360" w:lineRule="atLeast"/>
              <w:jc w:val="center"/>
              <w:rPr>
                <w:rFonts w:eastAsia="黑体"/>
                <w:color w:val="auto"/>
                <w:highlight w:val="none"/>
              </w:rPr>
            </w:pPr>
            <w:r>
              <w:rPr>
                <w:rFonts w:eastAsia="黑体"/>
                <w:color w:val="auto"/>
                <w:highlight w:val="none"/>
              </w:rPr>
              <w:t>6</w:t>
            </w:r>
          </w:p>
        </w:tc>
        <w:tc>
          <w:tcPr>
            <w:tcW w:w="2156" w:type="dxa"/>
          </w:tcPr>
          <w:p w14:paraId="58DE396F">
            <w:pPr>
              <w:spacing w:line="330" w:lineRule="exact"/>
              <w:ind w:left="399"/>
              <w:rPr>
                <w:color w:val="auto"/>
                <w:highlight w:val="none"/>
              </w:rPr>
            </w:pPr>
          </w:p>
        </w:tc>
        <w:tc>
          <w:tcPr>
            <w:tcW w:w="1197" w:type="dxa"/>
            <w:vAlign w:val="center"/>
          </w:tcPr>
          <w:p w14:paraId="26BA5CBE">
            <w:pPr>
              <w:spacing w:line="360" w:lineRule="atLeast"/>
              <w:jc w:val="center"/>
              <w:rPr>
                <w:color w:val="auto"/>
                <w:highlight w:val="none"/>
              </w:rPr>
            </w:pPr>
          </w:p>
        </w:tc>
        <w:tc>
          <w:tcPr>
            <w:tcW w:w="1197" w:type="dxa"/>
            <w:vAlign w:val="center"/>
          </w:tcPr>
          <w:p w14:paraId="1A29CD98">
            <w:pPr>
              <w:spacing w:line="360" w:lineRule="atLeast"/>
              <w:jc w:val="center"/>
              <w:rPr>
                <w:color w:val="auto"/>
                <w:highlight w:val="none"/>
              </w:rPr>
            </w:pPr>
          </w:p>
        </w:tc>
        <w:tc>
          <w:tcPr>
            <w:tcW w:w="1198" w:type="dxa"/>
            <w:vAlign w:val="center"/>
          </w:tcPr>
          <w:p w14:paraId="2EEB0062">
            <w:pPr>
              <w:spacing w:line="360" w:lineRule="atLeast"/>
              <w:jc w:val="center"/>
              <w:rPr>
                <w:color w:val="auto"/>
                <w:highlight w:val="none"/>
              </w:rPr>
            </w:pPr>
          </w:p>
        </w:tc>
        <w:tc>
          <w:tcPr>
            <w:tcW w:w="1197" w:type="dxa"/>
            <w:vAlign w:val="center"/>
          </w:tcPr>
          <w:p w14:paraId="261618E2">
            <w:pPr>
              <w:spacing w:line="360" w:lineRule="atLeast"/>
              <w:jc w:val="center"/>
              <w:rPr>
                <w:color w:val="auto"/>
                <w:highlight w:val="none"/>
              </w:rPr>
            </w:pPr>
          </w:p>
        </w:tc>
        <w:tc>
          <w:tcPr>
            <w:tcW w:w="1197" w:type="dxa"/>
            <w:vAlign w:val="center"/>
          </w:tcPr>
          <w:p w14:paraId="338B3DB2">
            <w:pPr>
              <w:spacing w:line="360" w:lineRule="atLeast"/>
              <w:jc w:val="center"/>
              <w:rPr>
                <w:color w:val="auto"/>
                <w:highlight w:val="none"/>
              </w:rPr>
            </w:pPr>
          </w:p>
        </w:tc>
        <w:tc>
          <w:tcPr>
            <w:tcW w:w="1198" w:type="dxa"/>
            <w:vAlign w:val="center"/>
          </w:tcPr>
          <w:p w14:paraId="63983AC9">
            <w:pPr>
              <w:spacing w:line="360" w:lineRule="atLeast"/>
              <w:jc w:val="center"/>
              <w:rPr>
                <w:color w:val="auto"/>
                <w:highlight w:val="none"/>
              </w:rPr>
            </w:pPr>
          </w:p>
        </w:tc>
        <w:tc>
          <w:tcPr>
            <w:tcW w:w="1197" w:type="dxa"/>
            <w:vAlign w:val="center"/>
          </w:tcPr>
          <w:p w14:paraId="0B7AADF4">
            <w:pPr>
              <w:spacing w:line="360" w:lineRule="atLeast"/>
              <w:jc w:val="center"/>
              <w:rPr>
                <w:color w:val="auto"/>
                <w:highlight w:val="none"/>
              </w:rPr>
            </w:pPr>
          </w:p>
        </w:tc>
        <w:tc>
          <w:tcPr>
            <w:tcW w:w="1197" w:type="dxa"/>
            <w:vAlign w:val="center"/>
          </w:tcPr>
          <w:p w14:paraId="3D0EE7F7">
            <w:pPr>
              <w:spacing w:line="360" w:lineRule="atLeast"/>
              <w:jc w:val="center"/>
              <w:rPr>
                <w:color w:val="auto"/>
                <w:highlight w:val="none"/>
              </w:rPr>
            </w:pPr>
          </w:p>
        </w:tc>
        <w:tc>
          <w:tcPr>
            <w:tcW w:w="1198" w:type="dxa"/>
            <w:vAlign w:val="center"/>
          </w:tcPr>
          <w:p w14:paraId="5F00F3AA">
            <w:pPr>
              <w:spacing w:line="360" w:lineRule="atLeast"/>
              <w:jc w:val="center"/>
              <w:rPr>
                <w:color w:val="auto"/>
                <w:highlight w:val="none"/>
              </w:rPr>
            </w:pPr>
          </w:p>
        </w:tc>
      </w:tr>
      <w:tr w14:paraId="1431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78150A8">
            <w:pPr>
              <w:spacing w:line="360" w:lineRule="atLeast"/>
              <w:jc w:val="center"/>
              <w:rPr>
                <w:rFonts w:eastAsia="黑体"/>
                <w:color w:val="auto"/>
                <w:highlight w:val="none"/>
              </w:rPr>
            </w:pPr>
            <w:r>
              <w:rPr>
                <w:rFonts w:eastAsia="黑体"/>
                <w:color w:val="auto"/>
                <w:highlight w:val="none"/>
              </w:rPr>
              <w:t>7</w:t>
            </w:r>
          </w:p>
        </w:tc>
        <w:tc>
          <w:tcPr>
            <w:tcW w:w="2156" w:type="dxa"/>
          </w:tcPr>
          <w:p w14:paraId="6A3E8634">
            <w:pPr>
              <w:spacing w:line="330" w:lineRule="exact"/>
              <w:ind w:left="82"/>
              <w:rPr>
                <w:color w:val="auto"/>
                <w:highlight w:val="none"/>
              </w:rPr>
            </w:pPr>
          </w:p>
        </w:tc>
        <w:tc>
          <w:tcPr>
            <w:tcW w:w="1197" w:type="dxa"/>
            <w:vAlign w:val="center"/>
          </w:tcPr>
          <w:p w14:paraId="4846B1EF">
            <w:pPr>
              <w:spacing w:line="360" w:lineRule="atLeast"/>
              <w:jc w:val="center"/>
              <w:rPr>
                <w:color w:val="auto"/>
                <w:highlight w:val="none"/>
              </w:rPr>
            </w:pPr>
          </w:p>
        </w:tc>
        <w:tc>
          <w:tcPr>
            <w:tcW w:w="1197" w:type="dxa"/>
            <w:vAlign w:val="center"/>
          </w:tcPr>
          <w:p w14:paraId="114125A8">
            <w:pPr>
              <w:spacing w:line="360" w:lineRule="atLeast"/>
              <w:jc w:val="center"/>
              <w:rPr>
                <w:color w:val="auto"/>
                <w:highlight w:val="none"/>
              </w:rPr>
            </w:pPr>
          </w:p>
        </w:tc>
        <w:tc>
          <w:tcPr>
            <w:tcW w:w="1198" w:type="dxa"/>
            <w:vAlign w:val="center"/>
          </w:tcPr>
          <w:p w14:paraId="2E29B134">
            <w:pPr>
              <w:spacing w:line="360" w:lineRule="atLeast"/>
              <w:jc w:val="center"/>
              <w:rPr>
                <w:color w:val="auto"/>
                <w:highlight w:val="none"/>
              </w:rPr>
            </w:pPr>
          </w:p>
        </w:tc>
        <w:tc>
          <w:tcPr>
            <w:tcW w:w="1197" w:type="dxa"/>
            <w:vAlign w:val="center"/>
          </w:tcPr>
          <w:p w14:paraId="6C96FA21">
            <w:pPr>
              <w:spacing w:line="360" w:lineRule="atLeast"/>
              <w:jc w:val="center"/>
              <w:rPr>
                <w:color w:val="auto"/>
                <w:highlight w:val="none"/>
              </w:rPr>
            </w:pPr>
          </w:p>
        </w:tc>
        <w:tc>
          <w:tcPr>
            <w:tcW w:w="1197" w:type="dxa"/>
            <w:vAlign w:val="center"/>
          </w:tcPr>
          <w:p w14:paraId="262697BE">
            <w:pPr>
              <w:spacing w:line="360" w:lineRule="atLeast"/>
              <w:jc w:val="center"/>
              <w:rPr>
                <w:color w:val="auto"/>
                <w:highlight w:val="none"/>
              </w:rPr>
            </w:pPr>
          </w:p>
        </w:tc>
        <w:tc>
          <w:tcPr>
            <w:tcW w:w="1198" w:type="dxa"/>
            <w:vAlign w:val="center"/>
          </w:tcPr>
          <w:p w14:paraId="4C9F36DB">
            <w:pPr>
              <w:spacing w:line="360" w:lineRule="atLeast"/>
              <w:jc w:val="center"/>
              <w:rPr>
                <w:color w:val="auto"/>
                <w:highlight w:val="none"/>
              </w:rPr>
            </w:pPr>
          </w:p>
        </w:tc>
        <w:tc>
          <w:tcPr>
            <w:tcW w:w="1197" w:type="dxa"/>
            <w:vAlign w:val="center"/>
          </w:tcPr>
          <w:p w14:paraId="55F86F09">
            <w:pPr>
              <w:spacing w:line="360" w:lineRule="atLeast"/>
              <w:jc w:val="center"/>
              <w:rPr>
                <w:color w:val="auto"/>
                <w:highlight w:val="none"/>
              </w:rPr>
            </w:pPr>
          </w:p>
        </w:tc>
        <w:tc>
          <w:tcPr>
            <w:tcW w:w="1197" w:type="dxa"/>
            <w:vAlign w:val="center"/>
          </w:tcPr>
          <w:p w14:paraId="0F796E9F">
            <w:pPr>
              <w:spacing w:line="360" w:lineRule="atLeast"/>
              <w:jc w:val="center"/>
              <w:rPr>
                <w:color w:val="auto"/>
                <w:highlight w:val="none"/>
              </w:rPr>
            </w:pPr>
          </w:p>
        </w:tc>
        <w:tc>
          <w:tcPr>
            <w:tcW w:w="1198" w:type="dxa"/>
            <w:vAlign w:val="center"/>
          </w:tcPr>
          <w:p w14:paraId="53EAD742">
            <w:pPr>
              <w:spacing w:line="360" w:lineRule="atLeast"/>
              <w:jc w:val="center"/>
              <w:rPr>
                <w:color w:val="auto"/>
                <w:highlight w:val="none"/>
              </w:rPr>
            </w:pPr>
          </w:p>
        </w:tc>
      </w:tr>
      <w:tr w14:paraId="2921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34E7B16E">
            <w:pPr>
              <w:spacing w:line="360" w:lineRule="atLeast"/>
              <w:jc w:val="center"/>
              <w:rPr>
                <w:rFonts w:eastAsia="黑体"/>
                <w:color w:val="auto"/>
                <w:highlight w:val="none"/>
              </w:rPr>
            </w:pPr>
            <w:r>
              <w:rPr>
                <w:rFonts w:eastAsia="黑体"/>
                <w:color w:val="auto"/>
                <w:highlight w:val="none"/>
              </w:rPr>
              <w:t>8</w:t>
            </w:r>
          </w:p>
        </w:tc>
        <w:tc>
          <w:tcPr>
            <w:tcW w:w="2156" w:type="dxa"/>
          </w:tcPr>
          <w:p w14:paraId="0AB65184">
            <w:pPr>
              <w:spacing w:line="330" w:lineRule="exact"/>
              <w:ind w:left="713"/>
              <w:rPr>
                <w:color w:val="auto"/>
                <w:highlight w:val="none"/>
              </w:rPr>
            </w:pPr>
          </w:p>
        </w:tc>
        <w:tc>
          <w:tcPr>
            <w:tcW w:w="1197" w:type="dxa"/>
            <w:vAlign w:val="center"/>
          </w:tcPr>
          <w:p w14:paraId="6F558E1F">
            <w:pPr>
              <w:spacing w:line="360" w:lineRule="atLeast"/>
              <w:jc w:val="center"/>
              <w:rPr>
                <w:color w:val="auto"/>
                <w:highlight w:val="none"/>
              </w:rPr>
            </w:pPr>
          </w:p>
        </w:tc>
        <w:tc>
          <w:tcPr>
            <w:tcW w:w="1197" w:type="dxa"/>
            <w:vAlign w:val="center"/>
          </w:tcPr>
          <w:p w14:paraId="7C239FA0">
            <w:pPr>
              <w:spacing w:line="360" w:lineRule="atLeast"/>
              <w:jc w:val="center"/>
              <w:rPr>
                <w:color w:val="auto"/>
                <w:highlight w:val="none"/>
              </w:rPr>
            </w:pPr>
          </w:p>
        </w:tc>
        <w:tc>
          <w:tcPr>
            <w:tcW w:w="1198" w:type="dxa"/>
            <w:vAlign w:val="center"/>
          </w:tcPr>
          <w:p w14:paraId="50782159">
            <w:pPr>
              <w:spacing w:line="360" w:lineRule="atLeast"/>
              <w:jc w:val="center"/>
              <w:rPr>
                <w:color w:val="auto"/>
                <w:highlight w:val="none"/>
              </w:rPr>
            </w:pPr>
          </w:p>
        </w:tc>
        <w:tc>
          <w:tcPr>
            <w:tcW w:w="1197" w:type="dxa"/>
            <w:vAlign w:val="center"/>
          </w:tcPr>
          <w:p w14:paraId="06C48123">
            <w:pPr>
              <w:spacing w:line="360" w:lineRule="atLeast"/>
              <w:jc w:val="center"/>
              <w:rPr>
                <w:color w:val="auto"/>
                <w:highlight w:val="none"/>
              </w:rPr>
            </w:pPr>
          </w:p>
        </w:tc>
        <w:tc>
          <w:tcPr>
            <w:tcW w:w="1197" w:type="dxa"/>
            <w:vAlign w:val="center"/>
          </w:tcPr>
          <w:p w14:paraId="13EEED12">
            <w:pPr>
              <w:spacing w:line="360" w:lineRule="atLeast"/>
              <w:jc w:val="center"/>
              <w:rPr>
                <w:color w:val="auto"/>
                <w:highlight w:val="none"/>
              </w:rPr>
            </w:pPr>
          </w:p>
        </w:tc>
        <w:tc>
          <w:tcPr>
            <w:tcW w:w="1198" w:type="dxa"/>
            <w:vAlign w:val="center"/>
          </w:tcPr>
          <w:p w14:paraId="758FF8E2">
            <w:pPr>
              <w:spacing w:line="360" w:lineRule="atLeast"/>
              <w:jc w:val="center"/>
              <w:rPr>
                <w:color w:val="auto"/>
                <w:highlight w:val="none"/>
              </w:rPr>
            </w:pPr>
          </w:p>
        </w:tc>
        <w:tc>
          <w:tcPr>
            <w:tcW w:w="1197" w:type="dxa"/>
            <w:vAlign w:val="center"/>
          </w:tcPr>
          <w:p w14:paraId="498B490F">
            <w:pPr>
              <w:spacing w:line="360" w:lineRule="atLeast"/>
              <w:jc w:val="center"/>
              <w:rPr>
                <w:color w:val="auto"/>
                <w:highlight w:val="none"/>
              </w:rPr>
            </w:pPr>
          </w:p>
        </w:tc>
        <w:tc>
          <w:tcPr>
            <w:tcW w:w="1197" w:type="dxa"/>
            <w:vAlign w:val="center"/>
          </w:tcPr>
          <w:p w14:paraId="438E4D14">
            <w:pPr>
              <w:spacing w:line="360" w:lineRule="atLeast"/>
              <w:jc w:val="center"/>
              <w:rPr>
                <w:color w:val="auto"/>
                <w:highlight w:val="none"/>
              </w:rPr>
            </w:pPr>
          </w:p>
        </w:tc>
        <w:tc>
          <w:tcPr>
            <w:tcW w:w="1198" w:type="dxa"/>
            <w:vAlign w:val="center"/>
          </w:tcPr>
          <w:p w14:paraId="5DF9DAAA">
            <w:pPr>
              <w:spacing w:line="360" w:lineRule="atLeast"/>
              <w:jc w:val="center"/>
              <w:rPr>
                <w:color w:val="auto"/>
                <w:highlight w:val="none"/>
              </w:rPr>
            </w:pPr>
          </w:p>
        </w:tc>
      </w:tr>
      <w:tr w14:paraId="3535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DAA01AC">
            <w:pPr>
              <w:spacing w:line="360" w:lineRule="atLeast"/>
              <w:jc w:val="center"/>
              <w:rPr>
                <w:rFonts w:eastAsia="黑体"/>
                <w:color w:val="auto"/>
                <w:highlight w:val="none"/>
              </w:rPr>
            </w:pPr>
            <w:r>
              <w:rPr>
                <w:rFonts w:eastAsia="黑体"/>
                <w:color w:val="auto"/>
                <w:highlight w:val="none"/>
              </w:rPr>
              <w:t>9</w:t>
            </w:r>
          </w:p>
        </w:tc>
        <w:tc>
          <w:tcPr>
            <w:tcW w:w="2156" w:type="dxa"/>
          </w:tcPr>
          <w:p w14:paraId="7D8DA6C0">
            <w:pPr>
              <w:spacing w:line="403" w:lineRule="exact"/>
              <w:ind w:left="1028"/>
              <w:rPr>
                <w:color w:val="auto"/>
                <w:highlight w:val="none"/>
              </w:rPr>
            </w:pPr>
            <w:r>
              <w:rPr>
                <w:color w:val="auto"/>
                <w:spacing w:val="-1"/>
                <w:highlight w:val="none"/>
              </w:rPr>
              <w:t>……</w:t>
            </w:r>
          </w:p>
        </w:tc>
        <w:tc>
          <w:tcPr>
            <w:tcW w:w="1197" w:type="dxa"/>
            <w:vAlign w:val="center"/>
          </w:tcPr>
          <w:p w14:paraId="32B2CCE1">
            <w:pPr>
              <w:spacing w:line="360" w:lineRule="atLeast"/>
              <w:jc w:val="center"/>
              <w:rPr>
                <w:color w:val="auto"/>
                <w:highlight w:val="none"/>
              </w:rPr>
            </w:pPr>
          </w:p>
        </w:tc>
        <w:tc>
          <w:tcPr>
            <w:tcW w:w="1197" w:type="dxa"/>
            <w:vAlign w:val="center"/>
          </w:tcPr>
          <w:p w14:paraId="56A4D4B8">
            <w:pPr>
              <w:spacing w:line="360" w:lineRule="atLeast"/>
              <w:jc w:val="center"/>
              <w:rPr>
                <w:color w:val="auto"/>
                <w:highlight w:val="none"/>
              </w:rPr>
            </w:pPr>
          </w:p>
        </w:tc>
        <w:tc>
          <w:tcPr>
            <w:tcW w:w="1198" w:type="dxa"/>
            <w:vAlign w:val="center"/>
          </w:tcPr>
          <w:p w14:paraId="306C50DF">
            <w:pPr>
              <w:spacing w:line="360" w:lineRule="atLeast"/>
              <w:jc w:val="center"/>
              <w:rPr>
                <w:color w:val="auto"/>
                <w:highlight w:val="none"/>
              </w:rPr>
            </w:pPr>
          </w:p>
        </w:tc>
        <w:tc>
          <w:tcPr>
            <w:tcW w:w="1197" w:type="dxa"/>
            <w:vAlign w:val="center"/>
          </w:tcPr>
          <w:p w14:paraId="26CFA1CD">
            <w:pPr>
              <w:spacing w:line="360" w:lineRule="atLeast"/>
              <w:jc w:val="center"/>
              <w:rPr>
                <w:color w:val="auto"/>
                <w:highlight w:val="none"/>
              </w:rPr>
            </w:pPr>
          </w:p>
        </w:tc>
        <w:tc>
          <w:tcPr>
            <w:tcW w:w="1197" w:type="dxa"/>
            <w:vAlign w:val="center"/>
          </w:tcPr>
          <w:p w14:paraId="381F0054">
            <w:pPr>
              <w:spacing w:line="360" w:lineRule="atLeast"/>
              <w:jc w:val="center"/>
              <w:rPr>
                <w:color w:val="auto"/>
                <w:highlight w:val="none"/>
              </w:rPr>
            </w:pPr>
          </w:p>
        </w:tc>
        <w:tc>
          <w:tcPr>
            <w:tcW w:w="1198" w:type="dxa"/>
            <w:vAlign w:val="center"/>
          </w:tcPr>
          <w:p w14:paraId="0D6DA56C">
            <w:pPr>
              <w:spacing w:line="360" w:lineRule="atLeast"/>
              <w:jc w:val="center"/>
              <w:rPr>
                <w:color w:val="auto"/>
                <w:highlight w:val="none"/>
              </w:rPr>
            </w:pPr>
          </w:p>
        </w:tc>
        <w:tc>
          <w:tcPr>
            <w:tcW w:w="1197" w:type="dxa"/>
            <w:vAlign w:val="center"/>
          </w:tcPr>
          <w:p w14:paraId="11841D2B">
            <w:pPr>
              <w:spacing w:line="360" w:lineRule="atLeast"/>
              <w:jc w:val="center"/>
              <w:rPr>
                <w:color w:val="auto"/>
                <w:highlight w:val="none"/>
              </w:rPr>
            </w:pPr>
          </w:p>
        </w:tc>
        <w:tc>
          <w:tcPr>
            <w:tcW w:w="1197" w:type="dxa"/>
            <w:vAlign w:val="center"/>
          </w:tcPr>
          <w:p w14:paraId="0B8E1677">
            <w:pPr>
              <w:spacing w:line="360" w:lineRule="atLeast"/>
              <w:jc w:val="center"/>
              <w:rPr>
                <w:color w:val="auto"/>
                <w:highlight w:val="none"/>
              </w:rPr>
            </w:pPr>
          </w:p>
        </w:tc>
        <w:tc>
          <w:tcPr>
            <w:tcW w:w="1198" w:type="dxa"/>
            <w:vAlign w:val="center"/>
          </w:tcPr>
          <w:p w14:paraId="22085DE8">
            <w:pPr>
              <w:spacing w:line="360" w:lineRule="atLeast"/>
              <w:jc w:val="center"/>
              <w:rPr>
                <w:color w:val="auto"/>
                <w:highlight w:val="none"/>
              </w:rPr>
            </w:pPr>
          </w:p>
        </w:tc>
      </w:tr>
      <w:tr w14:paraId="7D84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vAlign w:val="center"/>
          </w:tcPr>
          <w:p w14:paraId="2CCB73D0">
            <w:pPr>
              <w:spacing w:line="360" w:lineRule="atLeast"/>
              <w:jc w:val="center"/>
              <w:rPr>
                <w:color w:val="auto"/>
                <w:highlight w:val="none"/>
              </w:rPr>
            </w:pPr>
            <w:r>
              <w:rPr>
                <w:rFonts w:hint="eastAsia"/>
                <w:color w:val="auto"/>
                <w:highlight w:val="none"/>
              </w:rPr>
              <w:t>得分</w:t>
            </w:r>
          </w:p>
        </w:tc>
        <w:tc>
          <w:tcPr>
            <w:tcW w:w="1197" w:type="dxa"/>
            <w:vAlign w:val="center"/>
          </w:tcPr>
          <w:p w14:paraId="11082675">
            <w:pPr>
              <w:spacing w:line="360" w:lineRule="atLeast"/>
              <w:jc w:val="center"/>
              <w:rPr>
                <w:color w:val="auto"/>
                <w:highlight w:val="none"/>
              </w:rPr>
            </w:pPr>
          </w:p>
        </w:tc>
        <w:tc>
          <w:tcPr>
            <w:tcW w:w="1197" w:type="dxa"/>
            <w:vAlign w:val="center"/>
          </w:tcPr>
          <w:p w14:paraId="24CF6F06">
            <w:pPr>
              <w:spacing w:line="360" w:lineRule="atLeast"/>
              <w:jc w:val="center"/>
              <w:rPr>
                <w:color w:val="auto"/>
                <w:highlight w:val="none"/>
              </w:rPr>
            </w:pPr>
          </w:p>
        </w:tc>
        <w:tc>
          <w:tcPr>
            <w:tcW w:w="1198" w:type="dxa"/>
            <w:vAlign w:val="center"/>
          </w:tcPr>
          <w:p w14:paraId="7CA4C35B">
            <w:pPr>
              <w:spacing w:line="360" w:lineRule="atLeast"/>
              <w:jc w:val="center"/>
              <w:rPr>
                <w:color w:val="auto"/>
                <w:highlight w:val="none"/>
              </w:rPr>
            </w:pPr>
          </w:p>
        </w:tc>
        <w:tc>
          <w:tcPr>
            <w:tcW w:w="1197" w:type="dxa"/>
            <w:vAlign w:val="center"/>
          </w:tcPr>
          <w:p w14:paraId="71D50872">
            <w:pPr>
              <w:spacing w:line="360" w:lineRule="atLeast"/>
              <w:jc w:val="center"/>
              <w:rPr>
                <w:color w:val="auto"/>
                <w:highlight w:val="none"/>
              </w:rPr>
            </w:pPr>
          </w:p>
        </w:tc>
        <w:tc>
          <w:tcPr>
            <w:tcW w:w="1197" w:type="dxa"/>
            <w:vAlign w:val="center"/>
          </w:tcPr>
          <w:p w14:paraId="27368198">
            <w:pPr>
              <w:spacing w:line="360" w:lineRule="atLeast"/>
              <w:jc w:val="center"/>
              <w:rPr>
                <w:color w:val="auto"/>
                <w:highlight w:val="none"/>
              </w:rPr>
            </w:pPr>
          </w:p>
        </w:tc>
        <w:tc>
          <w:tcPr>
            <w:tcW w:w="1198" w:type="dxa"/>
            <w:vAlign w:val="center"/>
          </w:tcPr>
          <w:p w14:paraId="49015CCD">
            <w:pPr>
              <w:spacing w:line="360" w:lineRule="atLeast"/>
              <w:jc w:val="center"/>
              <w:rPr>
                <w:color w:val="auto"/>
                <w:highlight w:val="none"/>
              </w:rPr>
            </w:pPr>
          </w:p>
        </w:tc>
        <w:tc>
          <w:tcPr>
            <w:tcW w:w="1197" w:type="dxa"/>
            <w:vAlign w:val="center"/>
          </w:tcPr>
          <w:p w14:paraId="12C8A775">
            <w:pPr>
              <w:spacing w:line="360" w:lineRule="atLeast"/>
              <w:jc w:val="center"/>
              <w:rPr>
                <w:color w:val="auto"/>
                <w:highlight w:val="none"/>
              </w:rPr>
            </w:pPr>
          </w:p>
        </w:tc>
        <w:tc>
          <w:tcPr>
            <w:tcW w:w="1197" w:type="dxa"/>
            <w:vAlign w:val="center"/>
          </w:tcPr>
          <w:p w14:paraId="0AC65539">
            <w:pPr>
              <w:spacing w:line="360" w:lineRule="atLeast"/>
              <w:jc w:val="center"/>
              <w:rPr>
                <w:color w:val="auto"/>
                <w:highlight w:val="none"/>
              </w:rPr>
            </w:pPr>
          </w:p>
        </w:tc>
        <w:tc>
          <w:tcPr>
            <w:tcW w:w="1198" w:type="dxa"/>
            <w:vAlign w:val="center"/>
          </w:tcPr>
          <w:p w14:paraId="25682042">
            <w:pPr>
              <w:spacing w:line="360" w:lineRule="atLeast"/>
              <w:jc w:val="center"/>
              <w:rPr>
                <w:color w:val="auto"/>
                <w:highlight w:val="none"/>
              </w:rPr>
            </w:pPr>
          </w:p>
        </w:tc>
      </w:tr>
    </w:tbl>
    <w:p w14:paraId="346512DC">
      <w:pPr>
        <w:rPr>
          <w:rFonts w:eastAsia="楷体_GB2312"/>
          <w:color w:val="auto"/>
          <w:szCs w:val="21"/>
          <w:highlight w:val="none"/>
        </w:rPr>
      </w:pPr>
    </w:p>
    <w:p w14:paraId="66831ECC">
      <w:pPr>
        <w:rPr>
          <w:rFonts w:eastAsia="楷体_GB2312"/>
          <w:b/>
          <w:bCs/>
          <w:color w:val="auto"/>
          <w:szCs w:val="21"/>
          <w:highlight w:val="none"/>
        </w:rPr>
      </w:pPr>
      <w:r>
        <w:rPr>
          <w:rFonts w:eastAsia="楷体_GB2312"/>
          <w:b/>
          <w:bCs/>
          <w:color w:val="auto"/>
          <w:highlight w:val="none"/>
        </w:rPr>
        <w:t>备注：本表可根据评分办法的需要进行调整</w:t>
      </w:r>
      <w:r>
        <w:rPr>
          <w:rFonts w:hint="eastAsia" w:eastAsia="楷体_GB2312"/>
          <w:b/>
          <w:bCs/>
          <w:color w:val="auto"/>
          <w:szCs w:val="21"/>
          <w:highlight w:val="none"/>
        </w:rPr>
        <w:t>。</w:t>
      </w:r>
    </w:p>
    <w:p w14:paraId="75D4F824">
      <w:pPr>
        <w:spacing w:line="440" w:lineRule="exact"/>
        <w:rPr>
          <w:color w:val="auto"/>
          <w:highlight w:val="none"/>
        </w:rPr>
      </w:pPr>
    </w:p>
    <w:p w14:paraId="5B98BD7B">
      <w:pPr>
        <w:spacing w:line="440" w:lineRule="exact"/>
        <w:rPr>
          <w:color w:val="auto"/>
          <w:highlight w:val="none"/>
        </w:rPr>
      </w:pPr>
      <w:r>
        <w:rPr>
          <w:rFonts w:hint="eastAsia"/>
          <w:color w:val="auto"/>
          <w:highlight w:val="none"/>
        </w:rPr>
        <w:t>设计方案评审评委</w:t>
      </w:r>
      <w:r>
        <w:rPr>
          <w:color w:val="auto"/>
          <w:highlight w:val="none"/>
        </w:rPr>
        <w:t>签名：                                                                       日期：        年     月     日</w:t>
      </w:r>
    </w:p>
    <w:p w14:paraId="30A37D89">
      <w:pPr>
        <w:rPr>
          <w:rFonts w:eastAsia="黑体"/>
          <w:color w:val="auto"/>
          <w:szCs w:val="21"/>
          <w:highlight w:val="none"/>
        </w:rPr>
        <w:sectPr>
          <w:pgSz w:w="16838" w:h="11906" w:orient="landscape"/>
          <w:pgMar w:top="1440" w:right="1440" w:bottom="1440" w:left="1797" w:header="851" w:footer="851" w:gutter="0"/>
          <w:cols w:space="720" w:num="1"/>
          <w:docGrid w:linePitch="312" w:charSpace="0"/>
        </w:sectPr>
      </w:pPr>
    </w:p>
    <w:p w14:paraId="71DBE0D2">
      <w:pPr>
        <w:rPr>
          <w:b/>
          <w:color w:val="auto"/>
          <w:highlight w:val="none"/>
        </w:rPr>
      </w:pPr>
      <w:r>
        <w:rPr>
          <w:b/>
          <w:color w:val="auto"/>
          <w:szCs w:val="21"/>
          <w:highlight w:val="none"/>
        </w:rPr>
        <w:t>附表A-1</w:t>
      </w:r>
      <w:r>
        <w:rPr>
          <w:rFonts w:hint="eastAsia"/>
          <w:b/>
          <w:color w:val="auto"/>
          <w:szCs w:val="21"/>
          <w:highlight w:val="none"/>
        </w:rPr>
        <w:t>1</w:t>
      </w:r>
      <w:r>
        <w:rPr>
          <w:b/>
          <w:color w:val="auto"/>
          <w:szCs w:val="21"/>
          <w:highlight w:val="none"/>
        </w:rPr>
        <w:t>：</w:t>
      </w:r>
      <w:r>
        <w:rPr>
          <w:rFonts w:hint="eastAsia"/>
          <w:b/>
          <w:color w:val="auto"/>
          <w:highlight w:val="none"/>
        </w:rPr>
        <w:t>设计方案（或设计团队）评分计算表</w:t>
      </w:r>
    </w:p>
    <w:p w14:paraId="71A112D6">
      <w:pPr>
        <w:spacing w:line="440" w:lineRule="exact"/>
        <w:jc w:val="center"/>
        <w:rPr>
          <w:color w:val="auto"/>
          <w:highlight w:val="none"/>
        </w:rPr>
      </w:pPr>
      <w:r>
        <w:rPr>
          <w:rFonts w:hint="eastAsia" w:eastAsia="黑体"/>
          <w:color w:val="auto"/>
          <w:sz w:val="28"/>
          <w:szCs w:val="28"/>
          <w:highlight w:val="none"/>
          <w:u w:val="single"/>
        </w:rPr>
        <w:t>投标人名称（或代码）</w:t>
      </w:r>
      <w:r>
        <w:rPr>
          <w:rFonts w:hint="eastAsia" w:eastAsia="黑体"/>
          <w:color w:val="auto"/>
          <w:sz w:val="28"/>
          <w:szCs w:val="28"/>
          <w:highlight w:val="none"/>
        </w:rPr>
        <w:t>设计方案（或设计团队）评分计算表</w:t>
      </w:r>
    </w:p>
    <w:p w14:paraId="137B93A5">
      <w:pPr>
        <w:spacing w:after="72" w:afterLines="30" w:line="440" w:lineRule="exact"/>
        <w:jc w:val="center"/>
        <w:rPr>
          <w:color w:val="auto"/>
          <w:highlight w:val="none"/>
        </w:rPr>
      </w:pPr>
      <w:r>
        <w:rPr>
          <w:rFonts w:hint="eastAsia"/>
          <w:color w:val="auto"/>
          <w:highlight w:val="none"/>
        </w:rPr>
        <w:t>项目</w:t>
      </w:r>
      <w:r>
        <w:rPr>
          <w:color w:val="auto"/>
          <w:highlight w:val="none"/>
        </w:rPr>
        <w:t>名称</w:t>
      </w:r>
      <w:r>
        <w:rPr>
          <w:rFonts w:hint="eastAsia"/>
          <w:color w:val="auto"/>
          <w:highlight w:val="none"/>
        </w:rPr>
        <w:t>及项目招标编号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p w14:paraId="6A61EB0C">
      <w:pPr>
        <w:rPr>
          <w:b/>
          <w:color w:val="auto"/>
          <w:szCs w:val="21"/>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2378"/>
        <w:gridCol w:w="851"/>
        <w:gridCol w:w="850"/>
        <w:gridCol w:w="851"/>
        <w:gridCol w:w="992"/>
        <w:gridCol w:w="992"/>
        <w:gridCol w:w="993"/>
        <w:gridCol w:w="992"/>
        <w:gridCol w:w="992"/>
        <w:gridCol w:w="1125"/>
        <w:gridCol w:w="1118"/>
        <w:gridCol w:w="1118"/>
      </w:tblGrid>
      <w:tr w14:paraId="6D27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5" w:type="dxa"/>
            <w:vMerge w:val="restart"/>
            <w:vAlign w:val="center"/>
          </w:tcPr>
          <w:p w14:paraId="0C7879A9">
            <w:pPr>
              <w:spacing w:line="360" w:lineRule="atLeast"/>
              <w:jc w:val="center"/>
              <w:rPr>
                <w:rFonts w:eastAsia="黑体"/>
                <w:color w:val="auto"/>
                <w:highlight w:val="none"/>
              </w:rPr>
            </w:pPr>
            <w:r>
              <w:rPr>
                <w:color w:val="auto"/>
                <w:highlight w:val="none"/>
              </w:rPr>
              <w:t>序号</w:t>
            </w:r>
          </w:p>
        </w:tc>
        <w:tc>
          <w:tcPr>
            <w:tcW w:w="2378" w:type="dxa"/>
            <w:vMerge w:val="restart"/>
            <w:vAlign w:val="center"/>
          </w:tcPr>
          <w:p w14:paraId="606D9F90">
            <w:pPr>
              <w:spacing w:line="360" w:lineRule="atLeast"/>
              <w:jc w:val="center"/>
              <w:rPr>
                <w:rFonts w:ascii="宋体" w:hAnsi="宋体"/>
                <w:color w:val="auto"/>
                <w:szCs w:val="21"/>
                <w:highlight w:val="none"/>
              </w:rPr>
            </w:pPr>
            <w:r>
              <w:rPr>
                <w:rFonts w:hint="eastAsia" w:ascii="宋体" w:hAnsi="宋体"/>
                <w:color w:val="auto"/>
                <w:szCs w:val="21"/>
                <w:highlight w:val="none"/>
              </w:rPr>
              <w:t>评审因素</w:t>
            </w:r>
          </w:p>
        </w:tc>
        <w:tc>
          <w:tcPr>
            <w:tcW w:w="6521" w:type="dxa"/>
            <w:gridSpan w:val="7"/>
            <w:vAlign w:val="center"/>
          </w:tcPr>
          <w:p w14:paraId="1BCC37DD">
            <w:pPr>
              <w:spacing w:line="360" w:lineRule="atLeast"/>
              <w:jc w:val="center"/>
              <w:rPr>
                <w:color w:val="auto"/>
                <w:highlight w:val="none"/>
              </w:rPr>
            </w:pPr>
            <w:r>
              <w:rPr>
                <w:rFonts w:hint="eastAsia" w:ascii="宋体" w:hAnsi="宋体"/>
                <w:color w:val="auto"/>
                <w:szCs w:val="21"/>
                <w:highlight w:val="none"/>
              </w:rPr>
              <w:t>评委姓名</w:t>
            </w:r>
          </w:p>
        </w:tc>
        <w:tc>
          <w:tcPr>
            <w:tcW w:w="992" w:type="dxa"/>
            <w:vMerge w:val="restart"/>
            <w:vAlign w:val="center"/>
          </w:tcPr>
          <w:p w14:paraId="4D4A1809">
            <w:pPr>
              <w:spacing w:line="360" w:lineRule="atLeast"/>
              <w:jc w:val="center"/>
              <w:rPr>
                <w:color w:val="auto"/>
                <w:highlight w:val="none"/>
              </w:rPr>
            </w:pPr>
            <w:r>
              <w:rPr>
                <w:rFonts w:hint="eastAsia" w:ascii="宋体" w:hAnsi="宋体"/>
                <w:color w:val="auto"/>
                <w:szCs w:val="21"/>
                <w:highlight w:val="none"/>
              </w:rPr>
              <w:t>评分基准值</w:t>
            </w:r>
          </w:p>
        </w:tc>
        <w:tc>
          <w:tcPr>
            <w:tcW w:w="1125" w:type="dxa"/>
            <w:vMerge w:val="restart"/>
            <w:vAlign w:val="center"/>
          </w:tcPr>
          <w:p w14:paraId="500F6989">
            <w:pPr>
              <w:spacing w:line="360" w:lineRule="atLeast"/>
              <w:jc w:val="center"/>
              <w:rPr>
                <w:color w:val="auto"/>
                <w:highlight w:val="none"/>
              </w:rPr>
            </w:pPr>
            <w:r>
              <w:rPr>
                <w:rFonts w:hint="eastAsia" w:ascii="宋体" w:hAnsi="宋体"/>
                <w:color w:val="auto"/>
                <w:szCs w:val="21"/>
                <w:highlight w:val="none"/>
              </w:rPr>
              <w:t>各评委有效评分合计</w:t>
            </w:r>
          </w:p>
        </w:tc>
        <w:tc>
          <w:tcPr>
            <w:tcW w:w="1118" w:type="dxa"/>
            <w:vMerge w:val="restart"/>
            <w:vAlign w:val="center"/>
          </w:tcPr>
          <w:p w14:paraId="13C6186F">
            <w:pPr>
              <w:spacing w:line="360" w:lineRule="atLeast"/>
              <w:jc w:val="center"/>
              <w:rPr>
                <w:color w:val="auto"/>
                <w:highlight w:val="none"/>
              </w:rPr>
            </w:pPr>
            <w:r>
              <w:rPr>
                <w:rFonts w:hint="eastAsia" w:ascii="宋体" w:hAnsi="宋体"/>
                <w:color w:val="auto"/>
                <w:szCs w:val="21"/>
                <w:highlight w:val="none"/>
              </w:rPr>
              <w:t>有效评分人数</w:t>
            </w:r>
          </w:p>
        </w:tc>
        <w:tc>
          <w:tcPr>
            <w:tcW w:w="1118" w:type="dxa"/>
            <w:vMerge w:val="restart"/>
            <w:vAlign w:val="center"/>
          </w:tcPr>
          <w:p w14:paraId="7F0A407A">
            <w:pPr>
              <w:spacing w:line="360" w:lineRule="atLeast"/>
              <w:jc w:val="center"/>
              <w:rPr>
                <w:rFonts w:ascii="宋体" w:hAnsi="宋体"/>
                <w:color w:val="auto"/>
                <w:szCs w:val="21"/>
                <w:highlight w:val="none"/>
              </w:rPr>
            </w:pPr>
            <w:r>
              <w:rPr>
                <w:rFonts w:hint="eastAsia" w:ascii="宋体" w:hAnsi="宋体"/>
                <w:color w:val="auto"/>
                <w:szCs w:val="21"/>
                <w:highlight w:val="none"/>
              </w:rPr>
              <w:t>该项最终得分</w:t>
            </w:r>
          </w:p>
        </w:tc>
      </w:tr>
      <w:tr w14:paraId="77E9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565" w:type="dxa"/>
            <w:vMerge w:val="continue"/>
            <w:vAlign w:val="center"/>
          </w:tcPr>
          <w:p w14:paraId="3DC852CF">
            <w:pPr>
              <w:spacing w:line="360" w:lineRule="atLeast"/>
              <w:jc w:val="center"/>
              <w:rPr>
                <w:rFonts w:eastAsia="黑体"/>
                <w:color w:val="auto"/>
                <w:highlight w:val="none"/>
              </w:rPr>
            </w:pPr>
          </w:p>
        </w:tc>
        <w:tc>
          <w:tcPr>
            <w:tcW w:w="2378" w:type="dxa"/>
            <w:vMerge w:val="continue"/>
            <w:vAlign w:val="center"/>
          </w:tcPr>
          <w:p w14:paraId="50CAF126">
            <w:pPr>
              <w:spacing w:line="360" w:lineRule="atLeast"/>
              <w:jc w:val="center"/>
              <w:rPr>
                <w:color w:val="auto"/>
                <w:highlight w:val="none"/>
              </w:rPr>
            </w:pPr>
          </w:p>
        </w:tc>
        <w:tc>
          <w:tcPr>
            <w:tcW w:w="851" w:type="dxa"/>
            <w:vAlign w:val="center"/>
          </w:tcPr>
          <w:p w14:paraId="27FE542F">
            <w:pPr>
              <w:spacing w:line="360" w:lineRule="atLeast"/>
              <w:jc w:val="center"/>
              <w:rPr>
                <w:color w:val="auto"/>
                <w:highlight w:val="none"/>
              </w:rPr>
            </w:pPr>
            <w:r>
              <w:rPr>
                <w:rFonts w:hint="eastAsia"/>
                <w:color w:val="auto"/>
                <w:highlight w:val="none"/>
              </w:rPr>
              <w:t>1</w:t>
            </w:r>
          </w:p>
        </w:tc>
        <w:tc>
          <w:tcPr>
            <w:tcW w:w="850" w:type="dxa"/>
            <w:vAlign w:val="center"/>
          </w:tcPr>
          <w:p w14:paraId="25468C76">
            <w:pPr>
              <w:spacing w:line="360" w:lineRule="atLeast"/>
              <w:jc w:val="center"/>
              <w:rPr>
                <w:color w:val="auto"/>
                <w:highlight w:val="none"/>
              </w:rPr>
            </w:pPr>
            <w:r>
              <w:rPr>
                <w:rFonts w:hint="eastAsia"/>
                <w:color w:val="auto"/>
                <w:highlight w:val="none"/>
              </w:rPr>
              <w:t>2</w:t>
            </w:r>
          </w:p>
        </w:tc>
        <w:tc>
          <w:tcPr>
            <w:tcW w:w="851" w:type="dxa"/>
            <w:vAlign w:val="center"/>
          </w:tcPr>
          <w:p w14:paraId="31B18B81">
            <w:pPr>
              <w:spacing w:line="360" w:lineRule="atLeast"/>
              <w:jc w:val="center"/>
              <w:rPr>
                <w:color w:val="auto"/>
                <w:highlight w:val="none"/>
              </w:rPr>
            </w:pPr>
            <w:r>
              <w:rPr>
                <w:rFonts w:hint="eastAsia"/>
                <w:color w:val="auto"/>
                <w:highlight w:val="none"/>
              </w:rPr>
              <w:t>3</w:t>
            </w:r>
          </w:p>
        </w:tc>
        <w:tc>
          <w:tcPr>
            <w:tcW w:w="992" w:type="dxa"/>
            <w:vAlign w:val="center"/>
          </w:tcPr>
          <w:p w14:paraId="7E49D506">
            <w:pPr>
              <w:spacing w:line="360" w:lineRule="atLeast"/>
              <w:jc w:val="center"/>
              <w:rPr>
                <w:color w:val="auto"/>
                <w:highlight w:val="none"/>
              </w:rPr>
            </w:pPr>
            <w:r>
              <w:rPr>
                <w:rFonts w:hint="eastAsia"/>
                <w:color w:val="auto"/>
                <w:highlight w:val="none"/>
              </w:rPr>
              <w:t>4</w:t>
            </w:r>
          </w:p>
        </w:tc>
        <w:tc>
          <w:tcPr>
            <w:tcW w:w="992" w:type="dxa"/>
            <w:vAlign w:val="center"/>
          </w:tcPr>
          <w:p w14:paraId="2ED14246">
            <w:pPr>
              <w:spacing w:line="360" w:lineRule="atLeast"/>
              <w:jc w:val="center"/>
              <w:rPr>
                <w:color w:val="auto"/>
                <w:highlight w:val="none"/>
              </w:rPr>
            </w:pPr>
            <w:r>
              <w:rPr>
                <w:rFonts w:hint="eastAsia"/>
                <w:color w:val="auto"/>
                <w:highlight w:val="none"/>
              </w:rPr>
              <w:t>5</w:t>
            </w:r>
          </w:p>
        </w:tc>
        <w:tc>
          <w:tcPr>
            <w:tcW w:w="993" w:type="dxa"/>
            <w:vAlign w:val="center"/>
          </w:tcPr>
          <w:p w14:paraId="0B968F93">
            <w:pPr>
              <w:spacing w:line="360" w:lineRule="atLeast"/>
              <w:jc w:val="center"/>
              <w:rPr>
                <w:color w:val="auto"/>
                <w:highlight w:val="none"/>
              </w:rPr>
            </w:pPr>
            <w:r>
              <w:rPr>
                <w:rFonts w:hint="eastAsia"/>
                <w:color w:val="auto"/>
                <w:highlight w:val="none"/>
              </w:rPr>
              <w:t>6</w:t>
            </w:r>
          </w:p>
        </w:tc>
        <w:tc>
          <w:tcPr>
            <w:tcW w:w="992" w:type="dxa"/>
            <w:vAlign w:val="center"/>
          </w:tcPr>
          <w:p w14:paraId="73CB2E04">
            <w:pPr>
              <w:spacing w:line="360" w:lineRule="atLeast"/>
              <w:jc w:val="center"/>
              <w:rPr>
                <w:color w:val="auto"/>
                <w:highlight w:val="none"/>
              </w:rPr>
            </w:pPr>
            <w:r>
              <w:rPr>
                <w:rFonts w:hint="eastAsia"/>
                <w:color w:val="auto"/>
                <w:highlight w:val="none"/>
              </w:rPr>
              <w:t>7</w:t>
            </w:r>
          </w:p>
        </w:tc>
        <w:tc>
          <w:tcPr>
            <w:tcW w:w="992" w:type="dxa"/>
            <w:vMerge w:val="continue"/>
            <w:vAlign w:val="center"/>
          </w:tcPr>
          <w:p w14:paraId="6B28032B">
            <w:pPr>
              <w:spacing w:line="360" w:lineRule="atLeast"/>
              <w:jc w:val="center"/>
              <w:rPr>
                <w:color w:val="auto"/>
                <w:highlight w:val="none"/>
              </w:rPr>
            </w:pPr>
          </w:p>
        </w:tc>
        <w:tc>
          <w:tcPr>
            <w:tcW w:w="1125" w:type="dxa"/>
            <w:vMerge w:val="continue"/>
            <w:vAlign w:val="center"/>
          </w:tcPr>
          <w:p w14:paraId="01F88BCA">
            <w:pPr>
              <w:spacing w:line="360" w:lineRule="atLeast"/>
              <w:jc w:val="center"/>
              <w:rPr>
                <w:color w:val="auto"/>
                <w:highlight w:val="none"/>
              </w:rPr>
            </w:pPr>
          </w:p>
        </w:tc>
        <w:tc>
          <w:tcPr>
            <w:tcW w:w="1118" w:type="dxa"/>
            <w:vMerge w:val="continue"/>
            <w:vAlign w:val="center"/>
          </w:tcPr>
          <w:p w14:paraId="0D76D927">
            <w:pPr>
              <w:spacing w:line="360" w:lineRule="atLeast"/>
              <w:jc w:val="center"/>
              <w:rPr>
                <w:color w:val="auto"/>
                <w:highlight w:val="none"/>
              </w:rPr>
            </w:pPr>
          </w:p>
        </w:tc>
        <w:tc>
          <w:tcPr>
            <w:tcW w:w="1118" w:type="dxa"/>
            <w:vMerge w:val="continue"/>
            <w:vAlign w:val="center"/>
          </w:tcPr>
          <w:p w14:paraId="01443C26">
            <w:pPr>
              <w:spacing w:line="360" w:lineRule="atLeast"/>
              <w:jc w:val="center"/>
              <w:rPr>
                <w:color w:val="auto"/>
                <w:highlight w:val="none"/>
              </w:rPr>
            </w:pPr>
          </w:p>
        </w:tc>
      </w:tr>
      <w:tr w14:paraId="1367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5" w:type="dxa"/>
            <w:vMerge w:val="restart"/>
            <w:vAlign w:val="center"/>
          </w:tcPr>
          <w:p w14:paraId="71A75624">
            <w:pPr>
              <w:spacing w:line="360" w:lineRule="atLeast"/>
              <w:jc w:val="center"/>
              <w:rPr>
                <w:rFonts w:eastAsia="黑体"/>
                <w:color w:val="auto"/>
                <w:highlight w:val="none"/>
              </w:rPr>
            </w:pPr>
            <w:r>
              <w:rPr>
                <w:rFonts w:eastAsia="黑体"/>
                <w:color w:val="auto"/>
                <w:highlight w:val="none"/>
              </w:rPr>
              <w:t>1</w:t>
            </w:r>
          </w:p>
        </w:tc>
        <w:tc>
          <w:tcPr>
            <w:tcW w:w="2378" w:type="dxa"/>
            <w:vMerge w:val="restart"/>
            <w:vAlign w:val="center"/>
          </w:tcPr>
          <w:p w14:paraId="779BB440">
            <w:pPr>
              <w:spacing w:line="360" w:lineRule="atLeast"/>
              <w:jc w:val="center"/>
              <w:rPr>
                <w:color w:val="auto"/>
                <w:highlight w:val="none"/>
              </w:rPr>
            </w:pPr>
          </w:p>
        </w:tc>
        <w:tc>
          <w:tcPr>
            <w:tcW w:w="851" w:type="dxa"/>
            <w:vAlign w:val="center"/>
          </w:tcPr>
          <w:p w14:paraId="057A42D2">
            <w:pPr>
              <w:spacing w:line="360" w:lineRule="atLeast"/>
              <w:jc w:val="center"/>
              <w:rPr>
                <w:color w:val="auto"/>
                <w:highlight w:val="none"/>
              </w:rPr>
            </w:pPr>
            <w:r>
              <w:rPr>
                <w:rFonts w:hint="eastAsia"/>
                <w:color w:val="auto"/>
                <w:highlight w:val="none"/>
              </w:rPr>
              <w:t>分值</w:t>
            </w:r>
          </w:p>
        </w:tc>
        <w:tc>
          <w:tcPr>
            <w:tcW w:w="850" w:type="dxa"/>
            <w:vAlign w:val="center"/>
          </w:tcPr>
          <w:p w14:paraId="655F7352">
            <w:pPr>
              <w:spacing w:line="360" w:lineRule="atLeast"/>
              <w:jc w:val="center"/>
              <w:rPr>
                <w:color w:val="auto"/>
                <w:highlight w:val="none"/>
              </w:rPr>
            </w:pPr>
            <w:r>
              <w:rPr>
                <w:rFonts w:hint="eastAsia"/>
                <w:color w:val="auto"/>
                <w:highlight w:val="none"/>
              </w:rPr>
              <w:t>分值</w:t>
            </w:r>
          </w:p>
        </w:tc>
        <w:tc>
          <w:tcPr>
            <w:tcW w:w="851" w:type="dxa"/>
            <w:vAlign w:val="center"/>
          </w:tcPr>
          <w:p w14:paraId="1AD17ACC">
            <w:pPr>
              <w:spacing w:line="360" w:lineRule="atLeast"/>
              <w:jc w:val="center"/>
              <w:rPr>
                <w:color w:val="auto"/>
                <w:highlight w:val="none"/>
              </w:rPr>
            </w:pPr>
            <w:r>
              <w:rPr>
                <w:rFonts w:hint="eastAsia"/>
                <w:color w:val="auto"/>
                <w:highlight w:val="none"/>
              </w:rPr>
              <w:t>分值</w:t>
            </w:r>
          </w:p>
        </w:tc>
        <w:tc>
          <w:tcPr>
            <w:tcW w:w="992" w:type="dxa"/>
            <w:vAlign w:val="center"/>
          </w:tcPr>
          <w:p w14:paraId="739A2471">
            <w:pPr>
              <w:spacing w:line="360" w:lineRule="atLeast"/>
              <w:jc w:val="center"/>
              <w:rPr>
                <w:color w:val="auto"/>
                <w:highlight w:val="none"/>
              </w:rPr>
            </w:pPr>
            <w:r>
              <w:rPr>
                <w:rFonts w:hint="eastAsia"/>
                <w:color w:val="auto"/>
                <w:highlight w:val="none"/>
              </w:rPr>
              <w:t>分值</w:t>
            </w:r>
          </w:p>
        </w:tc>
        <w:tc>
          <w:tcPr>
            <w:tcW w:w="992" w:type="dxa"/>
            <w:vAlign w:val="center"/>
          </w:tcPr>
          <w:p w14:paraId="018BA296">
            <w:pPr>
              <w:spacing w:line="360" w:lineRule="atLeast"/>
              <w:jc w:val="center"/>
              <w:rPr>
                <w:color w:val="auto"/>
                <w:highlight w:val="none"/>
              </w:rPr>
            </w:pPr>
            <w:r>
              <w:rPr>
                <w:rFonts w:hint="eastAsia"/>
                <w:color w:val="auto"/>
                <w:highlight w:val="none"/>
              </w:rPr>
              <w:t>分值</w:t>
            </w:r>
          </w:p>
        </w:tc>
        <w:tc>
          <w:tcPr>
            <w:tcW w:w="993" w:type="dxa"/>
            <w:vAlign w:val="center"/>
          </w:tcPr>
          <w:p w14:paraId="4B479BA4">
            <w:pPr>
              <w:spacing w:line="360" w:lineRule="atLeast"/>
              <w:jc w:val="center"/>
              <w:rPr>
                <w:color w:val="auto"/>
                <w:highlight w:val="none"/>
              </w:rPr>
            </w:pPr>
            <w:r>
              <w:rPr>
                <w:rFonts w:hint="eastAsia"/>
                <w:color w:val="auto"/>
                <w:highlight w:val="none"/>
              </w:rPr>
              <w:t>分值</w:t>
            </w:r>
          </w:p>
        </w:tc>
        <w:tc>
          <w:tcPr>
            <w:tcW w:w="992" w:type="dxa"/>
            <w:vAlign w:val="center"/>
          </w:tcPr>
          <w:p w14:paraId="53C0AB59">
            <w:pPr>
              <w:spacing w:line="360" w:lineRule="atLeast"/>
              <w:jc w:val="center"/>
              <w:rPr>
                <w:color w:val="auto"/>
                <w:highlight w:val="none"/>
              </w:rPr>
            </w:pPr>
            <w:r>
              <w:rPr>
                <w:rFonts w:hint="eastAsia"/>
                <w:color w:val="auto"/>
                <w:highlight w:val="none"/>
              </w:rPr>
              <w:t>分值</w:t>
            </w:r>
          </w:p>
        </w:tc>
        <w:tc>
          <w:tcPr>
            <w:tcW w:w="992" w:type="dxa"/>
            <w:vMerge w:val="restart"/>
            <w:vAlign w:val="center"/>
          </w:tcPr>
          <w:p w14:paraId="3DABF7D5">
            <w:pPr>
              <w:spacing w:line="360" w:lineRule="atLeast"/>
              <w:jc w:val="center"/>
              <w:rPr>
                <w:color w:val="auto"/>
                <w:highlight w:val="none"/>
              </w:rPr>
            </w:pPr>
          </w:p>
        </w:tc>
        <w:tc>
          <w:tcPr>
            <w:tcW w:w="1125" w:type="dxa"/>
            <w:vMerge w:val="restart"/>
            <w:vAlign w:val="center"/>
          </w:tcPr>
          <w:p w14:paraId="51FF22FC">
            <w:pPr>
              <w:spacing w:line="360" w:lineRule="atLeast"/>
              <w:jc w:val="center"/>
              <w:rPr>
                <w:color w:val="auto"/>
                <w:highlight w:val="none"/>
              </w:rPr>
            </w:pPr>
          </w:p>
        </w:tc>
        <w:tc>
          <w:tcPr>
            <w:tcW w:w="1118" w:type="dxa"/>
            <w:vMerge w:val="restart"/>
            <w:vAlign w:val="center"/>
          </w:tcPr>
          <w:p w14:paraId="268FB1B1">
            <w:pPr>
              <w:spacing w:line="360" w:lineRule="atLeast"/>
              <w:jc w:val="center"/>
              <w:rPr>
                <w:color w:val="auto"/>
                <w:highlight w:val="none"/>
              </w:rPr>
            </w:pPr>
          </w:p>
        </w:tc>
        <w:tc>
          <w:tcPr>
            <w:tcW w:w="1118" w:type="dxa"/>
            <w:vMerge w:val="restart"/>
            <w:vAlign w:val="center"/>
          </w:tcPr>
          <w:p w14:paraId="43C429AB">
            <w:pPr>
              <w:spacing w:line="360" w:lineRule="atLeast"/>
              <w:jc w:val="center"/>
              <w:rPr>
                <w:color w:val="auto"/>
                <w:highlight w:val="none"/>
              </w:rPr>
            </w:pPr>
          </w:p>
        </w:tc>
      </w:tr>
      <w:tr w14:paraId="0761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5" w:type="dxa"/>
            <w:vMerge w:val="continue"/>
            <w:vAlign w:val="center"/>
          </w:tcPr>
          <w:p w14:paraId="2A8EE1F9">
            <w:pPr>
              <w:spacing w:line="360" w:lineRule="atLeast"/>
              <w:jc w:val="center"/>
              <w:rPr>
                <w:rFonts w:eastAsia="黑体"/>
                <w:color w:val="auto"/>
                <w:highlight w:val="none"/>
              </w:rPr>
            </w:pPr>
          </w:p>
        </w:tc>
        <w:tc>
          <w:tcPr>
            <w:tcW w:w="2378" w:type="dxa"/>
            <w:vMerge w:val="continue"/>
            <w:vAlign w:val="center"/>
          </w:tcPr>
          <w:p w14:paraId="2DDF40C5">
            <w:pPr>
              <w:spacing w:line="360" w:lineRule="atLeast"/>
              <w:jc w:val="center"/>
              <w:rPr>
                <w:color w:val="auto"/>
                <w:highlight w:val="none"/>
              </w:rPr>
            </w:pPr>
          </w:p>
        </w:tc>
        <w:tc>
          <w:tcPr>
            <w:tcW w:w="851" w:type="dxa"/>
            <w:vAlign w:val="center"/>
          </w:tcPr>
          <w:p w14:paraId="398AC453">
            <w:pPr>
              <w:spacing w:line="360" w:lineRule="atLeast"/>
              <w:jc w:val="center"/>
              <w:rPr>
                <w:color w:val="auto"/>
                <w:highlight w:val="none"/>
              </w:rPr>
            </w:pPr>
            <w:r>
              <w:rPr>
                <w:rFonts w:hint="eastAsia"/>
                <w:color w:val="auto"/>
                <w:highlight w:val="none"/>
              </w:rPr>
              <w:t>偏差%</w:t>
            </w:r>
          </w:p>
        </w:tc>
        <w:tc>
          <w:tcPr>
            <w:tcW w:w="850" w:type="dxa"/>
            <w:vAlign w:val="center"/>
          </w:tcPr>
          <w:p w14:paraId="6C0C6967">
            <w:pPr>
              <w:spacing w:line="360" w:lineRule="atLeast"/>
              <w:jc w:val="center"/>
              <w:rPr>
                <w:color w:val="auto"/>
                <w:highlight w:val="none"/>
              </w:rPr>
            </w:pPr>
            <w:r>
              <w:rPr>
                <w:rFonts w:hint="eastAsia"/>
                <w:color w:val="auto"/>
                <w:highlight w:val="none"/>
              </w:rPr>
              <w:t>偏差%</w:t>
            </w:r>
          </w:p>
        </w:tc>
        <w:tc>
          <w:tcPr>
            <w:tcW w:w="851" w:type="dxa"/>
            <w:vAlign w:val="center"/>
          </w:tcPr>
          <w:p w14:paraId="74CD540E">
            <w:pPr>
              <w:spacing w:line="360" w:lineRule="atLeast"/>
              <w:jc w:val="center"/>
              <w:rPr>
                <w:color w:val="auto"/>
                <w:highlight w:val="none"/>
              </w:rPr>
            </w:pPr>
            <w:r>
              <w:rPr>
                <w:rFonts w:hint="eastAsia"/>
                <w:color w:val="auto"/>
                <w:highlight w:val="none"/>
              </w:rPr>
              <w:t>偏差%</w:t>
            </w:r>
          </w:p>
        </w:tc>
        <w:tc>
          <w:tcPr>
            <w:tcW w:w="992" w:type="dxa"/>
            <w:vAlign w:val="center"/>
          </w:tcPr>
          <w:p w14:paraId="2E57253D">
            <w:pPr>
              <w:spacing w:line="360" w:lineRule="atLeast"/>
              <w:jc w:val="center"/>
              <w:rPr>
                <w:color w:val="auto"/>
                <w:highlight w:val="none"/>
              </w:rPr>
            </w:pPr>
            <w:r>
              <w:rPr>
                <w:rFonts w:hint="eastAsia"/>
                <w:color w:val="auto"/>
                <w:highlight w:val="none"/>
              </w:rPr>
              <w:t>偏差%</w:t>
            </w:r>
          </w:p>
        </w:tc>
        <w:tc>
          <w:tcPr>
            <w:tcW w:w="992" w:type="dxa"/>
            <w:vAlign w:val="center"/>
          </w:tcPr>
          <w:p w14:paraId="194055FA">
            <w:pPr>
              <w:spacing w:line="360" w:lineRule="atLeast"/>
              <w:jc w:val="center"/>
              <w:rPr>
                <w:color w:val="auto"/>
                <w:highlight w:val="none"/>
              </w:rPr>
            </w:pPr>
            <w:r>
              <w:rPr>
                <w:rFonts w:hint="eastAsia"/>
                <w:color w:val="auto"/>
                <w:highlight w:val="none"/>
              </w:rPr>
              <w:t>偏差%</w:t>
            </w:r>
          </w:p>
        </w:tc>
        <w:tc>
          <w:tcPr>
            <w:tcW w:w="993" w:type="dxa"/>
            <w:vAlign w:val="center"/>
          </w:tcPr>
          <w:p w14:paraId="2F26D119">
            <w:pPr>
              <w:spacing w:line="360" w:lineRule="atLeast"/>
              <w:jc w:val="center"/>
              <w:rPr>
                <w:color w:val="auto"/>
                <w:highlight w:val="none"/>
              </w:rPr>
            </w:pPr>
            <w:r>
              <w:rPr>
                <w:rFonts w:hint="eastAsia"/>
                <w:color w:val="auto"/>
                <w:highlight w:val="none"/>
              </w:rPr>
              <w:t>偏差%</w:t>
            </w:r>
          </w:p>
        </w:tc>
        <w:tc>
          <w:tcPr>
            <w:tcW w:w="992" w:type="dxa"/>
            <w:vAlign w:val="center"/>
          </w:tcPr>
          <w:p w14:paraId="0C7BB873">
            <w:pPr>
              <w:spacing w:line="360" w:lineRule="atLeast"/>
              <w:jc w:val="center"/>
              <w:rPr>
                <w:color w:val="auto"/>
                <w:highlight w:val="none"/>
              </w:rPr>
            </w:pPr>
            <w:r>
              <w:rPr>
                <w:rFonts w:hint="eastAsia"/>
                <w:color w:val="auto"/>
                <w:highlight w:val="none"/>
              </w:rPr>
              <w:t>偏差%</w:t>
            </w:r>
          </w:p>
        </w:tc>
        <w:tc>
          <w:tcPr>
            <w:tcW w:w="992" w:type="dxa"/>
            <w:vMerge w:val="continue"/>
            <w:vAlign w:val="center"/>
          </w:tcPr>
          <w:p w14:paraId="1D592DE5">
            <w:pPr>
              <w:spacing w:line="360" w:lineRule="atLeast"/>
              <w:jc w:val="center"/>
              <w:rPr>
                <w:color w:val="auto"/>
                <w:highlight w:val="none"/>
              </w:rPr>
            </w:pPr>
          </w:p>
        </w:tc>
        <w:tc>
          <w:tcPr>
            <w:tcW w:w="1125" w:type="dxa"/>
            <w:vMerge w:val="continue"/>
            <w:vAlign w:val="center"/>
          </w:tcPr>
          <w:p w14:paraId="3BFF0284">
            <w:pPr>
              <w:spacing w:line="360" w:lineRule="atLeast"/>
              <w:jc w:val="center"/>
              <w:rPr>
                <w:color w:val="auto"/>
                <w:highlight w:val="none"/>
              </w:rPr>
            </w:pPr>
          </w:p>
        </w:tc>
        <w:tc>
          <w:tcPr>
            <w:tcW w:w="1118" w:type="dxa"/>
            <w:vMerge w:val="continue"/>
            <w:vAlign w:val="center"/>
          </w:tcPr>
          <w:p w14:paraId="4E22EBD0">
            <w:pPr>
              <w:spacing w:line="360" w:lineRule="atLeast"/>
              <w:jc w:val="center"/>
              <w:rPr>
                <w:color w:val="auto"/>
                <w:highlight w:val="none"/>
              </w:rPr>
            </w:pPr>
          </w:p>
        </w:tc>
        <w:tc>
          <w:tcPr>
            <w:tcW w:w="1118" w:type="dxa"/>
            <w:vMerge w:val="continue"/>
            <w:vAlign w:val="center"/>
          </w:tcPr>
          <w:p w14:paraId="562A7A70">
            <w:pPr>
              <w:spacing w:line="360" w:lineRule="atLeast"/>
              <w:jc w:val="center"/>
              <w:rPr>
                <w:color w:val="auto"/>
                <w:highlight w:val="none"/>
              </w:rPr>
            </w:pPr>
          </w:p>
        </w:tc>
      </w:tr>
      <w:tr w14:paraId="3201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5" w:type="dxa"/>
            <w:vMerge w:val="restart"/>
            <w:vAlign w:val="center"/>
          </w:tcPr>
          <w:p w14:paraId="44F4D234">
            <w:pPr>
              <w:spacing w:line="360" w:lineRule="atLeast"/>
              <w:jc w:val="center"/>
              <w:rPr>
                <w:rFonts w:eastAsia="黑体"/>
                <w:color w:val="auto"/>
                <w:highlight w:val="none"/>
              </w:rPr>
            </w:pPr>
            <w:r>
              <w:rPr>
                <w:rFonts w:eastAsia="黑体"/>
                <w:color w:val="auto"/>
                <w:highlight w:val="none"/>
              </w:rPr>
              <w:t>2</w:t>
            </w:r>
          </w:p>
        </w:tc>
        <w:tc>
          <w:tcPr>
            <w:tcW w:w="2378" w:type="dxa"/>
            <w:vMerge w:val="restart"/>
            <w:vAlign w:val="center"/>
          </w:tcPr>
          <w:p w14:paraId="3E88A965">
            <w:pPr>
              <w:spacing w:line="360" w:lineRule="atLeast"/>
              <w:jc w:val="center"/>
              <w:rPr>
                <w:color w:val="auto"/>
                <w:highlight w:val="none"/>
              </w:rPr>
            </w:pPr>
          </w:p>
        </w:tc>
        <w:tc>
          <w:tcPr>
            <w:tcW w:w="851" w:type="dxa"/>
            <w:vAlign w:val="center"/>
          </w:tcPr>
          <w:p w14:paraId="0DA1FCFA">
            <w:pPr>
              <w:spacing w:line="360" w:lineRule="atLeast"/>
              <w:jc w:val="center"/>
              <w:rPr>
                <w:color w:val="auto"/>
                <w:highlight w:val="none"/>
              </w:rPr>
            </w:pPr>
            <w:r>
              <w:rPr>
                <w:rFonts w:hint="eastAsia"/>
                <w:color w:val="auto"/>
                <w:highlight w:val="none"/>
              </w:rPr>
              <w:t>分值</w:t>
            </w:r>
          </w:p>
        </w:tc>
        <w:tc>
          <w:tcPr>
            <w:tcW w:w="850" w:type="dxa"/>
            <w:vAlign w:val="center"/>
          </w:tcPr>
          <w:p w14:paraId="39657EC5">
            <w:pPr>
              <w:spacing w:line="360" w:lineRule="atLeast"/>
              <w:jc w:val="center"/>
              <w:rPr>
                <w:color w:val="auto"/>
                <w:highlight w:val="none"/>
              </w:rPr>
            </w:pPr>
            <w:r>
              <w:rPr>
                <w:rFonts w:hint="eastAsia"/>
                <w:color w:val="auto"/>
                <w:highlight w:val="none"/>
              </w:rPr>
              <w:t>分值</w:t>
            </w:r>
          </w:p>
        </w:tc>
        <w:tc>
          <w:tcPr>
            <w:tcW w:w="851" w:type="dxa"/>
            <w:vAlign w:val="center"/>
          </w:tcPr>
          <w:p w14:paraId="243CDD8B">
            <w:pPr>
              <w:spacing w:line="360" w:lineRule="atLeast"/>
              <w:jc w:val="center"/>
              <w:rPr>
                <w:color w:val="auto"/>
                <w:highlight w:val="none"/>
              </w:rPr>
            </w:pPr>
            <w:r>
              <w:rPr>
                <w:rFonts w:hint="eastAsia"/>
                <w:color w:val="auto"/>
                <w:highlight w:val="none"/>
              </w:rPr>
              <w:t>分值</w:t>
            </w:r>
          </w:p>
        </w:tc>
        <w:tc>
          <w:tcPr>
            <w:tcW w:w="992" w:type="dxa"/>
            <w:vAlign w:val="center"/>
          </w:tcPr>
          <w:p w14:paraId="3F7D0DD9">
            <w:pPr>
              <w:spacing w:line="360" w:lineRule="atLeast"/>
              <w:jc w:val="center"/>
              <w:rPr>
                <w:color w:val="auto"/>
                <w:highlight w:val="none"/>
              </w:rPr>
            </w:pPr>
            <w:r>
              <w:rPr>
                <w:rFonts w:hint="eastAsia"/>
                <w:color w:val="auto"/>
                <w:highlight w:val="none"/>
              </w:rPr>
              <w:t>分值</w:t>
            </w:r>
          </w:p>
        </w:tc>
        <w:tc>
          <w:tcPr>
            <w:tcW w:w="992" w:type="dxa"/>
            <w:vAlign w:val="center"/>
          </w:tcPr>
          <w:p w14:paraId="187BC64B">
            <w:pPr>
              <w:spacing w:line="360" w:lineRule="atLeast"/>
              <w:jc w:val="center"/>
              <w:rPr>
                <w:color w:val="auto"/>
                <w:highlight w:val="none"/>
              </w:rPr>
            </w:pPr>
            <w:r>
              <w:rPr>
                <w:rFonts w:hint="eastAsia"/>
                <w:color w:val="auto"/>
                <w:highlight w:val="none"/>
              </w:rPr>
              <w:t>分值</w:t>
            </w:r>
          </w:p>
        </w:tc>
        <w:tc>
          <w:tcPr>
            <w:tcW w:w="993" w:type="dxa"/>
            <w:vAlign w:val="center"/>
          </w:tcPr>
          <w:p w14:paraId="1C94D4E6">
            <w:pPr>
              <w:spacing w:line="360" w:lineRule="atLeast"/>
              <w:jc w:val="center"/>
              <w:rPr>
                <w:color w:val="auto"/>
                <w:highlight w:val="none"/>
              </w:rPr>
            </w:pPr>
            <w:r>
              <w:rPr>
                <w:rFonts w:hint="eastAsia"/>
                <w:color w:val="auto"/>
                <w:highlight w:val="none"/>
              </w:rPr>
              <w:t>分值</w:t>
            </w:r>
          </w:p>
        </w:tc>
        <w:tc>
          <w:tcPr>
            <w:tcW w:w="992" w:type="dxa"/>
            <w:vAlign w:val="center"/>
          </w:tcPr>
          <w:p w14:paraId="65C8ADE9">
            <w:pPr>
              <w:spacing w:line="360" w:lineRule="atLeast"/>
              <w:jc w:val="center"/>
              <w:rPr>
                <w:color w:val="auto"/>
                <w:highlight w:val="none"/>
              </w:rPr>
            </w:pPr>
            <w:r>
              <w:rPr>
                <w:rFonts w:hint="eastAsia"/>
                <w:color w:val="auto"/>
                <w:highlight w:val="none"/>
              </w:rPr>
              <w:t>分值</w:t>
            </w:r>
          </w:p>
        </w:tc>
        <w:tc>
          <w:tcPr>
            <w:tcW w:w="992" w:type="dxa"/>
            <w:vMerge w:val="restart"/>
            <w:vAlign w:val="center"/>
          </w:tcPr>
          <w:p w14:paraId="677F3109">
            <w:pPr>
              <w:spacing w:line="360" w:lineRule="atLeast"/>
              <w:jc w:val="center"/>
              <w:rPr>
                <w:color w:val="auto"/>
                <w:highlight w:val="none"/>
              </w:rPr>
            </w:pPr>
          </w:p>
        </w:tc>
        <w:tc>
          <w:tcPr>
            <w:tcW w:w="1125" w:type="dxa"/>
            <w:vMerge w:val="restart"/>
            <w:vAlign w:val="center"/>
          </w:tcPr>
          <w:p w14:paraId="541C6EF3">
            <w:pPr>
              <w:spacing w:line="360" w:lineRule="atLeast"/>
              <w:jc w:val="center"/>
              <w:rPr>
                <w:color w:val="auto"/>
                <w:highlight w:val="none"/>
              </w:rPr>
            </w:pPr>
          </w:p>
        </w:tc>
        <w:tc>
          <w:tcPr>
            <w:tcW w:w="1118" w:type="dxa"/>
            <w:vMerge w:val="restart"/>
            <w:vAlign w:val="center"/>
          </w:tcPr>
          <w:p w14:paraId="6D14FA7C">
            <w:pPr>
              <w:spacing w:line="360" w:lineRule="atLeast"/>
              <w:jc w:val="center"/>
              <w:rPr>
                <w:color w:val="auto"/>
                <w:highlight w:val="none"/>
              </w:rPr>
            </w:pPr>
          </w:p>
        </w:tc>
        <w:tc>
          <w:tcPr>
            <w:tcW w:w="1118" w:type="dxa"/>
            <w:vMerge w:val="restart"/>
            <w:vAlign w:val="center"/>
          </w:tcPr>
          <w:p w14:paraId="035F2E72">
            <w:pPr>
              <w:spacing w:line="360" w:lineRule="atLeast"/>
              <w:jc w:val="center"/>
              <w:rPr>
                <w:color w:val="auto"/>
                <w:highlight w:val="none"/>
              </w:rPr>
            </w:pPr>
          </w:p>
        </w:tc>
      </w:tr>
      <w:tr w14:paraId="63C8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5" w:type="dxa"/>
            <w:vMerge w:val="continue"/>
            <w:vAlign w:val="center"/>
          </w:tcPr>
          <w:p w14:paraId="1FE84AB8">
            <w:pPr>
              <w:spacing w:line="360" w:lineRule="atLeast"/>
              <w:jc w:val="center"/>
              <w:rPr>
                <w:rFonts w:eastAsia="黑体"/>
                <w:color w:val="auto"/>
                <w:highlight w:val="none"/>
              </w:rPr>
            </w:pPr>
          </w:p>
        </w:tc>
        <w:tc>
          <w:tcPr>
            <w:tcW w:w="2378" w:type="dxa"/>
            <w:vMerge w:val="continue"/>
            <w:vAlign w:val="center"/>
          </w:tcPr>
          <w:p w14:paraId="56E702F3">
            <w:pPr>
              <w:spacing w:line="360" w:lineRule="atLeast"/>
              <w:jc w:val="center"/>
              <w:rPr>
                <w:color w:val="auto"/>
                <w:highlight w:val="none"/>
              </w:rPr>
            </w:pPr>
          </w:p>
        </w:tc>
        <w:tc>
          <w:tcPr>
            <w:tcW w:w="851" w:type="dxa"/>
            <w:vAlign w:val="center"/>
          </w:tcPr>
          <w:p w14:paraId="245016E3">
            <w:pPr>
              <w:spacing w:line="360" w:lineRule="atLeast"/>
              <w:jc w:val="center"/>
              <w:rPr>
                <w:color w:val="auto"/>
                <w:highlight w:val="none"/>
              </w:rPr>
            </w:pPr>
            <w:r>
              <w:rPr>
                <w:rFonts w:hint="eastAsia"/>
                <w:color w:val="auto"/>
                <w:highlight w:val="none"/>
              </w:rPr>
              <w:t>偏差%</w:t>
            </w:r>
          </w:p>
        </w:tc>
        <w:tc>
          <w:tcPr>
            <w:tcW w:w="850" w:type="dxa"/>
            <w:vAlign w:val="center"/>
          </w:tcPr>
          <w:p w14:paraId="0D3EB467">
            <w:pPr>
              <w:spacing w:line="360" w:lineRule="atLeast"/>
              <w:jc w:val="center"/>
              <w:rPr>
                <w:color w:val="auto"/>
                <w:highlight w:val="none"/>
              </w:rPr>
            </w:pPr>
            <w:r>
              <w:rPr>
                <w:rFonts w:hint="eastAsia"/>
                <w:color w:val="auto"/>
                <w:highlight w:val="none"/>
              </w:rPr>
              <w:t>偏差%</w:t>
            </w:r>
          </w:p>
        </w:tc>
        <w:tc>
          <w:tcPr>
            <w:tcW w:w="851" w:type="dxa"/>
            <w:vAlign w:val="center"/>
          </w:tcPr>
          <w:p w14:paraId="11F751CB">
            <w:pPr>
              <w:spacing w:line="360" w:lineRule="atLeast"/>
              <w:jc w:val="center"/>
              <w:rPr>
                <w:color w:val="auto"/>
                <w:highlight w:val="none"/>
              </w:rPr>
            </w:pPr>
            <w:r>
              <w:rPr>
                <w:rFonts w:hint="eastAsia"/>
                <w:color w:val="auto"/>
                <w:highlight w:val="none"/>
              </w:rPr>
              <w:t>偏差%</w:t>
            </w:r>
          </w:p>
        </w:tc>
        <w:tc>
          <w:tcPr>
            <w:tcW w:w="992" w:type="dxa"/>
            <w:vAlign w:val="center"/>
          </w:tcPr>
          <w:p w14:paraId="3608F93D">
            <w:pPr>
              <w:spacing w:line="360" w:lineRule="atLeast"/>
              <w:jc w:val="center"/>
              <w:rPr>
                <w:color w:val="auto"/>
                <w:highlight w:val="none"/>
              </w:rPr>
            </w:pPr>
            <w:r>
              <w:rPr>
                <w:rFonts w:hint="eastAsia"/>
                <w:color w:val="auto"/>
                <w:highlight w:val="none"/>
              </w:rPr>
              <w:t>偏差%</w:t>
            </w:r>
          </w:p>
        </w:tc>
        <w:tc>
          <w:tcPr>
            <w:tcW w:w="992" w:type="dxa"/>
            <w:vAlign w:val="center"/>
          </w:tcPr>
          <w:p w14:paraId="21C48993">
            <w:pPr>
              <w:spacing w:line="360" w:lineRule="atLeast"/>
              <w:jc w:val="center"/>
              <w:rPr>
                <w:color w:val="auto"/>
                <w:highlight w:val="none"/>
              </w:rPr>
            </w:pPr>
            <w:r>
              <w:rPr>
                <w:rFonts w:hint="eastAsia"/>
                <w:color w:val="auto"/>
                <w:highlight w:val="none"/>
              </w:rPr>
              <w:t>偏差%</w:t>
            </w:r>
          </w:p>
        </w:tc>
        <w:tc>
          <w:tcPr>
            <w:tcW w:w="993" w:type="dxa"/>
            <w:vAlign w:val="center"/>
          </w:tcPr>
          <w:p w14:paraId="3FC369DC">
            <w:pPr>
              <w:spacing w:line="360" w:lineRule="atLeast"/>
              <w:jc w:val="center"/>
              <w:rPr>
                <w:color w:val="auto"/>
                <w:highlight w:val="none"/>
              </w:rPr>
            </w:pPr>
            <w:r>
              <w:rPr>
                <w:rFonts w:hint="eastAsia"/>
                <w:color w:val="auto"/>
                <w:highlight w:val="none"/>
              </w:rPr>
              <w:t>偏差%</w:t>
            </w:r>
          </w:p>
        </w:tc>
        <w:tc>
          <w:tcPr>
            <w:tcW w:w="992" w:type="dxa"/>
            <w:vAlign w:val="center"/>
          </w:tcPr>
          <w:p w14:paraId="57AAE87F">
            <w:pPr>
              <w:spacing w:line="360" w:lineRule="atLeast"/>
              <w:jc w:val="center"/>
              <w:rPr>
                <w:color w:val="auto"/>
                <w:highlight w:val="none"/>
              </w:rPr>
            </w:pPr>
            <w:r>
              <w:rPr>
                <w:rFonts w:hint="eastAsia"/>
                <w:color w:val="auto"/>
                <w:highlight w:val="none"/>
              </w:rPr>
              <w:t>偏差%</w:t>
            </w:r>
          </w:p>
        </w:tc>
        <w:tc>
          <w:tcPr>
            <w:tcW w:w="992" w:type="dxa"/>
            <w:vMerge w:val="continue"/>
            <w:vAlign w:val="center"/>
          </w:tcPr>
          <w:p w14:paraId="7A7E3F06">
            <w:pPr>
              <w:spacing w:line="360" w:lineRule="atLeast"/>
              <w:jc w:val="center"/>
              <w:rPr>
                <w:color w:val="auto"/>
                <w:highlight w:val="none"/>
              </w:rPr>
            </w:pPr>
          </w:p>
        </w:tc>
        <w:tc>
          <w:tcPr>
            <w:tcW w:w="1125" w:type="dxa"/>
            <w:vMerge w:val="continue"/>
            <w:vAlign w:val="center"/>
          </w:tcPr>
          <w:p w14:paraId="719C0791">
            <w:pPr>
              <w:spacing w:line="360" w:lineRule="atLeast"/>
              <w:jc w:val="center"/>
              <w:rPr>
                <w:color w:val="auto"/>
                <w:highlight w:val="none"/>
              </w:rPr>
            </w:pPr>
          </w:p>
        </w:tc>
        <w:tc>
          <w:tcPr>
            <w:tcW w:w="1118" w:type="dxa"/>
            <w:vMerge w:val="continue"/>
            <w:vAlign w:val="center"/>
          </w:tcPr>
          <w:p w14:paraId="630939DB">
            <w:pPr>
              <w:spacing w:line="360" w:lineRule="atLeast"/>
              <w:jc w:val="center"/>
              <w:rPr>
                <w:color w:val="auto"/>
                <w:highlight w:val="none"/>
              </w:rPr>
            </w:pPr>
          </w:p>
        </w:tc>
        <w:tc>
          <w:tcPr>
            <w:tcW w:w="1118" w:type="dxa"/>
            <w:vMerge w:val="continue"/>
            <w:vAlign w:val="center"/>
          </w:tcPr>
          <w:p w14:paraId="1F8F40E5">
            <w:pPr>
              <w:spacing w:line="360" w:lineRule="atLeast"/>
              <w:jc w:val="center"/>
              <w:rPr>
                <w:color w:val="auto"/>
                <w:highlight w:val="none"/>
              </w:rPr>
            </w:pPr>
          </w:p>
        </w:tc>
      </w:tr>
      <w:tr w14:paraId="1A31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565" w:type="dxa"/>
            <w:vMerge w:val="restart"/>
            <w:vAlign w:val="center"/>
          </w:tcPr>
          <w:p w14:paraId="0DE7E496">
            <w:pPr>
              <w:spacing w:line="360" w:lineRule="atLeast"/>
              <w:jc w:val="center"/>
              <w:rPr>
                <w:rFonts w:eastAsia="黑体"/>
                <w:color w:val="auto"/>
                <w:highlight w:val="none"/>
              </w:rPr>
            </w:pPr>
            <w:r>
              <w:rPr>
                <w:rFonts w:eastAsia="黑体"/>
                <w:color w:val="auto"/>
                <w:highlight w:val="none"/>
              </w:rPr>
              <w:t>3</w:t>
            </w:r>
          </w:p>
        </w:tc>
        <w:tc>
          <w:tcPr>
            <w:tcW w:w="2378" w:type="dxa"/>
            <w:vMerge w:val="restart"/>
            <w:vAlign w:val="center"/>
          </w:tcPr>
          <w:p w14:paraId="19FEDBD7">
            <w:pPr>
              <w:spacing w:line="360" w:lineRule="atLeast"/>
              <w:jc w:val="center"/>
              <w:rPr>
                <w:color w:val="auto"/>
                <w:highlight w:val="none"/>
              </w:rPr>
            </w:pPr>
          </w:p>
        </w:tc>
        <w:tc>
          <w:tcPr>
            <w:tcW w:w="851" w:type="dxa"/>
            <w:vAlign w:val="center"/>
          </w:tcPr>
          <w:p w14:paraId="250DEB0B">
            <w:pPr>
              <w:spacing w:line="360" w:lineRule="atLeast"/>
              <w:jc w:val="center"/>
              <w:rPr>
                <w:color w:val="auto"/>
                <w:highlight w:val="none"/>
              </w:rPr>
            </w:pPr>
            <w:r>
              <w:rPr>
                <w:rFonts w:hint="eastAsia"/>
                <w:color w:val="auto"/>
                <w:highlight w:val="none"/>
              </w:rPr>
              <w:t>分值</w:t>
            </w:r>
          </w:p>
        </w:tc>
        <w:tc>
          <w:tcPr>
            <w:tcW w:w="850" w:type="dxa"/>
            <w:vAlign w:val="center"/>
          </w:tcPr>
          <w:p w14:paraId="52D500A5">
            <w:pPr>
              <w:spacing w:line="360" w:lineRule="atLeast"/>
              <w:jc w:val="center"/>
              <w:rPr>
                <w:color w:val="auto"/>
                <w:highlight w:val="none"/>
              </w:rPr>
            </w:pPr>
            <w:r>
              <w:rPr>
                <w:rFonts w:hint="eastAsia"/>
                <w:color w:val="auto"/>
                <w:highlight w:val="none"/>
              </w:rPr>
              <w:t>分值</w:t>
            </w:r>
          </w:p>
        </w:tc>
        <w:tc>
          <w:tcPr>
            <w:tcW w:w="851" w:type="dxa"/>
            <w:vAlign w:val="center"/>
          </w:tcPr>
          <w:p w14:paraId="3D61C957">
            <w:pPr>
              <w:spacing w:line="360" w:lineRule="atLeast"/>
              <w:jc w:val="center"/>
              <w:rPr>
                <w:color w:val="auto"/>
                <w:highlight w:val="none"/>
              </w:rPr>
            </w:pPr>
            <w:r>
              <w:rPr>
                <w:rFonts w:hint="eastAsia"/>
                <w:color w:val="auto"/>
                <w:highlight w:val="none"/>
              </w:rPr>
              <w:t>分值</w:t>
            </w:r>
          </w:p>
        </w:tc>
        <w:tc>
          <w:tcPr>
            <w:tcW w:w="992" w:type="dxa"/>
            <w:vAlign w:val="center"/>
          </w:tcPr>
          <w:p w14:paraId="275812B5">
            <w:pPr>
              <w:spacing w:line="360" w:lineRule="atLeast"/>
              <w:jc w:val="center"/>
              <w:rPr>
                <w:color w:val="auto"/>
                <w:highlight w:val="none"/>
              </w:rPr>
            </w:pPr>
            <w:r>
              <w:rPr>
                <w:rFonts w:hint="eastAsia"/>
                <w:color w:val="auto"/>
                <w:highlight w:val="none"/>
              </w:rPr>
              <w:t>分值</w:t>
            </w:r>
          </w:p>
        </w:tc>
        <w:tc>
          <w:tcPr>
            <w:tcW w:w="992" w:type="dxa"/>
            <w:vAlign w:val="center"/>
          </w:tcPr>
          <w:p w14:paraId="7580759E">
            <w:pPr>
              <w:spacing w:line="360" w:lineRule="atLeast"/>
              <w:jc w:val="center"/>
              <w:rPr>
                <w:color w:val="auto"/>
                <w:highlight w:val="none"/>
              </w:rPr>
            </w:pPr>
            <w:r>
              <w:rPr>
                <w:rFonts w:hint="eastAsia"/>
                <w:color w:val="auto"/>
                <w:highlight w:val="none"/>
              </w:rPr>
              <w:t>分值</w:t>
            </w:r>
          </w:p>
        </w:tc>
        <w:tc>
          <w:tcPr>
            <w:tcW w:w="993" w:type="dxa"/>
            <w:vAlign w:val="center"/>
          </w:tcPr>
          <w:p w14:paraId="49EC8580">
            <w:pPr>
              <w:spacing w:line="360" w:lineRule="atLeast"/>
              <w:jc w:val="center"/>
              <w:rPr>
                <w:color w:val="auto"/>
                <w:highlight w:val="none"/>
              </w:rPr>
            </w:pPr>
            <w:r>
              <w:rPr>
                <w:rFonts w:hint="eastAsia"/>
                <w:color w:val="auto"/>
                <w:highlight w:val="none"/>
              </w:rPr>
              <w:t>分值</w:t>
            </w:r>
          </w:p>
        </w:tc>
        <w:tc>
          <w:tcPr>
            <w:tcW w:w="992" w:type="dxa"/>
            <w:vAlign w:val="center"/>
          </w:tcPr>
          <w:p w14:paraId="745DA9B4">
            <w:pPr>
              <w:spacing w:line="360" w:lineRule="atLeast"/>
              <w:jc w:val="center"/>
              <w:rPr>
                <w:color w:val="auto"/>
                <w:highlight w:val="none"/>
              </w:rPr>
            </w:pPr>
            <w:r>
              <w:rPr>
                <w:rFonts w:hint="eastAsia"/>
                <w:color w:val="auto"/>
                <w:highlight w:val="none"/>
              </w:rPr>
              <w:t>分值</w:t>
            </w:r>
          </w:p>
        </w:tc>
        <w:tc>
          <w:tcPr>
            <w:tcW w:w="992" w:type="dxa"/>
            <w:vMerge w:val="restart"/>
            <w:vAlign w:val="center"/>
          </w:tcPr>
          <w:p w14:paraId="67E424EA">
            <w:pPr>
              <w:spacing w:line="360" w:lineRule="atLeast"/>
              <w:jc w:val="center"/>
              <w:rPr>
                <w:color w:val="auto"/>
                <w:highlight w:val="none"/>
              </w:rPr>
            </w:pPr>
          </w:p>
        </w:tc>
        <w:tc>
          <w:tcPr>
            <w:tcW w:w="1125" w:type="dxa"/>
            <w:vMerge w:val="restart"/>
            <w:vAlign w:val="center"/>
          </w:tcPr>
          <w:p w14:paraId="687C99A7">
            <w:pPr>
              <w:spacing w:line="360" w:lineRule="atLeast"/>
              <w:jc w:val="center"/>
              <w:rPr>
                <w:color w:val="auto"/>
                <w:highlight w:val="none"/>
              </w:rPr>
            </w:pPr>
          </w:p>
        </w:tc>
        <w:tc>
          <w:tcPr>
            <w:tcW w:w="1118" w:type="dxa"/>
            <w:vMerge w:val="restart"/>
            <w:vAlign w:val="center"/>
          </w:tcPr>
          <w:p w14:paraId="1396956F">
            <w:pPr>
              <w:spacing w:line="360" w:lineRule="atLeast"/>
              <w:jc w:val="center"/>
              <w:rPr>
                <w:color w:val="auto"/>
                <w:highlight w:val="none"/>
              </w:rPr>
            </w:pPr>
          </w:p>
        </w:tc>
        <w:tc>
          <w:tcPr>
            <w:tcW w:w="1118" w:type="dxa"/>
            <w:vMerge w:val="restart"/>
            <w:vAlign w:val="center"/>
          </w:tcPr>
          <w:p w14:paraId="29D9977C">
            <w:pPr>
              <w:spacing w:line="360" w:lineRule="atLeast"/>
              <w:jc w:val="center"/>
              <w:rPr>
                <w:color w:val="auto"/>
                <w:highlight w:val="none"/>
              </w:rPr>
            </w:pPr>
          </w:p>
        </w:tc>
      </w:tr>
      <w:tr w14:paraId="4899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565" w:type="dxa"/>
            <w:vMerge w:val="continue"/>
            <w:vAlign w:val="center"/>
          </w:tcPr>
          <w:p w14:paraId="747EC034">
            <w:pPr>
              <w:spacing w:line="360" w:lineRule="atLeast"/>
              <w:jc w:val="center"/>
              <w:rPr>
                <w:rFonts w:eastAsia="黑体"/>
                <w:color w:val="auto"/>
                <w:highlight w:val="none"/>
              </w:rPr>
            </w:pPr>
          </w:p>
        </w:tc>
        <w:tc>
          <w:tcPr>
            <w:tcW w:w="2378" w:type="dxa"/>
            <w:vMerge w:val="continue"/>
            <w:vAlign w:val="center"/>
          </w:tcPr>
          <w:p w14:paraId="1C99C03E">
            <w:pPr>
              <w:spacing w:line="360" w:lineRule="atLeast"/>
              <w:jc w:val="center"/>
              <w:rPr>
                <w:color w:val="auto"/>
                <w:highlight w:val="none"/>
              </w:rPr>
            </w:pPr>
          </w:p>
        </w:tc>
        <w:tc>
          <w:tcPr>
            <w:tcW w:w="851" w:type="dxa"/>
            <w:vAlign w:val="center"/>
          </w:tcPr>
          <w:p w14:paraId="047C237D">
            <w:pPr>
              <w:spacing w:line="360" w:lineRule="atLeast"/>
              <w:jc w:val="center"/>
              <w:rPr>
                <w:color w:val="auto"/>
                <w:highlight w:val="none"/>
              </w:rPr>
            </w:pPr>
            <w:r>
              <w:rPr>
                <w:rFonts w:hint="eastAsia"/>
                <w:color w:val="auto"/>
                <w:highlight w:val="none"/>
              </w:rPr>
              <w:t>偏差%</w:t>
            </w:r>
          </w:p>
        </w:tc>
        <w:tc>
          <w:tcPr>
            <w:tcW w:w="850" w:type="dxa"/>
            <w:vAlign w:val="center"/>
          </w:tcPr>
          <w:p w14:paraId="2EAA4349">
            <w:pPr>
              <w:spacing w:line="360" w:lineRule="atLeast"/>
              <w:jc w:val="center"/>
              <w:rPr>
                <w:color w:val="auto"/>
                <w:highlight w:val="none"/>
              </w:rPr>
            </w:pPr>
            <w:r>
              <w:rPr>
                <w:rFonts w:hint="eastAsia"/>
                <w:color w:val="auto"/>
                <w:highlight w:val="none"/>
              </w:rPr>
              <w:t>偏差%</w:t>
            </w:r>
          </w:p>
        </w:tc>
        <w:tc>
          <w:tcPr>
            <w:tcW w:w="851" w:type="dxa"/>
            <w:vAlign w:val="center"/>
          </w:tcPr>
          <w:p w14:paraId="15D7D06F">
            <w:pPr>
              <w:spacing w:line="360" w:lineRule="atLeast"/>
              <w:jc w:val="center"/>
              <w:rPr>
                <w:color w:val="auto"/>
                <w:highlight w:val="none"/>
              </w:rPr>
            </w:pPr>
            <w:r>
              <w:rPr>
                <w:rFonts w:hint="eastAsia"/>
                <w:color w:val="auto"/>
                <w:highlight w:val="none"/>
              </w:rPr>
              <w:t>偏差%</w:t>
            </w:r>
          </w:p>
        </w:tc>
        <w:tc>
          <w:tcPr>
            <w:tcW w:w="992" w:type="dxa"/>
            <w:vAlign w:val="center"/>
          </w:tcPr>
          <w:p w14:paraId="7C317289">
            <w:pPr>
              <w:spacing w:line="360" w:lineRule="atLeast"/>
              <w:jc w:val="center"/>
              <w:rPr>
                <w:color w:val="auto"/>
                <w:highlight w:val="none"/>
              </w:rPr>
            </w:pPr>
            <w:r>
              <w:rPr>
                <w:rFonts w:hint="eastAsia"/>
                <w:color w:val="auto"/>
                <w:highlight w:val="none"/>
              </w:rPr>
              <w:t>偏差%</w:t>
            </w:r>
          </w:p>
        </w:tc>
        <w:tc>
          <w:tcPr>
            <w:tcW w:w="992" w:type="dxa"/>
            <w:vAlign w:val="center"/>
          </w:tcPr>
          <w:p w14:paraId="4578BAB5">
            <w:pPr>
              <w:spacing w:line="360" w:lineRule="atLeast"/>
              <w:jc w:val="center"/>
              <w:rPr>
                <w:color w:val="auto"/>
                <w:highlight w:val="none"/>
              </w:rPr>
            </w:pPr>
            <w:r>
              <w:rPr>
                <w:rFonts w:hint="eastAsia"/>
                <w:color w:val="auto"/>
                <w:highlight w:val="none"/>
              </w:rPr>
              <w:t>偏差%</w:t>
            </w:r>
          </w:p>
        </w:tc>
        <w:tc>
          <w:tcPr>
            <w:tcW w:w="993" w:type="dxa"/>
            <w:vAlign w:val="center"/>
          </w:tcPr>
          <w:p w14:paraId="541DECC1">
            <w:pPr>
              <w:spacing w:line="360" w:lineRule="atLeast"/>
              <w:jc w:val="center"/>
              <w:rPr>
                <w:color w:val="auto"/>
                <w:highlight w:val="none"/>
              </w:rPr>
            </w:pPr>
            <w:r>
              <w:rPr>
                <w:rFonts w:hint="eastAsia"/>
                <w:color w:val="auto"/>
                <w:highlight w:val="none"/>
              </w:rPr>
              <w:t>偏差%</w:t>
            </w:r>
          </w:p>
        </w:tc>
        <w:tc>
          <w:tcPr>
            <w:tcW w:w="992" w:type="dxa"/>
            <w:vAlign w:val="center"/>
          </w:tcPr>
          <w:p w14:paraId="54ECC2BC">
            <w:pPr>
              <w:spacing w:line="360" w:lineRule="atLeast"/>
              <w:jc w:val="center"/>
              <w:rPr>
                <w:color w:val="auto"/>
                <w:highlight w:val="none"/>
              </w:rPr>
            </w:pPr>
            <w:r>
              <w:rPr>
                <w:rFonts w:hint="eastAsia"/>
                <w:color w:val="auto"/>
                <w:highlight w:val="none"/>
              </w:rPr>
              <w:t>偏差%</w:t>
            </w:r>
          </w:p>
        </w:tc>
        <w:tc>
          <w:tcPr>
            <w:tcW w:w="992" w:type="dxa"/>
            <w:vMerge w:val="continue"/>
            <w:vAlign w:val="center"/>
          </w:tcPr>
          <w:p w14:paraId="291A1557">
            <w:pPr>
              <w:spacing w:line="360" w:lineRule="atLeast"/>
              <w:jc w:val="center"/>
              <w:rPr>
                <w:color w:val="auto"/>
                <w:highlight w:val="none"/>
              </w:rPr>
            </w:pPr>
          </w:p>
        </w:tc>
        <w:tc>
          <w:tcPr>
            <w:tcW w:w="1125" w:type="dxa"/>
            <w:vMerge w:val="continue"/>
            <w:vAlign w:val="center"/>
          </w:tcPr>
          <w:p w14:paraId="227294E1">
            <w:pPr>
              <w:spacing w:line="360" w:lineRule="atLeast"/>
              <w:jc w:val="center"/>
              <w:rPr>
                <w:color w:val="auto"/>
                <w:highlight w:val="none"/>
              </w:rPr>
            </w:pPr>
          </w:p>
        </w:tc>
        <w:tc>
          <w:tcPr>
            <w:tcW w:w="1118" w:type="dxa"/>
            <w:vMerge w:val="continue"/>
            <w:vAlign w:val="center"/>
          </w:tcPr>
          <w:p w14:paraId="2CE93617">
            <w:pPr>
              <w:spacing w:line="360" w:lineRule="atLeast"/>
              <w:jc w:val="center"/>
              <w:rPr>
                <w:color w:val="auto"/>
                <w:highlight w:val="none"/>
              </w:rPr>
            </w:pPr>
          </w:p>
        </w:tc>
        <w:tc>
          <w:tcPr>
            <w:tcW w:w="1118" w:type="dxa"/>
            <w:vMerge w:val="continue"/>
            <w:vAlign w:val="center"/>
          </w:tcPr>
          <w:p w14:paraId="02BAD2D2">
            <w:pPr>
              <w:spacing w:line="360" w:lineRule="atLeast"/>
              <w:jc w:val="center"/>
              <w:rPr>
                <w:color w:val="auto"/>
                <w:highlight w:val="none"/>
              </w:rPr>
            </w:pPr>
          </w:p>
        </w:tc>
      </w:tr>
      <w:tr w14:paraId="59A5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565" w:type="dxa"/>
            <w:vMerge w:val="restart"/>
            <w:vAlign w:val="center"/>
          </w:tcPr>
          <w:p w14:paraId="013031D0">
            <w:pPr>
              <w:spacing w:line="360" w:lineRule="atLeast"/>
              <w:jc w:val="center"/>
              <w:rPr>
                <w:rFonts w:eastAsia="黑体"/>
                <w:color w:val="auto"/>
                <w:highlight w:val="none"/>
              </w:rPr>
            </w:pPr>
            <w:r>
              <w:rPr>
                <w:rFonts w:eastAsia="黑体"/>
                <w:color w:val="auto"/>
                <w:highlight w:val="none"/>
              </w:rPr>
              <w:t>4</w:t>
            </w:r>
          </w:p>
        </w:tc>
        <w:tc>
          <w:tcPr>
            <w:tcW w:w="2378" w:type="dxa"/>
            <w:vMerge w:val="restart"/>
            <w:vAlign w:val="center"/>
          </w:tcPr>
          <w:p w14:paraId="37C6922A">
            <w:pPr>
              <w:spacing w:line="360" w:lineRule="atLeast"/>
              <w:jc w:val="center"/>
              <w:rPr>
                <w:color w:val="auto"/>
                <w:highlight w:val="none"/>
              </w:rPr>
            </w:pPr>
          </w:p>
        </w:tc>
        <w:tc>
          <w:tcPr>
            <w:tcW w:w="851" w:type="dxa"/>
            <w:vAlign w:val="center"/>
          </w:tcPr>
          <w:p w14:paraId="709D529F">
            <w:pPr>
              <w:spacing w:line="360" w:lineRule="atLeast"/>
              <w:jc w:val="center"/>
              <w:rPr>
                <w:color w:val="auto"/>
                <w:highlight w:val="none"/>
              </w:rPr>
            </w:pPr>
            <w:r>
              <w:rPr>
                <w:rFonts w:hint="eastAsia"/>
                <w:color w:val="auto"/>
                <w:highlight w:val="none"/>
              </w:rPr>
              <w:t>分值</w:t>
            </w:r>
          </w:p>
        </w:tc>
        <w:tc>
          <w:tcPr>
            <w:tcW w:w="850" w:type="dxa"/>
            <w:vAlign w:val="center"/>
          </w:tcPr>
          <w:p w14:paraId="686E5517">
            <w:pPr>
              <w:spacing w:line="360" w:lineRule="atLeast"/>
              <w:jc w:val="center"/>
              <w:rPr>
                <w:color w:val="auto"/>
                <w:highlight w:val="none"/>
              </w:rPr>
            </w:pPr>
            <w:r>
              <w:rPr>
                <w:rFonts w:hint="eastAsia"/>
                <w:color w:val="auto"/>
                <w:highlight w:val="none"/>
              </w:rPr>
              <w:t>分值</w:t>
            </w:r>
          </w:p>
        </w:tc>
        <w:tc>
          <w:tcPr>
            <w:tcW w:w="851" w:type="dxa"/>
            <w:vAlign w:val="center"/>
          </w:tcPr>
          <w:p w14:paraId="694C1B09">
            <w:pPr>
              <w:spacing w:line="360" w:lineRule="atLeast"/>
              <w:jc w:val="center"/>
              <w:rPr>
                <w:color w:val="auto"/>
                <w:highlight w:val="none"/>
              </w:rPr>
            </w:pPr>
            <w:r>
              <w:rPr>
                <w:rFonts w:hint="eastAsia"/>
                <w:color w:val="auto"/>
                <w:highlight w:val="none"/>
              </w:rPr>
              <w:t>分值</w:t>
            </w:r>
          </w:p>
        </w:tc>
        <w:tc>
          <w:tcPr>
            <w:tcW w:w="992" w:type="dxa"/>
            <w:vAlign w:val="center"/>
          </w:tcPr>
          <w:p w14:paraId="60FF36F6">
            <w:pPr>
              <w:spacing w:line="360" w:lineRule="atLeast"/>
              <w:jc w:val="center"/>
              <w:rPr>
                <w:color w:val="auto"/>
                <w:highlight w:val="none"/>
              </w:rPr>
            </w:pPr>
            <w:r>
              <w:rPr>
                <w:rFonts w:hint="eastAsia"/>
                <w:color w:val="auto"/>
                <w:highlight w:val="none"/>
              </w:rPr>
              <w:t>分值</w:t>
            </w:r>
          </w:p>
        </w:tc>
        <w:tc>
          <w:tcPr>
            <w:tcW w:w="992" w:type="dxa"/>
            <w:vAlign w:val="center"/>
          </w:tcPr>
          <w:p w14:paraId="654EA261">
            <w:pPr>
              <w:spacing w:line="360" w:lineRule="atLeast"/>
              <w:jc w:val="center"/>
              <w:rPr>
                <w:color w:val="auto"/>
                <w:highlight w:val="none"/>
              </w:rPr>
            </w:pPr>
            <w:r>
              <w:rPr>
                <w:rFonts w:hint="eastAsia"/>
                <w:color w:val="auto"/>
                <w:highlight w:val="none"/>
              </w:rPr>
              <w:t>分值</w:t>
            </w:r>
          </w:p>
        </w:tc>
        <w:tc>
          <w:tcPr>
            <w:tcW w:w="993" w:type="dxa"/>
            <w:vAlign w:val="center"/>
          </w:tcPr>
          <w:p w14:paraId="4A25FC9F">
            <w:pPr>
              <w:spacing w:line="360" w:lineRule="atLeast"/>
              <w:jc w:val="center"/>
              <w:rPr>
                <w:color w:val="auto"/>
                <w:highlight w:val="none"/>
              </w:rPr>
            </w:pPr>
            <w:r>
              <w:rPr>
                <w:rFonts w:hint="eastAsia"/>
                <w:color w:val="auto"/>
                <w:highlight w:val="none"/>
              </w:rPr>
              <w:t>分值</w:t>
            </w:r>
          </w:p>
        </w:tc>
        <w:tc>
          <w:tcPr>
            <w:tcW w:w="992" w:type="dxa"/>
            <w:vAlign w:val="center"/>
          </w:tcPr>
          <w:p w14:paraId="4BE9B472">
            <w:pPr>
              <w:spacing w:line="360" w:lineRule="atLeast"/>
              <w:jc w:val="center"/>
              <w:rPr>
                <w:color w:val="auto"/>
                <w:highlight w:val="none"/>
              </w:rPr>
            </w:pPr>
            <w:r>
              <w:rPr>
                <w:rFonts w:hint="eastAsia"/>
                <w:color w:val="auto"/>
                <w:highlight w:val="none"/>
              </w:rPr>
              <w:t>分值</w:t>
            </w:r>
          </w:p>
        </w:tc>
        <w:tc>
          <w:tcPr>
            <w:tcW w:w="992" w:type="dxa"/>
            <w:vMerge w:val="restart"/>
            <w:vAlign w:val="center"/>
          </w:tcPr>
          <w:p w14:paraId="15998C1C">
            <w:pPr>
              <w:spacing w:line="360" w:lineRule="atLeast"/>
              <w:jc w:val="center"/>
              <w:rPr>
                <w:color w:val="auto"/>
                <w:highlight w:val="none"/>
              </w:rPr>
            </w:pPr>
          </w:p>
        </w:tc>
        <w:tc>
          <w:tcPr>
            <w:tcW w:w="1125" w:type="dxa"/>
            <w:vMerge w:val="restart"/>
            <w:vAlign w:val="center"/>
          </w:tcPr>
          <w:p w14:paraId="4D278C93">
            <w:pPr>
              <w:spacing w:line="360" w:lineRule="atLeast"/>
              <w:jc w:val="center"/>
              <w:rPr>
                <w:color w:val="auto"/>
                <w:highlight w:val="none"/>
              </w:rPr>
            </w:pPr>
          </w:p>
        </w:tc>
        <w:tc>
          <w:tcPr>
            <w:tcW w:w="1118" w:type="dxa"/>
            <w:vMerge w:val="restart"/>
            <w:vAlign w:val="center"/>
          </w:tcPr>
          <w:p w14:paraId="7828FF2F">
            <w:pPr>
              <w:spacing w:line="360" w:lineRule="atLeast"/>
              <w:jc w:val="center"/>
              <w:rPr>
                <w:color w:val="auto"/>
                <w:highlight w:val="none"/>
              </w:rPr>
            </w:pPr>
          </w:p>
        </w:tc>
        <w:tc>
          <w:tcPr>
            <w:tcW w:w="1118" w:type="dxa"/>
            <w:vMerge w:val="restart"/>
            <w:vAlign w:val="center"/>
          </w:tcPr>
          <w:p w14:paraId="1957F7D5">
            <w:pPr>
              <w:spacing w:line="360" w:lineRule="atLeast"/>
              <w:jc w:val="center"/>
              <w:rPr>
                <w:color w:val="auto"/>
                <w:highlight w:val="none"/>
              </w:rPr>
            </w:pPr>
          </w:p>
        </w:tc>
      </w:tr>
      <w:tr w14:paraId="55AA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565" w:type="dxa"/>
            <w:vMerge w:val="continue"/>
            <w:vAlign w:val="center"/>
          </w:tcPr>
          <w:p w14:paraId="65173160">
            <w:pPr>
              <w:spacing w:line="360" w:lineRule="atLeast"/>
              <w:jc w:val="center"/>
              <w:rPr>
                <w:rFonts w:eastAsia="黑体"/>
                <w:color w:val="auto"/>
                <w:highlight w:val="none"/>
              </w:rPr>
            </w:pPr>
          </w:p>
        </w:tc>
        <w:tc>
          <w:tcPr>
            <w:tcW w:w="2378" w:type="dxa"/>
            <w:vMerge w:val="continue"/>
            <w:vAlign w:val="center"/>
          </w:tcPr>
          <w:p w14:paraId="7369F461">
            <w:pPr>
              <w:spacing w:line="360" w:lineRule="atLeast"/>
              <w:jc w:val="center"/>
              <w:rPr>
                <w:color w:val="auto"/>
                <w:highlight w:val="none"/>
              </w:rPr>
            </w:pPr>
          </w:p>
        </w:tc>
        <w:tc>
          <w:tcPr>
            <w:tcW w:w="851" w:type="dxa"/>
            <w:vAlign w:val="center"/>
          </w:tcPr>
          <w:p w14:paraId="749769CC">
            <w:pPr>
              <w:spacing w:line="360" w:lineRule="atLeast"/>
              <w:jc w:val="center"/>
              <w:rPr>
                <w:color w:val="auto"/>
                <w:highlight w:val="none"/>
              </w:rPr>
            </w:pPr>
            <w:r>
              <w:rPr>
                <w:rFonts w:hint="eastAsia"/>
                <w:color w:val="auto"/>
                <w:highlight w:val="none"/>
              </w:rPr>
              <w:t>偏差%</w:t>
            </w:r>
          </w:p>
        </w:tc>
        <w:tc>
          <w:tcPr>
            <w:tcW w:w="850" w:type="dxa"/>
            <w:vAlign w:val="center"/>
          </w:tcPr>
          <w:p w14:paraId="4F863CF1">
            <w:pPr>
              <w:spacing w:line="360" w:lineRule="atLeast"/>
              <w:jc w:val="center"/>
              <w:rPr>
                <w:color w:val="auto"/>
                <w:highlight w:val="none"/>
              </w:rPr>
            </w:pPr>
            <w:r>
              <w:rPr>
                <w:rFonts w:hint="eastAsia"/>
                <w:color w:val="auto"/>
                <w:highlight w:val="none"/>
              </w:rPr>
              <w:t>偏差%</w:t>
            </w:r>
          </w:p>
        </w:tc>
        <w:tc>
          <w:tcPr>
            <w:tcW w:w="851" w:type="dxa"/>
            <w:vAlign w:val="center"/>
          </w:tcPr>
          <w:p w14:paraId="0A1EC0DA">
            <w:pPr>
              <w:spacing w:line="360" w:lineRule="atLeast"/>
              <w:jc w:val="center"/>
              <w:rPr>
                <w:color w:val="auto"/>
                <w:highlight w:val="none"/>
              </w:rPr>
            </w:pPr>
            <w:r>
              <w:rPr>
                <w:rFonts w:hint="eastAsia"/>
                <w:color w:val="auto"/>
                <w:highlight w:val="none"/>
              </w:rPr>
              <w:t>偏差%</w:t>
            </w:r>
          </w:p>
        </w:tc>
        <w:tc>
          <w:tcPr>
            <w:tcW w:w="992" w:type="dxa"/>
            <w:vAlign w:val="center"/>
          </w:tcPr>
          <w:p w14:paraId="20AE804E">
            <w:pPr>
              <w:spacing w:line="360" w:lineRule="atLeast"/>
              <w:jc w:val="center"/>
              <w:rPr>
                <w:color w:val="auto"/>
                <w:highlight w:val="none"/>
              </w:rPr>
            </w:pPr>
            <w:r>
              <w:rPr>
                <w:rFonts w:hint="eastAsia"/>
                <w:color w:val="auto"/>
                <w:highlight w:val="none"/>
              </w:rPr>
              <w:t>偏差%</w:t>
            </w:r>
          </w:p>
        </w:tc>
        <w:tc>
          <w:tcPr>
            <w:tcW w:w="992" w:type="dxa"/>
            <w:vAlign w:val="center"/>
          </w:tcPr>
          <w:p w14:paraId="30B71D77">
            <w:pPr>
              <w:spacing w:line="360" w:lineRule="atLeast"/>
              <w:jc w:val="center"/>
              <w:rPr>
                <w:color w:val="auto"/>
                <w:highlight w:val="none"/>
              </w:rPr>
            </w:pPr>
            <w:r>
              <w:rPr>
                <w:rFonts w:hint="eastAsia"/>
                <w:color w:val="auto"/>
                <w:highlight w:val="none"/>
              </w:rPr>
              <w:t>偏差%</w:t>
            </w:r>
          </w:p>
        </w:tc>
        <w:tc>
          <w:tcPr>
            <w:tcW w:w="993" w:type="dxa"/>
            <w:vAlign w:val="center"/>
          </w:tcPr>
          <w:p w14:paraId="537E62E0">
            <w:pPr>
              <w:spacing w:line="360" w:lineRule="atLeast"/>
              <w:jc w:val="center"/>
              <w:rPr>
                <w:color w:val="auto"/>
                <w:highlight w:val="none"/>
              </w:rPr>
            </w:pPr>
            <w:r>
              <w:rPr>
                <w:rFonts w:hint="eastAsia"/>
                <w:color w:val="auto"/>
                <w:highlight w:val="none"/>
              </w:rPr>
              <w:t>偏差%</w:t>
            </w:r>
          </w:p>
        </w:tc>
        <w:tc>
          <w:tcPr>
            <w:tcW w:w="992" w:type="dxa"/>
            <w:vAlign w:val="center"/>
          </w:tcPr>
          <w:p w14:paraId="7D4051F3">
            <w:pPr>
              <w:spacing w:line="360" w:lineRule="atLeast"/>
              <w:jc w:val="center"/>
              <w:rPr>
                <w:color w:val="auto"/>
                <w:highlight w:val="none"/>
              </w:rPr>
            </w:pPr>
            <w:r>
              <w:rPr>
                <w:rFonts w:hint="eastAsia"/>
                <w:color w:val="auto"/>
                <w:highlight w:val="none"/>
              </w:rPr>
              <w:t>偏差%</w:t>
            </w:r>
          </w:p>
        </w:tc>
        <w:tc>
          <w:tcPr>
            <w:tcW w:w="992" w:type="dxa"/>
            <w:vMerge w:val="continue"/>
            <w:vAlign w:val="center"/>
          </w:tcPr>
          <w:p w14:paraId="421FAD49">
            <w:pPr>
              <w:spacing w:line="360" w:lineRule="atLeast"/>
              <w:jc w:val="center"/>
              <w:rPr>
                <w:color w:val="auto"/>
                <w:highlight w:val="none"/>
              </w:rPr>
            </w:pPr>
          </w:p>
        </w:tc>
        <w:tc>
          <w:tcPr>
            <w:tcW w:w="1125" w:type="dxa"/>
            <w:vMerge w:val="continue"/>
            <w:vAlign w:val="center"/>
          </w:tcPr>
          <w:p w14:paraId="1EBED919">
            <w:pPr>
              <w:spacing w:line="360" w:lineRule="atLeast"/>
              <w:jc w:val="center"/>
              <w:rPr>
                <w:color w:val="auto"/>
                <w:highlight w:val="none"/>
              </w:rPr>
            </w:pPr>
          </w:p>
        </w:tc>
        <w:tc>
          <w:tcPr>
            <w:tcW w:w="1118" w:type="dxa"/>
            <w:vMerge w:val="continue"/>
            <w:vAlign w:val="center"/>
          </w:tcPr>
          <w:p w14:paraId="37B4A335">
            <w:pPr>
              <w:spacing w:line="360" w:lineRule="atLeast"/>
              <w:jc w:val="center"/>
              <w:rPr>
                <w:color w:val="auto"/>
                <w:highlight w:val="none"/>
              </w:rPr>
            </w:pPr>
          </w:p>
        </w:tc>
        <w:tc>
          <w:tcPr>
            <w:tcW w:w="1118" w:type="dxa"/>
            <w:vMerge w:val="continue"/>
            <w:vAlign w:val="center"/>
          </w:tcPr>
          <w:p w14:paraId="5A7DA73E">
            <w:pPr>
              <w:spacing w:line="360" w:lineRule="atLeast"/>
              <w:jc w:val="center"/>
              <w:rPr>
                <w:color w:val="auto"/>
                <w:highlight w:val="none"/>
              </w:rPr>
            </w:pPr>
          </w:p>
        </w:tc>
      </w:tr>
      <w:tr w14:paraId="078E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exact"/>
          <w:jc w:val="center"/>
        </w:trPr>
        <w:tc>
          <w:tcPr>
            <w:tcW w:w="565" w:type="dxa"/>
            <w:vMerge w:val="restart"/>
            <w:vAlign w:val="center"/>
          </w:tcPr>
          <w:p w14:paraId="34EBF4A0">
            <w:pPr>
              <w:spacing w:line="360" w:lineRule="atLeast"/>
              <w:jc w:val="center"/>
              <w:rPr>
                <w:rFonts w:eastAsia="黑体"/>
                <w:color w:val="auto"/>
                <w:highlight w:val="none"/>
              </w:rPr>
            </w:pPr>
            <w:r>
              <w:rPr>
                <w:rFonts w:eastAsia="黑体"/>
                <w:color w:val="auto"/>
                <w:highlight w:val="none"/>
              </w:rPr>
              <w:t>5</w:t>
            </w:r>
          </w:p>
        </w:tc>
        <w:tc>
          <w:tcPr>
            <w:tcW w:w="2378" w:type="dxa"/>
            <w:vMerge w:val="restart"/>
            <w:vAlign w:val="center"/>
          </w:tcPr>
          <w:p w14:paraId="0218FA7A">
            <w:pPr>
              <w:spacing w:line="360" w:lineRule="atLeast"/>
              <w:jc w:val="center"/>
              <w:rPr>
                <w:color w:val="auto"/>
                <w:highlight w:val="none"/>
              </w:rPr>
            </w:pPr>
          </w:p>
        </w:tc>
        <w:tc>
          <w:tcPr>
            <w:tcW w:w="851" w:type="dxa"/>
            <w:vAlign w:val="center"/>
          </w:tcPr>
          <w:p w14:paraId="067C14AB">
            <w:pPr>
              <w:spacing w:line="360" w:lineRule="atLeast"/>
              <w:jc w:val="center"/>
              <w:rPr>
                <w:color w:val="auto"/>
                <w:highlight w:val="none"/>
              </w:rPr>
            </w:pPr>
            <w:r>
              <w:rPr>
                <w:rFonts w:hint="eastAsia"/>
                <w:color w:val="auto"/>
                <w:highlight w:val="none"/>
              </w:rPr>
              <w:t>分值</w:t>
            </w:r>
          </w:p>
        </w:tc>
        <w:tc>
          <w:tcPr>
            <w:tcW w:w="850" w:type="dxa"/>
            <w:vAlign w:val="center"/>
          </w:tcPr>
          <w:p w14:paraId="7F2148F8">
            <w:pPr>
              <w:spacing w:line="360" w:lineRule="atLeast"/>
              <w:jc w:val="center"/>
              <w:rPr>
                <w:color w:val="auto"/>
                <w:highlight w:val="none"/>
              </w:rPr>
            </w:pPr>
            <w:r>
              <w:rPr>
                <w:rFonts w:hint="eastAsia"/>
                <w:color w:val="auto"/>
                <w:highlight w:val="none"/>
              </w:rPr>
              <w:t>分值</w:t>
            </w:r>
          </w:p>
        </w:tc>
        <w:tc>
          <w:tcPr>
            <w:tcW w:w="851" w:type="dxa"/>
            <w:vAlign w:val="center"/>
          </w:tcPr>
          <w:p w14:paraId="62A0AE99">
            <w:pPr>
              <w:spacing w:line="360" w:lineRule="atLeast"/>
              <w:jc w:val="center"/>
              <w:rPr>
                <w:color w:val="auto"/>
                <w:highlight w:val="none"/>
              </w:rPr>
            </w:pPr>
            <w:r>
              <w:rPr>
                <w:rFonts w:hint="eastAsia"/>
                <w:color w:val="auto"/>
                <w:highlight w:val="none"/>
              </w:rPr>
              <w:t>分值</w:t>
            </w:r>
          </w:p>
        </w:tc>
        <w:tc>
          <w:tcPr>
            <w:tcW w:w="992" w:type="dxa"/>
            <w:vAlign w:val="center"/>
          </w:tcPr>
          <w:p w14:paraId="15A566C9">
            <w:pPr>
              <w:spacing w:line="360" w:lineRule="atLeast"/>
              <w:jc w:val="center"/>
              <w:rPr>
                <w:color w:val="auto"/>
                <w:highlight w:val="none"/>
              </w:rPr>
            </w:pPr>
            <w:r>
              <w:rPr>
                <w:rFonts w:hint="eastAsia"/>
                <w:color w:val="auto"/>
                <w:highlight w:val="none"/>
              </w:rPr>
              <w:t>分值</w:t>
            </w:r>
          </w:p>
        </w:tc>
        <w:tc>
          <w:tcPr>
            <w:tcW w:w="992" w:type="dxa"/>
            <w:vAlign w:val="center"/>
          </w:tcPr>
          <w:p w14:paraId="13160131">
            <w:pPr>
              <w:spacing w:line="360" w:lineRule="atLeast"/>
              <w:jc w:val="center"/>
              <w:rPr>
                <w:color w:val="auto"/>
                <w:highlight w:val="none"/>
              </w:rPr>
            </w:pPr>
            <w:r>
              <w:rPr>
                <w:rFonts w:hint="eastAsia"/>
                <w:color w:val="auto"/>
                <w:highlight w:val="none"/>
              </w:rPr>
              <w:t>分值</w:t>
            </w:r>
          </w:p>
        </w:tc>
        <w:tc>
          <w:tcPr>
            <w:tcW w:w="993" w:type="dxa"/>
            <w:vAlign w:val="center"/>
          </w:tcPr>
          <w:p w14:paraId="52C87E6B">
            <w:pPr>
              <w:spacing w:line="360" w:lineRule="atLeast"/>
              <w:jc w:val="center"/>
              <w:rPr>
                <w:color w:val="auto"/>
                <w:highlight w:val="none"/>
              </w:rPr>
            </w:pPr>
            <w:r>
              <w:rPr>
                <w:rFonts w:hint="eastAsia"/>
                <w:color w:val="auto"/>
                <w:highlight w:val="none"/>
              </w:rPr>
              <w:t>分值</w:t>
            </w:r>
          </w:p>
        </w:tc>
        <w:tc>
          <w:tcPr>
            <w:tcW w:w="992" w:type="dxa"/>
            <w:vAlign w:val="center"/>
          </w:tcPr>
          <w:p w14:paraId="6004E3EB">
            <w:pPr>
              <w:spacing w:line="360" w:lineRule="atLeast"/>
              <w:jc w:val="center"/>
              <w:rPr>
                <w:color w:val="auto"/>
                <w:highlight w:val="none"/>
              </w:rPr>
            </w:pPr>
            <w:r>
              <w:rPr>
                <w:rFonts w:hint="eastAsia"/>
                <w:color w:val="auto"/>
                <w:highlight w:val="none"/>
              </w:rPr>
              <w:t>分值</w:t>
            </w:r>
          </w:p>
        </w:tc>
        <w:tc>
          <w:tcPr>
            <w:tcW w:w="992" w:type="dxa"/>
            <w:vMerge w:val="restart"/>
            <w:vAlign w:val="center"/>
          </w:tcPr>
          <w:p w14:paraId="22E0370B">
            <w:pPr>
              <w:spacing w:line="360" w:lineRule="atLeast"/>
              <w:jc w:val="center"/>
              <w:rPr>
                <w:color w:val="auto"/>
                <w:highlight w:val="none"/>
              </w:rPr>
            </w:pPr>
          </w:p>
        </w:tc>
        <w:tc>
          <w:tcPr>
            <w:tcW w:w="1125" w:type="dxa"/>
            <w:vMerge w:val="restart"/>
            <w:vAlign w:val="center"/>
          </w:tcPr>
          <w:p w14:paraId="31FF9736">
            <w:pPr>
              <w:spacing w:line="360" w:lineRule="atLeast"/>
              <w:jc w:val="center"/>
              <w:rPr>
                <w:color w:val="auto"/>
                <w:highlight w:val="none"/>
              </w:rPr>
            </w:pPr>
          </w:p>
        </w:tc>
        <w:tc>
          <w:tcPr>
            <w:tcW w:w="1118" w:type="dxa"/>
            <w:vMerge w:val="restart"/>
            <w:vAlign w:val="center"/>
          </w:tcPr>
          <w:p w14:paraId="506755F3">
            <w:pPr>
              <w:spacing w:line="360" w:lineRule="atLeast"/>
              <w:jc w:val="center"/>
              <w:rPr>
                <w:color w:val="auto"/>
                <w:highlight w:val="none"/>
              </w:rPr>
            </w:pPr>
          </w:p>
        </w:tc>
        <w:tc>
          <w:tcPr>
            <w:tcW w:w="1118" w:type="dxa"/>
            <w:vMerge w:val="restart"/>
            <w:vAlign w:val="center"/>
          </w:tcPr>
          <w:p w14:paraId="10B54E52">
            <w:pPr>
              <w:spacing w:line="360" w:lineRule="atLeast"/>
              <w:jc w:val="center"/>
              <w:rPr>
                <w:color w:val="auto"/>
                <w:highlight w:val="none"/>
              </w:rPr>
            </w:pPr>
          </w:p>
        </w:tc>
      </w:tr>
      <w:tr w14:paraId="6707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continue"/>
            <w:vAlign w:val="center"/>
          </w:tcPr>
          <w:p w14:paraId="0EE160C5">
            <w:pPr>
              <w:spacing w:line="360" w:lineRule="atLeast"/>
              <w:jc w:val="center"/>
              <w:rPr>
                <w:rFonts w:eastAsia="黑体"/>
                <w:color w:val="auto"/>
                <w:highlight w:val="none"/>
              </w:rPr>
            </w:pPr>
          </w:p>
        </w:tc>
        <w:tc>
          <w:tcPr>
            <w:tcW w:w="2378" w:type="dxa"/>
            <w:vMerge w:val="continue"/>
            <w:vAlign w:val="center"/>
          </w:tcPr>
          <w:p w14:paraId="3E06C05B">
            <w:pPr>
              <w:spacing w:line="360" w:lineRule="atLeast"/>
              <w:jc w:val="center"/>
              <w:rPr>
                <w:color w:val="auto"/>
                <w:highlight w:val="none"/>
              </w:rPr>
            </w:pPr>
          </w:p>
        </w:tc>
        <w:tc>
          <w:tcPr>
            <w:tcW w:w="851" w:type="dxa"/>
            <w:vAlign w:val="center"/>
          </w:tcPr>
          <w:p w14:paraId="0FD14671">
            <w:pPr>
              <w:spacing w:line="360" w:lineRule="atLeast"/>
              <w:jc w:val="center"/>
              <w:rPr>
                <w:color w:val="auto"/>
                <w:highlight w:val="none"/>
              </w:rPr>
            </w:pPr>
            <w:r>
              <w:rPr>
                <w:rFonts w:hint="eastAsia"/>
                <w:color w:val="auto"/>
                <w:highlight w:val="none"/>
              </w:rPr>
              <w:t>偏差%</w:t>
            </w:r>
          </w:p>
        </w:tc>
        <w:tc>
          <w:tcPr>
            <w:tcW w:w="850" w:type="dxa"/>
            <w:vAlign w:val="center"/>
          </w:tcPr>
          <w:p w14:paraId="01BF544C">
            <w:pPr>
              <w:spacing w:line="360" w:lineRule="atLeast"/>
              <w:jc w:val="center"/>
              <w:rPr>
                <w:color w:val="auto"/>
                <w:highlight w:val="none"/>
              </w:rPr>
            </w:pPr>
            <w:r>
              <w:rPr>
                <w:rFonts w:hint="eastAsia"/>
                <w:color w:val="auto"/>
                <w:highlight w:val="none"/>
              </w:rPr>
              <w:t>偏差%</w:t>
            </w:r>
          </w:p>
        </w:tc>
        <w:tc>
          <w:tcPr>
            <w:tcW w:w="851" w:type="dxa"/>
            <w:vAlign w:val="center"/>
          </w:tcPr>
          <w:p w14:paraId="233940E3">
            <w:pPr>
              <w:spacing w:line="360" w:lineRule="atLeast"/>
              <w:jc w:val="center"/>
              <w:rPr>
                <w:color w:val="auto"/>
                <w:highlight w:val="none"/>
              </w:rPr>
            </w:pPr>
            <w:r>
              <w:rPr>
                <w:rFonts w:hint="eastAsia"/>
                <w:color w:val="auto"/>
                <w:highlight w:val="none"/>
              </w:rPr>
              <w:t>偏差%</w:t>
            </w:r>
          </w:p>
        </w:tc>
        <w:tc>
          <w:tcPr>
            <w:tcW w:w="992" w:type="dxa"/>
            <w:vAlign w:val="center"/>
          </w:tcPr>
          <w:p w14:paraId="701ABBF9">
            <w:pPr>
              <w:spacing w:line="360" w:lineRule="atLeast"/>
              <w:jc w:val="center"/>
              <w:rPr>
                <w:color w:val="auto"/>
                <w:highlight w:val="none"/>
              </w:rPr>
            </w:pPr>
            <w:r>
              <w:rPr>
                <w:rFonts w:hint="eastAsia"/>
                <w:color w:val="auto"/>
                <w:highlight w:val="none"/>
              </w:rPr>
              <w:t>偏差%</w:t>
            </w:r>
          </w:p>
        </w:tc>
        <w:tc>
          <w:tcPr>
            <w:tcW w:w="992" w:type="dxa"/>
            <w:vAlign w:val="center"/>
          </w:tcPr>
          <w:p w14:paraId="6AAB527C">
            <w:pPr>
              <w:spacing w:line="360" w:lineRule="atLeast"/>
              <w:jc w:val="center"/>
              <w:rPr>
                <w:color w:val="auto"/>
                <w:highlight w:val="none"/>
              </w:rPr>
            </w:pPr>
            <w:r>
              <w:rPr>
                <w:rFonts w:hint="eastAsia"/>
                <w:color w:val="auto"/>
                <w:highlight w:val="none"/>
              </w:rPr>
              <w:t>偏差%</w:t>
            </w:r>
          </w:p>
        </w:tc>
        <w:tc>
          <w:tcPr>
            <w:tcW w:w="993" w:type="dxa"/>
            <w:vAlign w:val="center"/>
          </w:tcPr>
          <w:p w14:paraId="2F89B61D">
            <w:pPr>
              <w:spacing w:line="360" w:lineRule="atLeast"/>
              <w:jc w:val="center"/>
              <w:rPr>
                <w:color w:val="auto"/>
                <w:highlight w:val="none"/>
              </w:rPr>
            </w:pPr>
            <w:r>
              <w:rPr>
                <w:rFonts w:hint="eastAsia"/>
                <w:color w:val="auto"/>
                <w:highlight w:val="none"/>
              </w:rPr>
              <w:t>偏差%</w:t>
            </w:r>
          </w:p>
        </w:tc>
        <w:tc>
          <w:tcPr>
            <w:tcW w:w="992" w:type="dxa"/>
            <w:vAlign w:val="center"/>
          </w:tcPr>
          <w:p w14:paraId="6EBF6E8E">
            <w:pPr>
              <w:spacing w:line="360" w:lineRule="atLeast"/>
              <w:jc w:val="center"/>
              <w:rPr>
                <w:color w:val="auto"/>
                <w:highlight w:val="none"/>
              </w:rPr>
            </w:pPr>
            <w:r>
              <w:rPr>
                <w:rFonts w:hint="eastAsia"/>
                <w:color w:val="auto"/>
                <w:highlight w:val="none"/>
              </w:rPr>
              <w:t>偏差%</w:t>
            </w:r>
          </w:p>
        </w:tc>
        <w:tc>
          <w:tcPr>
            <w:tcW w:w="992" w:type="dxa"/>
            <w:vMerge w:val="continue"/>
            <w:vAlign w:val="center"/>
          </w:tcPr>
          <w:p w14:paraId="14C41714">
            <w:pPr>
              <w:spacing w:line="360" w:lineRule="atLeast"/>
              <w:jc w:val="center"/>
              <w:rPr>
                <w:color w:val="auto"/>
                <w:highlight w:val="none"/>
              </w:rPr>
            </w:pPr>
          </w:p>
        </w:tc>
        <w:tc>
          <w:tcPr>
            <w:tcW w:w="1125" w:type="dxa"/>
            <w:vMerge w:val="continue"/>
            <w:vAlign w:val="center"/>
          </w:tcPr>
          <w:p w14:paraId="77E69F2A">
            <w:pPr>
              <w:spacing w:line="360" w:lineRule="atLeast"/>
              <w:jc w:val="center"/>
              <w:rPr>
                <w:color w:val="auto"/>
                <w:highlight w:val="none"/>
              </w:rPr>
            </w:pPr>
          </w:p>
        </w:tc>
        <w:tc>
          <w:tcPr>
            <w:tcW w:w="1118" w:type="dxa"/>
            <w:vMerge w:val="continue"/>
            <w:vAlign w:val="center"/>
          </w:tcPr>
          <w:p w14:paraId="523C849D">
            <w:pPr>
              <w:spacing w:line="360" w:lineRule="atLeast"/>
              <w:jc w:val="center"/>
              <w:rPr>
                <w:color w:val="auto"/>
                <w:highlight w:val="none"/>
              </w:rPr>
            </w:pPr>
          </w:p>
        </w:tc>
        <w:tc>
          <w:tcPr>
            <w:tcW w:w="1118" w:type="dxa"/>
            <w:vMerge w:val="continue"/>
            <w:vAlign w:val="center"/>
          </w:tcPr>
          <w:p w14:paraId="48F94F48">
            <w:pPr>
              <w:spacing w:line="360" w:lineRule="atLeast"/>
              <w:jc w:val="center"/>
              <w:rPr>
                <w:color w:val="auto"/>
                <w:highlight w:val="none"/>
              </w:rPr>
            </w:pPr>
          </w:p>
        </w:tc>
      </w:tr>
      <w:tr w14:paraId="548D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restart"/>
            <w:vAlign w:val="center"/>
          </w:tcPr>
          <w:p w14:paraId="7AF3C276">
            <w:pPr>
              <w:spacing w:line="360" w:lineRule="atLeast"/>
              <w:jc w:val="center"/>
              <w:rPr>
                <w:rFonts w:eastAsia="黑体"/>
                <w:color w:val="auto"/>
                <w:highlight w:val="none"/>
              </w:rPr>
            </w:pPr>
            <w:r>
              <w:rPr>
                <w:rFonts w:hint="eastAsia" w:eastAsia="黑体"/>
                <w:color w:val="auto"/>
                <w:highlight w:val="none"/>
              </w:rPr>
              <w:t>6</w:t>
            </w:r>
          </w:p>
        </w:tc>
        <w:tc>
          <w:tcPr>
            <w:tcW w:w="2378" w:type="dxa"/>
            <w:vMerge w:val="restart"/>
            <w:vAlign w:val="center"/>
          </w:tcPr>
          <w:p w14:paraId="46948FC3">
            <w:pPr>
              <w:spacing w:line="360" w:lineRule="atLeast"/>
              <w:jc w:val="center"/>
              <w:rPr>
                <w:color w:val="auto"/>
                <w:highlight w:val="none"/>
              </w:rPr>
            </w:pPr>
          </w:p>
        </w:tc>
        <w:tc>
          <w:tcPr>
            <w:tcW w:w="851" w:type="dxa"/>
            <w:vAlign w:val="center"/>
          </w:tcPr>
          <w:p w14:paraId="029F1B3C">
            <w:pPr>
              <w:spacing w:line="360" w:lineRule="atLeast"/>
              <w:jc w:val="center"/>
              <w:rPr>
                <w:color w:val="auto"/>
                <w:highlight w:val="none"/>
              </w:rPr>
            </w:pPr>
            <w:r>
              <w:rPr>
                <w:rFonts w:hint="eastAsia"/>
                <w:color w:val="auto"/>
                <w:highlight w:val="none"/>
              </w:rPr>
              <w:t>分值</w:t>
            </w:r>
          </w:p>
        </w:tc>
        <w:tc>
          <w:tcPr>
            <w:tcW w:w="850" w:type="dxa"/>
            <w:vAlign w:val="center"/>
          </w:tcPr>
          <w:p w14:paraId="5E4D6D5B">
            <w:pPr>
              <w:spacing w:line="360" w:lineRule="atLeast"/>
              <w:jc w:val="center"/>
              <w:rPr>
                <w:color w:val="auto"/>
                <w:highlight w:val="none"/>
              </w:rPr>
            </w:pPr>
            <w:r>
              <w:rPr>
                <w:rFonts w:hint="eastAsia"/>
                <w:color w:val="auto"/>
                <w:highlight w:val="none"/>
              </w:rPr>
              <w:t>分值</w:t>
            </w:r>
          </w:p>
        </w:tc>
        <w:tc>
          <w:tcPr>
            <w:tcW w:w="851" w:type="dxa"/>
            <w:vAlign w:val="center"/>
          </w:tcPr>
          <w:p w14:paraId="35D1E0AA">
            <w:pPr>
              <w:spacing w:line="360" w:lineRule="atLeast"/>
              <w:jc w:val="center"/>
              <w:rPr>
                <w:color w:val="auto"/>
                <w:highlight w:val="none"/>
              </w:rPr>
            </w:pPr>
            <w:r>
              <w:rPr>
                <w:rFonts w:hint="eastAsia"/>
                <w:color w:val="auto"/>
                <w:highlight w:val="none"/>
              </w:rPr>
              <w:t>分值</w:t>
            </w:r>
          </w:p>
        </w:tc>
        <w:tc>
          <w:tcPr>
            <w:tcW w:w="992" w:type="dxa"/>
            <w:vAlign w:val="center"/>
          </w:tcPr>
          <w:p w14:paraId="373392B5">
            <w:pPr>
              <w:spacing w:line="360" w:lineRule="atLeast"/>
              <w:jc w:val="center"/>
              <w:rPr>
                <w:color w:val="auto"/>
                <w:highlight w:val="none"/>
              </w:rPr>
            </w:pPr>
            <w:r>
              <w:rPr>
                <w:rFonts w:hint="eastAsia"/>
                <w:color w:val="auto"/>
                <w:highlight w:val="none"/>
              </w:rPr>
              <w:t>分值</w:t>
            </w:r>
          </w:p>
        </w:tc>
        <w:tc>
          <w:tcPr>
            <w:tcW w:w="992" w:type="dxa"/>
            <w:vAlign w:val="center"/>
          </w:tcPr>
          <w:p w14:paraId="6C772633">
            <w:pPr>
              <w:spacing w:line="360" w:lineRule="atLeast"/>
              <w:jc w:val="center"/>
              <w:rPr>
                <w:color w:val="auto"/>
                <w:highlight w:val="none"/>
              </w:rPr>
            </w:pPr>
            <w:r>
              <w:rPr>
                <w:rFonts w:hint="eastAsia"/>
                <w:color w:val="auto"/>
                <w:highlight w:val="none"/>
              </w:rPr>
              <w:t>分值</w:t>
            </w:r>
          </w:p>
        </w:tc>
        <w:tc>
          <w:tcPr>
            <w:tcW w:w="993" w:type="dxa"/>
            <w:vAlign w:val="center"/>
          </w:tcPr>
          <w:p w14:paraId="38632F2F">
            <w:pPr>
              <w:spacing w:line="360" w:lineRule="atLeast"/>
              <w:jc w:val="center"/>
              <w:rPr>
                <w:color w:val="auto"/>
                <w:highlight w:val="none"/>
              </w:rPr>
            </w:pPr>
            <w:r>
              <w:rPr>
                <w:rFonts w:hint="eastAsia"/>
                <w:color w:val="auto"/>
                <w:highlight w:val="none"/>
              </w:rPr>
              <w:t>分值</w:t>
            </w:r>
          </w:p>
        </w:tc>
        <w:tc>
          <w:tcPr>
            <w:tcW w:w="992" w:type="dxa"/>
            <w:vAlign w:val="center"/>
          </w:tcPr>
          <w:p w14:paraId="73643113">
            <w:pPr>
              <w:spacing w:line="360" w:lineRule="atLeast"/>
              <w:jc w:val="center"/>
              <w:rPr>
                <w:color w:val="auto"/>
                <w:highlight w:val="none"/>
              </w:rPr>
            </w:pPr>
            <w:r>
              <w:rPr>
                <w:rFonts w:hint="eastAsia"/>
                <w:color w:val="auto"/>
                <w:highlight w:val="none"/>
              </w:rPr>
              <w:t>分值</w:t>
            </w:r>
          </w:p>
        </w:tc>
        <w:tc>
          <w:tcPr>
            <w:tcW w:w="992" w:type="dxa"/>
            <w:vMerge w:val="restart"/>
            <w:vAlign w:val="center"/>
          </w:tcPr>
          <w:p w14:paraId="163C3591">
            <w:pPr>
              <w:spacing w:line="360" w:lineRule="atLeast"/>
              <w:jc w:val="center"/>
              <w:rPr>
                <w:color w:val="auto"/>
                <w:highlight w:val="none"/>
              </w:rPr>
            </w:pPr>
          </w:p>
        </w:tc>
        <w:tc>
          <w:tcPr>
            <w:tcW w:w="1125" w:type="dxa"/>
            <w:vMerge w:val="restart"/>
            <w:vAlign w:val="center"/>
          </w:tcPr>
          <w:p w14:paraId="1AF5A685">
            <w:pPr>
              <w:spacing w:line="360" w:lineRule="atLeast"/>
              <w:jc w:val="center"/>
              <w:rPr>
                <w:color w:val="auto"/>
                <w:highlight w:val="none"/>
              </w:rPr>
            </w:pPr>
          </w:p>
        </w:tc>
        <w:tc>
          <w:tcPr>
            <w:tcW w:w="1118" w:type="dxa"/>
            <w:vMerge w:val="restart"/>
            <w:vAlign w:val="center"/>
          </w:tcPr>
          <w:p w14:paraId="41ED7F10">
            <w:pPr>
              <w:spacing w:line="360" w:lineRule="atLeast"/>
              <w:jc w:val="center"/>
              <w:rPr>
                <w:color w:val="auto"/>
                <w:highlight w:val="none"/>
              </w:rPr>
            </w:pPr>
          </w:p>
        </w:tc>
        <w:tc>
          <w:tcPr>
            <w:tcW w:w="1118" w:type="dxa"/>
            <w:vMerge w:val="restart"/>
            <w:vAlign w:val="center"/>
          </w:tcPr>
          <w:p w14:paraId="7ED9CCCF">
            <w:pPr>
              <w:spacing w:line="360" w:lineRule="atLeast"/>
              <w:jc w:val="center"/>
              <w:rPr>
                <w:color w:val="auto"/>
                <w:highlight w:val="none"/>
              </w:rPr>
            </w:pPr>
          </w:p>
        </w:tc>
      </w:tr>
      <w:tr w14:paraId="7256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continue"/>
            <w:vAlign w:val="center"/>
          </w:tcPr>
          <w:p w14:paraId="1D576BF1">
            <w:pPr>
              <w:spacing w:line="360" w:lineRule="atLeast"/>
              <w:jc w:val="center"/>
              <w:rPr>
                <w:rFonts w:eastAsia="黑体"/>
                <w:color w:val="auto"/>
                <w:highlight w:val="none"/>
              </w:rPr>
            </w:pPr>
          </w:p>
        </w:tc>
        <w:tc>
          <w:tcPr>
            <w:tcW w:w="2378" w:type="dxa"/>
            <w:vMerge w:val="continue"/>
            <w:vAlign w:val="center"/>
          </w:tcPr>
          <w:p w14:paraId="6A666D23">
            <w:pPr>
              <w:spacing w:line="360" w:lineRule="atLeast"/>
              <w:jc w:val="center"/>
              <w:rPr>
                <w:color w:val="auto"/>
                <w:highlight w:val="none"/>
              </w:rPr>
            </w:pPr>
          </w:p>
        </w:tc>
        <w:tc>
          <w:tcPr>
            <w:tcW w:w="851" w:type="dxa"/>
            <w:vAlign w:val="center"/>
          </w:tcPr>
          <w:p w14:paraId="443C9E8D">
            <w:pPr>
              <w:spacing w:line="360" w:lineRule="atLeast"/>
              <w:jc w:val="center"/>
              <w:rPr>
                <w:color w:val="auto"/>
                <w:highlight w:val="none"/>
              </w:rPr>
            </w:pPr>
            <w:r>
              <w:rPr>
                <w:rFonts w:hint="eastAsia"/>
                <w:color w:val="auto"/>
                <w:highlight w:val="none"/>
              </w:rPr>
              <w:t>偏差%</w:t>
            </w:r>
          </w:p>
        </w:tc>
        <w:tc>
          <w:tcPr>
            <w:tcW w:w="850" w:type="dxa"/>
            <w:vAlign w:val="center"/>
          </w:tcPr>
          <w:p w14:paraId="2767B49A">
            <w:pPr>
              <w:spacing w:line="360" w:lineRule="atLeast"/>
              <w:jc w:val="center"/>
              <w:rPr>
                <w:color w:val="auto"/>
                <w:highlight w:val="none"/>
              </w:rPr>
            </w:pPr>
            <w:r>
              <w:rPr>
                <w:rFonts w:hint="eastAsia"/>
                <w:color w:val="auto"/>
                <w:highlight w:val="none"/>
              </w:rPr>
              <w:t>偏差%</w:t>
            </w:r>
          </w:p>
        </w:tc>
        <w:tc>
          <w:tcPr>
            <w:tcW w:w="851" w:type="dxa"/>
            <w:vAlign w:val="center"/>
          </w:tcPr>
          <w:p w14:paraId="37394791">
            <w:pPr>
              <w:spacing w:line="360" w:lineRule="atLeast"/>
              <w:jc w:val="center"/>
              <w:rPr>
                <w:color w:val="auto"/>
                <w:highlight w:val="none"/>
              </w:rPr>
            </w:pPr>
            <w:r>
              <w:rPr>
                <w:rFonts w:hint="eastAsia"/>
                <w:color w:val="auto"/>
                <w:highlight w:val="none"/>
              </w:rPr>
              <w:t>偏差%</w:t>
            </w:r>
          </w:p>
        </w:tc>
        <w:tc>
          <w:tcPr>
            <w:tcW w:w="992" w:type="dxa"/>
            <w:vAlign w:val="center"/>
          </w:tcPr>
          <w:p w14:paraId="6D2EA001">
            <w:pPr>
              <w:spacing w:line="360" w:lineRule="atLeast"/>
              <w:jc w:val="center"/>
              <w:rPr>
                <w:color w:val="auto"/>
                <w:highlight w:val="none"/>
              </w:rPr>
            </w:pPr>
            <w:r>
              <w:rPr>
                <w:rFonts w:hint="eastAsia"/>
                <w:color w:val="auto"/>
                <w:highlight w:val="none"/>
              </w:rPr>
              <w:t>偏差%</w:t>
            </w:r>
          </w:p>
        </w:tc>
        <w:tc>
          <w:tcPr>
            <w:tcW w:w="992" w:type="dxa"/>
            <w:vAlign w:val="center"/>
          </w:tcPr>
          <w:p w14:paraId="1D313D20">
            <w:pPr>
              <w:spacing w:line="360" w:lineRule="atLeast"/>
              <w:jc w:val="center"/>
              <w:rPr>
                <w:color w:val="auto"/>
                <w:highlight w:val="none"/>
              </w:rPr>
            </w:pPr>
            <w:r>
              <w:rPr>
                <w:rFonts w:hint="eastAsia"/>
                <w:color w:val="auto"/>
                <w:highlight w:val="none"/>
              </w:rPr>
              <w:t>偏差%</w:t>
            </w:r>
          </w:p>
        </w:tc>
        <w:tc>
          <w:tcPr>
            <w:tcW w:w="993" w:type="dxa"/>
            <w:vAlign w:val="center"/>
          </w:tcPr>
          <w:p w14:paraId="662AA987">
            <w:pPr>
              <w:spacing w:line="360" w:lineRule="atLeast"/>
              <w:jc w:val="center"/>
              <w:rPr>
                <w:color w:val="auto"/>
                <w:highlight w:val="none"/>
              </w:rPr>
            </w:pPr>
            <w:r>
              <w:rPr>
                <w:rFonts w:hint="eastAsia"/>
                <w:color w:val="auto"/>
                <w:highlight w:val="none"/>
              </w:rPr>
              <w:t>偏差%</w:t>
            </w:r>
          </w:p>
        </w:tc>
        <w:tc>
          <w:tcPr>
            <w:tcW w:w="992" w:type="dxa"/>
            <w:vAlign w:val="center"/>
          </w:tcPr>
          <w:p w14:paraId="60CEA709">
            <w:pPr>
              <w:spacing w:line="360" w:lineRule="atLeast"/>
              <w:jc w:val="center"/>
              <w:rPr>
                <w:color w:val="auto"/>
                <w:highlight w:val="none"/>
              </w:rPr>
            </w:pPr>
            <w:r>
              <w:rPr>
                <w:rFonts w:hint="eastAsia"/>
                <w:color w:val="auto"/>
                <w:highlight w:val="none"/>
              </w:rPr>
              <w:t>偏差%</w:t>
            </w:r>
          </w:p>
        </w:tc>
        <w:tc>
          <w:tcPr>
            <w:tcW w:w="992" w:type="dxa"/>
            <w:vMerge w:val="continue"/>
            <w:vAlign w:val="center"/>
          </w:tcPr>
          <w:p w14:paraId="28B0C9A7">
            <w:pPr>
              <w:spacing w:line="360" w:lineRule="atLeast"/>
              <w:jc w:val="center"/>
              <w:rPr>
                <w:color w:val="auto"/>
                <w:highlight w:val="none"/>
              </w:rPr>
            </w:pPr>
          </w:p>
        </w:tc>
        <w:tc>
          <w:tcPr>
            <w:tcW w:w="1125" w:type="dxa"/>
            <w:vMerge w:val="continue"/>
            <w:vAlign w:val="center"/>
          </w:tcPr>
          <w:p w14:paraId="610D88A9">
            <w:pPr>
              <w:spacing w:line="360" w:lineRule="atLeast"/>
              <w:jc w:val="center"/>
              <w:rPr>
                <w:color w:val="auto"/>
                <w:highlight w:val="none"/>
              </w:rPr>
            </w:pPr>
          </w:p>
        </w:tc>
        <w:tc>
          <w:tcPr>
            <w:tcW w:w="1118" w:type="dxa"/>
            <w:vMerge w:val="continue"/>
            <w:vAlign w:val="center"/>
          </w:tcPr>
          <w:p w14:paraId="2FA3C00C">
            <w:pPr>
              <w:spacing w:line="360" w:lineRule="atLeast"/>
              <w:jc w:val="center"/>
              <w:rPr>
                <w:color w:val="auto"/>
                <w:highlight w:val="none"/>
              </w:rPr>
            </w:pPr>
          </w:p>
        </w:tc>
        <w:tc>
          <w:tcPr>
            <w:tcW w:w="1118" w:type="dxa"/>
            <w:vMerge w:val="continue"/>
            <w:vAlign w:val="center"/>
          </w:tcPr>
          <w:p w14:paraId="7BD90006">
            <w:pPr>
              <w:spacing w:line="360" w:lineRule="atLeast"/>
              <w:jc w:val="center"/>
              <w:rPr>
                <w:color w:val="auto"/>
                <w:highlight w:val="none"/>
              </w:rPr>
            </w:pPr>
          </w:p>
        </w:tc>
      </w:tr>
      <w:tr w14:paraId="6F08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restart"/>
            <w:vAlign w:val="center"/>
          </w:tcPr>
          <w:p w14:paraId="26CA57BB">
            <w:pPr>
              <w:spacing w:line="360" w:lineRule="atLeast"/>
              <w:jc w:val="center"/>
              <w:rPr>
                <w:rFonts w:eastAsia="黑体"/>
                <w:color w:val="auto"/>
                <w:highlight w:val="none"/>
              </w:rPr>
            </w:pPr>
            <w:r>
              <w:rPr>
                <w:rFonts w:hint="eastAsia" w:eastAsia="黑体"/>
                <w:color w:val="auto"/>
                <w:highlight w:val="none"/>
              </w:rPr>
              <w:t>7</w:t>
            </w:r>
          </w:p>
        </w:tc>
        <w:tc>
          <w:tcPr>
            <w:tcW w:w="2378" w:type="dxa"/>
            <w:vMerge w:val="restart"/>
            <w:vAlign w:val="center"/>
          </w:tcPr>
          <w:p w14:paraId="25BEE7A5">
            <w:pPr>
              <w:spacing w:line="360" w:lineRule="atLeast"/>
              <w:jc w:val="center"/>
              <w:rPr>
                <w:color w:val="auto"/>
                <w:highlight w:val="none"/>
              </w:rPr>
            </w:pPr>
          </w:p>
        </w:tc>
        <w:tc>
          <w:tcPr>
            <w:tcW w:w="851" w:type="dxa"/>
            <w:vAlign w:val="center"/>
          </w:tcPr>
          <w:p w14:paraId="32AF42EE">
            <w:pPr>
              <w:spacing w:line="360" w:lineRule="atLeast"/>
              <w:jc w:val="center"/>
              <w:rPr>
                <w:color w:val="auto"/>
                <w:highlight w:val="none"/>
              </w:rPr>
            </w:pPr>
            <w:r>
              <w:rPr>
                <w:rFonts w:hint="eastAsia"/>
                <w:color w:val="auto"/>
                <w:highlight w:val="none"/>
              </w:rPr>
              <w:t>分值</w:t>
            </w:r>
          </w:p>
        </w:tc>
        <w:tc>
          <w:tcPr>
            <w:tcW w:w="850" w:type="dxa"/>
            <w:vAlign w:val="center"/>
          </w:tcPr>
          <w:p w14:paraId="15BB0B79">
            <w:pPr>
              <w:spacing w:line="360" w:lineRule="atLeast"/>
              <w:jc w:val="center"/>
              <w:rPr>
                <w:color w:val="auto"/>
                <w:highlight w:val="none"/>
              </w:rPr>
            </w:pPr>
            <w:r>
              <w:rPr>
                <w:rFonts w:hint="eastAsia"/>
                <w:color w:val="auto"/>
                <w:highlight w:val="none"/>
              </w:rPr>
              <w:t>分值</w:t>
            </w:r>
          </w:p>
        </w:tc>
        <w:tc>
          <w:tcPr>
            <w:tcW w:w="851" w:type="dxa"/>
            <w:vAlign w:val="center"/>
          </w:tcPr>
          <w:p w14:paraId="2D65A02D">
            <w:pPr>
              <w:spacing w:line="360" w:lineRule="atLeast"/>
              <w:jc w:val="center"/>
              <w:rPr>
                <w:color w:val="auto"/>
                <w:highlight w:val="none"/>
              </w:rPr>
            </w:pPr>
            <w:r>
              <w:rPr>
                <w:rFonts w:hint="eastAsia"/>
                <w:color w:val="auto"/>
                <w:highlight w:val="none"/>
              </w:rPr>
              <w:t>分值</w:t>
            </w:r>
          </w:p>
        </w:tc>
        <w:tc>
          <w:tcPr>
            <w:tcW w:w="992" w:type="dxa"/>
            <w:vAlign w:val="center"/>
          </w:tcPr>
          <w:p w14:paraId="41FB7073">
            <w:pPr>
              <w:spacing w:line="360" w:lineRule="atLeast"/>
              <w:jc w:val="center"/>
              <w:rPr>
                <w:color w:val="auto"/>
                <w:highlight w:val="none"/>
              </w:rPr>
            </w:pPr>
            <w:r>
              <w:rPr>
                <w:rFonts w:hint="eastAsia"/>
                <w:color w:val="auto"/>
                <w:highlight w:val="none"/>
              </w:rPr>
              <w:t>分值</w:t>
            </w:r>
          </w:p>
        </w:tc>
        <w:tc>
          <w:tcPr>
            <w:tcW w:w="992" w:type="dxa"/>
            <w:vAlign w:val="center"/>
          </w:tcPr>
          <w:p w14:paraId="2A16B0A1">
            <w:pPr>
              <w:spacing w:line="360" w:lineRule="atLeast"/>
              <w:jc w:val="center"/>
              <w:rPr>
                <w:color w:val="auto"/>
                <w:highlight w:val="none"/>
              </w:rPr>
            </w:pPr>
            <w:r>
              <w:rPr>
                <w:rFonts w:hint="eastAsia"/>
                <w:color w:val="auto"/>
                <w:highlight w:val="none"/>
              </w:rPr>
              <w:t>分值</w:t>
            </w:r>
          </w:p>
        </w:tc>
        <w:tc>
          <w:tcPr>
            <w:tcW w:w="993" w:type="dxa"/>
            <w:vAlign w:val="center"/>
          </w:tcPr>
          <w:p w14:paraId="347DB3E7">
            <w:pPr>
              <w:spacing w:line="360" w:lineRule="atLeast"/>
              <w:jc w:val="center"/>
              <w:rPr>
                <w:color w:val="auto"/>
                <w:highlight w:val="none"/>
              </w:rPr>
            </w:pPr>
            <w:r>
              <w:rPr>
                <w:rFonts w:hint="eastAsia"/>
                <w:color w:val="auto"/>
                <w:highlight w:val="none"/>
              </w:rPr>
              <w:t>分值</w:t>
            </w:r>
          </w:p>
        </w:tc>
        <w:tc>
          <w:tcPr>
            <w:tcW w:w="992" w:type="dxa"/>
            <w:vAlign w:val="center"/>
          </w:tcPr>
          <w:p w14:paraId="08CAA170">
            <w:pPr>
              <w:spacing w:line="360" w:lineRule="atLeast"/>
              <w:jc w:val="center"/>
              <w:rPr>
                <w:color w:val="auto"/>
                <w:highlight w:val="none"/>
              </w:rPr>
            </w:pPr>
            <w:r>
              <w:rPr>
                <w:rFonts w:hint="eastAsia"/>
                <w:color w:val="auto"/>
                <w:highlight w:val="none"/>
              </w:rPr>
              <w:t>分值</w:t>
            </w:r>
          </w:p>
        </w:tc>
        <w:tc>
          <w:tcPr>
            <w:tcW w:w="992" w:type="dxa"/>
            <w:vMerge w:val="restart"/>
            <w:vAlign w:val="center"/>
          </w:tcPr>
          <w:p w14:paraId="30C8F4AD">
            <w:pPr>
              <w:spacing w:line="360" w:lineRule="atLeast"/>
              <w:jc w:val="center"/>
              <w:rPr>
                <w:color w:val="auto"/>
                <w:highlight w:val="none"/>
              </w:rPr>
            </w:pPr>
          </w:p>
        </w:tc>
        <w:tc>
          <w:tcPr>
            <w:tcW w:w="1125" w:type="dxa"/>
            <w:vMerge w:val="restart"/>
            <w:vAlign w:val="center"/>
          </w:tcPr>
          <w:p w14:paraId="64BFE9F2">
            <w:pPr>
              <w:spacing w:line="360" w:lineRule="atLeast"/>
              <w:jc w:val="center"/>
              <w:rPr>
                <w:color w:val="auto"/>
                <w:highlight w:val="none"/>
              </w:rPr>
            </w:pPr>
          </w:p>
        </w:tc>
        <w:tc>
          <w:tcPr>
            <w:tcW w:w="1118" w:type="dxa"/>
            <w:vMerge w:val="restart"/>
            <w:vAlign w:val="center"/>
          </w:tcPr>
          <w:p w14:paraId="2AE8F864">
            <w:pPr>
              <w:spacing w:line="360" w:lineRule="atLeast"/>
              <w:jc w:val="center"/>
              <w:rPr>
                <w:color w:val="auto"/>
                <w:highlight w:val="none"/>
              </w:rPr>
            </w:pPr>
          </w:p>
        </w:tc>
        <w:tc>
          <w:tcPr>
            <w:tcW w:w="1118" w:type="dxa"/>
            <w:vMerge w:val="restart"/>
            <w:vAlign w:val="center"/>
          </w:tcPr>
          <w:p w14:paraId="4109B424">
            <w:pPr>
              <w:spacing w:line="360" w:lineRule="atLeast"/>
              <w:jc w:val="center"/>
              <w:rPr>
                <w:color w:val="auto"/>
                <w:highlight w:val="none"/>
              </w:rPr>
            </w:pPr>
          </w:p>
        </w:tc>
      </w:tr>
      <w:tr w14:paraId="7E8B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continue"/>
            <w:vAlign w:val="center"/>
          </w:tcPr>
          <w:p w14:paraId="3C401E9F">
            <w:pPr>
              <w:spacing w:line="360" w:lineRule="atLeast"/>
              <w:jc w:val="center"/>
              <w:rPr>
                <w:rFonts w:eastAsia="黑体"/>
                <w:color w:val="auto"/>
                <w:highlight w:val="none"/>
              </w:rPr>
            </w:pPr>
          </w:p>
        </w:tc>
        <w:tc>
          <w:tcPr>
            <w:tcW w:w="2378" w:type="dxa"/>
            <w:vMerge w:val="continue"/>
            <w:vAlign w:val="center"/>
          </w:tcPr>
          <w:p w14:paraId="4560DAF6">
            <w:pPr>
              <w:spacing w:line="360" w:lineRule="atLeast"/>
              <w:jc w:val="center"/>
              <w:rPr>
                <w:color w:val="auto"/>
                <w:highlight w:val="none"/>
              </w:rPr>
            </w:pPr>
          </w:p>
        </w:tc>
        <w:tc>
          <w:tcPr>
            <w:tcW w:w="851" w:type="dxa"/>
            <w:vAlign w:val="center"/>
          </w:tcPr>
          <w:p w14:paraId="7C541AA5">
            <w:pPr>
              <w:spacing w:line="360" w:lineRule="atLeast"/>
              <w:jc w:val="center"/>
              <w:rPr>
                <w:color w:val="auto"/>
                <w:highlight w:val="none"/>
              </w:rPr>
            </w:pPr>
            <w:r>
              <w:rPr>
                <w:rFonts w:hint="eastAsia"/>
                <w:color w:val="auto"/>
                <w:highlight w:val="none"/>
              </w:rPr>
              <w:t>偏差%</w:t>
            </w:r>
          </w:p>
        </w:tc>
        <w:tc>
          <w:tcPr>
            <w:tcW w:w="850" w:type="dxa"/>
            <w:vAlign w:val="center"/>
          </w:tcPr>
          <w:p w14:paraId="4ECAA03D">
            <w:pPr>
              <w:spacing w:line="360" w:lineRule="atLeast"/>
              <w:jc w:val="center"/>
              <w:rPr>
                <w:color w:val="auto"/>
                <w:highlight w:val="none"/>
              </w:rPr>
            </w:pPr>
            <w:r>
              <w:rPr>
                <w:rFonts w:hint="eastAsia"/>
                <w:color w:val="auto"/>
                <w:highlight w:val="none"/>
              </w:rPr>
              <w:t>偏差%</w:t>
            </w:r>
          </w:p>
        </w:tc>
        <w:tc>
          <w:tcPr>
            <w:tcW w:w="851" w:type="dxa"/>
            <w:vAlign w:val="center"/>
          </w:tcPr>
          <w:p w14:paraId="60FE5050">
            <w:pPr>
              <w:spacing w:line="360" w:lineRule="atLeast"/>
              <w:jc w:val="center"/>
              <w:rPr>
                <w:color w:val="auto"/>
                <w:highlight w:val="none"/>
              </w:rPr>
            </w:pPr>
            <w:r>
              <w:rPr>
                <w:rFonts w:hint="eastAsia"/>
                <w:color w:val="auto"/>
                <w:highlight w:val="none"/>
              </w:rPr>
              <w:t>偏差%</w:t>
            </w:r>
          </w:p>
        </w:tc>
        <w:tc>
          <w:tcPr>
            <w:tcW w:w="992" w:type="dxa"/>
            <w:vAlign w:val="center"/>
          </w:tcPr>
          <w:p w14:paraId="52377DAF">
            <w:pPr>
              <w:spacing w:line="360" w:lineRule="atLeast"/>
              <w:jc w:val="center"/>
              <w:rPr>
                <w:color w:val="auto"/>
                <w:highlight w:val="none"/>
              </w:rPr>
            </w:pPr>
            <w:r>
              <w:rPr>
                <w:rFonts w:hint="eastAsia"/>
                <w:color w:val="auto"/>
                <w:highlight w:val="none"/>
              </w:rPr>
              <w:t>偏差%</w:t>
            </w:r>
          </w:p>
        </w:tc>
        <w:tc>
          <w:tcPr>
            <w:tcW w:w="992" w:type="dxa"/>
            <w:vAlign w:val="center"/>
          </w:tcPr>
          <w:p w14:paraId="0045EE48">
            <w:pPr>
              <w:spacing w:line="360" w:lineRule="atLeast"/>
              <w:jc w:val="center"/>
              <w:rPr>
                <w:color w:val="auto"/>
                <w:highlight w:val="none"/>
              </w:rPr>
            </w:pPr>
            <w:r>
              <w:rPr>
                <w:rFonts w:hint="eastAsia"/>
                <w:color w:val="auto"/>
                <w:highlight w:val="none"/>
              </w:rPr>
              <w:t>偏差%</w:t>
            </w:r>
          </w:p>
        </w:tc>
        <w:tc>
          <w:tcPr>
            <w:tcW w:w="993" w:type="dxa"/>
            <w:vAlign w:val="center"/>
          </w:tcPr>
          <w:p w14:paraId="1BC87B08">
            <w:pPr>
              <w:spacing w:line="360" w:lineRule="atLeast"/>
              <w:jc w:val="center"/>
              <w:rPr>
                <w:color w:val="auto"/>
                <w:highlight w:val="none"/>
              </w:rPr>
            </w:pPr>
            <w:r>
              <w:rPr>
                <w:rFonts w:hint="eastAsia"/>
                <w:color w:val="auto"/>
                <w:highlight w:val="none"/>
              </w:rPr>
              <w:t>偏差%</w:t>
            </w:r>
          </w:p>
        </w:tc>
        <w:tc>
          <w:tcPr>
            <w:tcW w:w="992" w:type="dxa"/>
            <w:vAlign w:val="center"/>
          </w:tcPr>
          <w:p w14:paraId="49A1197A">
            <w:pPr>
              <w:spacing w:line="360" w:lineRule="atLeast"/>
              <w:jc w:val="center"/>
              <w:rPr>
                <w:color w:val="auto"/>
                <w:highlight w:val="none"/>
              </w:rPr>
            </w:pPr>
            <w:r>
              <w:rPr>
                <w:rFonts w:hint="eastAsia"/>
                <w:color w:val="auto"/>
                <w:highlight w:val="none"/>
              </w:rPr>
              <w:t>偏差%</w:t>
            </w:r>
          </w:p>
        </w:tc>
        <w:tc>
          <w:tcPr>
            <w:tcW w:w="992" w:type="dxa"/>
            <w:vMerge w:val="continue"/>
            <w:vAlign w:val="center"/>
          </w:tcPr>
          <w:p w14:paraId="788EF3AA">
            <w:pPr>
              <w:spacing w:line="360" w:lineRule="atLeast"/>
              <w:jc w:val="center"/>
              <w:rPr>
                <w:color w:val="auto"/>
                <w:highlight w:val="none"/>
              </w:rPr>
            </w:pPr>
          </w:p>
        </w:tc>
        <w:tc>
          <w:tcPr>
            <w:tcW w:w="1125" w:type="dxa"/>
            <w:vMerge w:val="continue"/>
            <w:vAlign w:val="center"/>
          </w:tcPr>
          <w:p w14:paraId="101EFC91">
            <w:pPr>
              <w:spacing w:line="360" w:lineRule="atLeast"/>
              <w:jc w:val="center"/>
              <w:rPr>
                <w:color w:val="auto"/>
                <w:highlight w:val="none"/>
              </w:rPr>
            </w:pPr>
          </w:p>
        </w:tc>
        <w:tc>
          <w:tcPr>
            <w:tcW w:w="1118" w:type="dxa"/>
            <w:vMerge w:val="continue"/>
            <w:vAlign w:val="center"/>
          </w:tcPr>
          <w:p w14:paraId="51876155">
            <w:pPr>
              <w:spacing w:line="360" w:lineRule="atLeast"/>
              <w:jc w:val="center"/>
              <w:rPr>
                <w:color w:val="auto"/>
                <w:highlight w:val="none"/>
              </w:rPr>
            </w:pPr>
          </w:p>
        </w:tc>
        <w:tc>
          <w:tcPr>
            <w:tcW w:w="1118" w:type="dxa"/>
            <w:vMerge w:val="continue"/>
            <w:vAlign w:val="center"/>
          </w:tcPr>
          <w:p w14:paraId="5FBD8ED9">
            <w:pPr>
              <w:spacing w:line="360" w:lineRule="atLeast"/>
              <w:jc w:val="center"/>
              <w:rPr>
                <w:color w:val="auto"/>
                <w:highlight w:val="none"/>
              </w:rPr>
            </w:pPr>
          </w:p>
        </w:tc>
      </w:tr>
      <w:tr w14:paraId="4075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restart"/>
            <w:vAlign w:val="center"/>
          </w:tcPr>
          <w:p w14:paraId="68B85431">
            <w:pPr>
              <w:spacing w:line="360" w:lineRule="atLeast"/>
              <w:jc w:val="center"/>
              <w:rPr>
                <w:rFonts w:eastAsia="黑体"/>
                <w:color w:val="auto"/>
                <w:highlight w:val="none"/>
              </w:rPr>
            </w:pPr>
            <w:r>
              <w:rPr>
                <w:rFonts w:hint="eastAsia" w:eastAsia="黑体"/>
                <w:color w:val="auto"/>
                <w:highlight w:val="none"/>
              </w:rPr>
              <w:t>8</w:t>
            </w:r>
          </w:p>
        </w:tc>
        <w:tc>
          <w:tcPr>
            <w:tcW w:w="2378" w:type="dxa"/>
            <w:vMerge w:val="restart"/>
            <w:vAlign w:val="center"/>
          </w:tcPr>
          <w:p w14:paraId="4855CA31">
            <w:pPr>
              <w:spacing w:line="360" w:lineRule="atLeast"/>
              <w:jc w:val="center"/>
              <w:rPr>
                <w:color w:val="auto"/>
                <w:highlight w:val="none"/>
              </w:rPr>
            </w:pPr>
          </w:p>
        </w:tc>
        <w:tc>
          <w:tcPr>
            <w:tcW w:w="851" w:type="dxa"/>
            <w:vAlign w:val="center"/>
          </w:tcPr>
          <w:p w14:paraId="746A280D">
            <w:pPr>
              <w:spacing w:line="360" w:lineRule="atLeast"/>
              <w:jc w:val="center"/>
              <w:rPr>
                <w:color w:val="auto"/>
                <w:highlight w:val="none"/>
              </w:rPr>
            </w:pPr>
            <w:r>
              <w:rPr>
                <w:rFonts w:hint="eastAsia"/>
                <w:color w:val="auto"/>
                <w:highlight w:val="none"/>
              </w:rPr>
              <w:t>分值</w:t>
            </w:r>
          </w:p>
        </w:tc>
        <w:tc>
          <w:tcPr>
            <w:tcW w:w="850" w:type="dxa"/>
            <w:vAlign w:val="center"/>
          </w:tcPr>
          <w:p w14:paraId="32B71874">
            <w:pPr>
              <w:spacing w:line="360" w:lineRule="atLeast"/>
              <w:jc w:val="center"/>
              <w:rPr>
                <w:color w:val="auto"/>
                <w:highlight w:val="none"/>
              </w:rPr>
            </w:pPr>
            <w:r>
              <w:rPr>
                <w:rFonts w:hint="eastAsia"/>
                <w:color w:val="auto"/>
                <w:highlight w:val="none"/>
              </w:rPr>
              <w:t>分值</w:t>
            </w:r>
          </w:p>
        </w:tc>
        <w:tc>
          <w:tcPr>
            <w:tcW w:w="851" w:type="dxa"/>
            <w:vAlign w:val="center"/>
          </w:tcPr>
          <w:p w14:paraId="11FACD64">
            <w:pPr>
              <w:spacing w:line="360" w:lineRule="atLeast"/>
              <w:jc w:val="center"/>
              <w:rPr>
                <w:color w:val="auto"/>
                <w:highlight w:val="none"/>
              </w:rPr>
            </w:pPr>
            <w:r>
              <w:rPr>
                <w:rFonts w:hint="eastAsia"/>
                <w:color w:val="auto"/>
                <w:highlight w:val="none"/>
              </w:rPr>
              <w:t>分值</w:t>
            </w:r>
          </w:p>
        </w:tc>
        <w:tc>
          <w:tcPr>
            <w:tcW w:w="992" w:type="dxa"/>
            <w:vAlign w:val="center"/>
          </w:tcPr>
          <w:p w14:paraId="53BF2E15">
            <w:pPr>
              <w:spacing w:line="360" w:lineRule="atLeast"/>
              <w:jc w:val="center"/>
              <w:rPr>
                <w:color w:val="auto"/>
                <w:highlight w:val="none"/>
              </w:rPr>
            </w:pPr>
            <w:r>
              <w:rPr>
                <w:rFonts w:hint="eastAsia"/>
                <w:color w:val="auto"/>
                <w:highlight w:val="none"/>
              </w:rPr>
              <w:t>分值</w:t>
            </w:r>
          </w:p>
        </w:tc>
        <w:tc>
          <w:tcPr>
            <w:tcW w:w="992" w:type="dxa"/>
            <w:vAlign w:val="center"/>
          </w:tcPr>
          <w:p w14:paraId="6DE8F5E4">
            <w:pPr>
              <w:spacing w:line="360" w:lineRule="atLeast"/>
              <w:jc w:val="center"/>
              <w:rPr>
                <w:color w:val="auto"/>
                <w:highlight w:val="none"/>
              </w:rPr>
            </w:pPr>
            <w:r>
              <w:rPr>
                <w:rFonts w:hint="eastAsia"/>
                <w:color w:val="auto"/>
                <w:highlight w:val="none"/>
              </w:rPr>
              <w:t>分值</w:t>
            </w:r>
          </w:p>
        </w:tc>
        <w:tc>
          <w:tcPr>
            <w:tcW w:w="993" w:type="dxa"/>
            <w:vAlign w:val="center"/>
          </w:tcPr>
          <w:p w14:paraId="0DFC46CB">
            <w:pPr>
              <w:spacing w:line="360" w:lineRule="atLeast"/>
              <w:jc w:val="center"/>
              <w:rPr>
                <w:color w:val="auto"/>
                <w:highlight w:val="none"/>
              </w:rPr>
            </w:pPr>
            <w:r>
              <w:rPr>
                <w:rFonts w:hint="eastAsia"/>
                <w:color w:val="auto"/>
                <w:highlight w:val="none"/>
              </w:rPr>
              <w:t>分值</w:t>
            </w:r>
          </w:p>
        </w:tc>
        <w:tc>
          <w:tcPr>
            <w:tcW w:w="992" w:type="dxa"/>
            <w:vAlign w:val="center"/>
          </w:tcPr>
          <w:p w14:paraId="0003A5BC">
            <w:pPr>
              <w:spacing w:line="360" w:lineRule="atLeast"/>
              <w:jc w:val="center"/>
              <w:rPr>
                <w:color w:val="auto"/>
                <w:highlight w:val="none"/>
              </w:rPr>
            </w:pPr>
            <w:r>
              <w:rPr>
                <w:rFonts w:hint="eastAsia"/>
                <w:color w:val="auto"/>
                <w:highlight w:val="none"/>
              </w:rPr>
              <w:t>分值</w:t>
            </w:r>
          </w:p>
        </w:tc>
        <w:tc>
          <w:tcPr>
            <w:tcW w:w="992" w:type="dxa"/>
            <w:vMerge w:val="restart"/>
            <w:vAlign w:val="center"/>
          </w:tcPr>
          <w:p w14:paraId="2546B4DA">
            <w:pPr>
              <w:spacing w:line="360" w:lineRule="atLeast"/>
              <w:jc w:val="center"/>
              <w:rPr>
                <w:color w:val="auto"/>
                <w:highlight w:val="none"/>
              </w:rPr>
            </w:pPr>
          </w:p>
        </w:tc>
        <w:tc>
          <w:tcPr>
            <w:tcW w:w="1125" w:type="dxa"/>
            <w:vMerge w:val="restart"/>
            <w:vAlign w:val="center"/>
          </w:tcPr>
          <w:p w14:paraId="468B3B2E">
            <w:pPr>
              <w:spacing w:line="360" w:lineRule="atLeast"/>
              <w:jc w:val="center"/>
              <w:rPr>
                <w:color w:val="auto"/>
                <w:highlight w:val="none"/>
              </w:rPr>
            </w:pPr>
          </w:p>
        </w:tc>
        <w:tc>
          <w:tcPr>
            <w:tcW w:w="1118" w:type="dxa"/>
            <w:vMerge w:val="restart"/>
            <w:vAlign w:val="center"/>
          </w:tcPr>
          <w:p w14:paraId="57A68B7D">
            <w:pPr>
              <w:spacing w:line="360" w:lineRule="atLeast"/>
              <w:jc w:val="center"/>
              <w:rPr>
                <w:color w:val="auto"/>
                <w:highlight w:val="none"/>
              </w:rPr>
            </w:pPr>
          </w:p>
        </w:tc>
        <w:tc>
          <w:tcPr>
            <w:tcW w:w="1118" w:type="dxa"/>
            <w:vMerge w:val="restart"/>
            <w:vAlign w:val="center"/>
          </w:tcPr>
          <w:p w14:paraId="7715CB50">
            <w:pPr>
              <w:spacing w:line="360" w:lineRule="atLeast"/>
              <w:jc w:val="center"/>
              <w:rPr>
                <w:color w:val="auto"/>
                <w:highlight w:val="none"/>
              </w:rPr>
            </w:pPr>
          </w:p>
        </w:tc>
      </w:tr>
      <w:tr w14:paraId="7EE6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continue"/>
            <w:vAlign w:val="center"/>
          </w:tcPr>
          <w:p w14:paraId="0AA56698">
            <w:pPr>
              <w:spacing w:line="360" w:lineRule="atLeast"/>
              <w:jc w:val="center"/>
              <w:rPr>
                <w:rFonts w:eastAsia="黑体"/>
                <w:color w:val="auto"/>
                <w:highlight w:val="none"/>
              </w:rPr>
            </w:pPr>
          </w:p>
        </w:tc>
        <w:tc>
          <w:tcPr>
            <w:tcW w:w="2378" w:type="dxa"/>
            <w:vMerge w:val="continue"/>
            <w:vAlign w:val="center"/>
          </w:tcPr>
          <w:p w14:paraId="5D78ED5A">
            <w:pPr>
              <w:spacing w:line="360" w:lineRule="atLeast"/>
              <w:jc w:val="center"/>
              <w:rPr>
                <w:color w:val="auto"/>
                <w:highlight w:val="none"/>
              </w:rPr>
            </w:pPr>
          </w:p>
        </w:tc>
        <w:tc>
          <w:tcPr>
            <w:tcW w:w="851" w:type="dxa"/>
            <w:vAlign w:val="center"/>
          </w:tcPr>
          <w:p w14:paraId="0D27F1FA">
            <w:pPr>
              <w:spacing w:line="360" w:lineRule="atLeast"/>
              <w:jc w:val="center"/>
              <w:rPr>
                <w:color w:val="auto"/>
                <w:highlight w:val="none"/>
              </w:rPr>
            </w:pPr>
            <w:r>
              <w:rPr>
                <w:rFonts w:hint="eastAsia"/>
                <w:color w:val="auto"/>
                <w:highlight w:val="none"/>
              </w:rPr>
              <w:t>偏差%</w:t>
            </w:r>
          </w:p>
        </w:tc>
        <w:tc>
          <w:tcPr>
            <w:tcW w:w="850" w:type="dxa"/>
            <w:vAlign w:val="center"/>
          </w:tcPr>
          <w:p w14:paraId="6F0C26F2">
            <w:pPr>
              <w:spacing w:line="360" w:lineRule="atLeast"/>
              <w:jc w:val="center"/>
              <w:rPr>
                <w:color w:val="auto"/>
                <w:highlight w:val="none"/>
              </w:rPr>
            </w:pPr>
            <w:r>
              <w:rPr>
                <w:rFonts w:hint="eastAsia"/>
                <w:color w:val="auto"/>
                <w:highlight w:val="none"/>
              </w:rPr>
              <w:t>偏差%</w:t>
            </w:r>
          </w:p>
        </w:tc>
        <w:tc>
          <w:tcPr>
            <w:tcW w:w="851" w:type="dxa"/>
            <w:vAlign w:val="center"/>
          </w:tcPr>
          <w:p w14:paraId="18A7DEBB">
            <w:pPr>
              <w:spacing w:line="360" w:lineRule="atLeast"/>
              <w:jc w:val="center"/>
              <w:rPr>
                <w:color w:val="auto"/>
                <w:highlight w:val="none"/>
              </w:rPr>
            </w:pPr>
            <w:r>
              <w:rPr>
                <w:rFonts w:hint="eastAsia"/>
                <w:color w:val="auto"/>
                <w:highlight w:val="none"/>
              </w:rPr>
              <w:t>偏差%</w:t>
            </w:r>
          </w:p>
        </w:tc>
        <w:tc>
          <w:tcPr>
            <w:tcW w:w="992" w:type="dxa"/>
            <w:vAlign w:val="center"/>
          </w:tcPr>
          <w:p w14:paraId="2820F982">
            <w:pPr>
              <w:spacing w:line="360" w:lineRule="atLeast"/>
              <w:jc w:val="center"/>
              <w:rPr>
                <w:color w:val="auto"/>
                <w:highlight w:val="none"/>
              </w:rPr>
            </w:pPr>
            <w:r>
              <w:rPr>
                <w:rFonts w:hint="eastAsia"/>
                <w:color w:val="auto"/>
                <w:highlight w:val="none"/>
              </w:rPr>
              <w:t>偏差%</w:t>
            </w:r>
          </w:p>
        </w:tc>
        <w:tc>
          <w:tcPr>
            <w:tcW w:w="992" w:type="dxa"/>
            <w:vAlign w:val="center"/>
          </w:tcPr>
          <w:p w14:paraId="34BB5919">
            <w:pPr>
              <w:spacing w:line="360" w:lineRule="atLeast"/>
              <w:jc w:val="center"/>
              <w:rPr>
                <w:color w:val="auto"/>
                <w:highlight w:val="none"/>
              </w:rPr>
            </w:pPr>
            <w:r>
              <w:rPr>
                <w:rFonts w:hint="eastAsia"/>
                <w:color w:val="auto"/>
                <w:highlight w:val="none"/>
              </w:rPr>
              <w:t>偏差%</w:t>
            </w:r>
          </w:p>
        </w:tc>
        <w:tc>
          <w:tcPr>
            <w:tcW w:w="993" w:type="dxa"/>
            <w:vAlign w:val="center"/>
          </w:tcPr>
          <w:p w14:paraId="5030E4F1">
            <w:pPr>
              <w:spacing w:line="360" w:lineRule="atLeast"/>
              <w:jc w:val="center"/>
              <w:rPr>
                <w:color w:val="auto"/>
                <w:highlight w:val="none"/>
              </w:rPr>
            </w:pPr>
            <w:r>
              <w:rPr>
                <w:rFonts w:hint="eastAsia"/>
                <w:color w:val="auto"/>
                <w:highlight w:val="none"/>
              </w:rPr>
              <w:t>偏差%</w:t>
            </w:r>
          </w:p>
        </w:tc>
        <w:tc>
          <w:tcPr>
            <w:tcW w:w="992" w:type="dxa"/>
            <w:vAlign w:val="center"/>
          </w:tcPr>
          <w:p w14:paraId="16F43BAE">
            <w:pPr>
              <w:spacing w:line="360" w:lineRule="atLeast"/>
              <w:jc w:val="center"/>
              <w:rPr>
                <w:color w:val="auto"/>
                <w:highlight w:val="none"/>
              </w:rPr>
            </w:pPr>
            <w:r>
              <w:rPr>
                <w:rFonts w:hint="eastAsia"/>
                <w:color w:val="auto"/>
                <w:highlight w:val="none"/>
              </w:rPr>
              <w:t>偏差%</w:t>
            </w:r>
          </w:p>
        </w:tc>
        <w:tc>
          <w:tcPr>
            <w:tcW w:w="992" w:type="dxa"/>
            <w:vMerge w:val="continue"/>
            <w:vAlign w:val="center"/>
          </w:tcPr>
          <w:p w14:paraId="0DB73EF4">
            <w:pPr>
              <w:spacing w:line="360" w:lineRule="atLeast"/>
              <w:jc w:val="center"/>
              <w:rPr>
                <w:color w:val="auto"/>
                <w:highlight w:val="none"/>
              </w:rPr>
            </w:pPr>
          </w:p>
        </w:tc>
        <w:tc>
          <w:tcPr>
            <w:tcW w:w="1125" w:type="dxa"/>
            <w:vMerge w:val="continue"/>
            <w:vAlign w:val="center"/>
          </w:tcPr>
          <w:p w14:paraId="6BCE4BEB">
            <w:pPr>
              <w:spacing w:line="360" w:lineRule="atLeast"/>
              <w:jc w:val="center"/>
              <w:rPr>
                <w:color w:val="auto"/>
                <w:highlight w:val="none"/>
              </w:rPr>
            </w:pPr>
          </w:p>
        </w:tc>
        <w:tc>
          <w:tcPr>
            <w:tcW w:w="1118" w:type="dxa"/>
            <w:vMerge w:val="continue"/>
            <w:vAlign w:val="center"/>
          </w:tcPr>
          <w:p w14:paraId="23E1207D">
            <w:pPr>
              <w:spacing w:line="360" w:lineRule="atLeast"/>
              <w:jc w:val="center"/>
              <w:rPr>
                <w:color w:val="auto"/>
                <w:highlight w:val="none"/>
              </w:rPr>
            </w:pPr>
          </w:p>
        </w:tc>
        <w:tc>
          <w:tcPr>
            <w:tcW w:w="1118" w:type="dxa"/>
            <w:vMerge w:val="continue"/>
            <w:vAlign w:val="center"/>
          </w:tcPr>
          <w:p w14:paraId="5169DACD">
            <w:pPr>
              <w:spacing w:line="360" w:lineRule="atLeast"/>
              <w:jc w:val="center"/>
              <w:rPr>
                <w:color w:val="auto"/>
                <w:highlight w:val="none"/>
              </w:rPr>
            </w:pPr>
          </w:p>
        </w:tc>
      </w:tr>
      <w:tr w14:paraId="7926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restart"/>
            <w:vAlign w:val="center"/>
          </w:tcPr>
          <w:p w14:paraId="7DEE5C87">
            <w:pPr>
              <w:spacing w:line="360" w:lineRule="atLeast"/>
              <w:jc w:val="center"/>
              <w:rPr>
                <w:rFonts w:eastAsia="黑体"/>
                <w:color w:val="auto"/>
                <w:highlight w:val="none"/>
              </w:rPr>
            </w:pPr>
            <w:r>
              <w:rPr>
                <w:rFonts w:hint="eastAsia" w:eastAsia="黑体"/>
                <w:color w:val="auto"/>
                <w:highlight w:val="none"/>
              </w:rPr>
              <w:t>9</w:t>
            </w:r>
          </w:p>
        </w:tc>
        <w:tc>
          <w:tcPr>
            <w:tcW w:w="2378" w:type="dxa"/>
            <w:vMerge w:val="restart"/>
            <w:vAlign w:val="center"/>
          </w:tcPr>
          <w:p w14:paraId="1CA180DA">
            <w:pPr>
              <w:spacing w:line="360" w:lineRule="atLeast"/>
              <w:jc w:val="center"/>
              <w:rPr>
                <w:color w:val="auto"/>
                <w:highlight w:val="none"/>
              </w:rPr>
            </w:pPr>
          </w:p>
        </w:tc>
        <w:tc>
          <w:tcPr>
            <w:tcW w:w="851" w:type="dxa"/>
            <w:vAlign w:val="center"/>
          </w:tcPr>
          <w:p w14:paraId="16BAAD56">
            <w:pPr>
              <w:spacing w:line="360" w:lineRule="atLeast"/>
              <w:jc w:val="center"/>
              <w:rPr>
                <w:color w:val="auto"/>
                <w:highlight w:val="none"/>
              </w:rPr>
            </w:pPr>
            <w:r>
              <w:rPr>
                <w:rFonts w:hint="eastAsia"/>
                <w:color w:val="auto"/>
                <w:highlight w:val="none"/>
              </w:rPr>
              <w:t>分值</w:t>
            </w:r>
          </w:p>
        </w:tc>
        <w:tc>
          <w:tcPr>
            <w:tcW w:w="850" w:type="dxa"/>
            <w:vAlign w:val="center"/>
          </w:tcPr>
          <w:p w14:paraId="5CB7993B">
            <w:pPr>
              <w:spacing w:line="360" w:lineRule="atLeast"/>
              <w:jc w:val="center"/>
              <w:rPr>
                <w:color w:val="auto"/>
                <w:highlight w:val="none"/>
              </w:rPr>
            </w:pPr>
            <w:r>
              <w:rPr>
                <w:rFonts w:hint="eastAsia"/>
                <w:color w:val="auto"/>
                <w:highlight w:val="none"/>
              </w:rPr>
              <w:t>分值</w:t>
            </w:r>
          </w:p>
        </w:tc>
        <w:tc>
          <w:tcPr>
            <w:tcW w:w="851" w:type="dxa"/>
            <w:vAlign w:val="center"/>
          </w:tcPr>
          <w:p w14:paraId="40CA8DAA">
            <w:pPr>
              <w:spacing w:line="360" w:lineRule="atLeast"/>
              <w:jc w:val="center"/>
              <w:rPr>
                <w:color w:val="auto"/>
                <w:highlight w:val="none"/>
              </w:rPr>
            </w:pPr>
            <w:r>
              <w:rPr>
                <w:rFonts w:hint="eastAsia"/>
                <w:color w:val="auto"/>
                <w:highlight w:val="none"/>
              </w:rPr>
              <w:t>分值</w:t>
            </w:r>
          </w:p>
        </w:tc>
        <w:tc>
          <w:tcPr>
            <w:tcW w:w="992" w:type="dxa"/>
            <w:vAlign w:val="center"/>
          </w:tcPr>
          <w:p w14:paraId="09A34DF3">
            <w:pPr>
              <w:spacing w:line="360" w:lineRule="atLeast"/>
              <w:jc w:val="center"/>
              <w:rPr>
                <w:color w:val="auto"/>
                <w:highlight w:val="none"/>
              </w:rPr>
            </w:pPr>
            <w:r>
              <w:rPr>
                <w:rFonts w:hint="eastAsia"/>
                <w:color w:val="auto"/>
                <w:highlight w:val="none"/>
              </w:rPr>
              <w:t>分值</w:t>
            </w:r>
          </w:p>
        </w:tc>
        <w:tc>
          <w:tcPr>
            <w:tcW w:w="992" w:type="dxa"/>
            <w:vAlign w:val="center"/>
          </w:tcPr>
          <w:p w14:paraId="557C5ABE">
            <w:pPr>
              <w:spacing w:line="360" w:lineRule="atLeast"/>
              <w:jc w:val="center"/>
              <w:rPr>
                <w:color w:val="auto"/>
                <w:highlight w:val="none"/>
              </w:rPr>
            </w:pPr>
            <w:r>
              <w:rPr>
                <w:rFonts w:hint="eastAsia"/>
                <w:color w:val="auto"/>
                <w:highlight w:val="none"/>
              </w:rPr>
              <w:t>分值</w:t>
            </w:r>
          </w:p>
        </w:tc>
        <w:tc>
          <w:tcPr>
            <w:tcW w:w="993" w:type="dxa"/>
            <w:vAlign w:val="center"/>
          </w:tcPr>
          <w:p w14:paraId="1EB8DBFC">
            <w:pPr>
              <w:spacing w:line="360" w:lineRule="atLeast"/>
              <w:jc w:val="center"/>
              <w:rPr>
                <w:color w:val="auto"/>
                <w:highlight w:val="none"/>
              </w:rPr>
            </w:pPr>
            <w:r>
              <w:rPr>
                <w:rFonts w:hint="eastAsia"/>
                <w:color w:val="auto"/>
                <w:highlight w:val="none"/>
              </w:rPr>
              <w:t>分值</w:t>
            </w:r>
          </w:p>
        </w:tc>
        <w:tc>
          <w:tcPr>
            <w:tcW w:w="992" w:type="dxa"/>
            <w:vAlign w:val="center"/>
          </w:tcPr>
          <w:p w14:paraId="57B42408">
            <w:pPr>
              <w:spacing w:line="360" w:lineRule="atLeast"/>
              <w:jc w:val="center"/>
              <w:rPr>
                <w:color w:val="auto"/>
                <w:highlight w:val="none"/>
              </w:rPr>
            </w:pPr>
            <w:r>
              <w:rPr>
                <w:rFonts w:hint="eastAsia"/>
                <w:color w:val="auto"/>
                <w:highlight w:val="none"/>
              </w:rPr>
              <w:t>分值</w:t>
            </w:r>
          </w:p>
        </w:tc>
        <w:tc>
          <w:tcPr>
            <w:tcW w:w="992" w:type="dxa"/>
            <w:vMerge w:val="restart"/>
            <w:vAlign w:val="center"/>
          </w:tcPr>
          <w:p w14:paraId="3A4A0C1B">
            <w:pPr>
              <w:spacing w:line="360" w:lineRule="atLeast"/>
              <w:jc w:val="center"/>
              <w:rPr>
                <w:color w:val="auto"/>
                <w:highlight w:val="none"/>
              </w:rPr>
            </w:pPr>
          </w:p>
        </w:tc>
        <w:tc>
          <w:tcPr>
            <w:tcW w:w="1125" w:type="dxa"/>
            <w:vMerge w:val="restart"/>
            <w:vAlign w:val="center"/>
          </w:tcPr>
          <w:p w14:paraId="406E0320">
            <w:pPr>
              <w:spacing w:line="360" w:lineRule="atLeast"/>
              <w:jc w:val="center"/>
              <w:rPr>
                <w:color w:val="auto"/>
                <w:highlight w:val="none"/>
              </w:rPr>
            </w:pPr>
          </w:p>
        </w:tc>
        <w:tc>
          <w:tcPr>
            <w:tcW w:w="1118" w:type="dxa"/>
            <w:vMerge w:val="restart"/>
            <w:vAlign w:val="center"/>
          </w:tcPr>
          <w:p w14:paraId="36F66BB1">
            <w:pPr>
              <w:spacing w:line="360" w:lineRule="atLeast"/>
              <w:jc w:val="center"/>
              <w:rPr>
                <w:color w:val="auto"/>
                <w:highlight w:val="none"/>
              </w:rPr>
            </w:pPr>
          </w:p>
        </w:tc>
        <w:tc>
          <w:tcPr>
            <w:tcW w:w="1118" w:type="dxa"/>
            <w:vMerge w:val="restart"/>
            <w:vAlign w:val="center"/>
          </w:tcPr>
          <w:p w14:paraId="3B6F3F3F">
            <w:pPr>
              <w:spacing w:line="360" w:lineRule="atLeast"/>
              <w:jc w:val="center"/>
              <w:rPr>
                <w:color w:val="auto"/>
                <w:highlight w:val="none"/>
              </w:rPr>
            </w:pPr>
          </w:p>
        </w:tc>
      </w:tr>
      <w:tr w14:paraId="0450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continue"/>
            <w:vAlign w:val="center"/>
          </w:tcPr>
          <w:p w14:paraId="2FE233DB">
            <w:pPr>
              <w:spacing w:line="360" w:lineRule="atLeast"/>
              <w:jc w:val="center"/>
              <w:rPr>
                <w:rFonts w:eastAsia="黑体"/>
                <w:color w:val="auto"/>
                <w:highlight w:val="none"/>
              </w:rPr>
            </w:pPr>
          </w:p>
        </w:tc>
        <w:tc>
          <w:tcPr>
            <w:tcW w:w="2378" w:type="dxa"/>
            <w:vMerge w:val="continue"/>
            <w:vAlign w:val="center"/>
          </w:tcPr>
          <w:p w14:paraId="07D77363">
            <w:pPr>
              <w:spacing w:line="360" w:lineRule="atLeast"/>
              <w:jc w:val="center"/>
              <w:rPr>
                <w:color w:val="auto"/>
                <w:highlight w:val="none"/>
              </w:rPr>
            </w:pPr>
          </w:p>
        </w:tc>
        <w:tc>
          <w:tcPr>
            <w:tcW w:w="851" w:type="dxa"/>
            <w:vAlign w:val="center"/>
          </w:tcPr>
          <w:p w14:paraId="6F65E8DF">
            <w:pPr>
              <w:spacing w:line="360" w:lineRule="atLeast"/>
              <w:jc w:val="center"/>
              <w:rPr>
                <w:color w:val="auto"/>
                <w:highlight w:val="none"/>
              </w:rPr>
            </w:pPr>
            <w:r>
              <w:rPr>
                <w:rFonts w:hint="eastAsia"/>
                <w:color w:val="auto"/>
                <w:highlight w:val="none"/>
              </w:rPr>
              <w:t>偏差%</w:t>
            </w:r>
          </w:p>
        </w:tc>
        <w:tc>
          <w:tcPr>
            <w:tcW w:w="850" w:type="dxa"/>
            <w:vAlign w:val="center"/>
          </w:tcPr>
          <w:p w14:paraId="2C997B06">
            <w:pPr>
              <w:spacing w:line="360" w:lineRule="atLeast"/>
              <w:jc w:val="center"/>
              <w:rPr>
                <w:color w:val="auto"/>
                <w:highlight w:val="none"/>
              </w:rPr>
            </w:pPr>
            <w:r>
              <w:rPr>
                <w:rFonts w:hint="eastAsia"/>
                <w:color w:val="auto"/>
                <w:highlight w:val="none"/>
              </w:rPr>
              <w:t>偏差%</w:t>
            </w:r>
          </w:p>
        </w:tc>
        <w:tc>
          <w:tcPr>
            <w:tcW w:w="851" w:type="dxa"/>
            <w:vAlign w:val="center"/>
          </w:tcPr>
          <w:p w14:paraId="065CF6AC">
            <w:pPr>
              <w:spacing w:line="360" w:lineRule="atLeast"/>
              <w:jc w:val="center"/>
              <w:rPr>
                <w:color w:val="auto"/>
                <w:highlight w:val="none"/>
              </w:rPr>
            </w:pPr>
            <w:r>
              <w:rPr>
                <w:rFonts w:hint="eastAsia"/>
                <w:color w:val="auto"/>
                <w:highlight w:val="none"/>
              </w:rPr>
              <w:t>偏差%</w:t>
            </w:r>
          </w:p>
        </w:tc>
        <w:tc>
          <w:tcPr>
            <w:tcW w:w="992" w:type="dxa"/>
            <w:vAlign w:val="center"/>
          </w:tcPr>
          <w:p w14:paraId="30075922">
            <w:pPr>
              <w:spacing w:line="360" w:lineRule="atLeast"/>
              <w:jc w:val="center"/>
              <w:rPr>
                <w:color w:val="auto"/>
                <w:highlight w:val="none"/>
              </w:rPr>
            </w:pPr>
            <w:r>
              <w:rPr>
                <w:rFonts w:hint="eastAsia"/>
                <w:color w:val="auto"/>
                <w:highlight w:val="none"/>
              </w:rPr>
              <w:t>偏差%</w:t>
            </w:r>
          </w:p>
        </w:tc>
        <w:tc>
          <w:tcPr>
            <w:tcW w:w="992" w:type="dxa"/>
            <w:vAlign w:val="center"/>
          </w:tcPr>
          <w:p w14:paraId="0CBE1EE9">
            <w:pPr>
              <w:spacing w:line="360" w:lineRule="atLeast"/>
              <w:jc w:val="center"/>
              <w:rPr>
                <w:color w:val="auto"/>
                <w:highlight w:val="none"/>
              </w:rPr>
            </w:pPr>
            <w:r>
              <w:rPr>
                <w:rFonts w:hint="eastAsia"/>
                <w:color w:val="auto"/>
                <w:highlight w:val="none"/>
              </w:rPr>
              <w:t>偏差%</w:t>
            </w:r>
          </w:p>
        </w:tc>
        <w:tc>
          <w:tcPr>
            <w:tcW w:w="993" w:type="dxa"/>
            <w:vAlign w:val="center"/>
          </w:tcPr>
          <w:p w14:paraId="188C989F">
            <w:pPr>
              <w:spacing w:line="360" w:lineRule="atLeast"/>
              <w:jc w:val="center"/>
              <w:rPr>
                <w:color w:val="auto"/>
                <w:highlight w:val="none"/>
              </w:rPr>
            </w:pPr>
            <w:r>
              <w:rPr>
                <w:rFonts w:hint="eastAsia"/>
                <w:color w:val="auto"/>
                <w:highlight w:val="none"/>
              </w:rPr>
              <w:t>偏差%</w:t>
            </w:r>
          </w:p>
        </w:tc>
        <w:tc>
          <w:tcPr>
            <w:tcW w:w="992" w:type="dxa"/>
            <w:vAlign w:val="center"/>
          </w:tcPr>
          <w:p w14:paraId="3BBBCF4F">
            <w:pPr>
              <w:spacing w:line="360" w:lineRule="atLeast"/>
              <w:jc w:val="center"/>
              <w:rPr>
                <w:color w:val="auto"/>
                <w:highlight w:val="none"/>
              </w:rPr>
            </w:pPr>
            <w:r>
              <w:rPr>
                <w:rFonts w:hint="eastAsia"/>
                <w:color w:val="auto"/>
                <w:highlight w:val="none"/>
              </w:rPr>
              <w:t>偏差%</w:t>
            </w:r>
          </w:p>
        </w:tc>
        <w:tc>
          <w:tcPr>
            <w:tcW w:w="992" w:type="dxa"/>
            <w:vMerge w:val="continue"/>
            <w:vAlign w:val="center"/>
          </w:tcPr>
          <w:p w14:paraId="05CA6739">
            <w:pPr>
              <w:spacing w:line="360" w:lineRule="atLeast"/>
              <w:jc w:val="center"/>
              <w:rPr>
                <w:color w:val="auto"/>
                <w:highlight w:val="none"/>
              </w:rPr>
            </w:pPr>
          </w:p>
        </w:tc>
        <w:tc>
          <w:tcPr>
            <w:tcW w:w="1125" w:type="dxa"/>
            <w:vMerge w:val="continue"/>
            <w:vAlign w:val="center"/>
          </w:tcPr>
          <w:p w14:paraId="280CB39C">
            <w:pPr>
              <w:spacing w:line="360" w:lineRule="atLeast"/>
              <w:jc w:val="center"/>
              <w:rPr>
                <w:color w:val="auto"/>
                <w:highlight w:val="none"/>
              </w:rPr>
            </w:pPr>
          </w:p>
        </w:tc>
        <w:tc>
          <w:tcPr>
            <w:tcW w:w="1118" w:type="dxa"/>
            <w:vMerge w:val="continue"/>
            <w:vAlign w:val="center"/>
          </w:tcPr>
          <w:p w14:paraId="7FA76A2A">
            <w:pPr>
              <w:spacing w:line="360" w:lineRule="atLeast"/>
              <w:jc w:val="center"/>
              <w:rPr>
                <w:color w:val="auto"/>
                <w:highlight w:val="none"/>
              </w:rPr>
            </w:pPr>
          </w:p>
        </w:tc>
        <w:tc>
          <w:tcPr>
            <w:tcW w:w="1118" w:type="dxa"/>
            <w:vMerge w:val="continue"/>
            <w:vAlign w:val="center"/>
          </w:tcPr>
          <w:p w14:paraId="21397C55">
            <w:pPr>
              <w:spacing w:line="360" w:lineRule="atLeast"/>
              <w:jc w:val="center"/>
              <w:rPr>
                <w:color w:val="auto"/>
                <w:highlight w:val="none"/>
              </w:rPr>
            </w:pPr>
          </w:p>
        </w:tc>
      </w:tr>
      <w:tr w14:paraId="3FDC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5" w:type="dxa"/>
            <w:vAlign w:val="center"/>
          </w:tcPr>
          <w:p w14:paraId="27B8F8A4">
            <w:pPr>
              <w:spacing w:line="360" w:lineRule="atLeast"/>
              <w:jc w:val="center"/>
              <w:rPr>
                <w:color w:val="auto"/>
                <w:highlight w:val="none"/>
              </w:rPr>
            </w:pPr>
          </w:p>
        </w:tc>
        <w:tc>
          <w:tcPr>
            <w:tcW w:w="2378" w:type="dxa"/>
            <w:vAlign w:val="center"/>
          </w:tcPr>
          <w:p w14:paraId="48CC0317">
            <w:pPr>
              <w:spacing w:line="360" w:lineRule="atLeast"/>
              <w:jc w:val="center"/>
              <w:rPr>
                <w:color w:val="auto"/>
                <w:highlight w:val="none"/>
              </w:rPr>
            </w:pPr>
            <w:r>
              <w:rPr>
                <w:rFonts w:hint="eastAsia"/>
                <w:color w:val="auto"/>
                <w:highlight w:val="none"/>
              </w:rPr>
              <w:t>总得分</w:t>
            </w:r>
          </w:p>
        </w:tc>
        <w:tc>
          <w:tcPr>
            <w:tcW w:w="10874" w:type="dxa"/>
            <w:gridSpan w:val="11"/>
            <w:vAlign w:val="center"/>
          </w:tcPr>
          <w:p w14:paraId="0F2F6318">
            <w:pPr>
              <w:spacing w:line="360" w:lineRule="atLeast"/>
              <w:jc w:val="center"/>
              <w:rPr>
                <w:color w:val="auto"/>
                <w:highlight w:val="none"/>
              </w:rPr>
            </w:pPr>
          </w:p>
        </w:tc>
      </w:tr>
    </w:tbl>
    <w:p w14:paraId="393282D3">
      <w:pPr>
        <w:spacing w:after="240" w:afterLines="100"/>
        <w:rPr>
          <w:b/>
          <w:bCs/>
          <w:color w:val="auto"/>
          <w:highlight w:val="none"/>
        </w:rPr>
      </w:pPr>
      <w:r>
        <w:rPr>
          <w:rFonts w:hint="eastAsia" w:eastAsia="楷体_GB2312"/>
          <w:b/>
          <w:bCs/>
          <w:color w:val="auto"/>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4）技术标总得分为各项最终得分之和。</w:t>
      </w:r>
    </w:p>
    <w:p w14:paraId="4B3A46C2">
      <w:pPr>
        <w:rPr>
          <w:rFonts w:eastAsia="楷体_GB2312"/>
          <w:color w:val="auto"/>
          <w:highlight w:val="none"/>
        </w:rPr>
      </w:pPr>
    </w:p>
    <w:p w14:paraId="56EABFC8">
      <w:pPr>
        <w:spacing w:line="440" w:lineRule="exact"/>
        <w:rPr>
          <w:color w:val="auto"/>
          <w:highlight w:val="none"/>
        </w:rPr>
      </w:pPr>
    </w:p>
    <w:p w14:paraId="3CF9132E">
      <w:pPr>
        <w:spacing w:line="440" w:lineRule="exact"/>
        <w:rPr>
          <w:color w:val="auto"/>
          <w:highlight w:val="none"/>
        </w:rPr>
      </w:pPr>
      <w:r>
        <w:rPr>
          <w:color w:val="auto"/>
          <w:highlight w:val="none"/>
        </w:rPr>
        <w:t>评标委员会全体</w:t>
      </w:r>
      <w:r>
        <w:rPr>
          <w:rFonts w:hint="eastAsia"/>
          <w:color w:val="auto"/>
          <w:highlight w:val="none"/>
        </w:rPr>
        <w:t>技术标评委</w:t>
      </w:r>
      <w:r>
        <w:rPr>
          <w:color w:val="auto"/>
          <w:highlight w:val="none"/>
        </w:rPr>
        <w:t>签名：                                                      日期：        年     月     日</w:t>
      </w:r>
    </w:p>
    <w:p w14:paraId="728E6DE9">
      <w:pPr>
        <w:spacing w:line="440" w:lineRule="exact"/>
        <w:rPr>
          <w:color w:val="auto"/>
          <w:highlight w:val="none"/>
        </w:rPr>
      </w:pPr>
    </w:p>
    <w:p w14:paraId="12ABEE32">
      <w:pPr>
        <w:spacing w:line="440" w:lineRule="exact"/>
        <w:rPr>
          <w:color w:val="auto"/>
          <w:highlight w:val="none"/>
        </w:rPr>
      </w:pPr>
    </w:p>
    <w:p w14:paraId="35952333">
      <w:pPr>
        <w:spacing w:line="440" w:lineRule="exact"/>
        <w:rPr>
          <w:color w:val="auto"/>
          <w:highlight w:val="none"/>
        </w:rPr>
      </w:pPr>
    </w:p>
    <w:p w14:paraId="5CFC1FDD">
      <w:pPr>
        <w:spacing w:line="440" w:lineRule="exact"/>
        <w:rPr>
          <w:color w:val="auto"/>
          <w:highlight w:val="none"/>
        </w:rPr>
      </w:pPr>
    </w:p>
    <w:p w14:paraId="66DBD636">
      <w:pPr>
        <w:spacing w:line="440" w:lineRule="exact"/>
        <w:rPr>
          <w:b/>
          <w:color w:val="auto"/>
          <w:highlight w:val="none"/>
        </w:rPr>
      </w:pPr>
    </w:p>
    <w:p w14:paraId="0CE6001F">
      <w:pPr>
        <w:rPr>
          <w:b/>
          <w:color w:val="auto"/>
          <w:szCs w:val="21"/>
          <w:highlight w:val="none"/>
        </w:rPr>
      </w:pPr>
    </w:p>
    <w:p w14:paraId="1C94BE4E">
      <w:pPr>
        <w:rPr>
          <w:color w:val="auto"/>
          <w:szCs w:val="44"/>
          <w:highlight w:val="none"/>
        </w:rPr>
      </w:pPr>
    </w:p>
    <w:p w14:paraId="2B6E1A87">
      <w:pPr>
        <w:pStyle w:val="4"/>
        <w:spacing w:line="240" w:lineRule="auto"/>
        <w:rPr>
          <w:rFonts w:cs="宋体"/>
          <w:b w:val="0"/>
          <w:bCs w:val="0"/>
          <w:color w:val="auto"/>
          <w:highlight w:val="none"/>
        </w:rPr>
      </w:pPr>
      <w:bookmarkStart w:id="132" w:name="_Toc17599"/>
      <w:bookmarkStart w:id="133" w:name="_Toc1161763160"/>
      <w:bookmarkStart w:id="134" w:name="_Toc22663"/>
      <w:r>
        <w:rPr>
          <w:rFonts w:hint="eastAsia" w:eastAsia="宋体"/>
          <w:bCs w:val="0"/>
          <w:color w:val="auto"/>
          <w:szCs w:val="21"/>
          <w:highlight w:val="none"/>
        </w:rPr>
        <w:t>附表</w:t>
      </w:r>
      <w:r>
        <w:rPr>
          <w:rFonts w:eastAsia="宋体"/>
          <w:bCs w:val="0"/>
          <w:color w:val="auto"/>
          <w:szCs w:val="21"/>
          <w:highlight w:val="none"/>
        </w:rPr>
        <w:t>A-</w:t>
      </w:r>
      <w:r>
        <w:rPr>
          <w:rFonts w:hint="eastAsia" w:eastAsia="宋体"/>
          <w:bCs w:val="0"/>
          <w:color w:val="auto"/>
          <w:szCs w:val="21"/>
          <w:highlight w:val="none"/>
        </w:rPr>
        <w:t>12：企业信誉实力评分记录表</w:t>
      </w:r>
      <w:bookmarkEnd w:id="132"/>
      <w:bookmarkEnd w:id="133"/>
      <w:bookmarkEnd w:id="134"/>
    </w:p>
    <w:p w14:paraId="4793F1CD">
      <w:pPr>
        <w:spacing w:line="440" w:lineRule="exact"/>
        <w:rPr>
          <w:rFonts w:cs="宋体"/>
          <w:b/>
          <w:bCs/>
          <w:color w:val="auto"/>
          <w:highlight w:val="none"/>
        </w:rPr>
      </w:pPr>
    </w:p>
    <w:p w14:paraId="12BEFD23">
      <w:pPr>
        <w:jc w:val="center"/>
        <w:rPr>
          <w:rFonts w:eastAsia="黑体"/>
          <w:color w:val="auto"/>
          <w:sz w:val="28"/>
          <w:szCs w:val="28"/>
          <w:highlight w:val="none"/>
        </w:rPr>
      </w:pPr>
      <w:r>
        <w:rPr>
          <w:rFonts w:hint="eastAsia" w:eastAsia="黑体" w:cs="黑体"/>
          <w:color w:val="auto"/>
          <w:sz w:val="28"/>
          <w:szCs w:val="28"/>
          <w:highlight w:val="none"/>
        </w:rPr>
        <w:t>企业信誉实力评分记录表（自治区本级房屋</w:t>
      </w:r>
      <w:r>
        <w:rPr>
          <w:rFonts w:eastAsia="黑体" w:cs="黑体"/>
          <w:color w:val="auto"/>
          <w:sz w:val="28"/>
          <w:szCs w:val="28"/>
          <w:highlight w:val="none"/>
        </w:rPr>
        <w:t>建筑及市政基础设施工程</w:t>
      </w:r>
      <w:r>
        <w:rPr>
          <w:rFonts w:hint="eastAsia" w:eastAsia="黑体" w:cs="黑体"/>
          <w:color w:val="auto"/>
          <w:sz w:val="28"/>
          <w:szCs w:val="28"/>
          <w:highlight w:val="none"/>
        </w:rPr>
        <w:t>设计</w:t>
      </w:r>
      <w:r>
        <w:rPr>
          <w:rFonts w:eastAsia="黑体" w:cs="黑体"/>
          <w:color w:val="auto"/>
          <w:sz w:val="28"/>
          <w:szCs w:val="28"/>
          <w:highlight w:val="none"/>
        </w:rPr>
        <w:t>招标时</w:t>
      </w:r>
      <w:r>
        <w:rPr>
          <w:rFonts w:hint="eastAsia" w:eastAsia="黑体" w:cs="黑体"/>
          <w:color w:val="auto"/>
          <w:sz w:val="28"/>
          <w:szCs w:val="28"/>
          <w:highlight w:val="none"/>
        </w:rPr>
        <w:t>）</w:t>
      </w:r>
    </w:p>
    <w:p w14:paraId="3D1FDAD9">
      <w:pPr>
        <w:spacing w:after="72" w:afterLines="30" w:line="440" w:lineRule="exact"/>
        <w:rPr>
          <w:color w:val="auto"/>
          <w:highlight w:val="none"/>
        </w:rPr>
      </w:pPr>
      <w:r>
        <w:rPr>
          <w:rFonts w:hint="eastAsia" w:cs="宋体"/>
          <w:color w:val="auto"/>
          <w:highlight w:val="none"/>
        </w:rPr>
        <w:t>项目名称及项目招标编号：</w:t>
      </w:r>
      <w:r>
        <w:rPr>
          <w:color w:val="auto"/>
          <w:highlight w:val="none"/>
          <w:u w:val="single"/>
        </w:rPr>
        <w:t xml:space="preserve">                                           </w:t>
      </w:r>
      <w:r>
        <w:rPr>
          <w:rFonts w:hint="eastAsia" w:cs="宋体"/>
          <w:color w:val="auto"/>
          <w:highlight w:val="none"/>
        </w:rPr>
        <w:t>（项目名称）</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rFonts w:hint="eastAsia"/>
          <w:color w:val="auto"/>
          <w:highlight w:val="none"/>
        </w:rPr>
        <w:t xml:space="preserve"> </w:t>
      </w:r>
    </w:p>
    <w:tbl>
      <w:tblPr>
        <w:tblStyle w:val="40"/>
        <w:tblW w:w="14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3029F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vAlign w:val="center"/>
          </w:tcPr>
          <w:p w14:paraId="2D60B382">
            <w:pPr>
              <w:jc w:val="center"/>
              <w:rPr>
                <w:color w:val="auto"/>
                <w:highlight w:val="none"/>
              </w:rPr>
            </w:pPr>
            <w:r>
              <w:rPr>
                <w:rFonts w:hint="eastAsia" w:cs="宋体"/>
                <w:color w:val="auto"/>
                <w:highlight w:val="none"/>
              </w:rPr>
              <w:t>序号</w:t>
            </w:r>
          </w:p>
        </w:tc>
        <w:tc>
          <w:tcPr>
            <w:tcW w:w="3032" w:type="dxa"/>
            <w:vMerge w:val="restart"/>
            <w:vAlign w:val="center"/>
          </w:tcPr>
          <w:p w14:paraId="53E00AF6">
            <w:pPr>
              <w:jc w:val="center"/>
              <w:rPr>
                <w:color w:val="auto"/>
                <w:highlight w:val="none"/>
              </w:rPr>
            </w:pPr>
            <w:r>
              <w:rPr>
                <w:rFonts w:hint="eastAsia" w:cs="宋体"/>
                <w:color w:val="auto"/>
                <w:highlight w:val="none"/>
              </w:rPr>
              <w:t>评分项目</w:t>
            </w:r>
          </w:p>
        </w:tc>
        <w:tc>
          <w:tcPr>
            <w:tcW w:w="1290" w:type="dxa"/>
            <w:vMerge w:val="restart"/>
            <w:vAlign w:val="center"/>
          </w:tcPr>
          <w:p w14:paraId="16F26BEA">
            <w:pPr>
              <w:jc w:val="center"/>
              <w:rPr>
                <w:color w:val="auto"/>
                <w:highlight w:val="none"/>
              </w:rPr>
            </w:pPr>
            <w:r>
              <w:rPr>
                <w:rFonts w:hint="eastAsia" w:cs="宋体"/>
                <w:color w:val="auto"/>
                <w:highlight w:val="none"/>
              </w:rPr>
              <w:t>企业诚信</w:t>
            </w:r>
            <w:r>
              <w:rPr>
                <w:rFonts w:cs="宋体"/>
                <w:color w:val="auto"/>
                <w:highlight w:val="none"/>
              </w:rPr>
              <w:t>综合</w:t>
            </w:r>
            <w:r>
              <w:rPr>
                <w:rFonts w:hint="eastAsia" w:cs="宋体"/>
                <w:color w:val="auto"/>
                <w:highlight w:val="none"/>
              </w:rPr>
              <w:t>评</w:t>
            </w:r>
            <w:r>
              <w:rPr>
                <w:rFonts w:cs="宋体"/>
                <w:color w:val="auto"/>
                <w:highlight w:val="none"/>
              </w:rPr>
              <w:t>价</w:t>
            </w:r>
            <w:r>
              <w:rPr>
                <w:rFonts w:hint="eastAsia" w:cs="宋体"/>
                <w:color w:val="auto"/>
                <w:highlight w:val="none"/>
              </w:rPr>
              <w:t>分</w:t>
            </w:r>
          </w:p>
        </w:tc>
        <w:tc>
          <w:tcPr>
            <w:tcW w:w="8898" w:type="dxa"/>
            <w:gridSpan w:val="7"/>
            <w:vAlign w:val="center"/>
          </w:tcPr>
          <w:p w14:paraId="3078BB2E">
            <w:pPr>
              <w:jc w:val="center"/>
              <w:rPr>
                <w:color w:val="auto"/>
                <w:highlight w:val="none"/>
              </w:rPr>
            </w:pPr>
            <w:r>
              <w:rPr>
                <w:rFonts w:hint="eastAsia" w:cs="宋体"/>
                <w:color w:val="auto"/>
                <w:highlight w:val="none"/>
              </w:rPr>
              <w:t>投标人名称（或代码）</w:t>
            </w:r>
          </w:p>
        </w:tc>
      </w:tr>
      <w:tr w14:paraId="23FE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vAlign w:val="center"/>
          </w:tcPr>
          <w:p w14:paraId="5BA36CBF">
            <w:pPr>
              <w:jc w:val="center"/>
              <w:rPr>
                <w:color w:val="auto"/>
                <w:highlight w:val="none"/>
              </w:rPr>
            </w:pPr>
          </w:p>
        </w:tc>
        <w:tc>
          <w:tcPr>
            <w:tcW w:w="3032" w:type="dxa"/>
            <w:vMerge w:val="continue"/>
            <w:vAlign w:val="center"/>
          </w:tcPr>
          <w:p w14:paraId="7FA15FC4">
            <w:pPr>
              <w:jc w:val="center"/>
              <w:rPr>
                <w:color w:val="auto"/>
                <w:highlight w:val="none"/>
              </w:rPr>
            </w:pPr>
          </w:p>
        </w:tc>
        <w:tc>
          <w:tcPr>
            <w:tcW w:w="1290" w:type="dxa"/>
            <w:vMerge w:val="continue"/>
            <w:vAlign w:val="center"/>
          </w:tcPr>
          <w:p w14:paraId="68343F5B">
            <w:pPr>
              <w:jc w:val="center"/>
              <w:rPr>
                <w:color w:val="auto"/>
                <w:highlight w:val="none"/>
              </w:rPr>
            </w:pPr>
          </w:p>
        </w:tc>
        <w:tc>
          <w:tcPr>
            <w:tcW w:w="1257" w:type="dxa"/>
            <w:vAlign w:val="center"/>
          </w:tcPr>
          <w:p w14:paraId="42E13D38">
            <w:pPr>
              <w:jc w:val="center"/>
              <w:rPr>
                <w:color w:val="auto"/>
                <w:highlight w:val="none"/>
              </w:rPr>
            </w:pPr>
          </w:p>
        </w:tc>
        <w:tc>
          <w:tcPr>
            <w:tcW w:w="1273" w:type="dxa"/>
            <w:vAlign w:val="center"/>
          </w:tcPr>
          <w:p w14:paraId="5A774C05">
            <w:pPr>
              <w:jc w:val="center"/>
              <w:rPr>
                <w:color w:val="auto"/>
                <w:highlight w:val="none"/>
              </w:rPr>
            </w:pPr>
          </w:p>
        </w:tc>
        <w:tc>
          <w:tcPr>
            <w:tcW w:w="1274" w:type="dxa"/>
            <w:vAlign w:val="center"/>
          </w:tcPr>
          <w:p w14:paraId="1FFBBDBF">
            <w:pPr>
              <w:jc w:val="center"/>
              <w:rPr>
                <w:color w:val="auto"/>
                <w:highlight w:val="none"/>
              </w:rPr>
            </w:pPr>
          </w:p>
        </w:tc>
        <w:tc>
          <w:tcPr>
            <w:tcW w:w="1273" w:type="dxa"/>
            <w:vAlign w:val="center"/>
          </w:tcPr>
          <w:p w14:paraId="1FB90EC9">
            <w:pPr>
              <w:jc w:val="center"/>
              <w:rPr>
                <w:color w:val="auto"/>
                <w:highlight w:val="none"/>
              </w:rPr>
            </w:pPr>
          </w:p>
        </w:tc>
        <w:tc>
          <w:tcPr>
            <w:tcW w:w="1274" w:type="dxa"/>
            <w:vAlign w:val="center"/>
          </w:tcPr>
          <w:p w14:paraId="39EE48A2">
            <w:pPr>
              <w:jc w:val="center"/>
              <w:rPr>
                <w:color w:val="auto"/>
                <w:highlight w:val="none"/>
              </w:rPr>
            </w:pPr>
          </w:p>
        </w:tc>
        <w:tc>
          <w:tcPr>
            <w:tcW w:w="1273" w:type="dxa"/>
            <w:vAlign w:val="center"/>
          </w:tcPr>
          <w:p w14:paraId="41D25FD5">
            <w:pPr>
              <w:jc w:val="center"/>
              <w:rPr>
                <w:color w:val="auto"/>
                <w:highlight w:val="none"/>
              </w:rPr>
            </w:pPr>
          </w:p>
        </w:tc>
        <w:tc>
          <w:tcPr>
            <w:tcW w:w="1274" w:type="dxa"/>
            <w:vAlign w:val="center"/>
          </w:tcPr>
          <w:p w14:paraId="5BD3404D">
            <w:pPr>
              <w:jc w:val="center"/>
              <w:rPr>
                <w:color w:val="auto"/>
                <w:highlight w:val="none"/>
              </w:rPr>
            </w:pPr>
          </w:p>
        </w:tc>
      </w:tr>
      <w:tr w14:paraId="579E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0B67C34C">
            <w:pPr>
              <w:jc w:val="center"/>
              <w:rPr>
                <w:rFonts w:ascii="宋体" w:hAnsi="宋体"/>
                <w:color w:val="auto"/>
                <w:highlight w:val="none"/>
              </w:rPr>
            </w:pPr>
            <w:r>
              <w:rPr>
                <w:rFonts w:hint="eastAsia" w:ascii="宋体" w:hAnsi="宋体"/>
                <w:color w:val="auto"/>
                <w:highlight w:val="none"/>
              </w:rPr>
              <w:t>区</w:t>
            </w:r>
            <w:r>
              <w:rPr>
                <w:rFonts w:ascii="宋体" w:hAnsi="宋体"/>
                <w:color w:val="auto"/>
                <w:highlight w:val="none"/>
              </w:rPr>
              <w:t>级</w:t>
            </w:r>
            <w:r>
              <w:rPr>
                <w:rFonts w:hint="eastAsia" w:ascii="宋体" w:hAnsi="宋体"/>
                <w:color w:val="auto"/>
                <w:highlight w:val="none"/>
              </w:rPr>
              <w:t>企业诚信综合评价得分</w:t>
            </w:r>
          </w:p>
        </w:tc>
        <w:tc>
          <w:tcPr>
            <w:tcW w:w="1290" w:type="dxa"/>
            <w:vAlign w:val="center"/>
          </w:tcPr>
          <w:p w14:paraId="1326E433">
            <w:pPr>
              <w:jc w:val="center"/>
              <w:rPr>
                <w:color w:val="auto"/>
                <w:highlight w:val="none"/>
              </w:rPr>
            </w:pPr>
          </w:p>
        </w:tc>
        <w:tc>
          <w:tcPr>
            <w:tcW w:w="1257" w:type="dxa"/>
            <w:vAlign w:val="center"/>
          </w:tcPr>
          <w:p w14:paraId="3D2599B5">
            <w:pPr>
              <w:jc w:val="center"/>
              <w:rPr>
                <w:color w:val="auto"/>
                <w:highlight w:val="none"/>
              </w:rPr>
            </w:pPr>
          </w:p>
        </w:tc>
        <w:tc>
          <w:tcPr>
            <w:tcW w:w="1273" w:type="dxa"/>
            <w:vAlign w:val="center"/>
          </w:tcPr>
          <w:p w14:paraId="7E825E11">
            <w:pPr>
              <w:jc w:val="center"/>
              <w:rPr>
                <w:color w:val="auto"/>
                <w:highlight w:val="none"/>
              </w:rPr>
            </w:pPr>
          </w:p>
        </w:tc>
        <w:tc>
          <w:tcPr>
            <w:tcW w:w="1274" w:type="dxa"/>
            <w:vAlign w:val="center"/>
          </w:tcPr>
          <w:p w14:paraId="30919B34">
            <w:pPr>
              <w:jc w:val="center"/>
              <w:rPr>
                <w:color w:val="auto"/>
                <w:highlight w:val="none"/>
              </w:rPr>
            </w:pPr>
          </w:p>
        </w:tc>
        <w:tc>
          <w:tcPr>
            <w:tcW w:w="1273" w:type="dxa"/>
            <w:vAlign w:val="center"/>
          </w:tcPr>
          <w:p w14:paraId="39E842F2">
            <w:pPr>
              <w:jc w:val="center"/>
              <w:rPr>
                <w:color w:val="auto"/>
                <w:highlight w:val="none"/>
              </w:rPr>
            </w:pPr>
          </w:p>
        </w:tc>
        <w:tc>
          <w:tcPr>
            <w:tcW w:w="1274" w:type="dxa"/>
            <w:vAlign w:val="center"/>
          </w:tcPr>
          <w:p w14:paraId="5DA56FF3">
            <w:pPr>
              <w:jc w:val="center"/>
              <w:rPr>
                <w:color w:val="auto"/>
                <w:highlight w:val="none"/>
              </w:rPr>
            </w:pPr>
          </w:p>
        </w:tc>
        <w:tc>
          <w:tcPr>
            <w:tcW w:w="1273" w:type="dxa"/>
            <w:vAlign w:val="center"/>
          </w:tcPr>
          <w:p w14:paraId="335D1007">
            <w:pPr>
              <w:jc w:val="center"/>
              <w:rPr>
                <w:color w:val="auto"/>
                <w:highlight w:val="none"/>
              </w:rPr>
            </w:pPr>
          </w:p>
        </w:tc>
        <w:tc>
          <w:tcPr>
            <w:tcW w:w="1274" w:type="dxa"/>
            <w:vAlign w:val="center"/>
          </w:tcPr>
          <w:p w14:paraId="785EC415">
            <w:pPr>
              <w:jc w:val="center"/>
              <w:rPr>
                <w:color w:val="auto"/>
                <w:highlight w:val="none"/>
              </w:rPr>
            </w:pPr>
          </w:p>
        </w:tc>
      </w:tr>
      <w:tr w14:paraId="4F9D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3979022F">
            <w:pPr>
              <w:jc w:val="center"/>
              <w:rPr>
                <w:color w:val="auto"/>
                <w:highlight w:val="none"/>
              </w:rPr>
            </w:pPr>
            <w:r>
              <w:rPr>
                <w:rFonts w:hint="eastAsia" w:cs="宋体"/>
                <w:color w:val="auto"/>
                <w:highlight w:val="none"/>
              </w:rPr>
              <w:t>企业信誉实力得分（满分100分）</w:t>
            </w:r>
          </w:p>
        </w:tc>
        <w:tc>
          <w:tcPr>
            <w:tcW w:w="1290" w:type="dxa"/>
            <w:vAlign w:val="center"/>
          </w:tcPr>
          <w:p w14:paraId="2420A3AD">
            <w:pPr>
              <w:jc w:val="center"/>
              <w:rPr>
                <w:color w:val="auto"/>
                <w:highlight w:val="none"/>
              </w:rPr>
            </w:pPr>
          </w:p>
        </w:tc>
        <w:tc>
          <w:tcPr>
            <w:tcW w:w="1257" w:type="dxa"/>
            <w:vAlign w:val="center"/>
          </w:tcPr>
          <w:p w14:paraId="1709205F">
            <w:pPr>
              <w:jc w:val="center"/>
              <w:rPr>
                <w:color w:val="auto"/>
                <w:highlight w:val="none"/>
              </w:rPr>
            </w:pPr>
          </w:p>
        </w:tc>
        <w:tc>
          <w:tcPr>
            <w:tcW w:w="1273" w:type="dxa"/>
            <w:vAlign w:val="center"/>
          </w:tcPr>
          <w:p w14:paraId="511CCF2B">
            <w:pPr>
              <w:jc w:val="center"/>
              <w:rPr>
                <w:color w:val="auto"/>
                <w:highlight w:val="none"/>
              </w:rPr>
            </w:pPr>
          </w:p>
        </w:tc>
        <w:tc>
          <w:tcPr>
            <w:tcW w:w="1274" w:type="dxa"/>
            <w:vAlign w:val="center"/>
          </w:tcPr>
          <w:p w14:paraId="53F22470">
            <w:pPr>
              <w:jc w:val="center"/>
              <w:rPr>
                <w:color w:val="auto"/>
                <w:highlight w:val="none"/>
              </w:rPr>
            </w:pPr>
          </w:p>
        </w:tc>
        <w:tc>
          <w:tcPr>
            <w:tcW w:w="1273" w:type="dxa"/>
            <w:vAlign w:val="center"/>
          </w:tcPr>
          <w:p w14:paraId="61039C8E">
            <w:pPr>
              <w:jc w:val="center"/>
              <w:rPr>
                <w:color w:val="auto"/>
                <w:highlight w:val="none"/>
              </w:rPr>
            </w:pPr>
          </w:p>
        </w:tc>
        <w:tc>
          <w:tcPr>
            <w:tcW w:w="1274" w:type="dxa"/>
            <w:vAlign w:val="center"/>
          </w:tcPr>
          <w:p w14:paraId="3C5B9B32">
            <w:pPr>
              <w:jc w:val="center"/>
              <w:rPr>
                <w:color w:val="auto"/>
                <w:highlight w:val="none"/>
              </w:rPr>
            </w:pPr>
          </w:p>
        </w:tc>
        <w:tc>
          <w:tcPr>
            <w:tcW w:w="1273" w:type="dxa"/>
            <w:vAlign w:val="center"/>
          </w:tcPr>
          <w:p w14:paraId="62B6D9A8">
            <w:pPr>
              <w:jc w:val="center"/>
              <w:rPr>
                <w:color w:val="auto"/>
                <w:highlight w:val="none"/>
              </w:rPr>
            </w:pPr>
          </w:p>
        </w:tc>
        <w:tc>
          <w:tcPr>
            <w:tcW w:w="1274" w:type="dxa"/>
            <w:vAlign w:val="center"/>
          </w:tcPr>
          <w:p w14:paraId="036F717D">
            <w:pPr>
              <w:jc w:val="center"/>
              <w:rPr>
                <w:color w:val="auto"/>
                <w:highlight w:val="none"/>
              </w:rPr>
            </w:pPr>
          </w:p>
        </w:tc>
      </w:tr>
      <w:tr w14:paraId="67D4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vAlign w:val="center"/>
          </w:tcPr>
          <w:p w14:paraId="602E75FA">
            <w:pPr>
              <w:jc w:val="left"/>
              <w:rPr>
                <w:color w:val="auto"/>
                <w:highlight w:val="none"/>
              </w:rPr>
            </w:pPr>
            <w:r>
              <w:rPr>
                <w:rFonts w:hint="eastAsia" w:ascii="宋体" w:hAnsi="宋体" w:cs="宋体"/>
                <w:color w:val="auto"/>
                <w:highlight w:val="none"/>
              </w:rPr>
              <w:t>企业信誉实力得分=根据实时公布的自治区级诚信综合评价分/参与本次投标的所有投标人中最高的自治区级诚信综合评价分×100</w:t>
            </w:r>
          </w:p>
        </w:tc>
      </w:tr>
    </w:tbl>
    <w:p w14:paraId="3F3975DB">
      <w:pPr>
        <w:spacing w:line="440" w:lineRule="exact"/>
        <w:rPr>
          <w:color w:val="auto"/>
          <w:highlight w:val="none"/>
        </w:rPr>
      </w:pPr>
      <w:r>
        <w:rPr>
          <w:rFonts w:hint="eastAsia" w:cs="宋体"/>
          <w:color w:val="auto"/>
          <w:highlight w:val="none"/>
        </w:rPr>
        <w:t>评标委员会全体评委签名：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525DEA30">
      <w:pPr>
        <w:rPr>
          <w:color w:val="auto"/>
          <w:highlight w:val="none"/>
        </w:rPr>
      </w:pPr>
    </w:p>
    <w:p w14:paraId="6EE95B25">
      <w:pPr>
        <w:rPr>
          <w:color w:val="auto"/>
          <w:highlight w:val="none"/>
        </w:rPr>
      </w:pPr>
    </w:p>
    <w:p w14:paraId="3A963333">
      <w:pPr>
        <w:rPr>
          <w:color w:val="auto"/>
          <w:highlight w:val="none"/>
        </w:rPr>
      </w:pPr>
    </w:p>
    <w:p w14:paraId="2D1CB326">
      <w:pPr>
        <w:rPr>
          <w:color w:val="auto"/>
          <w:szCs w:val="44"/>
          <w:highlight w:val="none"/>
        </w:rPr>
      </w:pPr>
    </w:p>
    <w:p w14:paraId="5E359821">
      <w:pPr>
        <w:rPr>
          <w:color w:val="auto"/>
          <w:szCs w:val="44"/>
          <w:highlight w:val="none"/>
        </w:rPr>
      </w:pPr>
    </w:p>
    <w:p w14:paraId="4307FECD">
      <w:pPr>
        <w:rPr>
          <w:color w:val="auto"/>
          <w:szCs w:val="44"/>
          <w:highlight w:val="none"/>
        </w:rPr>
      </w:pPr>
    </w:p>
    <w:p w14:paraId="0CC79F18">
      <w:pPr>
        <w:rPr>
          <w:color w:val="auto"/>
          <w:szCs w:val="44"/>
          <w:highlight w:val="none"/>
        </w:rPr>
      </w:pPr>
    </w:p>
    <w:p w14:paraId="5CE3A28C">
      <w:pPr>
        <w:rPr>
          <w:color w:val="auto"/>
          <w:szCs w:val="44"/>
          <w:highlight w:val="none"/>
        </w:rPr>
      </w:pPr>
    </w:p>
    <w:p w14:paraId="656D2389">
      <w:pPr>
        <w:rPr>
          <w:color w:val="auto"/>
          <w:szCs w:val="44"/>
          <w:highlight w:val="none"/>
        </w:rPr>
      </w:pPr>
    </w:p>
    <w:p w14:paraId="78EF1C13">
      <w:pPr>
        <w:rPr>
          <w:color w:val="auto"/>
          <w:szCs w:val="44"/>
          <w:highlight w:val="none"/>
        </w:rPr>
      </w:pPr>
    </w:p>
    <w:p w14:paraId="50A52843">
      <w:pPr>
        <w:rPr>
          <w:color w:val="auto"/>
          <w:szCs w:val="44"/>
          <w:highlight w:val="none"/>
        </w:rPr>
      </w:pPr>
    </w:p>
    <w:p w14:paraId="1C52CFCE">
      <w:pPr>
        <w:rPr>
          <w:color w:val="auto"/>
          <w:szCs w:val="44"/>
          <w:highlight w:val="none"/>
        </w:rPr>
      </w:pPr>
    </w:p>
    <w:p w14:paraId="2E26B001">
      <w:pPr>
        <w:rPr>
          <w:color w:val="auto"/>
          <w:szCs w:val="44"/>
          <w:highlight w:val="none"/>
        </w:rPr>
      </w:pPr>
    </w:p>
    <w:p w14:paraId="61D257BE">
      <w:pPr>
        <w:rPr>
          <w:color w:val="auto"/>
          <w:szCs w:val="44"/>
          <w:highlight w:val="none"/>
        </w:rPr>
      </w:pPr>
    </w:p>
    <w:p w14:paraId="04C4C886">
      <w:pPr>
        <w:rPr>
          <w:color w:val="auto"/>
          <w:szCs w:val="44"/>
          <w:highlight w:val="none"/>
        </w:rPr>
      </w:pPr>
    </w:p>
    <w:p w14:paraId="476909D7">
      <w:pPr>
        <w:pStyle w:val="4"/>
        <w:spacing w:line="240" w:lineRule="auto"/>
        <w:rPr>
          <w:rFonts w:eastAsia="宋体"/>
          <w:bCs w:val="0"/>
          <w:color w:val="auto"/>
          <w:szCs w:val="21"/>
          <w:highlight w:val="none"/>
        </w:rPr>
      </w:pPr>
      <w:bookmarkStart w:id="135" w:name="_Toc1119931041"/>
      <w:bookmarkStart w:id="136" w:name="_Toc1706"/>
      <w:bookmarkStart w:id="137" w:name="_Toc24784"/>
      <w:r>
        <w:rPr>
          <w:rFonts w:hint="eastAsia" w:eastAsia="宋体"/>
          <w:bCs w:val="0"/>
          <w:color w:val="auto"/>
          <w:szCs w:val="21"/>
          <w:highlight w:val="none"/>
        </w:rPr>
        <w:t>附表</w:t>
      </w:r>
      <w:r>
        <w:rPr>
          <w:rFonts w:eastAsia="宋体"/>
          <w:bCs w:val="0"/>
          <w:color w:val="auto"/>
          <w:szCs w:val="21"/>
          <w:highlight w:val="none"/>
        </w:rPr>
        <w:t>A-</w:t>
      </w:r>
      <w:r>
        <w:rPr>
          <w:rFonts w:hint="eastAsia" w:eastAsia="宋体"/>
          <w:bCs w:val="0"/>
          <w:color w:val="auto"/>
          <w:szCs w:val="21"/>
          <w:highlight w:val="none"/>
        </w:rPr>
        <w:t>13：企业信誉实力评分记录表</w:t>
      </w:r>
      <w:bookmarkEnd w:id="135"/>
      <w:bookmarkEnd w:id="136"/>
      <w:bookmarkEnd w:id="137"/>
    </w:p>
    <w:p w14:paraId="05066288">
      <w:pPr>
        <w:rPr>
          <w:color w:val="auto"/>
          <w:highlight w:val="none"/>
        </w:rPr>
      </w:pPr>
    </w:p>
    <w:p w14:paraId="6B8BA2EC">
      <w:pPr>
        <w:jc w:val="center"/>
        <w:rPr>
          <w:rFonts w:eastAsia="黑体" w:cs="黑体"/>
          <w:color w:val="auto"/>
          <w:sz w:val="28"/>
          <w:szCs w:val="28"/>
          <w:highlight w:val="none"/>
        </w:rPr>
      </w:pPr>
      <w:r>
        <w:rPr>
          <w:rFonts w:hint="eastAsia" w:eastAsia="黑体" w:cs="黑体"/>
          <w:color w:val="auto"/>
          <w:sz w:val="28"/>
          <w:szCs w:val="28"/>
          <w:highlight w:val="none"/>
        </w:rPr>
        <w:t>企业信誉实力评分记录表（各</w:t>
      </w:r>
      <w:r>
        <w:rPr>
          <w:rFonts w:eastAsia="黑体" w:cs="黑体"/>
          <w:color w:val="auto"/>
          <w:sz w:val="28"/>
          <w:szCs w:val="28"/>
          <w:highlight w:val="none"/>
        </w:rPr>
        <w:t>设</w:t>
      </w:r>
      <w:r>
        <w:rPr>
          <w:rFonts w:hint="eastAsia" w:eastAsia="黑体" w:cs="黑体"/>
          <w:color w:val="auto"/>
          <w:sz w:val="28"/>
          <w:szCs w:val="28"/>
          <w:highlight w:val="none"/>
        </w:rPr>
        <w:t>区市房屋</w:t>
      </w:r>
      <w:r>
        <w:rPr>
          <w:rFonts w:eastAsia="黑体" w:cs="黑体"/>
          <w:color w:val="auto"/>
          <w:sz w:val="28"/>
          <w:szCs w:val="28"/>
          <w:highlight w:val="none"/>
        </w:rPr>
        <w:t>建筑及市政基础设施工程</w:t>
      </w:r>
      <w:r>
        <w:rPr>
          <w:rFonts w:hint="eastAsia" w:eastAsia="黑体" w:cs="黑体"/>
          <w:color w:val="auto"/>
          <w:sz w:val="28"/>
          <w:szCs w:val="28"/>
          <w:highlight w:val="none"/>
        </w:rPr>
        <w:t>设计</w:t>
      </w:r>
      <w:r>
        <w:rPr>
          <w:rFonts w:eastAsia="黑体" w:cs="黑体"/>
          <w:color w:val="auto"/>
          <w:sz w:val="28"/>
          <w:szCs w:val="28"/>
          <w:highlight w:val="none"/>
        </w:rPr>
        <w:t>招标时</w:t>
      </w:r>
      <w:r>
        <w:rPr>
          <w:rFonts w:hint="eastAsia" w:eastAsia="黑体" w:cs="黑体"/>
          <w:color w:val="auto"/>
          <w:sz w:val="28"/>
          <w:szCs w:val="28"/>
          <w:highlight w:val="none"/>
        </w:rPr>
        <w:t>）</w:t>
      </w:r>
    </w:p>
    <w:p w14:paraId="29B2C810">
      <w:pPr>
        <w:jc w:val="center"/>
        <w:rPr>
          <w:rFonts w:eastAsia="黑体" w:cs="黑体"/>
          <w:color w:val="auto"/>
          <w:sz w:val="28"/>
          <w:szCs w:val="28"/>
          <w:highlight w:val="none"/>
        </w:rPr>
      </w:pPr>
    </w:p>
    <w:p w14:paraId="1B062E30">
      <w:pPr>
        <w:jc w:val="center"/>
        <w:rPr>
          <w:rFonts w:eastAsia="黑体" w:cs="黑体"/>
          <w:color w:val="auto"/>
          <w:sz w:val="28"/>
          <w:szCs w:val="28"/>
          <w:highlight w:val="none"/>
        </w:rPr>
      </w:pPr>
    </w:p>
    <w:p w14:paraId="004E2F47">
      <w:pPr>
        <w:spacing w:after="72" w:afterLines="30" w:line="440" w:lineRule="exact"/>
        <w:rPr>
          <w:color w:val="auto"/>
          <w:highlight w:val="none"/>
        </w:rPr>
      </w:pPr>
      <w:r>
        <w:rPr>
          <w:rFonts w:hint="eastAsia" w:cs="宋体"/>
          <w:color w:val="auto"/>
          <w:highlight w:val="none"/>
        </w:rPr>
        <w:t>项目名称及项目招标编号：</w:t>
      </w:r>
      <w:r>
        <w:rPr>
          <w:color w:val="auto"/>
          <w:highlight w:val="none"/>
          <w:u w:val="single"/>
        </w:rPr>
        <w:t xml:space="preserve">                                           </w:t>
      </w:r>
      <w:r>
        <w:rPr>
          <w:rFonts w:hint="eastAsia" w:cs="宋体"/>
          <w:color w:val="auto"/>
          <w:highlight w:val="none"/>
        </w:rPr>
        <w:t>（项目名称）</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14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6B20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vAlign w:val="center"/>
          </w:tcPr>
          <w:p w14:paraId="0F1A0D25">
            <w:pPr>
              <w:jc w:val="center"/>
              <w:rPr>
                <w:color w:val="auto"/>
                <w:highlight w:val="none"/>
              </w:rPr>
            </w:pPr>
            <w:r>
              <w:rPr>
                <w:rFonts w:hint="eastAsia" w:cs="宋体"/>
                <w:color w:val="auto"/>
                <w:highlight w:val="none"/>
              </w:rPr>
              <w:t>序号</w:t>
            </w:r>
          </w:p>
        </w:tc>
        <w:tc>
          <w:tcPr>
            <w:tcW w:w="3032" w:type="dxa"/>
            <w:vMerge w:val="restart"/>
            <w:vAlign w:val="center"/>
          </w:tcPr>
          <w:p w14:paraId="4BF96271">
            <w:pPr>
              <w:jc w:val="center"/>
              <w:rPr>
                <w:color w:val="auto"/>
                <w:highlight w:val="none"/>
              </w:rPr>
            </w:pPr>
            <w:r>
              <w:rPr>
                <w:rFonts w:hint="eastAsia" w:cs="宋体"/>
                <w:color w:val="auto"/>
                <w:highlight w:val="none"/>
              </w:rPr>
              <w:t>评分项目</w:t>
            </w:r>
          </w:p>
        </w:tc>
        <w:tc>
          <w:tcPr>
            <w:tcW w:w="1290" w:type="dxa"/>
            <w:vMerge w:val="restart"/>
            <w:vAlign w:val="center"/>
          </w:tcPr>
          <w:p w14:paraId="792235C5">
            <w:pPr>
              <w:jc w:val="center"/>
              <w:rPr>
                <w:color w:val="auto"/>
                <w:highlight w:val="none"/>
              </w:rPr>
            </w:pPr>
            <w:r>
              <w:rPr>
                <w:rFonts w:hint="eastAsia" w:cs="宋体"/>
                <w:color w:val="auto"/>
                <w:highlight w:val="none"/>
              </w:rPr>
              <w:t>企业诚信</w:t>
            </w:r>
            <w:r>
              <w:rPr>
                <w:rFonts w:cs="宋体"/>
                <w:color w:val="auto"/>
                <w:highlight w:val="none"/>
              </w:rPr>
              <w:t>综合</w:t>
            </w:r>
            <w:r>
              <w:rPr>
                <w:rFonts w:hint="eastAsia" w:cs="宋体"/>
                <w:color w:val="auto"/>
                <w:highlight w:val="none"/>
              </w:rPr>
              <w:t>评</w:t>
            </w:r>
            <w:r>
              <w:rPr>
                <w:rFonts w:cs="宋体"/>
                <w:color w:val="auto"/>
                <w:highlight w:val="none"/>
              </w:rPr>
              <w:t>价</w:t>
            </w:r>
            <w:r>
              <w:rPr>
                <w:rFonts w:hint="eastAsia" w:cs="宋体"/>
                <w:color w:val="auto"/>
                <w:highlight w:val="none"/>
              </w:rPr>
              <w:t>分</w:t>
            </w:r>
          </w:p>
        </w:tc>
        <w:tc>
          <w:tcPr>
            <w:tcW w:w="8898" w:type="dxa"/>
            <w:gridSpan w:val="7"/>
            <w:vAlign w:val="center"/>
          </w:tcPr>
          <w:p w14:paraId="16405D78">
            <w:pPr>
              <w:jc w:val="center"/>
              <w:rPr>
                <w:color w:val="auto"/>
                <w:highlight w:val="none"/>
              </w:rPr>
            </w:pPr>
            <w:r>
              <w:rPr>
                <w:rFonts w:hint="eastAsia" w:cs="宋体"/>
                <w:color w:val="auto"/>
                <w:highlight w:val="none"/>
              </w:rPr>
              <w:t>投标人名称（或代码）</w:t>
            </w:r>
          </w:p>
        </w:tc>
      </w:tr>
      <w:tr w14:paraId="777B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vAlign w:val="center"/>
          </w:tcPr>
          <w:p w14:paraId="5AC1AB0C">
            <w:pPr>
              <w:jc w:val="center"/>
              <w:rPr>
                <w:color w:val="auto"/>
                <w:highlight w:val="none"/>
              </w:rPr>
            </w:pPr>
          </w:p>
        </w:tc>
        <w:tc>
          <w:tcPr>
            <w:tcW w:w="3032" w:type="dxa"/>
            <w:vMerge w:val="continue"/>
            <w:vAlign w:val="center"/>
          </w:tcPr>
          <w:p w14:paraId="3FD5BE83">
            <w:pPr>
              <w:jc w:val="center"/>
              <w:rPr>
                <w:color w:val="auto"/>
                <w:highlight w:val="none"/>
              </w:rPr>
            </w:pPr>
          </w:p>
        </w:tc>
        <w:tc>
          <w:tcPr>
            <w:tcW w:w="1290" w:type="dxa"/>
            <w:vMerge w:val="continue"/>
            <w:vAlign w:val="center"/>
          </w:tcPr>
          <w:p w14:paraId="1937A0CE">
            <w:pPr>
              <w:jc w:val="center"/>
              <w:rPr>
                <w:color w:val="auto"/>
                <w:highlight w:val="none"/>
              </w:rPr>
            </w:pPr>
          </w:p>
        </w:tc>
        <w:tc>
          <w:tcPr>
            <w:tcW w:w="1257" w:type="dxa"/>
            <w:vAlign w:val="center"/>
          </w:tcPr>
          <w:p w14:paraId="335C7EB6">
            <w:pPr>
              <w:jc w:val="center"/>
              <w:rPr>
                <w:color w:val="auto"/>
                <w:highlight w:val="none"/>
              </w:rPr>
            </w:pPr>
          </w:p>
        </w:tc>
        <w:tc>
          <w:tcPr>
            <w:tcW w:w="1273" w:type="dxa"/>
            <w:vAlign w:val="center"/>
          </w:tcPr>
          <w:p w14:paraId="1FCE46A7">
            <w:pPr>
              <w:jc w:val="center"/>
              <w:rPr>
                <w:color w:val="auto"/>
                <w:highlight w:val="none"/>
              </w:rPr>
            </w:pPr>
          </w:p>
        </w:tc>
        <w:tc>
          <w:tcPr>
            <w:tcW w:w="1274" w:type="dxa"/>
            <w:vAlign w:val="center"/>
          </w:tcPr>
          <w:p w14:paraId="22D1117D">
            <w:pPr>
              <w:jc w:val="center"/>
              <w:rPr>
                <w:color w:val="auto"/>
                <w:highlight w:val="none"/>
              </w:rPr>
            </w:pPr>
          </w:p>
        </w:tc>
        <w:tc>
          <w:tcPr>
            <w:tcW w:w="1273" w:type="dxa"/>
            <w:vAlign w:val="center"/>
          </w:tcPr>
          <w:p w14:paraId="2547033C">
            <w:pPr>
              <w:jc w:val="center"/>
              <w:rPr>
                <w:color w:val="auto"/>
                <w:highlight w:val="none"/>
              </w:rPr>
            </w:pPr>
          </w:p>
        </w:tc>
        <w:tc>
          <w:tcPr>
            <w:tcW w:w="1274" w:type="dxa"/>
            <w:vAlign w:val="center"/>
          </w:tcPr>
          <w:p w14:paraId="2818A27A">
            <w:pPr>
              <w:jc w:val="center"/>
              <w:rPr>
                <w:color w:val="auto"/>
                <w:highlight w:val="none"/>
              </w:rPr>
            </w:pPr>
          </w:p>
        </w:tc>
        <w:tc>
          <w:tcPr>
            <w:tcW w:w="1273" w:type="dxa"/>
            <w:vAlign w:val="center"/>
          </w:tcPr>
          <w:p w14:paraId="670E2820">
            <w:pPr>
              <w:jc w:val="center"/>
              <w:rPr>
                <w:color w:val="auto"/>
                <w:highlight w:val="none"/>
              </w:rPr>
            </w:pPr>
          </w:p>
        </w:tc>
        <w:tc>
          <w:tcPr>
            <w:tcW w:w="1274" w:type="dxa"/>
            <w:vAlign w:val="center"/>
          </w:tcPr>
          <w:p w14:paraId="5330678B">
            <w:pPr>
              <w:jc w:val="center"/>
              <w:rPr>
                <w:color w:val="auto"/>
                <w:highlight w:val="none"/>
              </w:rPr>
            </w:pPr>
          </w:p>
        </w:tc>
      </w:tr>
      <w:tr w14:paraId="7345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4D4FAAF1">
            <w:pPr>
              <w:jc w:val="center"/>
              <w:rPr>
                <w:rFonts w:ascii="宋体" w:hAnsi="宋体"/>
                <w:color w:val="auto"/>
                <w:highlight w:val="none"/>
              </w:rPr>
            </w:pPr>
            <w:r>
              <w:rPr>
                <w:rFonts w:hint="eastAsia" w:ascii="宋体" w:hAnsi="宋体"/>
                <w:color w:val="auto"/>
                <w:highlight w:val="none"/>
              </w:rPr>
              <w:t>区级企业诚信综合评价得分</w:t>
            </w:r>
          </w:p>
        </w:tc>
        <w:tc>
          <w:tcPr>
            <w:tcW w:w="1290" w:type="dxa"/>
            <w:vAlign w:val="center"/>
          </w:tcPr>
          <w:p w14:paraId="769C0D78">
            <w:pPr>
              <w:jc w:val="center"/>
              <w:rPr>
                <w:color w:val="auto"/>
                <w:highlight w:val="none"/>
              </w:rPr>
            </w:pPr>
          </w:p>
        </w:tc>
        <w:tc>
          <w:tcPr>
            <w:tcW w:w="1257" w:type="dxa"/>
            <w:vAlign w:val="center"/>
          </w:tcPr>
          <w:p w14:paraId="25978ACD">
            <w:pPr>
              <w:jc w:val="center"/>
              <w:rPr>
                <w:color w:val="auto"/>
                <w:highlight w:val="none"/>
              </w:rPr>
            </w:pPr>
          </w:p>
        </w:tc>
        <w:tc>
          <w:tcPr>
            <w:tcW w:w="1273" w:type="dxa"/>
            <w:vAlign w:val="center"/>
          </w:tcPr>
          <w:p w14:paraId="215903D5">
            <w:pPr>
              <w:jc w:val="center"/>
              <w:rPr>
                <w:color w:val="auto"/>
                <w:highlight w:val="none"/>
              </w:rPr>
            </w:pPr>
          </w:p>
        </w:tc>
        <w:tc>
          <w:tcPr>
            <w:tcW w:w="1274" w:type="dxa"/>
            <w:vAlign w:val="center"/>
          </w:tcPr>
          <w:p w14:paraId="2F517929">
            <w:pPr>
              <w:jc w:val="center"/>
              <w:rPr>
                <w:color w:val="auto"/>
                <w:highlight w:val="none"/>
              </w:rPr>
            </w:pPr>
          </w:p>
        </w:tc>
        <w:tc>
          <w:tcPr>
            <w:tcW w:w="1273" w:type="dxa"/>
            <w:vAlign w:val="center"/>
          </w:tcPr>
          <w:p w14:paraId="7847E07F">
            <w:pPr>
              <w:jc w:val="center"/>
              <w:rPr>
                <w:color w:val="auto"/>
                <w:highlight w:val="none"/>
              </w:rPr>
            </w:pPr>
          </w:p>
        </w:tc>
        <w:tc>
          <w:tcPr>
            <w:tcW w:w="1274" w:type="dxa"/>
            <w:vAlign w:val="center"/>
          </w:tcPr>
          <w:p w14:paraId="2E549665">
            <w:pPr>
              <w:jc w:val="center"/>
              <w:rPr>
                <w:color w:val="auto"/>
                <w:highlight w:val="none"/>
              </w:rPr>
            </w:pPr>
          </w:p>
        </w:tc>
        <w:tc>
          <w:tcPr>
            <w:tcW w:w="1273" w:type="dxa"/>
            <w:vAlign w:val="center"/>
          </w:tcPr>
          <w:p w14:paraId="037A8231">
            <w:pPr>
              <w:jc w:val="center"/>
              <w:rPr>
                <w:color w:val="auto"/>
                <w:highlight w:val="none"/>
              </w:rPr>
            </w:pPr>
          </w:p>
        </w:tc>
        <w:tc>
          <w:tcPr>
            <w:tcW w:w="1274" w:type="dxa"/>
            <w:vAlign w:val="center"/>
          </w:tcPr>
          <w:p w14:paraId="4FEF62A5">
            <w:pPr>
              <w:jc w:val="center"/>
              <w:rPr>
                <w:color w:val="auto"/>
                <w:highlight w:val="none"/>
              </w:rPr>
            </w:pPr>
          </w:p>
        </w:tc>
      </w:tr>
      <w:tr w14:paraId="2638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3CB0DAAB">
            <w:pPr>
              <w:jc w:val="center"/>
              <w:rPr>
                <w:rFonts w:ascii="宋体" w:hAnsi="宋体"/>
                <w:color w:val="auto"/>
                <w:highlight w:val="none"/>
              </w:rPr>
            </w:pPr>
            <w:r>
              <w:rPr>
                <w:rFonts w:hint="eastAsia" w:ascii="宋体" w:hAnsi="宋体"/>
                <w:color w:val="auto"/>
                <w:highlight w:val="none"/>
              </w:rPr>
              <w:t>设区市级企业诚信综合评价得分</w:t>
            </w:r>
          </w:p>
        </w:tc>
        <w:tc>
          <w:tcPr>
            <w:tcW w:w="1290" w:type="dxa"/>
            <w:vAlign w:val="center"/>
          </w:tcPr>
          <w:p w14:paraId="18194D9B">
            <w:pPr>
              <w:jc w:val="center"/>
              <w:rPr>
                <w:color w:val="auto"/>
                <w:highlight w:val="none"/>
              </w:rPr>
            </w:pPr>
          </w:p>
        </w:tc>
        <w:tc>
          <w:tcPr>
            <w:tcW w:w="1257" w:type="dxa"/>
            <w:vAlign w:val="center"/>
          </w:tcPr>
          <w:p w14:paraId="17907C79">
            <w:pPr>
              <w:jc w:val="center"/>
              <w:rPr>
                <w:color w:val="auto"/>
                <w:highlight w:val="none"/>
              </w:rPr>
            </w:pPr>
          </w:p>
        </w:tc>
        <w:tc>
          <w:tcPr>
            <w:tcW w:w="1273" w:type="dxa"/>
            <w:vAlign w:val="center"/>
          </w:tcPr>
          <w:p w14:paraId="17DD89BA">
            <w:pPr>
              <w:jc w:val="center"/>
              <w:rPr>
                <w:color w:val="auto"/>
                <w:highlight w:val="none"/>
              </w:rPr>
            </w:pPr>
          </w:p>
        </w:tc>
        <w:tc>
          <w:tcPr>
            <w:tcW w:w="1274" w:type="dxa"/>
            <w:vAlign w:val="center"/>
          </w:tcPr>
          <w:p w14:paraId="3D769B35">
            <w:pPr>
              <w:jc w:val="center"/>
              <w:rPr>
                <w:color w:val="auto"/>
                <w:highlight w:val="none"/>
              </w:rPr>
            </w:pPr>
          </w:p>
        </w:tc>
        <w:tc>
          <w:tcPr>
            <w:tcW w:w="1273" w:type="dxa"/>
            <w:vAlign w:val="center"/>
          </w:tcPr>
          <w:p w14:paraId="1F1926C7">
            <w:pPr>
              <w:jc w:val="center"/>
              <w:rPr>
                <w:color w:val="auto"/>
                <w:highlight w:val="none"/>
              </w:rPr>
            </w:pPr>
          </w:p>
        </w:tc>
        <w:tc>
          <w:tcPr>
            <w:tcW w:w="1274" w:type="dxa"/>
            <w:vAlign w:val="center"/>
          </w:tcPr>
          <w:p w14:paraId="25C37A5A">
            <w:pPr>
              <w:jc w:val="center"/>
              <w:rPr>
                <w:color w:val="auto"/>
                <w:highlight w:val="none"/>
              </w:rPr>
            </w:pPr>
          </w:p>
        </w:tc>
        <w:tc>
          <w:tcPr>
            <w:tcW w:w="1273" w:type="dxa"/>
            <w:vAlign w:val="center"/>
          </w:tcPr>
          <w:p w14:paraId="7BD4DA8B">
            <w:pPr>
              <w:jc w:val="center"/>
              <w:rPr>
                <w:color w:val="auto"/>
                <w:highlight w:val="none"/>
              </w:rPr>
            </w:pPr>
          </w:p>
        </w:tc>
        <w:tc>
          <w:tcPr>
            <w:tcW w:w="1274" w:type="dxa"/>
            <w:vAlign w:val="center"/>
          </w:tcPr>
          <w:p w14:paraId="48596E0A">
            <w:pPr>
              <w:jc w:val="center"/>
              <w:rPr>
                <w:color w:val="auto"/>
                <w:highlight w:val="none"/>
              </w:rPr>
            </w:pPr>
          </w:p>
        </w:tc>
      </w:tr>
      <w:tr w14:paraId="1907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3702C144">
            <w:pPr>
              <w:jc w:val="center"/>
              <w:rPr>
                <w:color w:val="auto"/>
                <w:highlight w:val="none"/>
              </w:rPr>
            </w:pPr>
            <w:r>
              <w:rPr>
                <w:rFonts w:hint="eastAsia" w:cs="宋体"/>
                <w:color w:val="auto"/>
                <w:highlight w:val="none"/>
              </w:rPr>
              <w:t>企业信誉实力得分合计（满分</w:t>
            </w:r>
            <w:r>
              <w:rPr>
                <w:rFonts w:hint="eastAsia"/>
                <w:color w:val="auto"/>
                <w:highlight w:val="none"/>
              </w:rPr>
              <w:t>100</w:t>
            </w:r>
            <w:r>
              <w:rPr>
                <w:color w:val="auto"/>
                <w:highlight w:val="none"/>
              </w:rPr>
              <w:t>分</w:t>
            </w:r>
            <w:r>
              <w:rPr>
                <w:rFonts w:hint="eastAsia" w:cs="宋体"/>
                <w:color w:val="auto"/>
                <w:highlight w:val="none"/>
              </w:rPr>
              <w:t>）</w:t>
            </w:r>
          </w:p>
        </w:tc>
        <w:tc>
          <w:tcPr>
            <w:tcW w:w="1290" w:type="dxa"/>
            <w:vAlign w:val="center"/>
          </w:tcPr>
          <w:p w14:paraId="040DFE9E">
            <w:pPr>
              <w:jc w:val="center"/>
              <w:rPr>
                <w:color w:val="auto"/>
                <w:highlight w:val="none"/>
              </w:rPr>
            </w:pPr>
          </w:p>
        </w:tc>
        <w:tc>
          <w:tcPr>
            <w:tcW w:w="1257" w:type="dxa"/>
            <w:vAlign w:val="center"/>
          </w:tcPr>
          <w:p w14:paraId="4975D339">
            <w:pPr>
              <w:jc w:val="center"/>
              <w:rPr>
                <w:color w:val="auto"/>
                <w:highlight w:val="none"/>
              </w:rPr>
            </w:pPr>
          </w:p>
        </w:tc>
        <w:tc>
          <w:tcPr>
            <w:tcW w:w="1273" w:type="dxa"/>
            <w:vAlign w:val="center"/>
          </w:tcPr>
          <w:p w14:paraId="4DF43F07">
            <w:pPr>
              <w:jc w:val="center"/>
              <w:rPr>
                <w:color w:val="auto"/>
                <w:highlight w:val="none"/>
              </w:rPr>
            </w:pPr>
          </w:p>
        </w:tc>
        <w:tc>
          <w:tcPr>
            <w:tcW w:w="1274" w:type="dxa"/>
            <w:vAlign w:val="center"/>
          </w:tcPr>
          <w:p w14:paraId="0BC2E445">
            <w:pPr>
              <w:jc w:val="center"/>
              <w:rPr>
                <w:color w:val="auto"/>
                <w:highlight w:val="none"/>
              </w:rPr>
            </w:pPr>
          </w:p>
        </w:tc>
        <w:tc>
          <w:tcPr>
            <w:tcW w:w="1273" w:type="dxa"/>
            <w:vAlign w:val="center"/>
          </w:tcPr>
          <w:p w14:paraId="645E0868">
            <w:pPr>
              <w:jc w:val="center"/>
              <w:rPr>
                <w:color w:val="auto"/>
                <w:highlight w:val="none"/>
              </w:rPr>
            </w:pPr>
          </w:p>
        </w:tc>
        <w:tc>
          <w:tcPr>
            <w:tcW w:w="1274" w:type="dxa"/>
            <w:vAlign w:val="center"/>
          </w:tcPr>
          <w:p w14:paraId="5C941F8B">
            <w:pPr>
              <w:jc w:val="center"/>
              <w:rPr>
                <w:color w:val="auto"/>
                <w:highlight w:val="none"/>
              </w:rPr>
            </w:pPr>
          </w:p>
        </w:tc>
        <w:tc>
          <w:tcPr>
            <w:tcW w:w="1273" w:type="dxa"/>
            <w:vAlign w:val="center"/>
          </w:tcPr>
          <w:p w14:paraId="63377800">
            <w:pPr>
              <w:jc w:val="center"/>
              <w:rPr>
                <w:color w:val="auto"/>
                <w:highlight w:val="none"/>
              </w:rPr>
            </w:pPr>
          </w:p>
        </w:tc>
        <w:tc>
          <w:tcPr>
            <w:tcW w:w="1274" w:type="dxa"/>
            <w:vAlign w:val="center"/>
          </w:tcPr>
          <w:p w14:paraId="268E3AD9">
            <w:pPr>
              <w:jc w:val="center"/>
              <w:rPr>
                <w:color w:val="auto"/>
                <w:highlight w:val="none"/>
              </w:rPr>
            </w:pPr>
          </w:p>
        </w:tc>
      </w:tr>
      <w:tr w14:paraId="13F0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4048" w:type="dxa"/>
            <w:gridSpan w:val="10"/>
            <w:vAlign w:val="center"/>
          </w:tcPr>
          <w:p w14:paraId="71F00BF4">
            <w:pPr>
              <w:spacing w:line="360" w:lineRule="auto"/>
              <w:jc w:val="left"/>
              <w:rPr>
                <w:rFonts w:ascii="宋体" w:hAnsi="宋体" w:cs="宋体"/>
                <w:color w:val="auto"/>
                <w:highlight w:val="none"/>
              </w:rPr>
            </w:pPr>
          </w:p>
          <w:p w14:paraId="06F9971A">
            <w:pPr>
              <w:spacing w:line="360" w:lineRule="auto"/>
              <w:jc w:val="left"/>
              <w:rPr>
                <w:color w:val="auto"/>
                <w:highlight w:val="none"/>
              </w:rPr>
            </w:pPr>
            <w:r>
              <w:rPr>
                <w:rFonts w:hint="eastAsia" w:ascii="宋体" w:hAnsi="宋体" w:cs="宋体"/>
                <w:color w:val="auto"/>
                <w:highlight w:val="none"/>
              </w:rPr>
              <w:t>企业信誉实力加权得分=根据实时公布的自治区级诚信综合评价分/参与本次投标的所有投标人中最高的自治区级诚信综合评价分</w:t>
            </w:r>
            <w:r>
              <w:rPr>
                <w:rFonts w:hint="eastAsia" w:ascii="宋体" w:hAnsi="宋体"/>
                <w:color w:val="auto"/>
                <w:szCs w:val="21"/>
                <w:highlight w:val="none"/>
              </w:rPr>
              <w:t>×100×</w:t>
            </w:r>
            <w:r>
              <w:rPr>
                <w:rFonts w:ascii="宋体" w:hAnsi="宋体" w:cs="宋体"/>
                <w:color w:val="auto"/>
                <w:highlight w:val="none"/>
                <w:u w:val="single"/>
              </w:rPr>
              <w:t xml:space="preserve">     </w:t>
            </w:r>
            <w:r>
              <w:rPr>
                <w:rFonts w:hint="eastAsia" w:ascii="宋体" w:hAnsi="宋体" w:cs="宋体"/>
                <w:color w:val="auto"/>
                <w:highlight w:val="none"/>
                <w:u w:val="single"/>
              </w:rPr>
              <w:t>%</w:t>
            </w:r>
            <w:r>
              <w:rPr>
                <w:rFonts w:hint="eastAsia" w:ascii="宋体" w:hAnsi="宋体" w:cs="宋体"/>
                <w:color w:val="auto"/>
                <w:highlight w:val="none"/>
              </w:rPr>
              <w:t>（取</w:t>
            </w:r>
            <w:r>
              <w:rPr>
                <w:rFonts w:ascii="宋体" w:hAnsi="宋体" w:cs="宋体"/>
                <w:color w:val="auto"/>
                <w:highlight w:val="none"/>
              </w:rPr>
              <w:t>70</w:t>
            </w:r>
            <w:r>
              <w:rPr>
                <w:rFonts w:hint="eastAsia" w:ascii="宋体" w:hAnsi="宋体" w:cs="宋体"/>
                <w:color w:val="auto"/>
                <w:highlight w:val="none"/>
              </w:rPr>
              <w:t>%</w:t>
            </w:r>
            <w:r>
              <w:rPr>
                <w:rFonts w:ascii="宋体" w:hAnsi="宋体"/>
                <w:color w:val="auto"/>
                <w:kern w:val="0"/>
                <w:highlight w:val="none"/>
              </w:rPr>
              <w:t>~</w:t>
            </w:r>
            <w:r>
              <w:rPr>
                <w:rFonts w:ascii="宋体" w:hAnsi="宋体" w:cs="宋体"/>
                <w:color w:val="auto"/>
                <w:highlight w:val="none"/>
              </w:rPr>
              <w:t>100</w:t>
            </w:r>
            <w:r>
              <w:rPr>
                <w:rFonts w:hint="eastAsia" w:ascii="宋体" w:hAnsi="宋体" w:cs="宋体"/>
                <w:color w:val="auto"/>
                <w:highlight w:val="none"/>
              </w:rPr>
              <w:t>%）</w:t>
            </w:r>
            <w:r>
              <w:rPr>
                <w:rFonts w:hint="eastAsia" w:ascii="宋体" w:hAnsi="宋体"/>
                <w:color w:val="auto"/>
                <w:szCs w:val="21"/>
                <w:highlight w:val="none"/>
              </w:rPr>
              <w:t>+根据实时公布的项目所在地设区市级诚信综合评价分/参与本次投标的所有投标人中</w:t>
            </w:r>
            <w:r>
              <w:rPr>
                <w:rFonts w:hint="eastAsia" w:ascii="宋体" w:hAnsi="宋体" w:cs="宋体"/>
                <w:color w:val="auto"/>
                <w:highlight w:val="none"/>
              </w:rPr>
              <w:t>最高的区市级</w:t>
            </w:r>
            <w:r>
              <w:rPr>
                <w:rFonts w:hint="eastAsia" w:ascii="宋体" w:hAnsi="宋体"/>
                <w:color w:val="auto"/>
                <w:szCs w:val="21"/>
                <w:highlight w:val="none"/>
              </w:rPr>
              <w:t>诚信综合评价分×100×</w:t>
            </w:r>
            <w:r>
              <w:rPr>
                <w:rFonts w:hint="eastAsia" w:ascii="宋体" w:hAnsi="宋体"/>
                <w:color w:val="auto"/>
                <w:szCs w:val="21"/>
                <w:highlight w:val="none"/>
                <w:u w:val="single"/>
              </w:rPr>
              <w:t xml:space="preserve">    </w:t>
            </w:r>
            <w:r>
              <w:rPr>
                <w:rFonts w:hint="eastAsia" w:ascii="宋体" w:hAnsi="宋体"/>
                <w:color w:val="auto"/>
                <w:szCs w:val="21"/>
                <w:highlight w:val="none"/>
              </w:rPr>
              <w:t>%（取</w:t>
            </w:r>
            <w:r>
              <w:rPr>
                <w:rFonts w:ascii="宋体" w:hAnsi="宋体" w:cs="宋体"/>
                <w:color w:val="auto"/>
                <w:highlight w:val="none"/>
              </w:rPr>
              <w:t>0</w:t>
            </w:r>
            <w:r>
              <w:rPr>
                <w:rFonts w:ascii="宋体" w:hAnsi="宋体"/>
                <w:color w:val="auto"/>
                <w:kern w:val="0"/>
                <w:highlight w:val="none"/>
              </w:rPr>
              <w:t>~</w:t>
            </w:r>
            <w:r>
              <w:rPr>
                <w:rFonts w:ascii="宋体" w:hAnsi="宋体" w:cs="宋体"/>
                <w:color w:val="auto"/>
                <w:highlight w:val="none"/>
              </w:rPr>
              <w:t>30</w:t>
            </w:r>
            <w:r>
              <w:rPr>
                <w:rFonts w:hint="eastAsia" w:ascii="宋体" w:hAnsi="宋体" w:cs="宋体"/>
                <w:color w:val="auto"/>
                <w:highlight w:val="none"/>
              </w:rPr>
              <w:t>%</w:t>
            </w:r>
            <w:r>
              <w:rPr>
                <w:rFonts w:hint="eastAsia" w:ascii="宋体" w:hAnsi="宋体"/>
                <w:color w:val="auto"/>
                <w:szCs w:val="21"/>
                <w:highlight w:val="none"/>
              </w:rPr>
              <w:t>）。如参与本次投标的所有投标人中最高的区市级诚信综合评价分</w:t>
            </w:r>
            <w:r>
              <w:rPr>
                <w:rFonts w:hint="eastAsia" w:ascii="宋体" w:hAnsi="宋体"/>
                <w:color w:val="auto"/>
                <w:szCs w:val="21"/>
                <w:highlight w:val="none"/>
                <w:lang w:val="en"/>
              </w:rPr>
              <w:t>为0，考虑到0不能作为除数，此时应选择该市最高的设计企业诚信综合评价得分代替，此设计企业可不为此次投标人。</w:t>
            </w:r>
            <w:r>
              <w:rPr>
                <w:rFonts w:hint="eastAsia" w:ascii="宋体" w:hAnsi="宋体"/>
                <w:color w:val="auto"/>
                <w:szCs w:val="21"/>
                <w:highlight w:val="none"/>
              </w:rPr>
              <w:t>如，甲、乙、丙投标企业项目所在地市级评分为0分，-5分</w:t>
            </w:r>
            <w:r>
              <w:rPr>
                <w:rFonts w:hint="eastAsia" w:ascii="宋体" w:hAnsi="宋体"/>
                <w:color w:val="auto"/>
                <w:szCs w:val="21"/>
                <w:highlight w:val="none"/>
                <w:lang w:val="en"/>
              </w:rPr>
              <w:t>，-10分</w:t>
            </w:r>
            <w:r>
              <w:rPr>
                <w:rFonts w:hint="eastAsia" w:ascii="宋体" w:hAnsi="宋体"/>
                <w:color w:val="auto"/>
                <w:szCs w:val="21"/>
                <w:highlight w:val="none"/>
              </w:rPr>
              <w:t>，</w:t>
            </w:r>
            <w:r>
              <w:rPr>
                <w:rFonts w:hint="eastAsia" w:ascii="宋体" w:hAnsi="宋体"/>
                <w:color w:val="auto"/>
                <w:szCs w:val="21"/>
                <w:highlight w:val="none"/>
                <w:lang w:val="en"/>
              </w:rPr>
              <w:t>该市最高的设计企业诚信综合评价得分为20分，</w:t>
            </w:r>
            <w:r>
              <w:rPr>
                <w:rFonts w:hint="eastAsia" w:ascii="宋体" w:hAnsi="宋体"/>
                <w:color w:val="auto"/>
                <w:szCs w:val="21"/>
                <w:highlight w:val="none"/>
              </w:rPr>
              <w:t>市级诚信分得权重为30%，则</w:t>
            </w:r>
            <w:r>
              <w:rPr>
                <w:rFonts w:hint="eastAsia" w:ascii="宋体" w:hAnsi="宋体"/>
                <w:color w:val="auto"/>
                <w:szCs w:val="21"/>
                <w:highlight w:val="none"/>
                <w:lang w:val="en"/>
              </w:rPr>
              <w:t>各投标人</w:t>
            </w:r>
            <w:r>
              <w:rPr>
                <w:rFonts w:hint="eastAsia" w:ascii="宋体" w:hAnsi="宋体"/>
                <w:color w:val="auto"/>
                <w:szCs w:val="21"/>
                <w:highlight w:val="none"/>
              </w:rPr>
              <w:t>市级企业信誉实力得分为：</w:t>
            </w:r>
            <w:r>
              <w:rPr>
                <w:rFonts w:hint="eastAsia" w:ascii="宋体" w:hAnsi="宋体"/>
                <w:color w:val="auto"/>
                <w:szCs w:val="21"/>
                <w:highlight w:val="none"/>
                <w:lang w:val="en"/>
              </w:rPr>
              <w:t>甲：0/20x100*30%=0分；乙：-5/20x100*30%=-7.5分，丙：-10/20x100*30%=-15分。</w:t>
            </w:r>
          </w:p>
        </w:tc>
      </w:tr>
    </w:tbl>
    <w:p w14:paraId="62FA3DC9">
      <w:pPr>
        <w:spacing w:line="440" w:lineRule="exact"/>
        <w:rPr>
          <w:color w:val="auto"/>
          <w:highlight w:val="none"/>
        </w:rPr>
      </w:pPr>
      <w:r>
        <w:rPr>
          <w:rFonts w:hint="eastAsia" w:cs="宋体"/>
          <w:color w:val="auto"/>
          <w:highlight w:val="none"/>
        </w:rPr>
        <w:t>评标委员会全体评委签名：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097E77BD">
      <w:pPr>
        <w:rPr>
          <w:color w:val="auto"/>
          <w:szCs w:val="21"/>
          <w:highlight w:val="none"/>
        </w:rPr>
      </w:pPr>
    </w:p>
    <w:p w14:paraId="43ED296D">
      <w:pPr>
        <w:rPr>
          <w:color w:val="auto"/>
          <w:szCs w:val="21"/>
          <w:highlight w:val="none"/>
        </w:rPr>
      </w:pPr>
    </w:p>
    <w:p w14:paraId="31DD9E43">
      <w:pPr>
        <w:rPr>
          <w:color w:val="auto"/>
          <w:szCs w:val="21"/>
          <w:highlight w:val="none"/>
        </w:rPr>
      </w:pPr>
    </w:p>
    <w:p w14:paraId="5A4079AF">
      <w:pPr>
        <w:rPr>
          <w:color w:val="auto"/>
          <w:szCs w:val="21"/>
          <w:highlight w:val="none"/>
        </w:rPr>
      </w:pPr>
    </w:p>
    <w:p w14:paraId="78A23C23">
      <w:pPr>
        <w:rPr>
          <w:b/>
          <w:color w:val="auto"/>
          <w:szCs w:val="21"/>
          <w:highlight w:val="none"/>
        </w:rPr>
      </w:pPr>
      <w:r>
        <w:rPr>
          <w:b/>
          <w:color w:val="auto"/>
          <w:szCs w:val="21"/>
          <w:highlight w:val="none"/>
        </w:rPr>
        <w:t>附表A-</w:t>
      </w:r>
      <w:r>
        <w:rPr>
          <w:rFonts w:hint="eastAsia"/>
          <w:b/>
          <w:color w:val="auto"/>
          <w:szCs w:val="21"/>
          <w:highlight w:val="none"/>
        </w:rPr>
        <w:t>14</w:t>
      </w:r>
      <w:r>
        <w:rPr>
          <w:b/>
          <w:color w:val="auto"/>
          <w:szCs w:val="21"/>
          <w:highlight w:val="none"/>
        </w:rPr>
        <w:t>：评标结果汇总表</w:t>
      </w:r>
    </w:p>
    <w:p w14:paraId="3AA9338C">
      <w:pPr>
        <w:jc w:val="center"/>
        <w:rPr>
          <w:color w:val="auto"/>
          <w:sz w:val="28"/>
          <w:szCs w:val="28"/>
          <w:highlight w:val="none"/>
        </w:rPr>
      </w:pPr>
      <w:r>
        <w:rPr>
          <w:rFonts w:eastAsia="黑体"/>
          <w:color w:val="auto"/>
          <w:sz w:val="28"/>
          <w:szCs w:val="28"/>
          <w:highlight w:val="none"/>
        </w:rPr>
        <w:t>评标结果汇总表</w:t>
      </w:r>
    </w:p>
    <w:p w14:paraId="0BF3342C">
      <w:pPr>
        <w:spacing w:after="72" w:afterLines="30" w:line="440" w:lineRule="exact"/>
        <w:rPr>
          <w:color w:val="auto"/>
          <w:highlight w:val="none"/>
        </w:rPr>
      </w:pPr>
      <w:r>
        <w:rPr>
          <w:rFonts w:hint="eastAsia"/>
          <w:color w:val="auto"/>
          <w:highlight w:val="none"/>
        </w:rPr>
        <w:t>项目</w:t>
      </w:r>
      <w:r>
        <w:rPr>
          <w:color w:val="auto"/>
          <w:highlight w:val="none"/>
        </w:rPr>
        <w:t>名称</w:t>
      </w:r>
      <w:r>
        <w:rPr>
          <w:rFonts w:hint="eastAsia"/>
          <w:color w:val="auto"/>
          <w:highlight w:val="none"/>
        </w:rPr>
        <w:t>及项目招标编号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r>
        <w:rPr>
          <w:color w:val="auto"/>
          <w:sz w:val="10"/>
          <w:szCs w:val="10"/>
          <w:highlight w:val="none"/>
        </w:rPr>
        <w:t xml:space="preserve"> </w:t>
      </w:r>
    </w:p>
    <w:tbl>
      <w:tblPr>
        <w:tblStyle w:val="40"/>
        <w:tblW w:w="136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880"/>
        <w:gridCol w:w="961"/>
        <w:gridCol w:w="945"/>
        <w:gridCol w:w="1140"/>
        <w:gridCol w:w="1257"/>
        <w:gridCol w:w="1257"/>
        <w:gridCol w:w="1257"/>
        <w:gridCol w:w="1257"/>
        <w:gridCol w:w="1261"/>
        <w:gridCol w:w="708"/>
      </w:tblGrid>
      <w:tr w14:paraId="65E8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20" w:type="dxa"/>
            <w:vMerge w:val="restart"/>
            <w:vAlign w:val="center"/>
          </w:tcPr>
          <w:p w14:paraId="0534E61B">
            <w:pPr>
              <w:jc w:val="center"/>
              <w:rPr>
                <w:b/>
                <w:color w:val="auto"/>
                <w:szCs w:val="21"/>
                <w:highlight w:val="none"/>
              </w:rPr>
            </w:pPr>
            <w:r>
              <w:rPr>
                <w:b/>
                <w:color w:val="auto"/>
                <w:szCs w:val="21"/>
                <w:highlight w:val="none"/>
              </w:rPr>
              <w:t>序号</w:t>
            </w:r>
          </w:p>
        </w:tc>
        <w:tc>
          <w:tcPr>
            <w:tcW w:w="2880" w:type="dxa"/>
            <w:vMerge w:val="restart"/>
            <w:vAlign w:val="center"/>
          </w:tcPr>
          <w:p w14:paraId="5BA8E04D">
            <w:pPr>
              <w:jc w:val="center"/>
              <w:rPr>
                <w:b/>
                <w:color w:val="auto"/>
                <w:szCs w:val="21"/>
                <w:highlight w:val="none"/>
              </w:rPr>
            </w:pPr>
            <w:r>
              <w:rPr>
                <w:b/>
                <w:color w:val="auto"/>
                <w:szCs w:val="21"/>
                <w:highlight w:val="none"/>
              </w:rPr>
              <w:t>投标人名称</w:t>
            </w:r>
          </w:p>
        </w:tc>
        <w:tc>
          <w:tcPr>
            <w:tcW w:w="3046" w:type="dxa"/>
            <w:gridSpan w:val="3"/>
            <w:vAlign w:val="center"/>
          </w:tcPr>
          <w:p w14:paraId="3886B3D0">
            <w:pPr>
              <w:jc w:val="center"/>
              <w:rPr>
                <w:b/>
                <w:color w:val="auto"/>
                <w:szCs w:val="21"/>
                <w:highlight w:val="none"/>
              </w:rPr>
            </w:pPr>
            <w:r>
              <w:rPr>
                <w:b/>
                <w:color w:val="auto"/>
                <w:szCs w:val="21"/>
                <w:highlight w:val="none"/>
              </w:rPr>
              <w:t>初步评审</w:t>
            </w:r>
          </w:p>
        </w:tc>
        <w:tc>
          <w:tcPr>
            <w:tcW w:w="6289" w:type="dxa"/>
            <w:gridSpan w:val="5"/>
            <w:vAlign w:val="center"/>
          </w:tcPr>
          <w:p w14:paraId="38E1CD95">
            <w:pPr>
              <w:jc w:val="center"/>
              <w:rPr>
                <w:b/>
                <w:color w:val="auto"/>
                <w:szCs w:val="21"/>
                <w:highlight w:val="none"/>
              </w:rPr>
            </w:pPr>
            <w:r>
              <w:rPr>
                <w:b/>
                <w:color w:val="auto"/>
                <w:szCs w:val="21"/>
                <w:highlight w:val="none"/>
              </w:rPr>
              <w:t>详细评审</w:t>
            </w:r>
          </w:p>
        </w:tc>
        <w:tc>
          <w:tcPr>
            <w:tcW w:w="708" w:type="dxa"/>
            <w:vMerge w:val="restart"/>
            <w:vAlign w:val="center"/>
          </w:tcPr>
          <w:p w14:paraId="09F9A9FF">
            <w:pPr>
              <w:jc w:val="center"/>
              <w:rPr>
                <w:b/>
                <w:color w:val="auto"/>
                <w:szCs w:val="21"/>
                <w:highlight w:val="none"/>
              </w:rPr>
            </w:pPr>
            <w:r>
              <w:rPr>
                <w:b/>
                <w:color w:val="auto"/>
                <w:szCs w:val="21"/>
                <w:highlight w:val="none"/>
              </w:rPr>
              <w:t>备注</w:t>
            </w:r>
          </w:p>
        </w:tc>
      </w:tr>
      <w:tr w14:paraId="2859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720" w:type="dxa"/>
            <w:vMerge w:val="continue"/>
            <w:vAlign w:val="center"/>
          </w:tcPr>
          <w:p w14:paraId="360CDF01">
            <w:pPr>
              <w:jc w:val="center"/>
              <w:rPr>
                <w:color w:val="auto"/>
                <w:szCs w:val="21"/>
                <w:highlight w:val="none"/>
              </w:rPr>
            </w:pPr>
          </w:p>
        </w:tc>
        <w:tc>
          <w:tcPr>
            <w:tcW w:w="2880" w:type="dxa"/>
            <w:vMerge w:val="continue"/>
            <w:vAlign w:val="center"/>
          </w:tcPr>
          <w:p w14:paraId="055D6262">
            <w:pPr>
              <w:jc w:val="center"/>
              <w:rPr>
                <w:color w:val="auto"/>
                <w:szCs w:val="21"/>
                <w:highlight w:val="none"/>
              </w:rPr>
            </w:pPr>
          </w:p>
        </w:tc>
        <w:tc>
          <w:tcPr>
            <w:tcW w:w="961" w:type="dxa"/>
            <w:vAlign w:val="center"/>
          </w:tcPr>
          <w:p w14:paraId="1FC2923D">
            <w:pPr>
              <w:jc w:val="center"/>
              <w:rPr>
                <w:b/>
                <w:color w:val="auto"/>
                <w:szCs w:val="21"/>
                <w:highlight w:val="none"/>
              </w:rPr>
            </w:pPr>
            <w:r>
              <w:rPr>
                <w:rFonts w:hint="eastAsia"/>
                <w:b/>
                <w:color w:val="auto"/>
                <w:szCs w:val="21"/>
                <w:highlight w:val="none"/>
              </w:rPr>
              <w:t>形式评审是否</w:t>
            </w:r>
            <w:r>
              <w:rPr>
                <w:b/>
                <w:color w:val="auto"/>
                <w:szCs w:val="21"/>
                <w:highlight w:val="none"/>
              </w:rPr>
              <w:t>合格</w:t>
            </w:r>
          </w:p>
        </w:tc>
        <w:tc>
          <w:tcPr>
            <w:tcW w:w="945" w:type="dxa"/>
            <w:vAlign w:val="center"/>
          </w:tcPr>
          <w:p w14:paraId="663FD2E0">
            <w:pPr>
              <w:jc w:val="center"/>
              <w:rPr>
                <w:b/>
                <w:color w:val="auto"/>
                <w:szCs w:val="21"/>
                <w:highlight w:val="none"/>
              </w:rPr>
            </w:pPr>
            <w:r>
              <w:rPr>
                <w:rFonts w:hint="eastAsia"/>
                <w:b/>
                <w:color w:val="auto"/>
                <w:szCs w:val="21"/>
                <w:highlight w:val="none"/>
              </w:rPr>
              <w:t>响应性评审</w:t>
            </w:r>
          </w:p>
          <w:p w14:paraId="6DDB0650">
            <w:pPr>
              <w:jc w:val="center"/>
              <w:rPr>
                <w:b/>
                <w:color w:val="auto"/>
                <w:szCs w:val="21"/>
                <w:highlight w:val="none"/>
              </w:rPr>
            </w:pPr>
            <w:r>
              <w:rPr>
                <w:rFonts w:hint="eastAsia"/>
                <w:b/>
                <w:color w:val="auto"/>
                <w:szCs w:val="21"/>
                <w:highlight w:val="none"/>
              </w:rPr>
              <w:t>是否合格</w:t>
            </w:r>
          </w:p>
        </w:tc>
        <w:tc>
          <w:tcPr>
            <w:tcW w:w="1140" w:type="dxa"/>
            <w:vAlign w:val="center"/>
          </w:tcPr>
          <w:p w14:paraId="2D96F2CD">
            <w:pPr>
              <w:jc w:val="center"/>
              <w:rPr>
                <w:b/>
                <w:color w:val="auto"/>
                <w:szCs w:val="21"/>
                <w:highlight w:val="none"/>
              </w:rPr>
            </w:pPr>
            <w:r>
              <w:rPr>
                <w:rFonts w:hint="eastAsia"/>
                <w:b/>
                <w:color w:val="auto"/>
                <w:szCs w:val="21"/>
                <w:highlight w:val="none"/>
              </w:rPr>
              <w:t>资格审查</w:t>
            </w:r>
          </w:p>
          <w:p w14:paraId="0C3CBBED">
            <w:pPr>
              <w:jc w:val="center"/>
              <w:rPr>
                <w:b/>
                <w:color w:val="auto"/>
                <w:szCs w:val="21"/>
                <w:highlight w:val="none"/>
              </w:rPr>
            </w:pPr>
            <w:r>
              <w:rPr>
                <w:rFonts w:hint="eastAsia"/>
                <w:b/>
                <w:color w:val="auto"/>
                <w:szCs w:val="21"/>
                <w:highlight w:val="none"/>
              </w:rPr>
              <w:t>是否</w:t>
            </w:r>
            <w:r>
              <w:rPr>
                <w:b/>
                <w:color w:val="auto"/>
                <w:szCs w:val="21"/>
                <w:highlight w:val="none"/>
              </w:rPr>
              <w:t>合格</w:t>
            </w:r>
          </w:p>
        </w:tc>
        <w:tc>
          <w:tcPr>
            <w:tcW w:w="1257" w:type="dxa"/>
            <w:vAlign w:val="center"/>
          </w:tcPr>
          <w:p w14:paraId="047E1A03">
            <w:pPr>
              <w:jc w:val="center"/>
              <w:rPr>
                <w:b/>
                <w:color w:val="auto"/>
                <w:szCs w:val="21"/>
                <w:highlight w:val="none"/>
              </w:rPr>
            </w:pPr>
            <w:r>
              <w:rPr>
                <w:rFonts w:hint="eastAsia"/>
                <w:b/>
                <w:color w:val="auto"/>
                <w:szCs w:val="21"/>
                <w:highlight w:val="none"/>
              </w:rPr>
              <w:t>商务标得分（权重</w:t>
            </w:r>
            <w:r>
              <w:rPr>
                <w:rFonts w:hint="eastAsia"/>
                <w:b/>
                <w:color w:val="auto"/>
                <w:szCs w:val="21"/>
                <w:highlight w:val="none"/>
                <w:u w:val="single"/>
              </w:rPr>
              <w:t xml:space="preserve">   </w:t>
            </w:r>
            <w:r>
              <w:rPr>
                <w:rFonts w:hint="eastAsia"/>
                <w:b/>
                <w:color w:val="auto"/>
                <w:szCs w:val="21"/>
                <w:highlight w:val="none"/>
              </w:rPr>
              <w:t>%）</w:t>
            </w:r>
          </w:p>
        </w:tc>
        <w:tc>
          <w:tcPr>
            <w:tcW w:w="1257" w:type="dxa"/>
            <w:vAlign w:val="center"/>
          </w:tcPr>
          <w:p w14:paraId="5DF1A42A">
            <w:pPr>
              <w:jc w:val="center"/>
              <w:rPr>
                <w:b/>
                <w:color w:val="auto"/>
                <w:szCs w:val="21"/>
                <w:highlight w:val="none"/>
              </w:rPr>
            </w:pPr>
            <w:r>
              <w:rPr>
                <w:rFonts w:hint="eastAsia"/>
                <w:b/>
                <w:color w:val="auto"/>
                <w:szCs w:val="21"/>
                <w:highlight w:val="none"/>
              </w:rPr>
              <w:t>技术标</w:t>
            </w:r>
          </w:p>
          <w:p w14:paraId="50A059AC">
            <w:pPr>
              <w:jc w:val="center"/>
              <w:rPr>
                <w:b/>
                <w:color w:val="auto"/>
                <w:szCs w:val="21"/>
                <w:highlight w:val="none"/>
              </w:rPr>
            </w:pPr>
            <w:r>
              <w:rPr>
                <w:rFonts w:hint="eastAsia"/>
                <w:b/>
                <w:color w:val="auto"/>
                <w:szCs w:val="21"/>
                <w:highlight w:val="none"/>
              </w:rPr>
              <w:t>（设计组织实施）得分（权重</w:t>
            </w:r>
            <w:r>
              <w:rPr>
                <w:rFonts w:hint="eastAsia"/>
                <w:b/>
                <w:color w:val="auto"/>
                <w:szCs w:val="21"/>
                <w:highlight w:val="none"/>
                <w:u w:val="single"/>
              </w:rPr>
              <w:t xml:space="preserve">     </w:t>
            </w:r>
            <w:r>
              <w:rPr>
                <w:rFonts w:hint="eastAsia"/>
                <w:b/>
                <w:color w:val="auto"/>
                <w:szCs w:val="21"/>
                <w:highlight w:val="none"/>
              </w:rPr>
              <w:t>%）</w:t>
            </w:r>
          </w:p>
        </w:tc>
        <w:tc>
          <w:tcPr>
            <w:tcW w:w="1257" w:type="dxa"/>
            <w:vAlign w:val="center"/>
          </w:tcPr>
          <w:p w14:paraId="2B62515C">
            <w:pPr>
              <w:jc w:val="center"/>
              <w:rPr>
                <w:b/>
                <w:color w:val="auto"/>
                <w:szCs w:val="21"/>
                <w:highlight w:val="none"/>
              </w:rPr>
            </w:pPr>
            <w:r>
              <w:rPr>
                <w:rFonts w:hint="eastAsia"/>
                <w:b/>
                <w:color w:val="auto"/>
                <w:szCs w:val="21"/>
                <w:highlight w:val="none"/>
              </w:rPr>
              <w:t>设计方案</w:t>
            </w:r>
          </w:p>
          <w:p w14:paraId="6A2C2427">
            <w:pPr>
              <w:jc w:val="center"/>
              <w:rPr>
                <w:b/>
                <w:color w:val="auto"/>
                <w:szCs w:val="21"/>
                <w:highlight w:val="none"/>
              </w:rPr>
            </w:pPr>
            <w:r>
              <w:rPr>
                <w:rFonts w:hint="eastAsia"/>
                <w:b/>
                <w:color w:val="auto"/>
                <w:szCs w:val="21"/>
                <w:highlight w:val="none"/>
              </w:rPr>
              <w:t>得分（设计团队得分）（权重</w:t>
            </w:r>
            <w:r>
              <w:rPr>
                <w:rFonts w:hint="eastAsia"/>
                <w:b/>
                <w:color w:val="auto"/>
                <w:szCs w:val="21"/>
                <w:highlight w:val="none"/>
                <w:u w:val="single"/>
              </w:rPr>
              <w:t xml:space="preserve">   </w:t>
            </w:r>
            <w:r>
              <w:rPr>
                <w:rFonts w:hint="eastAsia"/>
                <w:b/>
                <w:color w:val="auto"/>
                <w:szCs w:val="21"/>
                <w:highlight w:val="none"/>
              </w:rPr>
              <w:t>%）</w:t>
            </w:r>
          </w:p>
        </w:tc>
        <w:tc>
          <w:tcPr>
            <w:tcW w:w="1257" w:type="dxa"/>
            <w:vAlign w:val="center"/>
          </w:tcPr>
          <w:p w14:paraId="69D38218">
            <w:pPr>
              <w:jc w:val="center"/>
              <w:rPr>
                <w:b/>
                <w:color w:val="auto"/>
                <w:szCs w:val="21"/>
                <w:highlight w:val="none"/>
              </w:rPr>
            </w:pPr>
            <w:r>
              <w:rPr>
                <w:rFonts w:hint="eastAsia"/>
                <w:b/>
                <w:color w:val="auto"/>
                <w:szCs w:val="21"/>
                <w:highlight w:val="none"/>
              </w:rPr>
              <w:t>企业信誉实力得分（权重10%）</w:t>
            </w:r>
          </w:p>
        </w:tc>
        <w:tc>
          <w:tcPr>
            <w:tcW w:w="1261" w:type="dxa"/>
            <w:vAlign w:val="center"/>
          </w:tcPr>
          <w:p w14:paraId="3E00FAE3">
            <w:pPr>
              <w:jc w:val="center"/>
              <w:rPr>
                <w:rFonts w:ascii="宋体" w:hAnsi="宋体"/>
                <w:b/>
                <w:color w:val="auto"/>
                <w:szCs w:val="21"/>
                <w:highlight w:val="none"/>
              </w:rPr>
            </w:pPr>
            <w:r>
              <w:rPr>
                <w:rFonts w:hint="eastAsia" w:ascii="宋体" w:hAnsi="宋体"/>
                <w:b/>
                <w:color w:val="auto"/>
                <w:szCs w:val="21"/>
                <w:highlight w:val="none"/>
              </w:rPr>
              <w:t>由高到低排列投投标人最终得分（满分1</w:t>
            </w:r>
            <w:r>
              <w:rPr>
                <w:rFonts w:ascii="宋体" w:hAnsi="宋体"/>
                <w:b/>
                <w:color w:val="auto"/>
                <w:szCs w:val="21"/>
                <w:highlight w:val="none"/>
              </w:rPr>
              <w:t>00分</w:t>
            </w:r>
            <w:r>
              <w:rPr>
                <w:rFonts w:hint="eastAsia" w:ascii="宋体" w:hAnsi="宋体"/>
                <w:b/>
                <w:color w:val="auto"/>
                <w:szCs w:val="21"/>
                <w:highlight w:val="none"/>
              </w:rPr>
              <w:t>）</w:t>
            </w:r>
          </w:p>
        </w:tc>
        <w:tc>
          <w:tcPr>
            <w:tcW w:w="708" w:type="dxa"/>
            <w:vMerge w:val="continue"/>
            <w:vAlign w:val="center"/>
          </w:tcPr>
          <w:p w14:paraId="6551AABB">
            <w:pPr>
              <w:jc w:val="center"/>
              <w:rPr>
                <w:color w:val="auto"/>
                <w:szCs w:val="21"/>
                <w:highlight w:val="none"/>
              </w:rPr>
            </w:pPr>
          </w:p>
        </w:tc>
      </w:tr>
      <w:tr w14:paraId="61EE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vAlign w:val="center"/>
          </w:tcPr>
          <w:p w14:paraId="073E793F">
            <w:pPr>
              <w:jc w:val="center"/>
              <w:rPr>
                <w:rFonts w:eastAsia="黑体"/>
                <w:color w:val="auto"/>
                <w:szCs w:val="21"/>
                <w:highlight w:val="none"/>
              </w:rPr>
            </w:pPr>
            <w:r>
              <w:rPr>
                <w:rFonts w:eastAsia="黑体"/>
                <w:color w:val="auto"/>
                <w:szCs w:val="21"/>
                <w:highlight w:val="none"/>
              </w:rPr>
              <w:t>1</w:t>
            </w:r>
          </w:p>
        </w:tc>
        <w:tc>
          <w:tcPr>
            <w:tcW w:w="2880" w:type="dxa"/>
            <w:vAlign w:val="center"/>
          </w:tcPr>
          <w:p w14:paraId="088417CC">
            <w:pPr>
              <w:jc w:val="center"/>
              <w:rPr>
                <w:color w:val="auto"/>
                <w:szCs w:val="21"/>
                <w:highlight w:val="none"/>
              </w:rPr>
            </w:pPr>
          </w:p>
        </w:tc>
        <w:tc>
          <w:tcPr>
            <w:tcW w:w="961" w:type="dxa"/>
            <w:vAlign w:val="center"/>
          </w:tcPr>
          <w:p w14:paraId="73524CBB">
            <w:pPr>
              <w:jc w:val="center"/>
              <w:rPr>
                <w:color w:val="auto"/>
                <w:szCs w:val="21"/>
                <w:highlight w:val="none"/>
              </w:rPr>
            </w:pPr>
          </w:p>
        </w:tc>
        <w:tc>
          <w:tcPr>
            <w:tcW w:w="945" w:type="dxa"/>
            <w:vAlign w:val="center"/>
          </w:tcPr>
          <w:p w14:paraId="631233F5">
            <w:pPr>
              <w:jc w:val="center"/>
              <w:rPr>
                <w:color w:val="auto"/>
                <w:szCs w:val="21"/>
                <w:highlight w:val="none"/>
              </w:rPr>
            </w:pPr>
          </w:p>
        </w:tc>
        <w:tc>
          <w:tcPr>
            <w:tcW w:w="1140" w:type="dxa"/>
            <w:vAlign w:val="center"/>
          </w:tcPr>
          <w:p w14:paraId="5784013C">
            <w:pPr>
              <w:jc w:val="center"/>
              <w:rPr>
                <w:color w:val="auto"/>
                <w:szCs w:val="21"/>
                <w:highlight w:val="none"/>
              </w:rPr>
            </w:pPr>
          </w:p>
        </w:tc>
        <w:tc>
          <w:tcPr>
            <w:tcW w:w="1257" w:type="dxa"/>
            <w:vAlign w:val="center"/>
          </w:tcPr>
          <w:p w14:paraId="4E0069A0">
            <w:pPr>
              <w:jc w:val="center"/>
              <w:rPr>
                <w:color w:val="auto"/>
                <w:szCs w:val="21"/>
                <w:highlight w:val="none"/>
              </w:rPr>
            </w:pPr>
          </w:p>
        </w:tc>
        <w:tc>
          <w:tcPr>
            <w:tcW w:w="1257" w:type="dxa"/>
            <w:vAlign w:val="center"/>
          </w:tcPr>
          <w:p w14:paraId="47B7FE0A">
            <w:pPr>
              <w:jc w:val="center"/>
              <w:rPr>
                <w:color w:val="auto"/>
                <w:szCs w:val="21"/>
                <w:highlight w:val="none"/>
              </w:rPr>
            </w:pPr>
          </w:p>
        </w:tc>
        <w:tc>
          <w:tcPr>
            <w:tcW w:w="1257" w:type="dxa"/>
          </w:tcPr>
          <w:p w14:paraId="20FD8172">
            <w:pPr>
              <w:jc w:val="center"/>
              <w:rPr>
                <w:color w:val="auto"/>
                <w:szCs w:val="21"/>
                <w:highlight w:val="none"/>
              </w:rPr>
            </w:pPr>
          </w:p>
        </w:tc>
        <w:tc>
          <w:tcPr>
            <w:tcW w:w="1257" w:type="dxa"/>
            <w:vAlign w:val="center"/>
          </w:tcPr>
          <w:p w14:paraId="3E1FAB40">
            <w:pPr>
              <w:jc w:val="center"/>
              <w:rPr>
                <w:color w:val="auto"/>
                <w:szCs w:val="21"/>
                <w:highlight w:val="none"/>
              </w:rPr>
            </w:pPr>
          </w:p>
        </w:tc>
        <w:tc>
          <w:tcPr>
            <w:tcW w:w="1261" w:type="dxa"/>
            <w:vAlign w:val="center"/>
          </w:tcPr>
          <w:p w14:paraId="608F082E">
            <w:pPr>
              <w:jc w:val="center"/>
              <w:rPr>
                <w:color w:val="auto"/>
                <w:szCs w:val="21"/>
                <w:highlight w:val="none"/>
              </w:rPr>
            </w:pPr>
          </w:p>
        </w:tc>
        <w:tc>
          <w:tcPr>
            <w:tcW w:w="708" w:type="dxa"/>
            <w:vAlign w:val="center"/>
          </w:tcPr>
          <w:p w14:paraId="0F195717">
            <w:pPr>
              <w:jc w:val="center"/>
              <w:rPr>
                <w:color w:val="auto"/>
                <w:szCs w:val="21"/>
                <w:highlight w:val="none"/>
              </w:rPr>
            </w:pPr>
          </w:p>
        </w:tc>
      </w:tr>
      <w:tr w14:paraId="467A7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vAlign w:val="center"/>
          </w:tcPr>
          <w:p w14:paraId="47ECE4EB">
            <w:pPr>
              <w:jc w:val="center"/>
              <w:rPr>
                <w:rFonts w:eastAsia="黑体"/>
                <w:color w:val="auto"/>
                <w:szCs w:val="21"/>
                <w:highlight w:val="none"/>
              </w:rPr>
            </w:pPr>
            <w:r>
              <w:rPr>
                <w:rFonts w:eastAsia="黑体"/>
                <w:color w:val="auto"/>
                <w:szCs w:val="21"/>
                <w:highlight w:val="none"/>
              </w:rPr>
              <w:t>2</w:t>
            </w:r>
          </w:p>
        </w:tc>
        <w:tc>
          <w:tcPr>
            <w:tcW w:w="2880" w:type="dxa"/>
            <w:vAlign w:val="center"/>
          </w:tcPr>
          <w:p w14:paraId="5C5E9246">
            <w:pPr>
              <w:jc w:val="center"/>
              <w:rPr>
                <w:color w:val="auto"/>
                <w:szCs w:val="21"/>
                <w:highlight w:val="none"/>
              </w:rPr>
            </w:pPr>
          </w:p>
        </w:tc>
        <w:tc>
          <w:tcPr>
            <w:tcW w:w="961" w:type="dxa"/>
            <w:vAlign w:val="center"/>
          </w:tcPr>
          <w:p w14:paraId="597730D9">
            <w:pPr>
              <w:jc w:val="center"/>
              <w:rPr>
                <w:color w:val="auto"/>
                <w:szCs w:val="21"/>
                <w:highlight w:val="none"/>
              </w:rPr>
            </w:pPr>
          </w:p>
        </w:tc>
        <w:tc>
          <w:tcPr>
            <w:tcW w:w="945" w:type="dxa"/>
            <w:vAlign w:val="center"/>
          </w:tcPr>
          <w:p w14:paraId="0264850D">
            <w:pPr>
              <w:jc w:val="center"/>
              <w:rPr>
                <w:color w:val="auto"/>
                <w:szCs w:val="21"/>
                <w:highlight w:val="none"/>
              </w:rPr>
            </w:pPr>
          </w:p>
        </w:tc>
        <w:tc>
          <w:tcPr>
            <w:tcW w:w="1140" w:type="dxa"/>
            <w:vAlign w:val="center"/>
          </w:tcPr>
          <w:p w14:paraId="6AED4AE6">
            <w:pPr>
              <w:jc w:val="center"/>
              <w:rPr>
                <w:color w:val="auto"/>
                <w:szCs w:val="21"/>
                <w:highlight w:val="none"/>
              </w:rPr>
            </w:pPr>
          </w:p>
        </w:tc>
        <w:tc>
          <w:tcPr>
            <w:tcW w:w="1257" w:type="dxa"/>
            <w:vAlign w:val="center"/>
          </w:tcPr>
          <w:p w14:paraId="498F70C0">
            <w:pPr>
              <w:jc w:val="center"/>
              <w:rPr>
                <w:color w:val="auto"/>
                <w:szCs w:val="21"/>
                <w:highlight w:val="none"/>
              </w:rPr>
            </w:pPr>
          </w:p>
        </w:tc>
        <w:tc>
          <w:tcPr>
            <w:tcW w:w="1257" w:type="dxa"/>
            <w:vAlign w:val="center"/>
          </w:tcPr>
          <w:p w14:paraId="1E5E2F5F">
            <w:pPr>
              <w:jc w:val="center"/>
              <w:rPr>
                <w:color w:val="auto"/>
                <w:szCs w:val="21"/>
                <w:highlight w:val="none"/>
              </w:rPr>
            </w:pPr>
          </w:p>
        </w:tc>
        <w:tc>
          <w:tcPr>
            <w:tcW w:w="1257" w:type="dxa"/>
          </w:tcPr>
          <w:p w14:paraId="7FED95D7">
            <w:pPr>
              <w:jc w:val="center"/>
              <w:rPr>
                <w:color w:val="auto"/>
                <w:szCs w:val="21"/>
                <w:highlight w:val="none"/>
              </w:rPr>
            </w:pPr>
          </w:p>
        </w:tc>
        <w:tc>
          <w:tcPr>
            <w:tcW w:w="1257" w:type="dxa"/>
            <w:vAlign w:val="center"/>
          </w:tcPr>
          <w:p w14:paraId="05EC3499">
            <w:pPr>
              <w:jc w:val="center"/>
              <w:rPr>
                <w:color w:val="auto"/>
                <w:szCs w:val="21"/>
                <w:highlight w:val="none"/>
              </w:rPr>
            </w:pPr>
          </w:p>
        </w:tc>
        <w:tc>
          <w:tcPr>
            <w:tcW w:w="1261" w:type="dxa"/>
            <w:vAlign w:val="center"/>
          </w:tcPr>
          <w:p w14:paraId="3F9D664E">
            <w:pPr>
              <w:jc w:val="center"/>
              <w:rPr>
                <w:color w:val="auto"/>
                <w:szCs w:val="21"/>
                <w:highlight w:val="none"/>
              </w:rPr>
            </w:pPr>
          </w:p>
        </w:tc>
        <w:tc>
          <w:tcPr>
            <w:tcW w:w="708" w:type="dxa"/>
            <w:vAlign w:val="center"/>
          </w:tcPr>
          <w:p w14:paraId="00113601">
            <w:pPr>
              <w:jc w:val="center"/>
              <w:rPr>
                <w:color w:val="auto"/>
                <w:szCs w:val="21"/>
                <w:highlight w:val="none"/>
              </w:rPr>
            </w:pPr>
          </w:p>
        </w:tc>
      </w:tr>
      <w:tr w14:paraId="734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vAlign w:val="center"/>
          </w:tcPr>
          <w:p w14:paraId="1A1E006A">
            <w:pPr>
              <w:jc w:val="center"/>
              <w:rPr>
                <w:rFonts w:eastAsia="黑体"/>
                <w:color w:val="auto"/>
                <w:szCs w:val="21"/>
                <w:highlight w:val="none"/>
              </w:rPr>
            </w:pPr>
            <w:r>
              <w:rPr>
                <w:rFonts w:eastAsia="黑体"/>
                <w:color w:val="auto"/>
                <w:szCs w:val="21"/>
                <w:highlight w:val="none"/>
              </w:rPr>
              <w:t>3</w:t>
            </w:r>
          </w:p>
        </w:tc>
        <w:tc>
          <w:tcPr>
            <w:tcW w:w="2880" w:type="dxa"/>
            <w:vAlign w:val="center"/>
          </w:tcPr>
          <w:p w14:paraId="0CBED4A8">
            <w:pPr>
              <w:jc w:val="center"/>
              <w:rPr>
                <w:color w:val="auto"/>
                <w:szCs w:val="21"/>
                <w:highlight w:val="none"/>
              </w:rPr>
            </w:pPr>
          </w:p>
        </w:tc>
        <w:tc>
          <w:tcPr>
            <w:tcW w:w="961" w:type="dxa"/>
            <w:vAlign w:val="center"/>
          </w:tcPr>
          <w:p w14:paraId="59099AA3">
            <w:pPr>
              <w:jc w:val="center"/>
              <w:rPr>
                <w:color w:val="auto"/>
                <w:szCs w:val="21"/>
                <w:highlight w:val="none"/>
              </w:rPr>
            </w:pPr>
          </w:p>
        </w:tc>
        <w:tc>
          <w:tcPr>
            <w:tcW w:w="945" w:type="dxa"/>
            <w:vAlign w:val="center"/>
          </w:tcPr>
          <w:p w14:paraId="20FDB8FA">
            <w:pPr>
              <w:jc w:val="center"/>
              <w:rPr>
                <w:color w:val="auto"/>
                <w:szCs w:val="21"/>
                <w:highlight w:val="none"/>
              </w:rPr>
            </w:pPr>
          </w:p>
        </w:tc>
        <w:tc>
          <w:tcPr>
            <w:tcW w:w="1140" w:type="dxa"/>
            <w:vAlign w:val="center"/>
          </w:tcPr>
          <w:p w14:paraId="5008E8B7">
            <w:pPr>
              <w:jc w:val="center"/>
              <w:rPr>
                <w:color w:val="auto"/>
                <w:szCs w:val="21"/>
                <w:highlight w:val="none"/>
              </w:rPr>
            </w:pPr>
          </w:p>
        </w:tc>
        <w:tc>
          <w:tcPr>
            <w:tcW w:w="1257" w:type="dxa"/>
            <w:vAlign w:val="center"/>
          </w:tcPr>
          <w:p w14:paraId="12FB5110">
            <w:pPr>
              <w:jc w:val="center"/>
              <w:rPr>
                <w:color w:val="auto"/>
                <w:szCs w:val="21"/>
                <w:highlight w:val="none"/>
              </w:rPr>
            </w:pPr>
          </w:p>
        </w:tc>
        <w:tc>
          <w:tcPr>
            <w:tcW w:w="1257" w:type="dxa"/>
            <w:vAlign w:val="center"/>
          </w:tcPr>
          <w:p w14:paraId="0AE5F9FA">
            <w:pPr>
              <w:jc w:val="center"/>
              <w:rPr>
                <w:color w:val="auto"/>
                <w:szCs w:val="21"/>
                <w:highlight w:val="none"/>
              </w:rPr>
            </w:pPr>
          </w:p>
        </w:tc>
        <w:tc>
          <w:tcPr>
            <w:tcW w:w="1257" w:type="dxa"/>
          </w:tcPr>
          <w:p w14:paraId="254DE210">
            <w:pPr>
              <w:jc w:val="center"/>
              <w:rPr>
                <w:color w:val="auto"/>
                <w:szCs w:val="21"/>
                <w:highlight w:val="none"/>
              </w:rPr>
            </w:pPr>
          </w:p>
        </w:tc>
        <w:tc>
          <w:tcPr>
            <w:tcW w:w="1257" w:type="dxa"/>
            <w:vAlign w:val="center"/>
          </w:tcPr>
          <w:p w14:paraId="61D7353D">
            <w:pPr>
              <w:jc w:val="center"/>
              <w:rPr>
                <w:color w:val="auto"/>
                <w:szCs w:val="21"/>
                <w:highlight w:val="none"/>
              </w:rPr>
            </w:pPr>
          </w:p>
        </w:tc>
        <w:tc>
          <w:tcPr>
            <w:tcW w:w="1261" w:type="dxa"/>
            <w:vAlign w:val="center"/>
          </w:tcPr>
          <w:p w14:paraId="1336DF3B">
            <w:pPr>
              <w:jc w:val="center"/>
              <w:rPr>
                <w:color w:val="auto"/>
                <w:szCs w:val="21"/>
                <w:highlight w:val="none"/>
              </w:rPr>
            </w:pPr>
          </w:p>
        </w:tc>
        <w:tc>
          <w:tcPr>
            <w:tcW w:w="708" w:type="dxa"/>
            <w:vAlign w:val="center"/>
          </w:tcPr>
          <w:p w14:paraId="1BC1CCD5">
            <w:pPr>
              <w:jc w:val="center"/>
              <w:rPr>
                <w:color w:val="auto"/>
                <w:szCs w:val="21"/>
                <w:highlight w:val="none"/>
              </w:rPr>
            </w:pPr>
          </w:p>
        </w:tc>
      </w:tr>
      <w:tr w14:paraId="3905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vAlign w:val="center"/>
          </w:tcPr>
          <w:p w14:paraId="70156F7D">
            <w:pPr>
              <w:jc w:val="center"/>
              <w:rPr>
                <w:rFonts w:eastAsia="黑体"/>
                <w:color w:val="auto"/>
                <w:szCs w:val="21"/>
                <w:highlight w:val="none"/>
              </w:rPr>
            </w:pPr>
            <w:r>
              <w:rPr>
                <w:rFonts w:eastAsia="黑体"/>
                <w:color w:val="auto"/>
                <w:szCs w:val="21"/>
                <w:highlight w:val="none"/>
              </w:rPr>
              <w:t>4</w:t>
            </w:r>
          </w:p>
        </w:tc>
        <w:tc>
          <w:tcPr>
            <w:tcW w:w="2880" w:type="dxa"/>
            <w:vAlign w:val="center"/>
          </w:tcPr>
          <w:p w14:paraId="551CE6D0">
            <w:pPr>
              <w:jc w:val="center"/>
              <w:rPr>
                <w:color w:val="auto"/>
                <w:szCs w:val="21"/>
                <w:highlight w:val="none"/>
              </w:rPr>
            </w:pPr>
          </w:p>
        </w:tc>
        <w:tc>
          <w:tcPr>
            <w:tcW w:w="961" w:type="dxa"/>
            <w:vAlign w:val="center"/>
          </w:tcPr>
          <w:p w14:paraId="2EB48030">
            <w:pPr>
              <w:jc w:val="center"/>
              <w:rPr>
                <w:color w:val="auto"/>
                <w:szCs w:val="21"/>
                <w:highlight w:val="none"/>
              </w:rPr>
            </w:pPr>
          </w:p>
        </w:tc>
        <w:tc>
          <w:tcPr>
            <w:tcW w:w="945" w:type="dxa"/>
            <w:vAlign w:val="center"/>
          </w:tcPr>
          <w:p w14:paraId="1E4203ED">
            <w:pPr>
              <w:jc w:val="center"/>
              <w:rPr>
                <w:color w:val="auto"/>
                <w:szCs w:val="21"/>
                <w:highlight w:val="none"/>
              </w:rPr>
            </w:pPr>
          </w:p>
        </w:tc>
        <w:tc>
          <w:tcPr>
            <w:tcW w:w="1140" w:type="dxa"/>
            <w:vAlign w:val="center"/>
          </w:tcPr>
          <w:p w14:paraId="0AAE56D7">
            <w:pPr>
              <w:jc w:val="center"/>
              <w:rPr>
                <w:color w:val="auto"/>
                <w:szCs w:val="21"/>
                <w:highlight w:val="none"/>
              </w:rPr>
            </w:pPr>
          </w:p>
        </w:tc>
        <w:tc>
          <w:tcPr>
            <w:tcW w:w="1257" w:type="dxa"/>
            <w:vAlign w:val="center"/>
          </w:tcPr>
          <w:p w14:paraId="0947CE64">
            <w:pPr>
              <w:jc w:val="center"/>
              <w:rPr>
                <w:color w:val="auto"/>
                <w:szCs w:val="21"/>
                <w:highlight w:val="none"/>
              </w:rPr>
            </w:pPr>
          </w:p>
        </w:tc>
        <w:tc>
          <w:tcPr>
            <w:tcW w:w="1257" w:type="dxa"/>
            <w:vAlign w:val="center"/>
          </w:tcPr>
          <w:p w14:paraId="705827A9">
            <w:pPr>
              <w:jc w:val="center"/>
              <w:rPr>
                <w:color w:val="auto"/>
                <w:szCs w:val="21"/>
                <w:highlight w:val="none"/>
              </w:rPr>
            </w:pPr>
          </w:p>
        </w:tc>
        <w:tc>
          <w:tcPr>
            <w:tcW w:w="1257" w:type="dxa"/>
          </w:tcPr>
          <w:p w14:paraId="2F3582EA">
            <w:pPr>
              <w:jc w:val="center"/>
              <w:rPr>
                <w:color w:val="auto"/>
                <w:szCs w:val="21"/>
                <w:highlight w:val="none"/>
              </w:rPr>
            </w:pPr>
          </w:p>
        </w:tc>
        <w:tc>
          <w:tcPr>
            <w:tcW w:w="1257" w:type="dxa"/>
            <w:vAlign w:val="center"/>
          </w:tcPr>
          <w:p w14:paraId="13DDCF74">
            <w:pPr>
              <w:jc w:val="center"/>
              <w:rPr>
                <w:color w:val="auto"/>
                <w:szCs w:val="21"/>
                <w:highlight w:val="none"/>
              </w:rPr>
            </w:pPr>
          </w:p>
        </w:tc>
        <w:tc>
          <w:tcPr>
            <w:tcW w:w="1261" w:type="dxa"/>
            <w:vAlign w:val="center"/>
          </w:tcPr>
          <w:p w14:paraId="102BFD77">
            <w:pPr>
              <w:jc w:val="center"/>
              <w:rPr>
                <w:color w:val="auto"/>
                <w:szCs w:val="21"/>
                <w:highlight w:val="none"/>
              </w:rPr>
            </w:pPr>
          </w:p>
        </w:tc>
        <w:tc>
          <w:tcPr>
            <w:tcW w:w="708" w:type="dxa"/>
            <w:vAlign w:val="center"/>
          </w:tcPr>
          <w:p w14:paraId="422DA754">
            <w:pPr>
              <w:jc w:val="center"/>
              <w:rPr>
                <w:color w:val="auto"/>
                <w:szCs w:val="21"/>
                <w:highlight w:val="none"/>
              </w:rPr>
            </w:pPr>
          </w:p>
        </w:tc>
      </w:tr>
      <w:tr w14:paraId="5EA2A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3600" w:type="dxa"/>
            <w:gridSpan w:val="2"/>
            <w:vMerge w:val="restart"/>
            <w:vAlign w:val="center"/>
          </w:tcPr>
          <w:p w14:paraId="498243DD">
            <w:pPr>
              <w:rPr>
                <w:color w:val="auto"/>
                <w:szCs w:val="21"/>
                <w:highlight w:val="none"/>
              </w:rPr>
            </w:pPr>
            <w:r>
              <w:rPr>
                <w:color w:val="auto"/>
                <w:szCs w:val="21"/>
                <w:highlight w:val="none"/>
              </w:rPr>
              <w:t>最终推荐的中标候选人及其排序</w:t>
            </w:r>
          </w:p>
        </w:tc>
        <w:tc>
          <w:tcPr>
            <w:tcW w:w="10043" w:type="dxa"/>
            <w:gridSpan w:val="9"/>
            <w:vAlign w:val="center"/>
          </w:tcPr>
          <w:p w14:paraId="0F82E70D">
            <w:pPr>
              <w:rPr>
                <w:color w:val="auto"/>
                <w:szCs w:val="21"/>
                <w:highlight w:val="none"/>
              </w:rPr>
            </w:pPr>
            <w:r>
              <w:rPr>
                <w:color w:val="auto"/>
                <w:szCs w:val="21"/>
                <w:highlight w:val="none"/>
              </w:rPr>
              <w:t>第一名：</w:t>
            </w:r>
          </w:p>
        </w:tc>
      </w:tr>
      <w:tr w14:paraId="61EB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00" w:type="dxa"/>
            <w:gridSpan w:val="2"/>
            <w:vMerge w:val="continue"/>
            <w:vAlign w:val="center"/>
          </w:tcPr>
          <w:p w14:paraId="4EC615A9">
            <w:pPr>
              <w:jc w:val="center"/>
              <w:rPr>
                <w:color w:val="auto"/>
                <w:szCs w:val="21"/>
                <w:highlight w:val="none"/>
              </w:rPr>
            </w:pPr>
          </w:p>
        </w:tc>
        <w:tc>
          <w:tcPr>
            <w:tcW w:w="10043" w:type="dxa"/>
            <w:gridSpan w:val="9"/>
            <w:vAlign w:val="center"/>
          </w:tcPr>
          <w:p w14:paraId="5FCE0A32">
            <w:pPr>
              <w:rPr>
                <w:color w:val="auto"/>
                <w:szCs w:val="21"/>
                <w:highlight w:val="none"/>
              </w:rPr>
            </w:pPr>
            <w:r>
              <w:rPr>
                <w:color w:val="auto"/>
                <w:szCs w:val="21"/>
                <w:highlight w:val="none"/>
              </w:rPr>
              <w:t>第二名：</w:t>
            </w:r>
          </w:p>
        </w:tc>
      </w:tr>
      <w:tr w14:paraId="277E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600" w:type="dxa"/>
            <w:gridSpan w:val="2"/>
            <w:vMerge w:val="continue"/>
            <w:vAlign w:val="center"/>
          </w:tcPr>
          <w:p w14:paraId="74BC892A">
            <w:pPr>
              <w:jc w:val="center"/>
              <w:rPr>
                <w:color w:val="auto"/>
                <w:szCs w:val="21"/>
                <w:highlight w:val="none"/>
              </w:rPr>
            </w:pPr>
          </w:p>
        </w:tc>
        <w:tc>
          <w:tcPr>
            <w:tcW w:w="10043" w:type="dxa"/>
            <w:gridSpan w:val="9"/>
            <w:vAlign w:val="center"/>
          </w:tcPr>
          <w:p w14:paraId="2C557843">
            <w:pPr>
              <w:rPr>
                <w:color w:val="auto"/>
                <w:szCs w:val="21"/>
                <w:highlight w:val="none"/>
              </w:rPr>
            </w:pPr>
            <w:r>
              <w:rPr>
                <w:color w:val="auto"/>
                <w:szCs w:val="21"/>
                <w:highlight w:val="none"/>
              </w:rPr>
              <w:t>第三名：</w:t>
            </w:r>
          </w:p>
        </w:tc>
      </w:tr>
    </w:tbl>
    <w:p w14:paraId="0940B534">
      <w:pPr>
        <w:rPr>
          <w:b/>
          <w:bCs/>
          <w:color w:val="auto"/>
          <w:szCs w:val="21"/>
          <w:highlight w:val="none"/>
        </w:rPr>
      </w:pPr>
      <w:r>
        <w:rPr>
          <w:rFonts w:eastAsia="楷体_GB2312"/>
          <w:b/>
          <w:bCs/>
          <w:color w:val="auto"/>
          <w:highlight w:val="none"/>
        </w:rPr>
        <w:t>备注：</w:t>
      </w:r>
      <w:r>
        <w:rPr>
          <w:rFonts w:hint="eastAsia" w:eastAsia="楷体_GB2312"/>
          <w:b/>
          <w:bCs/>
          <w:color w:val="auto"/>
          <w:highlight w:val="none"/>
        </w:rPr>
        <w:t>1.本表可根据第二章投标人须知确定的中标候选人推荐数量等实际情况进行调整。2.投标人最终得分=商务标得分</w:t>
      </w:r>
      <w:r>
        <w:rPr>
          <w:rFonts w:hint="eastAsia" w:ascii="宋体" w:hAnsi="宋体"/>
          <w:b/>
          <w:bCs/>
          <w:color w:val="auto"/>
          <w:szCs w:val="21"/>
          <w:highlight w:val="none"/>
        </w:rPr>
        <w:t>×</w:t>
      </w:r>
      <w:r>
        <w:rPr>
          <w:rFonts w:hint="eastAsia" w:eastAsia="楷体_GB2312"/>
          <w:b/>
          <w:bCs/>
          <w:color w:val="auto"/>
          <w:highlight w:val="none"/>
        </w:rPr>
        <w:t>商务标得分权重</w:t>
      </w:r>
      <w:r>
        <w:rPr>
          <w:rFonts w:hint="eastAsia" w:eastAsia="楷体_GB2312"/>
          <w:b/>
          <w:bCs/>
          <w:color w:val="auto"/>
          <w:highlight w:val="none"/>
          <w:u w:val="single"/>
        </w:rPr>
        <w:t xml:space="preserve">  </w:t>
      </w:r>
      <w:r>
        <w:rPr>
          <w:rFonts w:hint="eastAsia" w:eastAsia="楷体_GB2312"/>
          <w:b/>
          <w:bCs/>
          <w:color w:val="auto"/>
          <w:highlight w:val="none"/>
        </w:rPr>
        <w:t xml:space="preserve"> %+技术标得分</w:t>
      </w:r>
      <w:r>
        <w:rPr>
          <w:rFonts w:hint="eastAsia" w:ascii="宋体" w:hAnsi="宋体"/>
          <w:b/>
          <w:bCs/>
          <w:color w:val="auto"/>
          <w:szCs w:val="21"/>
          <w:highlight w:val="none"/>
        </w:rPr>
        <w:t>×</w:t>
      </w:r>
      <w:r>
        <w:rPr>
          <w:rFonts w:hint="eastAsia" w:eastAsia="楷体_GB2312"/>
          <w:b/>
          <w:bCs/>
          <w:color w:val="auto"/>
          <w:highlight w:val="none"/>
        </w:rPr>
        <w:t>技术标得分权重</w:t>
      </w:r>
      <w:r>
        <w:rPr>
          <w:rFonts w:hint="eastAsia" w:eastAsia="楷体_GB2312"/>
          <w:b/>
          <w:bCs/>
          <w:color w:val="auto"/>
          <w:highlight w:val="none"/>
          <w:u w:val="single"/>
        </w:rPr>
        <w:t xml:space="preserve">   </w:t>
      </w:r>
      <w:r>
        <w:rPr>
          <w:rFonts w:hint="eastAsia" w:eastAsia="楷体_GB2312"/>
          <w:b/>
          <w:bCs/>
          <w:color w:val="auto"/>
          <w:highlight w:val="none"/>
        </w:rPr>
        <w:t xml:space="preserve"> %+设计方案得分（或设计团队得分）×设计方案得分权重（或设计团队得分权重）</w:t>
      </w:r>
      <w:r>
        <w:rPr>
          <w:rFonts w:hint="eastAsia" w:eastAsia="楷体_GB2312"/>
          <w:b/>
          <w:bCs/>
          <w:color w:val="auto"/>
          <w:highlight w:val="none"/>
          <w:u w:val="single"/>
        </w:rPr>
        <w:t xml:space="preserve">    </w:t>
      </w:r>
      <w:r>
        <w:rPr>
          <w:rFonts w:hint="eastAsia" w:eastAsia="楷体_GB2312"/>
          <w:b/>
          <w:bCs/>
          <w:color w:val="auto"/>
          <w:highlight w:val="none"/>
        </w:rPr>
        <w:t>%+企业实力信誉得分</w:t>
      </w:r>
      <w:r>
        <w:rPr>
          <w:rFonts w:hint="eastAsia" w:ascii="宋体" w:hAnsi="宋体"/>
          <w:b/>
          <w:bCs/>
          <w:color w:val="auto"/>
          <w:szCs w:val="21"/>
          <w:highlight w:val="none"/>
        </w:rPr>
        <w:t>×</w:t>
      </w:r>
      <w:r>
        <w:rPr>
          <w:rFonts w:hint="eastAsia" w:eastAsia="楷体_GB2312"/>
          <w:b/>
          <w:bCs/>
          <w:color w:val="auto"/>
          <w:highlight w:val="none"/>
        </w:rPr>
        <w:t>10%。</w:t>
      </w:r>
    </w:p>
    <w:p w14:paraId="41EDC3D7">
      <w:pPr>
        <w:rPr>
          <w:color w:val="auto"/>
          <w:szCs w:val="21"/>
          <w:highlight w:val="none"/>
        </w:rPr>
      </w:pPr>
    </w:p>
    <w:p w14:paraId="6682D51F">
      <w:pPr>
        <w:rPr>
          <w:color w:val="auto"/>
          <w:szCs w:val="21"/>
          <w:highlight w:val="none"/>
        </w:rPr>
      </w:pPr>
      <w:r>
        <w:rPr>
          <w:color w:val="auto"/>
          <w:szCs w:val="21"/>
          <w:highlight w:val="none"/>
        </w:rPr>
        <w:t xml:space="preserve">评标委员会全体成员签名：                                                                            </w:t>
      </w:r>
      <w:r>
        <w:rPr>
          <w:color w:val="auto"/>
          <w:highlight w:val="none"/>
        </w:rPr>
        <w:t>日期：        年     月     日</w:t>
      </w:r>
    </w:p>
    <w:p w14:paraId="7D7E49F4">
      <w:pPr>
        <w:rPr>
          <w:color w:val="auto"/>
          <w:szCs w:val="21"/>
          <w:highlight w:val="none"/>
        </w:rPr>
        <w:sectPr>
          <w:pgSz w:w="16838" w:h="11906" w:orient="landscape"/>
          <w:pgMar w:top="1440" w:right="1440" w:bottom="1440" w:left="1797" w:header="851" w:footer="851" w:gutter="0"/>
          <w:cols w:space="720" w:num="1"/>
          <w:docGrid w:linePitch="312" w:charSpace="0"/>
        </w:sectPr>
      </w:pPr>
    </w:p>
    <w:p w14:paraId="6178D9D3">
      <w:pPr>
        <w:rPr>
          <w:b/>
          <w:color w:val="auto"/>
          <w:szCs w:val="21"/>
          <w:highlight w:val="none"/>
        </w:rPr>
      </w:pPr>
      <w:r>
        <w:rPr>
          <w:b/>
          <w:color w:val="auto"/>
          <w:szCs w:val="21"/>
          <w:highlight w:val="none"/>
        </w:rPr>
        <w:t>附表A-</w:t>
      </w:r>
      <w:r>
        <w:rPr>
          <w:rFonts w:hint="eastAsia"/>
          <w:b/>
          <w:color w:val="auto"/>
          <w:szCs w:val="21"/>
          <w:highlight w:val="none"/>
        </w:rPr>
        <w:t>15</w:t>
      </w:r>
      <w:r>
        <w:rPr>
          <w:b/>
          <w:color w:val="auto"/>
          <w:szCs w:val="21"/>
          <w:highlight w:val="none"/>
        </w:rPr>
        <w:t>：</w:t>
      </w:r>
      <w:r>
        <w:rPr>
          <w:rFonts w:hint="eastAsia"/>
          <w:b/>
          <w:color w:val="auto"/>
          <w:szCs w:val="21"/>
          <w:highlight w:val="none"/>
        </w:rPr>
        <w:t>中标候选人公示</w:t>
      </w:r>
    </w:p>
    <w:p w14:paraId="540B895E">
      <w:pPr>
        <w:jc w:val="center"/>
        <w:rPr>
          <w:rFonts w:eastAsia="黑体"/>
          <w:color w:val="auto"/>
          <w:sz w:val="28"/>
          <w:szCs w:val="28"/>
          <w:highlight w:val="none"/>
        </w:rPr>
      </w:pPr>
      <w:r>
        <w:rPr>
          <w:rFonts w:hint="eastAsia" w:eastAsia="黑体"/>
          <w:color w:val="auto"/>
          <w:sz w:val="28"/>
          <w:szCs w:val="28"/>
          <w:highlight w:val="none"/>
        </w:rPr>
        <w:t>中标候选人公示</w:t>
      </w:r>
    </w:p>
    <w:tbl>
      <w:tblPr>
        <w:tblStyle w:val="40"/>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206"/>
        <w:gridCol w:w="1933"/>
        <w:gridCol w:w="647"/>
        <w:gridCol w:w="714"/>
        <w:gridCol w:w="917"/>
        <w:gridCol w:w="523"/>
        <w:gridCol w:w="3006"/>
      </w:tblGrid>
      <w:tr w14:paraId="097A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5797D566">
            <w:pPr>
              <w:widowControl/>
              <w:spacing w:line="440" w:lineRule="exact"/>
              <w:jc w:val="center"/>
              <w:rPr>
                <w:color w:val="auto"/>
                <w:kern w:val="0"/>
                <w:szCs w:val="21"/>
                <w:highlight w:val="none"/>
              </w:rPr>
            </w:pPr>
            <w:r>
              <w:rPr>
                <w:rFonts w:hAnsi="宋体"/>
                <w:color w:val="auto"/>
                <w:kern w:val="0"/>
                <w:szCs w:val="21"/>
                <w:highlight w:val="none"/>
              </w:rPr>
              <w:t>项目名称</w:t>
            </w:r>
          </w:p>
        </w:tc>
        <w:tc>
          <w:tcPr>
            <w:tcW w:w="3294" w:type="dxa"/>
            <w:gridSpan w:val="3"/>
            <w:tcMar>
              <w:top w:w="0" w:type="dxa"/>
              <w:left w:w="75" w:type="dxa"/>
              <w:bottom w:w="0" w:type="dxa"/>
              <w:right w:w="0" w:type="dxa"/>
            </w:tcMar>
            <w:vAlign w:val="center"/>
          </w:tcPr>
          <w:p w14:paraId="1A9C6856">
            <w:pPr>
              <w:widowControl/>
              <w:spacing w:line="440" w:lineRule="exact"/>
              <w:jc w:val="center"/>
              <w:rPr>
                <w:color w:val="auto"/>
                <w:kern w:val="0"/>
                <w:szCs w:val="21"/>
                <w:highlight w:val="none"/>
              </w:rPr>
            </w:pPr>
          </w:p>
        </w:tc>
        <w:tc>
          <w:tcPr>
            <w:tcW w:w="1440" w:type="dxa"/>
            <w:gridSpan w:val="2"/>
            <w:vAlign w:val="center"/>
          </w:tcPr>
          <w:p w14:paraId="0E786A11">
            <w:pPr>
              <w:widowControl/>
              <w:spacing w:line="440" w:lineRule="exact"/>
              <w:jc w:val="center"/>
              <w:rPr>
                <w:color w:val="auto"/>
                <w:kern w:val="0"/>
                <w:szCs w:val="21"/>
                <w:highlight w:val="none"/>
              </w:rPr>
            </w:pPr>
            <w:r>
              <w:rPr>
                <w:rFonts w:hAnsi="宋体"/>
                <w:color w:val="auto"/>
                <w:szCs w:val="21"/>
                <w:highlight w:val="none"/>
              </w:rPr>
              <w:t>项目</w:t>
            </w:r>
            <w:r>
              <w:rPr>
                <w:rFonts w:hint="eastAsia" w:hAnsi="宋体"/>
                <w:color w:val="auto"/>
                <w:szCs w:val="21"/>
                <w:highlight w:val="none"/>
              </w:rPr>
              <w:t>招标</w:t>
            </w:r>
            <w:r>
              <w:rPr>
                <w:rFonts w:hAnsi="宋体"/>
                <w:color w:val="auto"/>
                <w:szCs w:val="21"/>
                <w:highlight w:val="none"/>
              </w:rPr>
              <w:t>编号</w:t>
            </w:r>
          </w:p>
        </w:tc>
        <w:tc>
          <w:tcPr>
            <w:tcW w:w="3006" w:type="dxa"/>
            <w:tcMar>
              <w:top w:w="0" w:type="dxa"/>
              <w:left w:w="75" w:type="dxa"/>
              <w:bottom w:w="0" w:type="dxa"/>
              <w:right w:w="0" w:type="dxa"/>
            </w:tcMar>
            <w:vAlign w:val="center"/>
          </w:tcPr>
          <w:p w14:paraId="1B3CDE1F">
            <w:pPr>
              <w:widowControl/>
              <w:spacing w:line="440" w:lineRule="exact"/>
              <w:jc w:val="center"/>
              <w:rPr>
                <w:color w:val="auto"/>
                <w:kern w:val="0"/>
                <w:szCs w:val="21"/>
                <w:highlight w:val="none"/>
              </w:rPr>
            </w:pPr>
          </w:p>
        </w:tc>
      </w:tr>
      <w:tr w14:paraId="281F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20472D8E">
            <w:pPr>
              <w:widowControl/>
              <w:spacing w:line="440" w:lineRule="exact"/>
              <w:jc w:val="center"/>
              <w:rPr>
                <w:rFonts w:hAnsi="宋体"/>
                <w:color w:val="auto"/>
                <w:kern w:val="0"/>
                <w:szCs w:val="21"/>
                <w:highlight w:val="none"/>
              </w:rPr>
            </w:pPr>
            <w:r>
              <w:rPr>
                <w:rFonts w:hint="eastAsia" w:hAnsi="宋体"/>
                <w:color w:val="auto"/>
                <w:kern w:val="0"/>
                <w:szCs w:val="21"/>
                <w:highlight w:val="none"/>
              </w:rPr>
              <w:t>招标人</w:t>
            </w:r>
          </w:p>
        </w:tc>
        <w:tc>
          <w:tcPr>
            <w:tcW w:w="7740" w:type="dxa"/>
            <w:gridSpan w:val="6"/>
            <w:tcMar>
              <w:top w:w="0" w:type="dxa"/>
              <w:left w:w="75" w:type="dxa"/>
              <w:bottom w:w="0" w:type="dxa"/>
              <w:right w:w="0" w:type="dxa"/>
            </w:tcMar>
            <w:vAlign w:val="center"/>
          </w:tcPr>
          <w:p w14:paraId="02B1196E">
            <w:pPr>
              <w:widowControl/>
              <w:spacing w:line="440" w:lineRule="exact"/>
              <w:rPr>
                <w:color w:val="auto"/>
                <w:kern w:val="0"/>
                <w:szCs w:val="21"/>
                <w:highlight w:val="none"/>
              </w:rPr>
            </w:pPr>
          </w:p>
        </w:tc>
      </w:tr>
      <w:tr w14:paraId="63A7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2BA1B29D">
            <w:pPr>
              <w:widowControl/>
              <w:spacing w:line="440" w:lineRule="exact"/>
              <w:jc w:val="center"/>
              <w:rPr>
                <w:rFonts w:hAnsi="宋体"/>
                <w:color w:val="auto"/>
                <w:kern w:val="0"/>
                <w:szCs w:val="21"/>
                <w:highlight w:val="none"/>
              </w:rPr>
            </w:pPr>
            <w:r>
              <w:rPr>
                <w:rFonts w:hint="eastAsia" w:hAnsi="宋体"/>
                <w:color w:val="auto"/>
                <w:kern w:val="0"/>
                <w:szCs w:val="21"/>
                <w:highlight w:val="none"/>
              </w:rPr>
              <w:t>建设单位</w:t>
            </w:r>
          </w:p>
        </w:tc>
        <w:tc>
          <w:tcPr>
            <w:tcW w:w="7740" w:type="dxa"/>
            <w:gridSpan w:val="6"/>
            <w:tcMar>
              <w:top w:w="0" w:type="dxa"/>
              <w:left w:w="75" w:type="dxa"/>
              <w:bottom w:w="0" w:type="dxa"/>
              <w:right w:w="0" w:type="dxa"/>
            </w:tcMar>
            <w:vAlign w:val="center"/>
          </w:tcPr>
          <w:p w14:paraId="00E9B57F">
            <w:pPr>
              <w:widowControl/>
              <w:spacing w:line="440" w:lineRule="exact"/>
              <w:rPr>
                <w:color w:val="auto"/>
                <w:kern w:val="0"/>
                <w:szCs w:val="21"/>
                <w:highlight w:val="none"/>
              </w:rPr>
            </w:pPr>
          </w:p>
        </w:tc>
      </w:tr>
      <w:tr w14:paraId="4E90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0BC29844">
            <w:pPr>
              <w:widowControl/>
              <w:spacing w:line="440" w:lineRule="exact"/>
              <w:jc w:val="center"/>
              <w:rPr>
                <w:color w:val="auto"/>
                <w:kern w:val="0"/>
                <w:szCs w:val="21"/>
                <w:highlight w:val="none"/>
              </w:rPr>
            </w:pPr>
            <w:r>
              <w:rPr>
                <w:rFonts w:hAnsi="宋体"/>
                <w:color w:val="auto"/>
                <w:kern w:val="0"/>
                <w:szCs w:val="21"/>
                <w:highlight w:val="none"/>
              </w:rPr>
              <w:t>招标类别</w:t>
            </w:r>
          </w:p>
        </w:tc>
        <w:tc>
          <w:tcPr>
            <w:tcW w:w="3294" w:type="dxa"/>
            <w:gridSpan w:val="3"/>
            <w:tcMar>
              <w:top w:w="0" w:type="dxa"/>
              <w:left w:w="75" w:type="dxa"/>
              <w:bottom w:w="0" w:type="dxa"/>
              <w:right w:w="0" w:type="dxa"/>
            </w:tcMar>
            <w:vAlign w:val="center"/>
          </w:tcPr>
          <w:p w14:paraId="30C0340B">
            <w:pPr>
              <w:widowControl/>
              <w:spacing w:line="440" w:lineRule="exact"/>
              <w:jc w:val="center"/>
              <w:rPr>
                <w:color w:val="auto"/>
                <w:kern w:val="0"/>
                <w:szCs w:val="21"/>
                <w:highlight w:val="none"/>
              </w:rPr>
            </w:pPr>
            <w:r>
              <w:rPr>
                <w:rFonts w:hint="eastAsia"/>
                <w:color w:val="auto"/>
                <w:kern w:val="0"/>
                <w:szCs w:val="21"/>
                <w:highlight w:val="none"/>
              </w:rPr>
              <w:t>□</w:t>
            </w:r>
            <w:r>
              <w:rPr>
                <w:rFonts w:hAnsi="宋体"/>
                <w:color w:val="auto"/>
                <w:kern w:val="0"/>
                <w:szCs w:val="21"/>
                <w:highlight w:val="none"/>
              </w:rPr>
              <w:t>委托招标</w:t>
            </w:r>
            <w:r>
              <w:rPr>
                <w:color w:val="auto"/>
                <w:kern w:val="0"/>
                <w:szCs w:val="21"/>
                <w:highlight w:val="none"/>
              </w:rPr>
              <w:t xml:space="preserve">    </w:t>
            </w:r>
            <w:r>
              <w:rPr>
                <w:rFonts w:hint="eastAsia"/>
                <w:color w:val="auto"/>
                <w:kern w:val="0"/>
                <w:szCs w:val="21"/>
                <w:highlight w:val="none"/>
              </w:rPr>
              <w:t>□</w:t>
            </w:r>
            <w:r>
              <w:rPr>
                <w:rFonts w:hAnsi="宋体"/>
                <w:color w:val="auto"/>
                <w:kern w:val="0"/>
                <w:szCs w:val="21"/>
                <w:highlight w:val="none"/>
              </w:rPr>
              <w:t>自行招标</w:t>
            </w:r>
          </w:p>
        </w:tc>
        <w:tc>
          <w:tcPr>
            <w:tcW w:w="1440" w:type="dxa"/>
            <w:gridSpan w:val="2"/>
            <w:vAlign w:val="center"/>
          </w:tcPr>
          <w:p w14:paraId="286CB13A">
            <w:pPr>
              <w:widowControl/>
              <w:spacing w:line="440" w:lineRule="exact"/>
              <w:jc w:val="center"/>
              <w:rPr>
                <w:color w:val="auto"/>
                <w:kern w:val="0"/>
                <w:szCs w:val="21"/>
                <w:highlight w:val="none"/>
              </w:rPr>
            </w:pPr>
            <w:r>
              <w:rPr>
                <w:rFonts w:hAnsi="宋体"/>
                <w:color w:val="auto"/>
                <w:kern w:val="0"/>
                <w:szCs w:val="21"/>
                <w:highlight w:val="none"/>
              </w:rPr>
              <w:t>招标方式</w:t>
            </w:r>
          </w:p>
        </w:tc>
        <w:tc>
          <w:tcPr>
            <w:tcW w:w="3006" w:type="dxa"/>
            <w:tcMar>
              <w:top w:w="0" w:type="dxa"/>
              <w:left w:w="75" w:type="dxa"/>
              <w:bottom w:w="0" w:type="dxa"/>
              <w:right w:w="0" w:type="dxa"/>
            </w:tcMar>
            <w:vAlign w:val="center"/>
          </w:tcPr>
          <w:p w14:paraId="7BA44B57">
            <w:pPr>
              <w:widowControl/>
              <w:spacing w:line="440" w:lineRule="exact"/>
              <w:jc w:val="center"/>
              <w:rPr>
                <w:color w:val="auto"/>
                <w:kern w:val="0"/>
                <w:szCs w:val="21"/>
                <w:highlight w:val="none"/>
              </w:rPr>
            </w:pPr>
            <w:r>
              <w:rPr>
                <w:rFonts w:hint="eastAsia"/>
                <w:color w:val="auto"/>
                <w:kern w:val="0"/>
                <w:szCs w:val="21"/>
                <w:highlight w:val="none"/>
              </w:rPr>
              <w:t>□</w:t>
            </w:r>
            <w:r>
              <w:rPr>
                <w:rFonts w:hAnsi="宋体"/>
                <w:color w:val="auto"/>
                <w:kern w:val="0"/>
                <w:szCs w:val="21"/>
                <w:highlight w:val="none"/>
              </w:rPr>
              <w:t>公开招标</w:t>
            </w:r>
            <w:r>
              <w:rPr>
                <w:color w:val="auto"/>
                <w:kern w:val="0"/>
                <w:szCs w:val="21"/>
                <w:highlight w:val="none"/>
              </w:rPr>
              <w:t xml:space="preserve">    </w:t>
            </w:r>
            <w:r>
              <w:rPr>
                <w:rFonts w:hint="eastAsia"/>
                <w:color w:val="auto"/>
                <w:kern w:val="0"/>
                <w:szCs w:val="21"/>
                <w:highlight w:val="none"/>
              </w:rPr>
              <w:t>□</w:t>
            </w:r>
            <w:r>
              <w:rPr>
                <w:rFonts w:hAnsi="宋体"/>
                <w:color w:val="auto"/>
                <w:kern w:val="0"/>
                <w:szCs w:val="21"/>
                <w:highlight w:val="none"/>
              </w:rPr>
              <w:t>邀请招标</w:t>
            </w:r>
          </w:p>
        </w:tc>
      </w:tr>
      <w:tr w14:paraId="6F580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7524E1D0">
            <w:pPr>
              <w:widowControl/>
              <w:spacing w:line="440" w:lineRule="exact"/>
              <w:jc w:val="center"/>
              <w:rPr>
                <w:color w:val="auto"/>
                <w:kern w:val="0"/>
                <w:szCs w:val="21"/>
                <w:highlight w:val="none"/>
              </w:rPr>
            </w:pPr>
            <w:r>
              <w:rPr>
                <w:rFonts w:hAnsi="宋体"/>
                <w:color w:val="auto"/>
                <w:kern w:val="0"/>
                <w:szCs w:val="21"/>
                <w:highlight w:val="none"/>
              </w:rPr>
              <w:t>招标代理机构</w:t>
            </w:r>
          </w:p>
        </w:tc>
        <w:tc>
          <w:tcPr>
            <w:tcW w:w="7740" w:type="dxa"/>
            <w:gridSpan w:val="6"/>
            <w:tcMar>
              <w:top w:w="0" w:type="dxa"/>
              <w:left w:w="75" w:type="dxa"/>
              <w:bottom w:w="0" w:type="dxa"/>
              <w:right w:w="0" w:type="dxa"/>
            </w:tcMar>
            <w:vAlign w:val="center"/>
          </w:tcPr>
          <w:p w14:paraId="2E5007F2">
            <w:pPr>
              <w:widowControl/>
              <w:spacing w:line="440" w:lineRule="exact"/>
              <w:jc w:val="left"/>
              <w:rPr>
                <w:color w:val="auto"/>
                <w:kern w:val="0"/>
                <w:szCs w:val="21"/>
                <w:highlight w:val="none"/>
              </w:rPr>
            </w:pPr>
          </w:p>
        </w:tc>
      </w:tr>
      <w:tr w14:paraId="4918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49477808">
            <w:pPr>
              <w:widowControl/>
              <w:spacing w:line="440" w:lineRule="exact"/>
              <w:jc w:val="center"/>
              <w:rPr>
                <w:color w:val="auto"/>
                <w:kern w:val="0"/>
                <w:szCs w:val="21"/>
                <w:highlight w:val="none"/>
              </w:rPr>
            </w:pPr>
            <w:r>
              <w:rPr>
                <w:rFonts w:hint="eastAsia" w:hAnsi="宋体"/>
                <w:color w:val="auto"/>
                <w:kern w:val="0"/>
                <w:szCs w:val="21"/>
                <w:highlight w:val="none"/>
              </w:rPr>
              <w:t>建设</w:t>
            </w:r>
            <w:r>
              <w:rPr>
                <w:rFonts w:hAnsi="宋体"/>
                <w:color w:val="auto"/>
                <w:kern w:val="0"/>
                <w:szCs w:val="21"/>
                <w:highlight w:val="none"/>
              </w:rPr>
              <w:t>规模</w:t>
            </w:r>
          </w:p>
        </w:tc>
        <w:tc>
          <w:tcPr>
            <w:tcW w:w="7740" w:type="dxa"/>
            <w:gridSpan w:val="6"/>
            <w:tcMar>
              <w:top w:w="0" w:type="dxa"/>
              <w:left w:w="75" w:type="dxa"/>
              <w:bottom w:w="0" w:type="dxa"/>
              <w:right w:w="0" w:type="dxa"/>
            </w:tcMar>
            <w:vAlign w:val="center"/>
          </w:tcPr>
          <w:p w14:paraId="7CCD1FD6">
            <w:pPr>
              <w:widowControl/>
              <w:spacing w:line="440" w:lineRule="exact"/>
              <w:ind w:right="185" w:rightChars="88"/>
              <w:jc w:val="left"/>
              <w:rPr>
                <w:color w:val="auto"/>
                <w:kern w:val="0"/>
                <w:szCs w:val="21"/>
                <w:highlight w:val="none"/>
              </w:rPr>
            </w:pPr>
            <w:r>
              <w:rPr>
                <w:rFonts w:hint="eastAsia"/>
                <w:color w:val="auto"/>
                <w:kern w:val="0"/>
                <w:szCs w:val="21"/>
                <w:highlight w:val="none"/>
              </w:rPr>
              <w:t>（应注明建筑高度、建筑面积等技术指标）</w:t>
            </w:r>
          </w:p>
        </w:tc>
      </w:tr>
      <w:tr w14:paraId="0C6E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2ABDC92B">
            <w:pPr>
              <w:widowControl/>
              <w:spacing w:line="440" w:lineRule="exact"/>
              <w:jc w:val="center"/>
              <w:rPr>
                <w:rFonts w:hAnsi="宋体"/>
                <w:color w:val="auto"/>
                <w:kern w:val="0"/>
                <w:szCs w:val="21"/>
                <w:highlight w:val="none"/>
              </w:rPr>
            </w:pPr>
            <w:r>
              <w:rPr>
                <w:rFonts w:hAnsi="宋体"/>
                <w:color w:val="auto"/>
                <w:kern w:val="0"/>
                <w:szCs w:val="21"/>
                <w:highlight w:val="none"/>
              </w:rPr>
              <w:t>开标时间</w:t>
            </w:r>
          </w:p>
        </w:tc>
        <w:tc>
          <w:tcPr>
            <w:tcW w:w="3294" w:type="dxa"/>
            <w:gridSpan w:val="3"/>
            <w:tcMar>
              <w:top w:w="0" w:type="dxa"/>
              <w:left w:w="75" w:type="dxa"/>
              <w:bottom w:w="0" w:type="dxa"/>
              <w:right w:w="0" w:type="dxa"/>
            </w:tcMar>
            <w:vAlign w:val="center"/>
          </w:tcPr>
          <w:p w14:paraId="61112C1E">
            <w:pPr>
              <w:widowControl/>
              <w:spacing w:line="440" w:lineRule="exact"/>
              <w:ind w:firstLine="1050" w:firstLineChars="500"/>
              <w:jc w:val="center"/>
              <w:rPr>
                <w:rFonts w:hAnsi="宋体"/>
                <w:color w:val="auto"/>
                <w:kern w:val="0"/>
                <w:szCs w:val="21"/>
                <w:highlight w:val="none"/>
              </w:rPr>
            </w:pPr>
          </w:p>
        </w:tc>
        <w:tc>
          <w:tcPr>
            <w:tcW w:w="1440" w:type="dxa"/>
            <w:gridSpan w:val="2"/>
            <w:vAlign w:val="center"/>
          </w:tcPr>
          <w:p w14:paraId="5193AD49">
            <w:pPr>
              <w:widowControl/>
              <w:spacing w:line="440" w:lineRule="exact"/>
              <w:jc w:val="center"/>
              <w:rPr>
                <w:rFonts w:hAnsi="宋体"/>
                <w:color w:val="auto"/>
                <w:kern w:val="0"/>
                <w:szCs w:val="21"/>
                <w:highlight w:val="none"/>
              </w:rPr>
            </w:pPr>
            <w:r>
              <w:rPr>
                <w:rFonts w:hAnsi="宋体"/>
                <w:color w:val="auto"/>
                <w:kern w:val="0"/>
                <w:szCs w:val="21"/>
                <w:highlight w:val="none"/>
              </w:rPr>
              <w:t>开标地点</w:t>
            </w:r>
          </w:p>
        </w:tc>
        <w:tc>
          <w:tcPr>
            <w:tcW w:w="3006" w:type="dxa"/>
            <w:tcMar>
              <w:top w:w="0" w:type="dxa"/>
              <w:left w:w="75" w:type="dxa"/>
              <w:bottom w:w="0" w:type="dxa"/>
              <w:right w:w="0" w:type="dxa"/>
            </w:tcMar>
            <w:vAlign w:val="center"/>
          </w:tcPr>
          <w:p w14:paraId="437C24C4">
            <w:pPr>
              <w:widowControl/>
              <w:spacing w:line="440" w:lineRule="exact"/>
              <w:jc w:val="center"/>
              <w:rPr>
                <w:rFonts w:hAnsi="宋体"/>
                <w:color w:val="auto"/>
                <w:kern w:val="0"/>
                <w:szCs w:val="21"/>
                <w:highlight w:val="none"/>
              </w:rPr>
            </w:pPr>
          </w:p>
        </w:tc>
      </w:tr>
      <w:tr w14:paraId="6D93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02E8B450">
            <w:pPr>
              <w:widowControl/>
              <w:spacing w:line="440" w:lineRule="exact"/>
              <w:jc w:val="center"/>
              <w:rPr>
                <w:color w:val="auto"/>
                <w:kern w:val="0"/>
                <w:szCs w:val="21"/>
                <w:highlight w:val="none"/>
              </w:rPr>
            </w:pPr>
            <w:r>
              <w:rPr>
                <w:rFonts w:hAnsi="宋体"/>
                <w:color w:val="auto"/>
                <w:kern w:val="0"/>
                <w:szCs w:val="21"/>
                <w:highlight w:val="none"/>
              </w:rPr>
              <w:t>公示开始时间</w:t>
            </w:r>
          </w:p>
        </w:tc>
        <w:tc>
          <w:tcPr>
            <w:tcW w:w="3294" w:type="dxa"/>
            <w:gridSpan w:val="3"/>
            <w:tcMar>
              <w:top w:w="0" w:type="dxa"/>
              <w:left w:w="75" w:type="dxa"/>
              <w:bottom w:w="0" w:type="dxa"/>
              <w:right w:w="0" w:type="dxa"/>
            </w:tcMar>
            <w:vAlign w:val="center"/>
          </w:tcPr>
          <w:p w14:paraId="6142AE86">
            <w:pPr>
              <w:widowControl/>
              <w:spacing w:line="440" w:lineRule="exact"/>
              <w:ind w:firstLine="1050" w:firstLineChars="500"/>
              <w:jc w:val="center"/>
              <w:rPr>
                <w:color w:val="auto"/>
                <w:kern w:val="0"/>
                <w:szCs w:val="21"/>
                <w:highlight w:val="none"/>
              </w:rPr>
            </w:pPr>
            <w:r>
              <w:rPr>
                <w:rFonts w:hAnsi="宋体"/>
                <w:color w:val="auto"/>
                <w:kern w:val="0"/>
                <w:szCs w:val="21"/>
                <w:highlight w:val="none"/>
              </w:rPr>
              <w:t>年</w:t>
            </w:r>
            <w:r>
              <w:rPr>
                <w:color w:val="auto"/>
                <w:kern w:val="0"/>
                <w:szCs w:val="21"/>
                <w:highlight w:val="none"/>
              </w:rPr>
              <w:t xml:space="preserve">    </w:t>
            </w:r>
            <w:r>
              <w:rPr>
                <w:rFonts w:hAnsi="宋体"/>
                <w:color w:val="auto"/>
                <w:kern w:val="0"/>
                <w:szCs w:val="21"/>
                <w:highlight w:val="none"/>
              </w:rPr>
              <w:t>月</w:t>
            </w:r>
            <w:r>
              <w:rPr>
                <w:color w:val="auto"/>
                <w:kern w:val="0"/>
                <w:szCs w:val="21"/>
                <w:highlight w:val="none"/>
              </w:rPr>
              <w:t xml:space="preserve">    </w:t>
            </w:r>
            <w:r>
              <w:rPr>
                <w:rFonts w:hAnsi="宋体"/>
                <w:color w:val="auto"/>
                <w:kern w:val="0"/>
                <w:szCs w:val="21"/>
                <w:highlight w:val="none"/>
              </w:rPr>
              <w:t>日</w:t>
            </w:r>
          </w:p>
        </w:tc>
        <w:tc>
          <w:tcPr>
            <w:tcW w:w="1440" w:type="dxa"/>
            <w:gridSpan w:val="2"/>
            <w:vAlign w:val="center"/>
          </w:tcPr>
          <w:p w14:paraId="192F36C4">
            <w:pPr>
              <w:widowControl/>
              <w:spacing w:line="440" w:lineRule="exact"/>
              <w:jc w:val="center"/>
              <w:rPr>
                <w:color w:val="auto"/>
                <w:kern w:val="0"/>
                <w:szCs w:val="21"/>
                <w:highlight w:val="none"/>
              </w:rPr>
            </w:pPr>
            <w:r>
              <w:rPr>
                <w:rFonts w:hAnsi="宋体"/>
                <w:color w:val="auto"/>
                <w:kern w:val="0"/>
                <w:szCs w:val="21"/>
                <w:highlight w:val="none"/>
              </w:rPr>
              <w:t>公示截止时间</w:t>
            </w:r>
          </w:p>
        </w:tc>
        <w:tc>
          <w:tcPr>
            <w:tcW w:w="3006" w:type="dxa"/>
            <w:tcMar>
              <w:top w:w="0" w:type="dxa"/>
              <w:left w:w="75" w:type="dxa"/>
              <w:bottom w:w="0" w:type="dxa"/>
              <w:right w:w="0" w:type="dxa"/>
            </w:tcMar>
            <w:vAlign w:val="center"/>
          </w:tcPr>
          <w:p w14:paraId="384F13A6">
            <w:pPr>
              <w:widowControl/>
              <w:spacing w:line="440" w:lineRule="exact"/>
              <w:ind w:firstLine="1050" w:firstLineChars="500"/>
              <w:jc w:val="center"/>
              <w:rPr>
                <w:color w:val="auto"/>
                <w:kern w:val="0"/>
                <w:szCs w:val="21"/>
                <w:highlight w:val="none"/>
              </w:rPr>
            </w:pPr>
            <w:r>
              <w:rPr>
                <w:rFonts w:hAnsi="宋体"/>
                <w:color w:val="auto"/>
                <w:kern w:val="0"/>
                <w:szCs w:val="21"/>
                <w:highlight w:val="none"/>
              </w:rPr>
              <w:t>年</w:t>
            </w:r>
            <w:r>
              <w:rPr>
                <w:color w:val="auto"/>
                <w:kern w:val="0"/>
                <w:szCs w:val="21"/>
                <w:highlight w:val="none"/>
              </w:rPr>
              <w:t xml:space="preserve">    </w:t>
            </w:r>
            <w:r>
              <w:rPr>
                <w:rFonts w:hAnsi="宋体"/>
                <w:color w:val="auto"/>
                <w:kern w:val="0"/>
                <w:szCs w:val="21"/>
                <w:highlight w:val="none"/>
              </w:rPr>
              <w:t>月</w:t>
            </w:r>
            <w:r>
              <w:rPr>
                <w:color w:val="auto"/>
                <w:kern w:val="0"/>
                <w:szCs w:val="21"/>
                <w:highlight w:val="none"/>
              </w:rPr>
              <w:t xml:space="preserve">    </w:t>
            </w:r>
            <w:r>
              <w:rPr>
                <w:rFonts w:hAnsi="宋体"/>
                <w:color w:val="auto"/>
                <w:kern w:val="0"/>
                <w:szCs w:val="21"/>
                <w:highlight w:val="none"/>
              </w:rPr>
              <w:t>日</w:t>
            </w:r>
          </w:p>
        </w:tc>
      </w:tr>
      <w:tr w14:paraId="4638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2009" w:type="dxa"/>
            <w:gridSpan w:val="2"/>
            <w:vMerge w:val="restart"/>
            <w:vAlign w:val="center"/>
          </w:tcPr>
          <w:p w14:paraId="65D12714">
            <w:pPr>
              <w:widowControl/>
              <w:spacing w:line="440" w:lineRule="exact"/>
              <w:jc w:val="center"/>
              <w:rPr>
                <w:color w:val="auto"/>
                <w:kern w:val="0"/>
                <w:szCs w:val="21"/>
                <w:highlight w:val="none"/>
              </w:rPr>
            </w:pPr>
            <w:r>
              <w:rPr>
                <w:rFonts w:hint="eastAsia" w:hAnsi="宋体"/>
                <w:color w:val="auto"/>
                <w:kern w:val="0"/>
                <w:szCs w:val="21"/>
                <w:highlight w:val="none"/>
              </w:rPr>
              <w:t>预</w:t>
            </w:r>
            <w:r>
              <w:rPr>
                <w:rFonts w:hAnsi="宋体"/>
                <w:color w:val="auto"/>
                <w:kern w:val="0"/>
                <w:szCs w:val="21"/>
                <w:highlight w:val="none"/>
              </w:rPr>
              <w:t>中标人</w:t>
            </w:r>
          </w:p>
        </w:tc>
        <w:tc>
          <w:tcPr>
            <w:tcW w:w="2580" w:type="dxa"/>
            <w:gridSpan w:val="2"/>
            <w:vMerge w:val="restart"/>
            <w:tcMar>
              <w:top w:w="0" w:type="dxa"/>
              <w:left w:w="75" w:type="dxa"/>
              <w:bottom w:w="0" w:type="dxa"/>
              <w:right w:w="0" w:type="dxa"/>
            </w:tcMar>
            <w:vAlign w:val="center"/>
          </w:tcPr>
          <w:p w14:paraId="17C6D624">
            <w:pPr>
              <w:widowControl/>
              <w:spacing w:line="440" w:lineRule="exact"/>
              <w:jc w:val="left"/>
              <w:rPr>
                <w:color w:val="auto"/>
                <w:kern w:val="0"/>
                <w:szCs w:val="21"/>
                <w:highlight w:val="none"/>
              </w:rPr>
            </w:pPr>
            <w:r>
              <w:rPr>
                <w:rFonts w:hint="eastAsia"/>
                <w:color w:val="auto"/>
                <w:kern w:val="0"/>
                <w:szCs w:val="21"/>
                <w:highlight w:val="none"/>
              </w:rPr>
              <w:t>非联合体</w:t>
            </w:r>
          </w:p>
        </w:tc>
        <w:tc>
          <w:tcPr>
            <w:tcW w:w="1631" w:type="dxa"/>
            <w:gridSpan w:val="2"/>
            <w:vMerge w:val="restart"/>
            <w:tcMar>
              <w:top w:w="0" w:type="dxa"/>
              <w:left w:w="75" w:type="dxa"/>
              <w:bottom w:w="0" w:type="dxa"/>
              <w:right w:w="0" w:type="dxa"/>
            </w:tcMar>
            <w:vAlign w:val="center"/>
          </w:tcPr>
          <w:p w14:paraId="66DD5CE0">
            <w:pPr>
              <w:widowControl/>
              <w:spacing w:line="440" w:lineRule="exact"/>
              <w:jc w:val="left"/>
              <w:rPr>
                <w:color w:val="auto"/>
                <w:kern w:val="0"/>
                <w:szCs w:val="21"/>
                <w:highlight w:val="none"/>
              </w:rPr>
            </w:pPr>
            <w:r>
              <w:rPr>
                <w:rFonts w:hint="eastAsia"/>
                <w:color w:val="auto"/>
                <w:kern w:val="0"/>
                <w:szCs w:val="21"/>
                <w:highlight w:val="none"/>
              </w:rPr>
              <w:t>联合体</w:t>
            </w:r>
          </w:p>
        </w:tc>
        <w:tc>
          <w:tcPr>
            <w:tcW w:w="3529" w:type="dxa"/>
            <w:gridSpan w:val="2"/>
            <w:tcMar>
              <w:top w:w="0" w:type="dxa"/>
              <w:left w:w="75" w:type="dxa"/>
              <w:bottom w:w="0" w:type="dxa"/>
              <w:right w:w="0" w:type="dxa"/>
            </w:tcMar>
            <w:vAlign w:val="center"/>
          </w:tcPr>
          <w:p w14:paraId="556D4792">
            <w:pPr>
              <w:widowControl/>
              <w:spacing w:line="440" w:lineRule="exact"/>
              <w:jc w:val="left"/>
              <w:rPr>
                <w:color w:val="auto"/>
                <w:kern w:val="0"/>
                <w:szCs w:val="21"/>
                <w:highlight w:val="none"/>
              </w:rPr>
            </w:pPr>
            <w:r>
              <w:rPr>
                <w:rFonts w:hint="eastAsia"/>
                <w:color w:val="auto"/>
                <w:kern w:val="0"/>
                <w:szCs w:val="21"/>
                <w:highlight w:val="none"/>
              </w:rPr>
              <w:t>牵头单位：</w:t>
            </w:r>
          </w:p>
        </w:tc>
      </w:tr>
      <w:tr w14:paraId="6C8A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2009" w:type="dxa"/>
            <w:gridSpan w:val="2"/>
            <w:vMerge w:val="continue"/>
            <w:vAlign w:val="center"/>
          </w:tcPr>
          <w:p w14:paraId="6AE23538">
            <w:pPr>
              <w:widowControl/>
              <w:spacing w:line="440" w:lineRule="exact"/>
              <w:jc w:val="left"/>
              <w:rPr>
                <w:color w:val="auto"/>
                <w:highlight w:val="none"/>
              </w:rPr>
            </w:pPr>
          </w:p>
        </w:tc>
        <w:tc>
          <w:tcPr>
            <w:tcW w:w="2580" w:type="dxa"/>
            <w:gridSpan w:val="2"/>
            <w:vMerge w:val="continue"/>
            <w:tcMar>
              <w:top w:w="0" w:type="dxa"/>
              <w:left w:w="75" w:type="dxa"/>
              <w:bottom w:w="0" w:type="dxa"/>
              <w:right w:w="0" w:type="dxa"/>
            </w:tcMar>
            <w:vAlign w:val="center"/>
          </w:tcPr>
          <w:p w14:paraId="55526BB0">
            <w:pPr>
              <w:widowControl/>
              <w:spacing w:line="440" w:lineRule="exact"/>
              <w:jc w:val="left"/>
              <w:rPr>
                <w:color w:val="auto"/>
                <w:highlight w:val="none"/>
              </w:rPr>
            </w:pPr>
          </w:p>
        </w:tc>
        <w:tc>
          <w:tcPr>
            <w:tcW w:w="1631" w:type="dxa"/>
            <w:gridSpan w:val="2"/>
            <w:vMerge w:val="continue"/>
            <w:tcMar>
              <w:top w:w="0" w:type="dxa"/>
              <w:left w:w="75" w:type="dxa"/>
              <w:bottom w:w="0" w:type="dxa"/>
              <w:right w:w="0" w:type="dxa"/>
            </w:tcMar>
            <w:vAlign w:val="center"/>
          </w:tcPr>
          <w:p w14:paraId="1500A782">
            <w:pPr>
              <w:widowControl/>
              <w:spacing w:line="440" w:lineRule="exact"/>
              <w:jc w:val="left"/>
              <w:rPr>
                <w:color w:val="auto"/>
                <w:highlight w:val="none"/>
              </w:rPr>
            </w:pPr>
          </w:p>
        </w:tc>
        <w:tc>
          <w:tcPr>
            <w:tcW w:w="3529" w:type="dxa"/>
            <w:gridSpan w:val="2"/>
            <w:tcMar>
              <w:top w:w="0" w:type="dxa"/>
              <w:left w:w="75" w:type="dxa"/>
              <w:bottom w:w="0" w:type="dxa"/>
              <w:right w:w="0" w:type="dxa"/>
            </w:tcMar>
            <w:vAlign w:val="center"/>
          </w:tcPr>
          <w:p w14:paraId="4802104D">
            <w:pPr>
              <w:widowControl/>
              <w:spacing w:line="440" w:lineRule="exact"/>
              <w:jc w:val="left"/>
              <w:rPr>
                <w:color w:val="auto"/>
                <w:kern w:val="0"/>
                <w:szCs w:val="21"/>
                <w:highlight w:val="none"/>
              </w:rPr>
            </w:pPr>
            <w:r>
              <w:rPr>
                <w:rFonts w:hint="eastAsia"/>
                <w:color w:val="auto"/>
                <w:kern w:val="0"/>
                <w:szCs w:val="21"/>
                <w:highlight w:val="none"/>
              </w:rPr>
              <w:t>成员单位：</w:t>
            </w:r>
          </w:p>
        </w:tc>
      </w:tr>
      <w:tr w14:paraId="4FF1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restart"/>
            <w:vAlign w:val="center"/>
          </w:tcPr>
          <w:p w14:paraId="736DD36E">
            <w:pPr>
              <w:widowControl/>
              <w:spacing w:line="440" w:lineRule="exact"/>
              <w:jc w:val="center"/>
              <w:rPr>
                <w:color w:val="auto"/>
                <w:kern w:val="0"/>
                <w:szCs w:val="21"/>
                <w:highlight w:val="none"/>
              </w:rPr>
            </w:pPr>
            <w:r>
              <w:rPr>
                <w:rFonts w:hAnsi="宋体"/>
                <w:color w:val="auto"/>
                <w:kern w:val="0"/>
                <w:szCs w:val="21"/>
                <w:highlight w:val="none"/>
              </w:rPr>
              <w:t>中标候选人情况</w:t>
            </w:r>
          </w:p>
        </w:tc>
        <w:tc>
          <w:tcPr>
            <w:tcW w:w="1206" w:type="dxa"/>
            <w:vMerge w:val="restart"/>
            <w:vAlign w:val="center"/>
          </w:tcPr>
          <w:p w14:paraId="0AA84099">
            <w:pPr>
              <w:widowControl/>
              <w:spacing w:line="440" w:lineRule="exact"/>
              <w:jc w:val="center"/>
              <w:rPr>
                <w:color w:val="auto"/>
                <w:kern w:val="0"/>
                <w:szCs w:val="21"/>
                <w:highlight w:val="none"/>
              </w:rPr>
            </w:pPr>
            <w:r>
              <w:rPr>
                <w:rFonts w:hAnsi="宋体"/>
                <w:color w:val="auto"/>
                <w:kern w:val="0"/>
                <w:szCs w:val="21"/>
                <w:highlight w:val="none"/>
              </w:rPr>
              <w:t>第一中标</w:t>
            </w:r>
          </w:p>
          <w:p w14:paraId="56103A05">
            <w:pPr>
              <w:widowControl/>
              <w:spacing w:line="440" w:lineRule="exact"/>
              <w:jc w:val="center"/>
              <w:rPr>
                <w:color w:val="auto"/>
                <w:kern w:val="0"/>
                <w:szCs w:val="21"/>
                <w:highlight w:val="none"/>
              </w:rPr>
            </w:pPr>
            <w:r>
              <w:rPr>
                <w:rFonts w:hAnsi="宋体"/>
                <w:color w:val="auto"/>
                <w:kern w:val="0"/>
                <w:szCs w:val="21"/>
                <w:highlight w:val="none"/>
              </w:rPr>
              <w:t>候选人</w:t>
            </w:r>
          </w:p>
        </w:tc>
        <w:tc>
          <w:tcPr>
            <w:tcW w:w="1933" w:type="dxa"/>
            <w:tcMar>
              <w:top w:w="0" w:type="dxa"/>
              <w:left w:w="75" w:type="dxa"/>
              <w:bottom w:w="0" w:type="dxa"/>
              <w:right w:w="0" w:type="dxa"/>
            </w:tcMar>
            <w:vAlign w:val="center"/>
          </w:tcPr>
          <w:p w14:paraId="7B405BB7">
            <w:pPr>
              <w:widowControl/>
              <w:spacing w:line="440" w:lineRule="exact"/>
              <w:jc w:val="center"/>
              <w:rPr>
                <w:color w:val="auto"/>
                <w:kern w:val="0"/>
                <w:szCs w:val="21"/>
                <w:highlight w:val="none"/>
              </w:rPr>
            </w:pPr>
            <w:r>
              <w:rPr>
                <w:rFonts w:hAnsi="宋体"/>
                <w:color w:val="auto"/>
                <w:kern w:val="0"/>
                <w:szCs w:val="21"/>
                <w:highlight w:val="none"/>
              </w:rPr>
              <w:t>单位名称</w:t>
            </w:r>
          </w:p>
        </w:tc>
        <w:tc>
          <w:tcPr>
            <w:tcW w:w="5807" w:type="dxa"/>
            <w:gridSpan w:val="5"/>
            <w:tcMar>
              <w:top w:w="0" w:type="dxa"/>
              <w:left w:w="75" w:type="dxa"/>
              <w:bottom w:w="0" w:type="dxa"/>
              <w:right w:w="0" w:type="dxa"/>
            </w:tcMar>
            <w:vAlign w:val="center"/>
          </w:tcPr>
          <w:p w14:paraId="47B222C7">
            <w:pPr>
              <w:widowControl/>
              <w:spacing w:line="440" w:lineRule="exact"/>
              <w:jc w:val="left"/>
              <w:rPr>
                <w:color w:val="auto"/>
                <w:kern w:val="0"/>
                <w:szCs w:val="21"/>
                <w:highlight w:val="none"/>
              </w:rPr>
            </w:pPr>
          </w:p>
        </w:tc>
      </w:tr>
      <w:tr w14:paraId="6F54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2A59705C">
            <w:pPr>
              <w:widowControl/>
              <w:spacing w:line="440" w:lineRule="exact"/>
              <w:jc w:val="center"/>
              <w:rPr>
                <w:rFonts w:hAnsi="宋体"/>
                <w:color w:val="auto"/>
                <w:kern w:val="0"/>
                <w:szCs w:val="21"/>
                <w:highlight w:val="none"/>
              </w:rPr>
            </w:pPr>
          </w:p>
        </w:tc>
        <w:tc>
          <w:tcPr>
            <w:tcW w:w="1206" w:type="dxa"/>
            <w:vMerge w:val="continue"/>
            <w:vAlign w:val="center"/>
          </w:tcPr>
          <w:p w14:paraId="497C3B29">
            <w:pPr>
              <w:widowControl/>
              <w:spacing w:line="440" w:lineRule="exact"/>
              <w:jc w:val="center"/>
              <w:rPr>
                <w:rFonts w:hAnsi="宋体"/>
                <w:color w:val="auto"/>
                <w:kern w:val="0"/>
                <w:szCs w:val="21"/>
                <w:highlight w:val="none"/>
              </w:rPr>
            </w:pPr>
          </w:p>
        </w:tc>
        <w:tc>
          <w:tcPr>
            <w:tcW w:w="1933" w:type="dxa"/>
            <w:tcMar>
              <w:top w:w="0" w:type="dxa"/>
              <w:left w:w="75" w:type="dxa"/>
              <w:bottom w:w="0" w:type="dxa"/>
              <w:right w:w="0" w:type="dxa"/>
            </w:tcMar>
            <w:vAlign w:val="center"/>
          </w:tcPr>
          <w:p w14:paraId="5E79DAC9">
            <w:pPr>
              <w:widowControl/>
              <w:spacing w:line="440" w:lineRule="exact"/>
              <w:jc w:val="center"/>
              <w:rPr>
                <w:rFonts w:hAnsi="宋体"/>
                <w:color w:val="auto"/>
                <w:kern w:val="0"/>
                <w:szCs w:val="21"/>
                <w:highlight w:val="none"/>
              </w:rPr>
            </w:pPr>
            <w:r>
              <w:rPr>
                <w:rFonts w:hAnsi="宋体"/>
                <w:color w:val="auto"/>
                <w:kern w:val="0"/>
                <w:szCs w:val="21"/>
                <w:highlight w:val="none"/>
              </w:rPr>
              <w:t>单位资质</w:t>
            </w:r>
          </w:p>
        </w:tc>
        <w:tc>
          <w:tcPr>
            <w:tcW w:w="5807" w:type="dxa"/>
            <w:gridSpan w:val="5"/>
            <w:tcMar>
              <w:top w:w="0" w:type="dxa"/>
              <w:left w:w="75" w:type="dxa"/>
              <w:bottom w:w="0" w:type="dxa"/>
              <w:right w:w="0" w:type="dxa"/>
            </w:tcMar>
            <w:vAlign w:val="center"/>
          </w:tcPr>
          <w:p w14:paraId="614B1FE3">
            <w:pPr>
              <w:widowControl/>
              <w:spacing w:line="440" w:lineRule="exact"/>
              <w:jc w:val="left"/>
              <w:rPr>
                <w:color w:val="auto"/>
                <w:kern w:val="0"/>
                <w:szCs w:val="21"/>
                <w:highlight w:val="none"/>
              </w:rPr>
            </w:pPr>
          </w:p>
        </w:tc>
      </w:tr>
      <w:tr w14:paraId="384F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2F170F0D">
            <w:pPr>
              <w:widowControl/>
              <w:spacing w:line="440" w:lineRule="exact"/>
              <w:jc w:val="left"/>
              <w:rPr>
                <w:color w:val="auto"/>
                <w:kern w:val="0"/>
                <w:szCs w:val="21"/>
                <w:highlight w:val="none"/>
              </w:rPr>
            </w:pPr>
          </w:p>
        </w:tc>
        <w:tc>
          <w:tcPr>
            <w:tcW w:w="1206" w:type="dxa"/>
            <w:vMerge w:val="continue"/>
            <w:vAlign w:val="center"/>
          </w:tcPr>
          <w:p w14:paraId="0E7F868B">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0B5FA90F">
            <w:pPr>
              <w:widowControl/>
              <w:spacing w:line="440" w:lineRule="exact"/>
              <w:jc w:val="center"/>
              <w:rPr>
                <w:color w:val="auto"/>
                <w:kern w:val="0"/>
                <w:szCs w:val="21"/>
                <w:highlight w:val="none"/>
              </w:rPr>
            </w:pPr>
            <w:r>
              <w:rPr>
                <w:rFonts w:hAnsi="宋体"/>
                <w:color w:val="auto"/>
                <w:kern w:val="0"/>
                <w:szCs w:val="21"/>
                <w:highlight w:val="none"/>
              </w:rPr>
              <w:t>投标报价</w:t>
            </w:r>
          </w:p>
        </w:tc>
        <w:tc>
          <w:tcPr>
            <w:tcW w:w="5807" w:type="dxa"/>
            <w:gridSpan w:val="5"/>
            <w:tcMar>
              <w:top w:w="0" w:type="dxa"/>
              <w:left w:w="75" w:type="dxa"/>
              <w:bottom w:w="0" w:type="dxa"/>
              <w:right w:w="0" w:type="dxa"/>
            </w:tcMar>
            <w:vAlign w:val="center"/>
          </w:tcPr>
          <w:p w14:paraId="4973C35F">
            <w:pPr>
              <w:widowControl/>
              <w:spacing w:line="440" w:lineRule="exact"/>
              <w:jc w:val="left"/>
              <w:rPr>
                <w:color w:val="auto"/>
                <w:kern w:val="0"/>
                <w:szCs w:val="21"/>
                <w:highlight w:val="none"/>
              </w:rPr>
            </w:pPr>
          </w:p>
        </w:tc>
      </w:tr>
      <w:tr w14:paraId="06BF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24A1847F">
            <w:pPr>
              <w:widowControl/>
              <w:spacing w:line="440" w:lineRule="exact"/>
              <w:jc w:val="left"/>
              <w:rPr>
                <w:color w:val="auto"/>
                <w:kern w:val="0"/>
                <w:szCs w:val="21"/>
                <w:highlight w:val="none"/>
              </w:rPr>
            </w:pPr>
          </w:p>
        </w:tc>
        <w:tc>
          <w:tcPr>
            <w:tcW w:w="1206" w:type="dxa"/>
            <w:vMerge w:val="continue"/>
            <w:vAlign w:val="center"/>
          </w:tcPr>
          <w:p w14:paraId="5D67A9BF">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556A5EAC">
            <w:pPr>
              <w:widowControl/>
              <w:spacing w:line="440" w:lineRule="exact"/>
              <w:jc w:val="center"/>
              <w:rPr>
                <w:color w:val="auto"/>
                <w:kern w:val="0"/>
                <w:szCs w:val="21"/>
                <w:highlight w:val="none"/>
              </w:rPr>
            </w:pPr>
            <w:r>
              <w:rPr>
                <w:rFonts w:hint="eastAsia" w:hAnsi="宋体"/>
                <w:color w:val="auto"/>
                <w:kern w:val="0"/>
                <w:szCs w:val="21"/>
                <w:highlight w:val="none"/>
              </w:rPr>
              <w:t>设计服务工期</w:t>
            </w:r>
          </w:p>
        </w:tc>
        <w:tc>
          <w:tcPr>
            <w:tcW w:w="1361" w:type="dxa"/>
            <w:gridSpan w:val="2"/>
            <w:tcMar>
              <w:top w:w="0" w:type="dxa"/>
              <w:left w:w="75" w:type="dxa"/>
              <w:bottom w:w="0" w:type="dxa"/>
              <w:right w:w="0" w:type="dxa"/>
            </w:tcMar>
            <w:vAlign w:val="center"/>
          </w:tcPr>
          <w:p w14:paraId="04AE9095">
            <w:pPr>
              <w:widowControl/>
              <w:spacing w:line="440" w:lineRule="exact"/>
              <w:jc w:val="left"/>
              <w:rPr>
                <w:color w:val="auto"/>
                <w:kern w:val="0"/>
                <w:szCs w:val="21"/>
                <w:highlight w:val="none"/>
              </w:rPr>
            </w:pPr>
          </w:p>
        </w:tc>
        <w:tc>
          <w:tcPr>
            <w:tcW w:w="1440" w:type="dxa"/>
            <w:gridSpan w:val="2"/>
            <w:tcMar>
              <w:top w:w="0" w:type="dxa"/>
              <w:left w:w="75" w:type="dxa"/>
              <w:bottom w:w="0" w:type="dxa"/>
              <w:right w:w="0" w:type="dxa"/>
            </w:tcMar>
            <w:vAlign w:val="center"/>
          </w:tcPr>
          <w:p w14:paraId="3173E98C">
            <w:pPr>
              <w:widowControl/>
              <w:spacing w:line="440" w:lineRule="exact"/>
              <w:jc w:val="center"/>
              <w:rPr>
                <w:color w:val="auto"/>
                <w:kern w:val="0"/>
                <w:szCs w:val="21"/>
                <w:highlight w:val="none"/>
              </w:rPr>
            </w:pPr>
            <w:r>
              <w:rPr>
                <w:rFonts w:hAnsi="宋体"/>
                <w:color w:val="auto"/>
                <w:kern w:val="0"/>
                <w:szCs w:val="21"/>
                <w:highlight w:val="none"/>
              </w:rPr>
              <w:t>质量</w:t>
            </w:r>
            <w:r>
              <w:rPr>
                <w:rFonts w:hint="eastAsia" w:hAnsi="宋体"/>
                <w:color w:val="auto"/>
                <w:kern w:val="0"/>
                <w:szCs w:val="21"/>
                <w:highlight w:val="none"/>
              </w:rPr>
              <w:t>标准</w:t>
            </w:r>
          </w:p>
        </w:tc>
        <w:tc>
          <w:tcPr>
            <w:tcW w:w="3006" w:type="dxa"/>
            <w:tcMar>
              <w:top w:w="0" w:type="dxa"/>
              <w:left w:w="75" w:type="dxa"/>
              <w:bottom w:w="0" w:type="dxa"/>
              <w:right w:w="0" w:type="dxa"/>
            </w:tcMar>
            <w:vAlign w:val="center"/>
          </w:tcPr>
          <w:p w14:paraId="55F5BC55">
            <w:pPr>
              <w:widowControl/>
              <w:spacing w:line="440" w:lineRule="exact"/>
              <w:jc w:val="center"/>
              <w:rPr>
                <w:color w:val="auto"/>
                <w:kern w:val="0"/>
                <w:szCs w:val="21"/>
                <w:highlight w:val="none"/>
              </w:rPr>
            </w:pPr>
          </w:p>
        </w:tc>
      </w:tr>
      <w:tr w14:paraId="241C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625CA774">
            <w:pPr>
              <w:widowControl/>
              <w:spacing w:line="440" w:lineRule="exact"/>
              <w:jc w:val="left"/>
              <w:rPr>
                <w:color w:val="auto"/>
                <w:kern w:val="0"/>
                <w:szCs w:val="21"/>
                <w:highlight w:val="none"/>
              </w:rPr>
            </w:pPr>
          </w:p>
        </w:tc>
        <w:tc>
          <w:tcPr>
            <w:tcW w:w="1206" w:type="dxa"/>
            <w:vMerge w:val="continue"/>
            <w:vAlign w:val="center"/>
          </w:tcPr>
          <w:p w14:paraId="04CA99D2">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2648EAE9">
            <w:pPr>
              <w:widowControl/>
              <w:spacing w:line="440" w:lineRule="exact"/>
              <w:jc w:val="center"/>
              <w:rPr>
                <w:color w:val="auto"/>
                <w:kern w:val="0"/>
                <w:szCs w:val="21"/>
                <w:highlight w:val="none"/>
              </w:rPr>
            </w:pPr>
            <w:r>
              <w:rPr>
                <w:rFonts w:hAnsi="宋体"/>
                <w:color w:val="auto"/>
                <w:kern w:val="0"/>
                <w:szCs w:val="21"/>
                <w:highlight w:val="none"/>
              </w:rPr>
              <w:t>项目</w:t>
            </w:r>
            <w:r>
              <w:rPr>
                <w:rFonts w:hint="eastAsia" w:hAnsi="宋体"/>
                <w:color w:val="auto"/>
                <w:kern w:val="0"/>
                <w:szCs w:val="21"/>
                <w:highlight w:val="none"/>
              </w:rPr>
              <w:t>负责人</w:t>
            </w:r>
          </w:p>
        </w:tc>
        <w:tc>
          <w:tcPr>
            <w:tcW w:w="5807" w:type="dxa"/>
            <w:gridSpan w:val="5"/>
            <w:tcMar>
              <w:top w:w="0" w:type="dxa"/>
              <w:left w:w="75" w:type="dxa"/>
              <w:bottom w:w="0" w:type="dxa"/>
              <w:right w:w="0" w:type="dxa"/>
            </w:tcMar>
            <w:vAlign w:val="center"/>
          </w:tcPr>
          <w:p w14:paraId="3AF3E91E">
            <w:pPr>
              <w:widowControl/>
              <w:spacing w:line="440" w:lineRule="exact"/>
              <w:jc w:val="right"/>
              <w:rPr>
                <w:color w:val="auto"/>
                <w:kern w:val="0"/>
                <w:szCs w:val="21"/>
                <w:highlight w:val="none"/>
              </w:rPr>
            </w:pPr>
            <w:r>
              <w:rPr>
                <w:rFonts w:hAnsi="宋体"/>
                <w:color w:val="auto"/>
                <w:kern w:val="0"/>
                <w:szCs w:val="21"/>
                <w:highlight w:val="none"/>
              </w:rPr>
              <w:t>（注册</w:t>
            </w:r>
            <w:r>
              <w:rPr>
                <w:rFonts w:hint="eastAsia" w:hAnsi="宋体"/>
                <w:color w:val="auto"/>
                <w:kern w:val="0"/>
                <w:szCs w:val="21"/>
                <w:highlight w:val="none"/>
              </w:rPr>
              <w:t>编</w:t>
            </w:r>
            <w:r>
              <w:rPr>
                <w:rFonts w:hAnsi="宋体"/>
                <w:color w:val="auto"/>
                <w:kern w:val="0"/>
                <w:szCs w:val="21"/>
                <w:highlight w:val="none"/>
              </w:rPr>
              <w:t>号：</w:t>
            </w:r>
            <w:r>
              <w:rPr>
                <w:color w:val="auto"/>
                <w:kern w:val="0"/>
                <w:szCs w:val="21"/>
                <w:highlight w:val="none"/>
              </w:rPr>
              <w:t xml:space="preserve">                </w:t>
            </w:r>
            <w:r>
              <w:rPr>
                <w:rFonts w:hAnsi="宋体"/>
                <w:color w:val="auto"/>
                <w:kern w:val="0"/>
                <w:szCs w:val="21"/>
                <w:highlight w:val="none"/>
              </w:rPr>
              <w:t>）</w:t>
            </w:r>
          </w:p>
        </w:tc>
      </w:tr>
      <w:tr w14:paraId="1EAF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13690C40">
            <w:pPr>
              <w:widowControl/>
              <w:spacing w:line="440" w:lineRule="exact"/>
              <w:jc w:val="left"/>
              <w:rPr>
                <w:color w:val="auto"/>
                <w:kern w:val="0"/>
                <w:szCs w:val="21"/>
                <w:highlight w:val="none"/>
              </w:rPr>
            </w:pPr>
          </w:p>
        </w:tc>
        <w:tc>
          <w:tcPr>
            <w:tcW w:w="1206" w:type="dxa"/>
            <w:vMerge w:val="continue"/>
            <w:vAlign w:val="center"/>
          </w:tcPr>
          <w:p w14:paraId="31B79673">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5BD29735">
            <w:pPr>
              <w:widowControl/>
              <w:spacing w:line="440" w:lineRule="exact"/>
              <w:jc w:val="center"/>
              <w:rPr>
                <w:rFonts w:hAnsi="宋体"/>
                <w:color w:val="auto"/>
                <w:kern w:val="0"/>
                <w:szCs w:val="21"/>
                <w:highlight w:val="none"/>
              </w:rPr>
            </w:pPr>
            <w:r>
              <w:rPr>
                <w:rFonts w:hAnsi="宋体"/>
                <w:color w:val="auto"/>
                <w:kern w:val="0"/>
                <w:szCs w:val="21"/>
                <w:highlight w:val="none"/>
              </w:rPr>
              <w:t>企业诚信</w:t>
            </w:r>
            <w:r>
              <w:rPr>
                <w:rFonts w:hint="eastAsia" w:hAnsi="宋体"/>
                <w:color w:val="auto"/>
                <w:kern w:val="0"/>
                <w:szCs w:val="21"/>
                <w:highlight w:val="none"/>
              </w:rPr>
              <w:t>评分</w:t>
            </w:r>
          </w:p>
        </w:tc>
        <w:tc>
          <w:tcPr>
            <w:tcW w:w="5807" w:type="dxa"/>
            <w:gridSpan w:val="5"/>
            <w:tcMar>
              <w:top w:w="0" w:type="dxa"/>
              <w:left w:w="75" w:type="dxa"/>
              <w:bottom w:w="0" w:type="dxa"/>
              <w:right w:w="0" w:type="dxa"/>
            </w:tcMar>
            <w:vAlign w:val="center"/>
          </w:tcPr>
          <w:p w14:paraId="0C2D121F">
            <w:pPr>
              <w:widowControl/>
              <w:spacing w:line="440" w:lineRule="exact"/>
              <w:jc w:val="right"/>
              <w:rPr>
                <w:rFonts w:hAnsi="宋体"/>
                <w:color w:val="auto"/>
                <w:kern w:val="0"/>
                <w:szCs w:val="21"/>
                <w:highlight w:val="none"/>
              </w:rPr>
            </w:pPr>
          </w:p>
        </w:tc>
      </w:tr>
      <w:tr w14:paraId="24CA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2B8DC5F9">
            <w:pPr>
              <w:widowControl/>
              <w:spacing w:line="440" w:lineRule="exact"/>
              <w:jc w:val="left"/>
              <w:rPr>
                <w:color w:val="auto"/>
                <w:kern w:val="0"/>
                <w:szCs w:val="21"/>
                <w:highlight w:val="none"/>
              </w:rPr>
            </w:pPr>
          </w:p>
        </w:tc>
        <w:tc>
          <w:tcPr>
            <w:tcW w:w="1206" w:type="dxa"/>
            <w:vMerge w:val="continue"/>
            <w:vAlign w:val="center"/>
          </w:tcPr>
          <w:p w14:paraId="7857E4D3">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74243207">
            <w:pPr>
              <w:widowControl/>
              <w:spacing w:line="440" w:lineRule="exact"/>
              <w:jc w:val="center"/>
              <w:rPr>
                <w:rFonts w:hAnsi="宋体"/>
                <w:color w:val="auto"/>
                <w:kern w:val="0"/>
                <w:szCs w:val="21"/>
                <w:highlight w:val="none"/>
              </w:rPr>
            </w:pPr>
            <w:r>
              <w:rPr>
                <w:rFonts w:hint="eastAsia" w:hAnsi="宋体"/>
                <w:color w:val="auto"/>
                <w:kern w:val="0"/>
                <w:szCs w:val="21"/>
                <w:highlight w:val="none"/>
              </w:rPr>
              <w:t>投标所用企业业绩</w:t>
            </w:r>
          </w:p>
        </w:tc>
        <w:tc>
          <w:tcPr>
            <w:tcW w:w="5807" w:type="dxa"/>
            <w:gridSpan w:val="5"/>
            <w:tcMar>
              <w:top w:w="0" w:type="dxa"/>
              <w:left w:w="75" w:type="dxa"/>
              <w:bottom w:w="0" w:type="dxa"/>
              <w:right w:w="0" w:type="dxa"/>
            </w:tcMar>
            <w:vAlign w:val="center"/>
          </w:tcPr>
          <w:p w14:paraId="44BDB9BA">
            <w:pPr>
              <w:widowControl/>
              <w:spacing w:line="440" w:lineRule="exact"/>
              <w:jc w:val="center"/>
              <w:rPr>
                <w:rFonts w:hAnsi="宋体"/>
                <w:color w:val="auto"/>
                <w:kern w:val="0"/>
                <w:szCs w:val="21"/>
                <w:highlight w:val="none"/>
              </w:rPr>
            </w:pPr>
          </w:p>
        </w:tc>
      </w:tr>
      <w:tr w14:paraId="2DCA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58E61ED1">
            <w:pPr>
              <w:widowControl/>
              <w:spacing w:line="440" w:lineRule="exact"/>
              <w:jc w:val="left"/>
              <w:rPr>
                <w:color w:val="auto"/>
                <w:kern w:val="0"/>
                <w:szCs w:val="21"/>
                <w:highlight w:val="none"/>
              </w:rPr>
            </w:pPr>
          </w:p>
        </w:tc>
        <w:tc>
          <w:tcPr>
            <w:tcW w:w="1206" w:type="dxa"/>
            <w:vMerge w:val="continue"/>
            <w:vAlign w:val="center"/>
          </w:tcPr>
          <w:p w14:paraId="0D443C58">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0BC9483A">
            <w:pPr>
              <w:widowControl/>
              <w:spacing w:line="400" w:lineRule="exact"/>
              <w:jc w:val="center"/>
              <w:rPr>
                <w:rFonts w:hAnsi="宋体"/>
                <w:color w:val="auto"/>
                <w:kern w:val="0"/>
                <w:szCs w:val="21"/>
                <w:highlight w:val="none"/>
              </w:rPr>
            </w:pPr>
            <w:r>
              <w:rPr>
                <w:rFonts w:hint="eastAsia" w:hAnsi="宋体"/>
                <w:color w:val="auto"/>
                <w:kern w:val="0"/>
                <w:szCs w:val="21"/>
                <w:highlight w:val="none"/>
              </w:rPr>
              <w:t>项目负责人投标所用业绩（如需要）</w:t>
            </w:r>
          </w:p>
        </w:tc>
        <w:tc>
          <w:tcPr>
            <w:tcW w:w="5807" w:type="dxa"/>
            <w:gridSpan w:val="5"/>
            <w:tcMar>
              <w:top w:w="0" w:type="dxa"/>
              <w:left w:w="75" w:type="dxa"/>
              <w:bottom w:w="0" w:type="dxa"/>
              <w:right w:w="0" w:type="dxa"/>
            </w:tcMar>
            <w:vAlign w:val="center"/>
          </w:tcPr>
          <w:p w14:paraId="4218D14E">
            <w:pPr>
              <w:widowControl/>
              <w:spacing w:line="440" w:lineRule="exact"/>
              <w:jc w:val="center"/>
              <w:rPr>
                <w:rFonts w:hAnsi="宋体"/>
                <w:color w:val="auto"/>
                <w:kern w:val="0"/>
                <w:szCs w:val="21"/>
                <w:highlight w:val="none"/>
              </w:rPr>
            </w:pPr>
          </w:p>
        </w:tc>
      </w:tr>
      <w:tr w14:paraId="7726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7910A2D8">
            <w:pPr>
              <w:widowControl/>
              <w:spacing w:line="440" w:lineRule="exact"/>
              <w:jc w:val="left"/>
              <w:rPr>
                <w:color w:val="auto"/>
                <w:kern w:val="0"/>
                <w:szCs w:val="21"/>
                <w:highlight w:val="none"/>
              </w:rPr>
            </w:pPr>
          </w:p>
        </w:tc>
        <w:tc>
          <w:tcPr>
            <w:tcW w:w="1206" w:type="dxa"/>
            <w:vMerge w:val="restart"/>
            <w:vAlign w:val="center"/>
          </w:tcPr>
          <w:p w14:paraId="0381792F">
            <w:pPr>
              <w:widowControl/>
              <w:spacing w:line="440" w:lineRule="exact"/>
              <w:jc w:val="center"/>
              <w:rPr>
                <w:color w:val="auto"/>
                <w:kern w:val="0"/>
                <w:szCs w:val="21"/>
                <w:highlight w:val="none"/>
              </w:rPr>
            </w:pPr>
            <w:r>
              <w:rPr>
                <w:rFonts w:hAnsi="宋体"/>
                <w:color w:val="auto"/>
                <w:kern w:val="0"/>
                <w:szCs w:val="21"/>
                <w:highlight w:val="none"/>
              </w:rPr>
              <w:t>第二中标</w:t>
            </w:r>
          </w:p>
          <w:p w14:paraId="437B7D1F">
            <w:pPr>
              <w:widowControl/>
              <w:spacing w:line="440" w:lineRule="exact"/>
              <w:jc w:val="center"/>
              <w:rPr>
                <w:color w:val="auto"/>
                <w:kern w:val="0"/>
                <w:szCs w:val="21"/>
                <w:highlight w:val="none"/>
              </w:rPr>
            </w:pPr>
            <w:r>
              <w:rPr>
                <w:rFonts w:hAnsi="宋体"/>
                <w:color w:val="auto"/>
                <w:kern w:val="0"/>
                <w:szCs w:val="21"/>
                <w:highlight w:val="none"/>
              </w:rPr>
              <w:t>候选人</w:t>
            </w:r>
          </w:p>
        </w:tc>
        <w:tc>
          <w:tcPr>
            <w:tcW w:w="1933" w:type="dxa"/>
            <w:tcMar>
              <w:top w:w="0" w:type="dxa"/>
              <w:left w:w="75" w:type="dxa"/>
              <w:bottom w:w="0" w:type="dxa"/>
              <w:right w:w="0" w:type="dxa"/>
            </w:tcMar>
            <w:vAlign w:val="center"/>
          </w:tcPr>
          <w:p w14:paraId="1730D450">
            <w:pPr>
              <w:widowControl/>
              <w:spacing w:line="440" w:lineRule="exact"/>
              <w:jc w:val="center"/>
              <w:rPr>
                <w:color w:val="auto"/>
                <w:kern w:val="0"/>
                <w:szCs w:val="21"/>
                <w:highlight w:val="none"/>
              </w:rPr>
            </w:pPr>
            <w:r>
              <w:rPr>
                <w:rFonts w:hAnsi="宋体"/>
                <w:color w:val="auto"/>
                <w:kern w:val="0"/>
                <w:szCs w:val="21"/>
                <w:highlight w:val="none"/>
              </w:rPr>
              <w:t>单位名称</w:t>
            </w:r>
          </w:p>
        </w:tc>
        <w:tc>
          <w:tcPr>
            <w:tcW w:w="5807" w:type="dxa"/>
            <w:gridSpan w:val="5"/>
            <w:tcMar>
              <w:top w:w="0" w:type="dxa"/>
              <w:left w:w="75" w:type="dxa"/>
              <w:bottom w:w="0" w:type="dxa"/>
              <w:right w:w="0" w:type="dxa"/>
            </w:tcMar>
            <w:vAlign w:val="center"/>
          </w:tcPr>
          <w:p w14:paraId="54A7F5CC">
            <w:pPr>
              <w:widowControl/>
              <w:spacing w:line="440" w:lineRule="exact"/>
              <w:jc w:val="left"/>
              <w:rPr>
                <w:color w:val="auto"/>
                <w:kern w:val="0"/>
                <w:szCs w:val="21"/>
                <w:highlight w:val="none"/>
              </w:rPr>
            </w:pPr>
          </w:p>
        </w:tc>
      </w:tr>
      <w:tr w14:paraId="111D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3C5A4DD8">
            <w:pPr>
              <w:widowControl/>
              <w:spacing w:line="440" w:lineRule="exact"/>
              <w:jc w:val="left"/>
              <w:rPr>
                <w:color w:val="auto"/>
                <w:kern w:val="0"/>
                <w:szCs w:val="21"/>
                <w:highlight w:val="none"/>
              </w:rPr>
            </w:pPr>
          </w:p>
        </w:tc>
        <w:tc>
          <w:tcPr>
            <w:tcW w:w="1206" w:type="dxa"/>
            <w:vMerge w:val="continue"/>
            <w:vAlign w:val="center"/>
          </w:tcPr>
          <w:p w14:paraId="7968B34F">
            <w:pPr>
              <w:widowControl/>
              <w:spacing w:line="440" w:lineRule="exact"/>
              <w:jc w:val="center"/>
              <w:rPr>
                <w:rFonts w:hAnsi="宋体"/>
                <w:color w:val="auto"/>
                <w:kern w:val="0"/>
                <w:szCs w:val="21"/>
                <w:highlight w:val="none"/>
              </w:rPr>
            </w:pPr>
          </w:p>
        </w:tc>
        <w:tc>
          <w:tcPr>
            <w:tcW w:w="1933" w:type="dxa"/>
            <w:tcMar>
              <w:top w:w="0" w:type="dxa"/>
              <w:left w:w="75" w:type="dxa"/>
              <w:bottom w:w="0" w:type="dxa"/>
              <w:right w:w="0" w:type="dxa"/>
            </w:tcMar>
            <w:vAlign w:val="center"/>
          </w:tcPr>
          <w:p w14:paraId="0F9C1DB3">
            <w:pPr>
              <w:widowControl/>
              <w:spacing w:line="440" w:lineRule="exact"/>
              <w:jc w:val="center"/>
              <w:rPr>
                <w:rFonts w:hAnsi="宋体"/>
                <w:color w:val="auto"/>
                <w:kern w:val="0"/>
                <w:szCs w:val="21"/>
                <w:highlight w:val="none"/>
              </w:rPr>
            </w:pPr>
            <w:r>
              <w:rPr>
                <w:rFonts w:hAnsi="宋体"/>
                <w:color w:val="auto"/>
                <w:kern w:val="0"/>
                <w:szCs w:val="21"/>
                <w:highlight w:val="none"/>
              </w:rPr>
              <w:t>单位资质</w:t>
            </w:r>
          </w:p>
        </w:tc>
        <w:tc>
          <w:tcPr>
            <w:tcW w:w="5807" w:type="dxa"/>
            <w:gridSpan w:val="5"/>
            <w:tcMar>
              <w:top w:w="0" w:type="dxa"/>
              <w:left w:w="75" w:type="dxa"/>
              <w:bottom w:w="0" w:type="dxa"/>
              <w:right w:w="0" w:type="dxa"/>
            </w:tcMar>
            <w:vAlign w:val="center"/>
          </w:tcPr>
          <w:p w14:paraId="7AD7A014">
            <w:pPr>
              <w:widowControl/>
              <w:spacing w:line="440" w:lineRule="exact"/>
              <w:jc w:val="left"/>
              <w:rPr>
                <w:color w:val="auto"/>
                <w:kern w:val="0"/>
                <w:szCs w:val="21"/>
                <w:highlight w:val="none"/>
              </w:rPr>
            </w:pPr>
          </w:p>
        </w:tc>
      </w:tr>
      <w:tr w14:paraId="637A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4F962A4F">
            <w:pPr>
              <w:widowControl/>
              <w:spacing w:line="440" w:lineRule="exact"/>
              <w:jc w:val="left"/>
              <w:rPr>
                <w:color w:val="auto"/>
                <w:kern w:val="0"/>
                <w:szCs w:val="21"/>
                <w:highlight w:val="none"/>
              </w:rPr>
            </w:pPr>
          </w:p>
        </w:tc>
        <w:tc>
          <w:tcPr>
            <w:tcW w:w="1206" w:type="dxa"/>
            <w:vMerge w:val="continue"/>
            <w:vAlign w:val="center"/>
          </w:tcPr>
          <w:p w14:paraId="0A92E55F">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385C736F">
            <w:pPr>
              <w:widowControl/>
              <w:spacing w:line="440" w:lineRule="exact"/>
              <w:jc w:val="center"/>
              <w:rPr>
                <w:color w:val="auto"/>
                <w:kern w:val="0"/>
                <w:szCs w:val="21"/>
                <w:highlight w:val="none"/>
              </w:rPr>
            </w:pPr>
            <w:r>
              <w:rPr>
                <w:rFonts w:hAnsi="宋体"/>
                <w:color w:val="auto"/>
                <w:kern w:val="0"/>
                <w:szCs w:val="21"/>
                <w:highlight w:val="none"/>
              </w:rPr>
              <w:t>投标报价</w:t>
            </w:r>
          </w:p>
        </w:tc>
        <w:tc>
          <w:tcPr>
            <w:tcW w:w="5807" w:type="dxa"/>
            <w:gridSpan w:val="5"/>
            <w:tcMar>
              <w:top w:w="0" w:type="dxa"/>
              <w:left w:w="75" w:type="dxa"/>
              <w:bottom w:w="0" w:type="dxa"/>
              <w:right w:w="0" w:type="dxa"/>
            </w:tcMar>
            <w:vAlign w:val="center"/>
          </w:tcPr>
          <w:p w14:paraId="1D0A8B32">
            <w:pPr>
              <w:widowControl/>
              <w:spacing w:line="440" w:lineRule="exact"/>
              <w:jc w:val="left"/>
              <w:rPr>
                <w:color w:val="auto"/>
                <w:kern w:val="0"/>
                <w:szCs w:val="21"/>
                <w:highlight w:val="none"/>
              </w:rPr>
            </w:pPr>
          </w:p>
        </w:tc>
      </w:tr>
      <w:tr w14:paraId="04B4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3053145B">
            <w:pPr>
              <w:widowControl/>
              <w:spacing w:line="440" w:lineRule="exact"/>
              <w:jc w:val="left"/>
              <w:rPr>
                <w:color w:val="auto"/>
                <w:kern w:val="0"/>
                <w:szCs w:val="21"/>
                <w:highlight w:val="none"/>
              </w:rPr>
            </w:pPr>
          </w:p>
        </w:tc>
        <w:tc>
          <w:tcPr>
            <w:tcW w:w="1206" w:type="dxa"/>
            <w:vMerge w:val="continue"/>
            <w:vAlign w:val="center"/>
          </w:tcPr>
          <w:p w14:paraId="3439A309">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01DFAE1F">
            <w:pPr>
              <w:widowControl/>
              <w:spacing w:line="440" w:lineRule="exact"/>
              <w:jc w:val="center"/>
              <w:rPr>
                <w:color w:val="auto"/>
                <w:kern w:val="0"/>
                <w:szCs w:val="21"/>
                <w:highlight w:val="none"/>
              </w:rPr>
            </w:pPr>
            <w:r>
              <w:rPr>
                <w:rFonts w:hint="eastAsia" w:hAnsi="宋体"/>
                <w:color w:val="auto"/>
                <w:kern w:val="0"/>
                <w:szCs w:val="21"/>
                <w:highlight w:val="none"/>
              </w:rPr>
              <w:t>设计服务工期</w:t>
            </w:r>
          </w:p>
        </w:tc>
        <w:tc>
          <w:tcPr>
            <w:tcW w:w="1361" w:type="dxa"/>
            <w:gridSpan w:val="2"/>
            <w:tcMar>
              <w:top w:w="0" w:type="dxa"/>
              <w:left w:w="75" w:type="dxa"/>
              <w:bottom w:w="0" w:type="dxa"/>
              <w:right w:w="0" w:type="dxa"/>
            </w:tcMar>
            <w:vAlign w:val="center"/>
          </w:tcPr>
          <w:p w14:paraId="54F2C867">
            <w:pPr>
              <w:widowControl/>
              <w:spacing w:line="440" w:lineRule="exact"/>
              <w:jc w:val="left"/>
              <w:rPr>
                <w:color w:val="auto"/>
                <w:kern w:val="0"/>
                <w:szCs w:val="21"/>
                <w:highlight w:val="none"/>
              </w:rPr>
            </w:pPr>
          </w:p>
        </w:tc>
        <w:tc>
          <w:tcPr>
            <w:tcW w:w="1440" w:type="dxa"/>
            <w:gridSpan w:val="2"/>
            <w:tcMar>
              <w:top w:w="0" w:type="dxa"/>
              <w:left w:w="75" w:type="dxa"/>
              <w:bottom w:w="0" w:type="dxa"/>
              <w:right w:w="0" w:type="dxa"/>
            </w:tcMar>
            <w:vAlign w:val="center"/>
          </w:tcPr>
          <w:p w14:paraId="40A3BA31">
            <w:pPr>
              <w:widowControl/>
              <w:spacing w:line="440" w:lineRule="exact"/>
              <w:jc w:val="center"/>
              <w:rPr>
                <w:color w:val="auto"/>
                <w:kern w:val="0"/>
                <w:szCs w:val="21"/>
                <w:highlight w:val="none"/>
              </w:rPr>
            </w:pPr>
            <w:r>
              <w:rPr>
                <w:rFonts w:hAnsi="宋体"/>
                <w:color w:val="auto"/>
                <w:kern w:val="0"/>
                <w:szCs w:val="21"/>
                <w:highlight w:val="none"/>
              </w:rPr>
              <w:t>质量</w:t>
            </w:r>
            <w:r>
              <w:rPr>
                <w:rFonts w:hint="eastAsia" w:hAnsi="宋体"/>
                <w:color w:val="auto"/>
                <w:kern w:val="0"/>
                <w:szCs w:val="21"/>
                <w:highlight w:val="none"/>
              </w:rPr>
              <w:t>标准</w:t>
            </w:r>
          </w:p>
        </w:tc>
        <w:tc>
          <w:tcPr>
            <w:tcW w:w="3006" w:type="dxa"/>
            <w:tcMar>
              <w:top w:w="0" w:type="dxa"/>
              <w:left w:w="75" w:type="dxa"/>
              <w:bottom w:w="0" w:type="dxa"/>
              <w:right w:w="0" w:type="dxa"/>
            </w:tcMar>
            <w:vAlign w:val="center"/>
          </w:tcPr>
          <w:p w14:paraId="11DBD53D">
            <w:pPr>
              <w:widowControl/>
              <w:spacing w:line="440" w:lineRule="exact"/>
              <w:jc w:val="center"/>
              <w:rPr>
                <w:color w:val="auto"/>
                <w:kern w:val="0"/>
                <w:szCs w:val="21"/>
                <w:highlight w:val="none"/>
              </w:rPr>
            </w:pPr>
          </w:p>
        </w:tc>
      </w:tr>
      <w:tr w14:paraId="3F48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4EB0EECC">
            <w:pPr>
              <w:widowControl/>
              <w:spacing w:line="440" w:lineRule="exact"/>
              <w:jc w:val="left"/>
              <w:rPr>
                <w:color w:val="auto"/>
                <w:kern w:val="0"/>
                <w:szCs w:val="21"/>
                <w:highlight w:val="none"/>
              </w:rPr>
            </w:pPr>
          </w:p>
        </w:tc>
        <w:tc>
          <w:tcPr>
            <w:tcW w:w="1206" w:type="dxa"/>
            <w:vMerge w:val="continue"/>
            <w:vAlign w:val="center"/>
          </w:tcPr>
          <w:p w14:paraId="4B99D655">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0FB8C9C4">
            <w:pPr>
              <w:widowControl/>
              <w:spacing w:line="440" w:lineRule="exact"/>
              <w:jc w:val="center"/>
              <w:rPr>
                <w:color w:val="auto"/>
                <w:kern w:val="0"/>
                <w:szCs w:val="21"/>
                <w:highlight w:val="none"/>
              </w:rPr>
            </w:pPr>
            <w:r>
              <w:rPr>
                <w:rFonts w:hAnsi="宋体"/>
                <w:color w:val="auto"/>
                <w:kern w:val="0"/>
                <w:szCs w:val="21"/>
                <w:highlight w:val="none"/>
              </w:rPr>
              <w:t>项目</w:t>
            </w:r>
            <w:r>
              <w:rPr>
                <w:rFonts w:hint="eastAsia" w:hAnsi="宋体"/>
                <w:color w:val="auto"/>
                <w:kern w:val="0"/>
                <w:szCs w:val="21"/>
                <w:highlight w:val="none"/>
              </w:rPr>
              <w:t>负责人</w:t>
            </w:r>
          </w:p>
        </w:tc>
        <w:tc>
          <w:tcPr>
            <w:tcW w:w="5807" w:type="dxa"/>
            <w:gridSpan w:val="5"/>
            <w:tcMar>
              <w:top w:w="0" w:type="dxa"/>
              <w:left w:w="75" w:type="dxa"/>
              <w:bottom w:w="0" w:type="dxa"/>
              <w:right w:w="0" w:type="dxa"/>
            </w:tcMar>
            <w:vAlign w:val="center"/>
          </w:tcPr>
          <w:p w14:paraId="0DD5748E">
            <w:pPr>
              <w:widowControl/>
              <w:spacing w:line="440" w:lineRule="exact"/>
              <w:jc w:val="right"/>
              <w:rPr>
                <w:color w:val="auto"/>
                <w:kern w:val="0"/>
                <w:szCs w:val="21"/>
                <w:highlight w:val="none"/>
              </w:rPr>
            </w:pPr>
            <w:r>
              <w:rPr>
                <w:rFonts w:hAnsi="宋体"/>
                <w:color w:val="auto"/>
                <w:kern w:val="0"/>
                <w:szCs w:val="21"/>
                <w:highlight w:val="none"/>
              </w:rPr>
              <w:t>（注册</w:t>
            </w:r>
            <w:r>
              <w:rPr>
                <w:rFonts w:hint="eastAsia" w:hAnsi="宋体"/>
                <w:color w:val="auto"/>
                <w:kern w:val="0"/>
                <w:szCs w:val="21"/>
                <w:highlight w:val="none"/>
              </w:rPr>
              <w:t>编</w:t>
            </w:r>
            <w:r>
              <w:rPr>
                <w:rFonts w:hAnsi="宋体"/>
                <w:color w:val="auto"/>
                <w:kern w:val="0"/>
                <w:szCs w:val="21"/>
                <w:highlight w:val="none"/>
              </w:rPr>
              <w:t>号：</w:t>
            </w:r>
            <w:r>
              <w:rPr>
                <w:color w:val="auto"/>
                <w:kern w:val="0"/>
                <w:szCs w:val="21"/>
                <w:highlight w:val="none"/>
              </w:rPr>
              <w:t xml:space="preserve">                </w:t>
            </w:r>
            <w:r>
              <w:rPr>
                <w:rFonts w:hAnsi="宋体"/>
                <w:color w:val="auto"/>
                <w:kern w:val="0"/>
                <w:szCs w:val="21"/>
                <w:highlight w:val="none"/>
              </w:rPr>
              <w:t>）</w:t>
            </w:r>
          </w:p>
        </w:tc>
      </w:tr>
      <w:tr w14:paraId="4574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1667006F">
            <w:pPr>
              <w:widowControl/>
              <w:spacing w:line="440" w:lineRule="exact"/>
              <w:jc w:val="left"/>
              <w:rPr>
                <w:color w:val="auto"/>
                <w:kern w:val="0"/>
                <w:szCs w:val="21"/>
                <w:highlight w:val="none"/>
              </w:rPr>
            </w:pPr>
          </w:p>
        </w:tc>
        <w:tc>
          <w:tcPr>
            <w:tcW w:w="1206" w:type="dxa"/>
            <w:vMerge w:val="continue"/>
            <w:vAlign w:val="center"/>
          </w:tcPr>
          <w:p w14:paraId="5747B99A">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179438A2">
            <w:pPr>
              <w:widowControl/>
              <w:spacing w:line="440" w:lineRule="exact"/>
              <w:jc w:val="center"/>
              <w:rPr>
                <w:rFonts w:hAnsi="宋体"/>
                <w:color w:val="auto"/>
                <w:kern w:val="0"/>
                <w:szCs w:val="21"/>
                <w:highlight w:val="none"/>
              </w:rPr>
            </w:pPr>
            <w:r>
              <w:rPr>
                <w:rFonts w:hAnsi="宋体"/>
                <w:color w:val="auto"/>
                <w:kern w:val="0"/>
                <w:szCs w:val="21"/>
                <w:highlight w:val="none"/>
              </w:rPr>
              <w:t>企业诚信</w:t>
            </w:r>
            <w:r>
              <w:rPr>
                <w:rFonts w:hint="eastAsia" w:hAnsi="宋体"/>
                <w:color w:val="auto"/>
                <w:kern w:val="0"/>
                <w:szCs w:val="21"/>
                <w:highlight w:val="none"/>
              </w:rPr>
              <w:t>评分</w:t>
            </w:r>
          </w:p>
        </w:tc>
        <w:tc>
          <w:tcPr>
            <w:tcW w:w="5807" w:type="dxa"/>
            <w:gridSpan w:val="5"/>
            <w:tcMar>
              <w:top w:w="0" w:type="dxa"/>
              <w:left w:w="75" w:type="dxa"/>
              <w:bottom w:w="0" w:type="dxa"/>
              <w:right w:w="0" w:type="dxa"/>
            </w:tcMar>
            <w:vAlign w:val="center"/>
          </w:tcPr>
          <w:p w14:paraId="43D3A12E">
            <w:pPr>
              <w:widowControl/>
              <w:spacing w:line="440" w:lineRule="exact"/>
              <w:jc w:val="right"/>
              <w:rPr>
                <w:rFonts w:hAnsi="宋体"/>
                <w:color w:val="auto"/>
                <w:kern w:val="0"/>
                <w:szCs w:val="21"/>
                <w:highlight w:val="none"/>
              </w:rPr>
            </w:pPr>
          </w:p>
        </w:tc>
      </w:tr>
      <w:tr w14:paraId="7BD9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7D9FA2EF">
            <w:pPr>
              <w:widowControl/>
              <w:spacing w:line="440" w:lineRule="exact"/>
              <w:jc w:val="left"/>
              <w:rPr>
                <w:color w:val="auto"/>
                <w:kern w:val="0"/>
                <w:szCs w:val="21"/>
                <w:highlight w:val="none"/>
              </w:rPr>
            </w:pPr>
          </w:p>
        </w:tc>
        <w:tc>
          <w:tcPr>
            <w:tcW w:w="1206" w:type="dxa"/>
            <w:vMerge w:val="continue"/>
            <w:vAlign w:val="center"/>
          </w:tcPr>
          <w:p w14:paraId="3EC58B03">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54BC1C40">
            <w:pPr>
              <w:widowControl/>
              <w:spacing w:line="440" w:lineRule="exact"/>
              <w:jc w:val="center"/>
              <w:rPr>
                <w:rFonts w:hAnsi="宋体"/>
                <w:color w:val="auto"/>
                <w:kern w:val="0"/>
                <w:szCs w:val="21"/>
                <w:highlight w:val="none"/>
              </w:rPr>
            </w:pPr>
            <w:r>
              <w:rPr>
                <w:rFonts w:hint="eastAsia" w:hAnsi="宋体"/>
                <w:color w:val="auto"/>
                <w:kern w:val="0"/>
                <w:szCs w:val="21"/>
                <w:highlight w:val="none"/>
              </w:rPr>
              <w:t>投标所用企业业绩</w:t>
            </w:r>
          </w:p>
        </w:tc>
        <w:tc>
          <w:tcPr>
            <w:tcW w:w="5807" w:type="dxa"/>
            <w:gridSpan w:val="5"/>
            <w:tcMar>
              <w:top w:w="0" w:type="dxa"/>
              <w:left w:w="75" w:type="dxa"/>
              <w:bottom w:w="0" w:type="dxa"/>
              <w:right w:w="0" w:type="dxa"/>
            </w:tcMar>
            <w:vAlign w:val="center"/>
          </w:tcPr>
          <w:p w14:paraId="00B301AE">
            <w:pPr>
              <w:widowControl/>
              <w:spacing w:line="440" w:lineRule="exact"/>
              <w:jc w:val="center"/>
              <w:rPr>
                <w:rFonts w:hAnsi="宋体"/>
                <w:color w:val="auto"/>
                <w:kern w:val="0"/>
                <w:szCs w:val="21"/>
                <w:highlight w:val="none"/>
              </w:rPr>
            </w:pPr>
          </w:p>
        </w:tc>
      </w:tr>
      <w:tr w14:paraId="4E2D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23230942">
            <w:pPr>
              <w:widowControl/>
              <w:spacing w:line="440" w:lineRule="exact"/>
              <w:jc w:val="left"/>
              <w:rPr>
                <w:color w:val="auto"/>
                <w:kern w:val="0"/>
                <w:szCs w:val="21"/>
                <w:highlight w:val="none"/>
              </w:rPr>
            </w:pPr>
          </w:p>
        </w:tc>
        <w:tc>
          <w:tcPr>
            <w:tcW w:w="1206" w:type="dxa"/>
            <w:vMerge w:val="continue"/>
            <w:vAlign w:val="center"/>
          </w:tcPr>
          <w:p w14:paraId="78FA3182">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1B7CC6A2">
            <w:pPr>
              <w:widowControl/>
              <w:spacing w:line="400" w:lineRule="exact"/>
              <w:jc w:val="center"/>
              <w:rPr>
                <w:rFonts w:hAnsi="宋体"/>
                <w:color w:val="auto"/>
                <w:kern w:val="0"/>
                <w:szCs w:val="21"/>
                <w:highlight w:val="none"/>
              </w:rPr>
            </w:pPr>
            <w:r>
              <w:rPr>
                <w:rFonts w:hint="eastAsia" w:hAnsi="宋体"/>
                <w:color w:val="auto"/>
                <w:kern w:val="0"/>
                <w:szCs w:val="21"/>
                <w:highlight w:val="none"/>
              </w:rPr>
              <w:t>项目负责人投标所用业绩（如需要）</w:t>
            </w:r>
          </w:p>
        </w:tc>
        <w:tc>
          <w:tcPr>
            <w:tcW w:w="5807" w:type="dxa"/>
            <w:gridSpan w:val="5"/>
            <w:tcMar>
              <w:top w:w="0" w:type="dxa"/>
              <w:left w:w="75" w:type="dxa"/>
              <w:bottom w:w="0" w:type="dxa"/>
              <w:right w:w="0" w:type="dxa"/>
            </w:tcMar>
            <w:vAlign w:val="center"/>
          </w:tcPr>
          <w:p w14:paraId="7A54206A">
            <w:pPr>
              <w:widowControl/>
              <w:spacing w:line="440" w:lineRule="exact"/>
              <w:jc w:val="center"/>
              <w:rPr>
                <w:rFonts w:hAnsi="宋体"/>
                <w:color w:val="auto"/>
                <w:kern w:val="0"/>
                <w:szCs w:val="21"/>
                <w:highlight w:val="none"/>
              </w:rPr>
            </w:pPr>
          </w:p>
        </w:tc>
      </w:tr>
      <w:tr w14:paraId="662B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49D0CCF9">
            <w:pPr>
              <w:widowControl/>
              <w:spacing w:line="440" w:lineRule="exact"/>
              <w:jc w:val="left"/>
              <w:rPr>
                <w:color w:val="auto"/>
                <w:kern w:val="0"/>
                <w:szCs w:val="21"/>
                <w:highlight w:val="none"/>
              </w:rPr>
            </w:pPr>
          </w:p>
        </w:tc>
        <w:tc>
          <w:tcPr>
            <w:tcW w:w="1206" w:type="dxa"/>
            <w:vMerge w:val="restart"/>
            <w:vAlign w:val="center"/>
          </w:tcPr>
          <w:p w14:paraId="17318263">
            <w:pPr>
              <w:widowControl/>
              <w:spacing w:line="440" w:lineRule="exact"/>
              <w:jc w:val="center"/>
              <w:rPr>
                <w:color w:val="auto"/>
                <w:kern w:val="0"/>
                <w:szCs w:val="21"/>
                <w:highlight w:val="none"/>
              </w:rPr>
            </w:pPr>
            <w:r>
              <w:rPr>
                <w:rFonts w:hAnsi="宋体"/>
                <w:color w:val="auto"/>
                <w:kern w:val="0"/>
                <w:szCs w:val="21"/>
                <w:highlight w:val="none"/>
              </w:rPr>
              <w:t>第三中标</w:t>
            </w:r>
          </w:p>
          <w:p w14:paraId="58E1521E">
            <w:pPr>
              <w:widowControl/>
              <w:spacing w:line="440" w:lineRule="exact"/>
              <w:jc w:val="center"/>
              <w:rPr>
                <w:color w:val="auto"/>
                <w:kern w:val="0"/>
                <w:szCs w:val="21"/>
                <w:highlight w:val="none"/>
              </w:rPr>
            </w:pPr>
            <w:r>
              <w:rPr>
                <w:rFonts w:hAnsi="宋体"/>
                <w:color w:val="auto"/>
                <w:kern w:val="0"/>
                <w:szCs w:val="21"/>
                <w:highlight w:val="none"/>
              </w:rPr>
              <w:t>候选人</w:t>
            </w:r>
          </w:p>
        </w:tc>
        <w:tc>
          <w:tcPr>
            <w:tcW w:w="1933" w:type="dxa"/>
            <w:tcMar>
              <w:top w:w="0" w:type="dxa"/>
              <w:left w:w="75" w:type="dxa"/>
              <w:bottom w:w="0" w:type="dxa"/>
              <w:right w:w="0" w:type="dxa"/>
            </w:tcMar>
            <w:vAlign w:val="center"/>
          </w:tcPr>
          <w:p w14:paraId="1776B777">
            <w:pPr>
              <w:widowControl/>
              <w:spacing w:line="440" w:lineRule="exact"/>
              <w:jc w:val="center"/>
              <w:rPr>
                <w:color w:val="auto"/>
                <w:kern w:val="0"/>
                <w:szCs w:val="21"/>
                <w:highlight w:val="none"/>
              </w:rPr>
            </w:pPr>
            <w:r>
              <w:rPr>
                <w:rFonts w:hAnsi="宋体"/>
                <w:color w:val="auto"/>
                <w:kern w:val="0"/>
                <w:szCs w:val="21"/>
                <w:highlight w:val="none"/>
              </w:rPr>
              <w:t>单位名称</w:t>
            </w:r>
          </w:p>
        </w:tc>
        <w:tc>
          <w:tcPr>
            <w:tcW w:w="5807" w:type="dxa"/>
            <w:gridSpan w:val="5"/>
            <w:tcMar>
              <w:top w:w="0" w:type="dxa"/>
              <w:left w:w="75" w:type="dxa"/>
              <w:bottom w:w="0" w:type="dxa"/>
              <w:right w:w="0" w:type="dxa"/>
            </w:tcMar>
            <w:vAlign w:val="center"/>
          </w:tcPr>
          <w:p w14:paraId="3FB12144">
            <w:pPr>
              <w:widowControl/>
              <w:spacing w:line="440" w:lineRule="exact"/>
              <w:jc w:val="left"/>
              <w:rPr>
                <w:color w:val="auto"/>
                <w:kern w:val="0"/>
                <w:szCs w:val="21"/>
                <w:highlight w:val="none"/>
              </w:rPr>
            </w:pPr>
          </w:p>
        </w:tc>
      </w:tr>
      <w:tr w14:paraId="49FF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28C5D305">
            <w:pPr>
              <w:widowControl/>
              <w:spacing w:line="440" w:lineRule="exact"/>
              <w:jc w:val="left"/>
              <w:rPr>
                <w:color w:val="auto"/>
                <w:kern w:val="0"/>
                <w:szCs w:val="21"/>
                <w:highlight w:val="none"/>
              </w:rPr>
            </w:pPr>
          </w:p>
        </w:tc>
        <w:tc>
          <w:tcPr>
            <w:tcW w:w="1206" w:type="dxa"/>
            <w:vMerge w:val="continue"/>
            <w:vAlign w:val="center"/>
          </w:tcPr>
          <w:p w14:paraId="24F9D05D">
            <w:pPr>
              <w:widowControl/>
              <w:spacing w:line="440" w:lineRule="exact"/>
              <w:jc w:val="center"/>
              <w:rPr>
                <w:rFonts w:hAnsi="宋体"/>
                <w:color w:val="auto"/>
                <w:kern w:val="0"/>
                <w:szCs w:val="21"/>
                <w:highlight w:val="none"/>
              </w:rPr>
            </w:pPr>
          </w:p>
        </w:tc>
        <w:tc>
          <w:tcPr>
            <w:tcW w:w="1933" w:type="dxa"/>
            <w:tcMar>
              <w:top w:w="0" w:type="dxa"/>
              <w:left w:w="75" w:type="dxa"/>
              <w:bottom w:w="0" w:type="dxa"/>
              <w:right w:w="0" w:type="dxa"/>
            </w:tcMar>
            <w:vAlign w:val="center"/>
          </w:tcPr>
          <w:p w14:paraId="2F7FFDFA">
            <w:pPr>
              <w:widowControl/>
              <w:spacing w:line="440" w:lineRule="exact"/>
              <w:jc w:val="center"/>
              <w:rPr>
                <w:rFonts w:hAnsi="宋体"/>
                <w:color w:val="auto"/>
                <w:kern w:val="0"/>
                <w:szCs w:val="21"/>
                <w:highlight w:val="none"/>
              </w:rPr>
            </w:pPr>
            <w:r>
              <w:rPr>
                <w:rFonts w:hAnsi="宋体"/>
                <w:color w:val="auto"/>
                <w:kern w:val="0"/>
                <w:szCs w:val="21"/>
                <w:highlight w:val="none"/>
              </w:rPr>
              <w:t>单位资质</w:t>
            </w:r>
          </w:p>
        </w:tc>
        <w:tc>
          <w:tcPr>
            <w:tcW w:w="5807" w:type="dxa"/>
            <w:gridSpan w:val="5"/>
            <w:tcMar>
              <w:top w:w="0" w:type="dxa"/>
              <w:left w:w="75" w:type="dxa"/>
              <w:bottom w:w="0" w:type="dxa"/>
              <w:right w:w="0" w:type="dxa"/>
            </w:tcMar>
            <w:vAlign w:val="center"/>
          </w:tcPr>
          <w:p w14:paraId="00DB734E">
            <w:pPr>
              <w:widowControl/>
              <w:spacing w:line="440" w:lineRule="exact"/>
              <w:jc w:val="left"/>
              <w:rPr>
                <w:color w:val="auto"/>
                <w:kern w:val="0"/>
                <w:szCs w:val="21"/>
                <w:highlight w:val="none"/>
              </w:rPr>
            </w:pPr>
          </w:p>
        </w:tc>
      </w:tr>
      <w:tr w14:paraId="2A9C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3C2E3F35">
            <w:pPr>
              <w:widowControl/>
              <w:spacing w:line="440" w:lineRule="exact"/>
              <w:jc w:val="left"/>
              <w:rPr>
                <w:color w:val="auto"/>
                <w:kern w:val="0"/>
                <w:szCs w:val="21"/>
                <w:highlight w:val="none"/>
              </w:rPr>
            </w:pPr>
          </w:p>
        </w:tc>
        <w:tc>
          <w:tcPr>
            <w:tcW w:w="1206" w:type="dxa"/>
            <w:vMerge w:val="continue"/>
            <w:vAlign w:val="center"/>
          </w:tcPr>
          <w:p w14:paraId="706E696B">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52272D95">
            <w:pPr>
              <w:widowControl/>
              <w:spacing w:line="440" w:lineRule="exact"/>
              <w:jc w:val="center"/>
              <w:rPr>
                <w:color w:val="auto"/>
                <w:kern w:val="0"/>
                <w:szCs w:val="21"/>
                <w:highlight w:val="none"/>
              </w:rPr>
            </w:pPr>
            <w:r>
              <w:rPr>
                <w:rFonts w:hAnsi="宋体"/>
                <w:color w:val="auto"/>
                <w:kern w:val="0"/>
                <w:szCs w:val="21"/>
                <w:highlight w:val="none"/>
              </w:rPr>
              <w:t>投标报价</w:t>
            </w:r>
          </w:p>
        </w:tc>
        <w:tc>
          <w:tcPr>
            <w:tcW w:w="5807" w:type="dxa"/>
            <w:gridSpan w:val="5"/>
            <w:tcMar>
              <w:top w:w="0" w:type="dxa"/>
              <w:left w:w="75" w:type="dxa"/>
              <w:bottom w:w="0" w:type="dxa"/>
              <w:right w:w="0" w:type="dxa"/>
            </w:tcMar>
            <w:vAlign w:val="center"/>
          </w:tcPr>
          <w:p w14:paraId="16AE9A81">
            <w:pPr>
              <w:widowControl/>
              <w:spacing w:line="440" w:lineRule="exact"/>
              <w:jc w:val="left"/>
              <w:rPr>
                <w:color w:val="auto"/>
                <w:kern w:val="0"/>
                <w:szCs w:val="21"/>
                <w:highlight w:val="none"/>
              </w:rPr>
            </w:pPr>
          </w:p>
        </w:tc>
      </w:tr>
      <w:tr w14:paraId="1ACF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32E7C863">
            <w:pPr>
              <w:widowControl/>
              <w:spacing w:line="440" w:lineRule="exact"/>
              <w:jc w:val="left"/>
              <w:rPr>
                <w:color w:val="auto"/>
                <w:kern w:val="0"/>
                <w:szCs w:val="21"/>
                <w:highlight w:val="none"/>
              </w:rPr>
            </w:pPr>
          </w:p>
        </w:tc>
        <w:tc>
          <w:tcPr>
            <w:tcW w:w="1206" w:type="dxa"/>
            <w:vMerge w:val="continue"/>
            <w:vAlign w:val="center"/>
          </w:tcPr>
          <w:p w14:paraId="4DE73CB0">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5243901E">
            <w:pPr>
              <w:widowControl/>
              <w:spacing w:line="440" w:lineRule="exact"/>
              <w:jc w:val="center"/>
              <w:rPr>
                <w:color w:val="auto"/>
                <w:kern w:val="0"/>
                <w:szCs w:val="21"/>
                <w:highlight w:val="none"/>
              </w:rPr>
            </w:pPr>
            <w:r>
              <w:rPr>
                <w:rFonts w:hint="eastAsia" w:hAnsi="宋体"/>
                <w:color w:val="auto"/>
                <w:kern w:val="0"/>
                <w:szCs w:val="21"/>
                <w:highlight w:val="none"/>
              </w:rPr>
              <w:t>设计服务工期</w:t>
            </w:r>
          </w:p>
        </w:tc>
        <w:tc>
          <w:tcPr>
            <w:tcW w:w="1361" w:type="dxa"/>
            <w:gridSpan w:val="2"/>
            <w:tcMar>
              <w:top w:w="0" w:type="dxa"/>
              <w:left w:w="75" w:type="dxa"/>
              <w:bottom w:w="0" w:type="dxa"/>
              <w:right w:w="0" w:type="dxa"/>
            </w:tcMar>
            <w:vAlign w:val="center"/>
          </w:tcPr>
          <w:p w14:paraId="0D2A33E1">
            <w:pPr>
              <w:widowControl/>
              <w:spacing w:line="440" w:lineRule="exact"/>
              <w:jc w:val="left"/>
              <w:rPr>
                <w:color w:val="auto"/>
                <w:kern w:val="0"/>
                <w:szCs w:val="21"/>
                <w:highlight w:val="none"/>
              </w:rPr>
            </w:pPr>
          </w:p>
        </w:tc>
        <w:tc>
          <w:tcPr>
            <w:tcW w:w="1440" w:type="dxa"/>
            <w:gridSpan w:val="2"/>
            <w:tcMar>
              <w:top w:w="0" w:type="dxa"/>
              <w:left w:w="75" w:type="dxa"/>
              <w:bottom w:w="0" w:type="dxa"/>
              <w:right w:w="0" w:type="dxa"/>
            </w:tcMar>
            <w:vAlign w:val="center"/>
          </w:tcPr>
          <w:p w14:paraId="14439010">
            <w:pPr>
              <w:widowControl/>
              <w:spacing w:line="440" w:lineRule="exact"/>
              <w:jc w:val="center"/>
              <w:rPr>
                <w:color w:val="auto"/>
                <w:kern w:val="0"/>
                <w:szCs w:val="21"/>
                <w:highlight w:val="none"/>
              </w:rPr>
            </w:pPr>
            <w:r>
              <w:rPr>
                <w:rFonts w:hAnsi="宋体"/>
                <w:color w:val="auto"/>
                <w:kern w:val="0"/>
                <w:szCs w:val="21"/>
                <w:highlight w:val="none"/>
              </w:rPr>
              <w:t>质量</w:t>
            </w:r>
            <w:r>
              <w:rPr>
                <w:rFonts w:hint="eastAsia" w:hAnsi="宋体"/>
                <w:color w:val="auto"/>
                <w:kern w:val="0"/>
                <w:szCs w:val="21"/>
                <w:highlight w:val="none"/>
              </w:rPr>
              <w:t>标准</w:t>
            </w:r>
          </w:p>
        </w:tc>
        <w:tc>
          <w:tcPr>
            <w:tcW w:w="3006" w:type="dxa"/>
            <w:tcMar>
              <w:top w:w="0" w:type="dxa"/>
              <w:left w:w="75" w:type="dxa"/>
              <w:bottom w:w="0" w:type="dxa"/>
              <w:right w:w="0" w:type="dxa"/>
            </w:tcMar>
            <w:vAlign w:val="center"/>
          </w:tcPr>
          <w:p w14:paraId="54D9081D">
            <w:pPr>
              <w:widowControl/>
              <w:spacing w:line="440" w:lineRule="exact"/>
              <w:jc w:val="center"/>
              <w:rPr>
                <w:color w:val="auto"/>
                <w:kern w:val="0"/>
                <w:szCs w:val="21"/>
                <w:highlight w:val="none"/>
              </w:rPr>
            </w:pPr>
          </w:p>
        </w:tc>
      </w:tr>
      <w:tr w14:paraId="0170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2FCC2530">
            <w:pPr>
              <w:widowControl/>
              <w:spacing w:line="440" w:lineRule="exact"/>
              <w:jc w:val="left"/>
              <w:rPr>
                <w:color w:val="auto"/>
                <w:kern w:val="0"/>
                <w:szCs w:val="21"/>
                <w:highlight w:val="none"/>
              </w:rPr>
            </w:pPr>
          </w:p>
        </w:tc>
        <w:tc>
          <w:tcPr>
            <w:tcW w:w="1206" w:type="dxa"/>
            <w:vMerge w:val="continue"/>
            <w:vAlign w:val="center"/>
          </w:tcPr>
          <w:p w14:paraId="28803DC2">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6CE3E1DC">
            <w:pPr>
              <w:widowControl/>
              <w:spacing w:line="440" w:lineRule="exact"/>
              <w:jc w:val="center"/>
              <w:rPr>
                <w:color w:val="auto"/>
                <w:kern w:val="0"/>
                <w:szCs w:val="21"/>
                <w:highlight w:val="none"/>
              </w:rPr>
            </w:pPr>
            <w:r>
              <w:rPr>
                <w:rFonts w:hAnsi="宋体"/>
                <w:color w:val="auto"/>
                <w:kern w:val="0"/>
                <w:szCs w:val="21"/>
                <w:highlight w:val="none"/>
              </w:rPr>
              <w:t>项目</w:t>
            </w:r>
            <w:r>
              <w:rPr>
                <w:rFonts w:hint="eastAsia" w:hAnsi="宋体"/>
                <w:color w:val="auto"/>
                <w:kern w:val="0"/>
                <w:szCs w:val="21"/>
                <w:highlight w:val="none"/>
              </w:rPr>
              <w:t>负责人</w:t>
            </w:r>
          </w:p>
        </w:tc>
        <w:tc>
          <w:tcPr>
            <w:tcW w:w="5807" w:type="dxa"/>
            <w:gridSpan w:val="5"/>
            <w:tcMar>
              <w:top w:w="0" w:type="dxa"/>
              <w:left w:w="75" w:type="dxa"/>
              <w:bottom w:w="0" w:type="dxa"/>
              <w:right w:w="0" w:type="dxa"/>
            </w:tcMar>
            <w:vAlign w:val="center"/>
          </w:tcPr>
          <w:p w14:paraId="35FFB2B6">
            <w:pPr>
              <w:widowControl/>
              <w:spacing w:line="440" w:lineRule="exact"/>
              <w:jc w:val="right"/>
              <w:rPr>
                <w:color w:val="auto"/>
                <w:kern w:val="0"/>
                <w:szCs w:val="21"/>
                <w:highlight w:val="none"/>
              </w:rPr>
            </w:pPr>
            <w:r>
              <w:rPr>
                <w:rFonts w:hAnsi="宋体"/>
                <w:color w:val="auto"/>
                <w:kern w:val="0"/>
                <w:szCs w:val="21"/>
                <w:highlight w:val="none"/>
              </w:rPr>
              <w:t>（注册</w:t>
            </w:r>
            <w:r>
              <w:rPr>
                <w:rFonts w:hint="eastAsia" w:hAnsi="宋体"/>
                <w:color w:val="auto"/>
                <w:kern w:val="0"/>
                <w:szCs w:val="21"/>
                <w:highlight w:val="none"/>
              </w:rPr>
              <w:t>编</w:t>
            </w:r>
            <w:r>
              <w:rPr>
                <w:rFonts w:hAnsi="宋体"/>
                <w:color w:val="auto"/>
                <w:kern w:val="0"/>
                <w:szCs w:val="21"/>
                <w:highlight w:val="none"/>
              </w:rPr>
              <w:t>号：</w:t>
            </w:r>
            <w:r>
              <w:rPr>
                <w:color w:val="auto"/>
                <w:kern w:val="0"/>
                <w:szCs w:val="21"/>
                <w:highlight w:val="none"/>
              </w:rPr>
              <w:t xml:space="preserve">                </w:t>
            </w:r>
            <w:r>
              <w:rPr>
                <w:rFonts w:hAnsi="宋体"/>
                <w:color w:val="auto"/>
                <w:kern w:val="0"/>
                <w:szCs w:val="21"/>
                <w:highlight w:val="none"/>
              </w:rPr>
              <w:t>）</w:t>
            </w:r>
          </w:p>
        </w:tc>
      </w:tr>
      <w:tr w14:paraId="52D3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145BE0E">
            <w:pPr>
              <w:widowControl/>
              <w:spacing w:line="440" w:lineRule="exact"/>
              <w:jc w:val="left"/>
              <w:rPr>
                <w:color w:val="auto"/>
                <w:kern w:val="0"/>
                <w:szCs w:val="21"/>
                <w:highlight w:val="none"/>
              </w:rPr>
            </w:pPr>
          </w:p>
        </w:tc>
        <w:tc>
          <w:tcPr>
            <w:tcW w:w="1206" w:type="dxa"/>
            <w:vMerge w:val="continue"/>
            <w:vAlign w:val="center"/>
          </w:tcPr>
          <w:p w14:paraId="6E06450B">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2347657C">
            <w:pPr>
              <w:widowControl/>
              <w:spacing w:line="440" w:lineRule="exact"/>
              <w:jc w:val="center"/>
              <w:rPr>
                <w:rFonts w:hAnsi="宋体"/>
                <w:color w:val="auto"/>
                <w:kern w:val="0"/>
                <w:szCs w:val="21"/>
                <w:highlight w:val="none"/>
              </w:rPr>
            </w:pPr>
            <w:r>
              <w:rPr>
                <w:rFonts w:hAnsi="宋体"/>
                <w:color w:val="auto"/>
                <w:kern w:val="0"/>
                <w:szCs w:val="21"/>
                <w:highlight w:val="none"/>
              </w:rPr>
              <w:t>企业诚信</w:t>
            </w:r>
            <w:r>
              <w:rPr>
                <w:rFonts w:hint="eastAsia" w:hAnsi="宋体"/>
                <w:color w:val="auto"/>
                <w:kern w:val="0"/>
                <w:szCs w:val="21"/>
                <w:highlight w:val="none"/>
              </w:rPr>
              <w:t>评分</w:t>
            </w:r>
          </w:p>
        </w:tc>
        <w:tc>
          <w:tcPr>
            <w:tcW w:w="5807" w:type="dxa"/>
            <w:gridSpan w:val="5"/>
            <w:tcMar>
              <w:top w:w="0" w:type="dxa"/>
              <w:left w:w="75" w:type="dxa"/>
              <w:bottom w:w="0" w:type="dxa"/>
              <w:right w:w="0" w:type="dxa"/>
            </w:tcMar>
            <w:vAlign w:val="center"/>
          </w:tcPr>
          <w:p w14:paraId="53A32F4A">
            <w:pPr>
              <w:widowControl/>
              <w:spacing w:line="440" w:lineRule="exact"/>
              <w:jc w:val="right"/>
              <w:rPr>
                <w:rFonts w:hAnsi="宋体"/>
                <w:color w:val="auto"/>
                <w:kern w:val="0"/>
                <w:szCs w:val="21"/>
                <w:highlight w:val="none"/>
              </w:rPr>
            </w:pPr>
          </w:p>
        </w:tc>
      </w:tr>
      <w:tr w14:paraId="7889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1E13948">
            <w:pPr>
              <w:widowControl/>
              <w:spacing w:line="440" w:lineRule="exact"/>
              <w:jc w:val="left"/>
              <w:rPr>
                <w:color w:val="auto"/>
                <w:kern w:val="0"/>
                <w:szCs w:val="21"/>
                <w:highlight w:val="none"/>
              </w:rPr>
            </w:pPr>
          </w:p>
        </w:tc>
        <w:tc>
          <w:tcPr>
            <w:tcW w:w="1206" w:type="dxa"/>
            <w:vMerge w:val="continue"/>
            <w:vAlign w:val="center"/>
          </w:tcPr>
          <w:p w14:paraId="21907696">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312602D9">
            <w:pPr>
              <w:widowControl/>
              <w:spacing w:line="440" w:lineRule="exact"/>
              <w:jc w:val="center"/>
              <w:rPr>
                <w:rFonts w:hAnsi="宋体"/>
                <w:color w:val="auto"/>
                <w:kern w:val="0"/>
                <w:szCs w:val="21"/>
                <w:highlight w:val="none"/>
              </w:rPr>
            </w:pPr>
            <w:r>
              <w:rPr>
                <w:rFonts w:hint="eastAsia" w:hAnsi="宋体"/>
                <w:color w:val="auto"/>
                <w:kern w:val="0"/>
                <w:szCs w:val="21"/>
                <w:highlight w:val="none"/>
              </w:rPr>
              <w:t>投标所用企业业绩</w:t>
            </w:r>
          </w:p>
        </w:tc>
        <w:tc>
          <w:tcPr>
            <w:tcW w:w="5807" w:type="dxa"/>
            <w:gridSpan w:val="5"/>
            <w:tcMar>
              <w:top w:w="0" w:type="dxa"/>
              <w:left w:w="75" w:type="dxa"/>
              <w:bottom w:w="0" w:type="dxa"/>
              <w:right w:w="0" w:type="dxa"/>
            </w:tcMar>
            <w:vAlign w:val="center"/>
          </w:tcPr>
          <w:p w14:paraId="35D744D2">
            <w:pPr>
              <w:widowControl/>
              <w:spacing w:line="440" w:lineRule="exact"/>
              <w:jc w:val="right"/>
              <w:rPr>
                <w:rFonts w:hAnsi="宋体"/>
                <w:color w:val="auto"/>
                <w:kern w:val="0"/>
                <w:szCs w:val="21"/>
                <w:highlight w:val="none"/>
              </w:rPr>
            </w:pPr>
          </w:p>
        </w:tc>
      </w:tr>
      <w:tr w14:paraId="0D19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7F27EE0">
            <w:pPr>
              <w:widowControl/>
              <w:spacing w:line="440" w:lineRule="exact"/>
              <w:jc w:val="left"/>
              <w:rPr>
                <w:color w:val="auto"/>
                <w:kern w:val="0"/>
                <w:szCs w:val="21"/>
                <w:highlight w:val="none"/>
              </w:rPr>
            </w:pPr>
          </w:p>
        </w:tc>
        <w:tc>
          <w:tcPr>
            <w:tcW w:w="1206" w:type="dxa"/>
            <w:vMerge w:val="continue"/>
            <w:vAlign w:val="center"/>
          </w:tcPr>
          <w:p w14:paraId="156A6C41">
            <w:pPr>
              <w:widowControl/>
              <w:spacing w:line="440" w:lineRule="exact"/>
              <w:jc w:val="left"/>
              <w:rPr>
                <w:color w:val="auto"/>
                <w:kern w:val="0"/>
                <w:szCs w:val="21"/>
                <w:highlight w:val="none"/>
              </w:rPr>
            </w:pPr>
          </w:p>
        </w:tc>
        <w:tc>
          <w:tcPr>
            <w:tcW w:w="1933" w:type="dxa"/>
            <w:tcMar>
              <w:top w:w="0" w:type="dxa"/>
              <w:left w:w="75" w:type="dxa"/>
              <w:bottom w:w="0" w:type="dxa"/>
              <w:right w:w="0" w:type="dxa"/>
            </w:tcMar>
            <w:vAlign w:val="center"/>
          </w:tcPr>
          <w:p w14:paraId="58C4CB45">
            <w:pPr>
              <w:widowControl/>
              <w:spacing w:line="440" w:lineRule="exact"/>
              <w:jc w:val="center"/>
              <w:rPr>
                <w:rFonts w:hAnsi="宋体"/>
                <w:color w:val="auto"/>
                <w:kern w:val="0"/>
                <w:szCs w:val="21"/>
                <w:highlight w:val="none"/>
              </w:rPr>
            </w:pPr>
            <w:r>
              <w:rPr>
                <w:rFonts w:hint="eastAsia" w:hAnsi="宋体"/>
                <w:color w:val="auto"/>
                <w:kern w:val="0"/>
                <w:szCs w:val="21"/>
                <w:highlight w:val="none"/>
              </w:rPr>
              <w:t>项目负责人投标所用业绩（如需要）</w:t>
            </w:r>
          </w:p>
        </w:tc>
        <w:tc>
          <w:tcPr>
            <w:tcW w:w="5807" w:type="dxa"/>
            <w:gridSpan w:val="5"/>
            <w:tcMar>
              <w:top w:w="0" w:type="dxa"/>
              <w:left w:w="75" w:type="dxa"/>
              <w:bottom w:w="0" w:type="dxa"/>
              <w:right w:w="0" w:type="dxa"/>
            </w:tcMar>
            <w:vAlign w:val="center"/>
          </w:tcPr>
          <w:p w14:paraId="04B4D6F2">
            <w:pPr>
              <w:widowControl/>
              <w:spacing w:line="440" w:lineRule="exact"/>
              <w:jc w:val="right"/>
              <w:rPr>
                <w:rFonts w:hAnsi="宋体"/>
                <w:color w:val="auto"/>
                <w:kern w:val="0"/>
                <w:szCs w:val="21"/>
                <w:highlight w:val="none"/>
              </w:rPr>
            </w:pPr>
          </w:p>
        </w:tc>
      </w:tr>
      <w:tr w14:paraId="731D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vAlign w:val="center"/>
          </w:tcPr>
          <w:p w14:paraId="0B52F3E5">
            <w:pPr>
              <w:widowControl/>
              <w:spacing w:line="440" w:lineRule="exact"/>
              <w:jc w:val="center"/>
              <w:rPr>
                <w:color w:val="auto"/>
                <w:kern w:val="0"/>
                <w:szCs w:val="21"/>
                <w:highlight w:val="none"/>
              </w:rPr>
            </w:pPr>
            <w:r>
              <w:rPr>
                <w:rFonts w:hAnsi="宋体"/>
                <w:color w:val="auto"/>
                <w:kern w:val="0"/>
                <w:szCs w:val="21"/>
                <w:highlight w:val="none"/>
              </w:rPr>
              <w:t>被否决投标</w:t>
            </w:r>
            <w:r>
              <w:rPr>
                <w:rFonts w:hint="eastAsia" w:hAnsi="宋体"/>
                <w:color w:val="auto"/>
                <w:kern w:val="0"/>
                <w:szCs w:val="21"/>
                <w:highlight w:val="none"/>
              </w:rPr>
              <w:t>的</w:t>
            </w:r>
            <w:r>
              <w:rPr>
                <w:rFonts w:hAnsi="宋体"/>
                <w:color w:val="auto"/>
                <w:kern w:val="0"/>
                <w:szCs w:val="21"/>
                <w:highlight w:val="none"/>
              </w:rPr>
              <w:t>投标人名称、否决原因及依据</w:t>
            </w:r>
          </w:p>
        </w:tc>
        <w:tc>
          <w:tcPr>
            <w:tcW w:w="7740" w:type="dxa"/>
            <w:gridSpan w:val="6"/>
            <w:tcMar>
              <w:top w:w="0" w:type="dxa"/>
              <w:left w:w="75" w:type="dxa"/>
              <w:bottom w:w="0" w:type="dxa"/>
              <w:right w:w="0" w:type="dxa"/>
            </w:tcMar>
            <w:vAlign w:val="center"/>
          </w:tcPr>
          <w:p w14:paraId="1D573288">
            <w:pPr>
              <w:widowControl/>
              <w:spacing w:line="440" w:lineRule="exact"/>
              <w:ind w:right="178" w:rightChars="85"/>
              <w:rPr>
                <w:color w:val="auto"/>
                <w:kern w:val="0"/>
                <w:szCs w:val="21"/>
                <w:highlight w:val="none"/>
              </w:rPr>
            </w:pPr>
          </w:p>
        </w:tc>
      </w:tr>
      <w:tr w14:paraId="454E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vAlign w:val="center"/>
          </w:tcPr>
          <w:p w14:paraId="3D891C9C">
            <w:pPr>
              <w:widowControl/>
              <w:spacing w:line="440" w:lineRule="exact"/>
              <w:jc w:val="center"/>
              <w:rPr>
                <w:rFonts w:hAnsi="宋体"/>
                <w:color w:val="auto"/>
                <w:kern w:val="0"/>
                <w:szCs w:val="21"/>
                <w:highlight w:val="none"/>
              </w:rPr>
            </w:pPr>
            <w:r>
              <w:rPr>
                <w:rFonts w:hint="eastAsia" w:hAnsi="宋体"/>
                <w:color w:val="auto"/>
                <w:kern w:val="0"/>
                <w:szCs w:val="21"/>
                <w:highlight w:val="none"/>
              </w:rPr>
              <w:t>其他公示内容（如有）</w:t>
            </w:r>
          </w:p>
        </w:tc>
        <w:tc>
          <w:tcPr>
            <w:tcW w:w="7740" w:type="dxa"/>
            <w:gridSpan w:val="6"/>
            <w:tcMar>
              <w:top w:w="0" w:type="dxa"/>
              <w:left w:w="75" w:type="dxa"/>
              <w:bottom w:w="0" w:type="dxa"/>
              <w:right w:w="0" w:type="dxa"/>
            </w:tcMar>
            <w:vAlign w:val="center"/>
          </w:tcPr>
          <w:p w14:paraId="0D016663">
            <w:pPr>
              <w:widowControl/>
              <w:spacing w:line="440" w:lineRule="exact"/>
              <w:ind w:right="178" w:rightChars="85"/>
              <w:rPr>
                <w:color w:val="auto"/>
                <w:kern w:val="0"/>
                <w:szCs w:val="21"/>
                <w:highlight w:val="none"/>
              </w:rPr>
            </w:pPr>
          </w:p>
        </w:tc>
      </w:tr>
      <w:tr w14:paraId="6523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7669D90C">
            <w:pPr>
              <w:widowControl/>
              <w:spacing w:line="440" w:lineRule="exact"/>
              <w:jc w:val="center"/>
              <w:rPr>
                <w:color w:val="auto"/>
                <w:kern w:val="0"/>
                <w:szCs w:val="21"/>
                <w:highlight w:val="none"/>
              </w:rPr>
            </w:pPr>
            <w:r>
              <w:rPr>
                <w:rFonts w:hAnsi="宋体"/>
                <w:color w:val="auto"/>
                <w:kern w:val="0"/>
                <w:szCs w:val="21"/>
                <w:highlight w:val="none"/>
              </w:rPr>
              <w:t>公示媒介</w:t>
            </w:r>
          </w:p>
        </w:tc>
        <w:tc>
          <w:tcPr>
            <w:tcW w:w="7740" w:type="dxa"/>
            <w:gridSpan w:val="6"/>
            <w:tcMar>
              <w:top w:w="0" w:type="dxa"/>
              <w:left w:w="75" w:type="dxa"/>
              <w:bottom w:w="0" w:type="dxa"/>
              <w:right w:w="0" w:type="dxa"/>
            </w:tcMar>
            <w:vAlign w:val="center"/>
          </w:tcPr>
          <w:p w14:paraId="19C11227">
            <w:pPr>
              <w:widowControl/>
              <w:spacing w:line="440" w:lineRule="exact"/>
              <w:ind w:right="178" w:rightChars="85"/>
              <w:rPr>
                <w:color w:val="auto"/>
                <w:szCs w:val="21"/>
                <w:highlight w:val="none"/>
              </w:rPr>
            </w:pPr>
          </w:p>
        </w:tc>
      </w:tr>
      <w:tr w14:paraId="69D6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23887758">
            <w:pPr>
              <w:widowControl/>
              <w:spacing w:line="440" w:lineRule="exact"/>
              <w:jc w:val="center"/>
              <w:rPr>
                <w:color w:val="auto"/>
                <w:kern w:val="0"/>
                <w:szCs w:val="21"/>
                <w:highlight w:val="none"/>
              </w:rPr>
            </w:pPr>
            <w:r>
              <w:rPr>
                <w:rFonts w:hint="eastAsia" w:hAnsi="宋体"/>
                <w:color w:val="auto"/>
                <w:kern w:val="0"/>
                <w:szCs w:val="21"/>
                <w:highlight w:val="none"/>
              </w:rPr>
              <w:t>质疑和投诉</w:t>
            </w:r>
          </w:p>
        </w:tc>
        <w:tc>
          <w:tcPr>
            <w:tcW w:w="7740" w:type="dxa"/>
            <w:gridSpan w:val="6"/>
            <w:tcMar>
              <w:top w:w="0" w:type="dxa"/>
              <w:left w:w="75" w:type="dxa"/>
              <w:bottom w:w="0" w:type="dxa"/>
              <w:right w:w="0" w:type="dxa"/>
            </w:tcMar>
            <w:vAlign w:val="center"/>
          </w:tcPr>
          <w:p w14:paraId="457F6996">
            <w:pPr>
              <w:widowControl/>
              <w:spacing w:line="400" w:lineRule="exact"/>
              <w:ind w:right="178" w:rightChars="85"/>
              <w:rPr>
                <w:color w:val="auto"/>
                <w:szCs w:val="21"/>
                <w:highlight w:val="none"/>
              </w:rPr>
            </w:pPr>
            <w:r>
              <w:rPr>
                <w:rFonts w:hint="eastAsia"/>
                <w:color w:val="auto"/>
                <w:szCs w:val="21"/>
                <w:highlight w:val="none"/>
              </w:rPr>
              <w:t>若投标人或其他利害关系人对项目评标结果有异议的，应当在中标候选人公示期向招标人提出，招标人应当自收到异议之日起</w:t>
            </w:r>
            <w:r>
              <w:rPr>
                <w:color w:val="auto"/>
                <w:szCs w:val="21"/>
                <w:highlight w:val="none"/>
              </w:rPr>
              <w:t>3</w:t>
            </w:r>
            <w:r>
              <w:rPr>
                <w:rFonts w:hint="eastAsia"/>
                <w:color w:val="auto"/>
                <w:szCs w:val="21"/>
                <w:highlight w:val="none"/>
              </w:rPr>
              <w:t>日内作出答复；若招标人拒不答复或认为招标人答复内容不符合法律、法规和规章规定或认为权益受到侵害的，请在自知道或应当知道之日起</w:t>
            </w:r>
            <w:r>
              <w:rPr>
                <w:color w:val="auto"/>
                <w:szCs w:val="21"/>
                <w:highlight w:val="none"/>
              </w:rPr>
              <w:t>10</w:t>
            </w:r>
            <w:r>
              <w:rPr>
                <w:rFonts w:hint="eastAsia"/>
                <w:color w:val="auto"/>
                <w:szCs w:val="21"/>
                <w:highlight w:val="none"/>
              </w:rPr>
              <w:t>日内向投诉受理部门提交书面投诉书，逾期不予受理</w:t>
            </w:r>
            <w:r>
              <w:rPr>
                <w:rFonts w:hint="eastAsia" w:hAnsi="宋体"/>
                <w:color w:val="auto"/>
                <w:kern w:val="0"/>
                <w:szCs w:val="21"/>
                <w:highlight w:val="none"/>
              </w:rPr>
              <w:t>。若招标人对项目评标结果有异议的，可在</w:t>
            </w:r>
            <w:r>
              <w:rPr>
                <w:rFonts w:hint="eastAsia"/>
                <w:color w:val="auto"/>
                <w:szCs w:val="21"/>
                <w:highlight w:val="none"/>
              </w:rPr>
              <w:t>公示开始日起10日内直接向投诉受理部门提交书面投诉书。</w:t>
            </w:r>
          </w:p>
        </w:tc>
      </w:tr>
      <w:tr w14:paraId="52AC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vAlign w:val="center"/>
          </w:tcPr>
          <w:p w14:paraId="65594838">
            <w:pPr>
              <w:widowControl/>
              <w:spacing w:line="440" w:lineRule="exact"/>
              <w:jc w:val="center"/>
              <w:rPr>
                <w:color w:val="auto"/>
                <w:kern w:val="0"/>
                <w:szCs w:val="21"/>
                <w:highlight w:val="none"/>
              </w:rPr>
            </w:pPr>
            <w:r>
              <w:rPr>
                <w:rFonts w:hAnsi="宋体"/>
                <w:color w:val="auto"/>
                <w:kern w:val="0"/>
                <w:szCs w:val="21"/>
                <w:highlight w:val="none"/>
              </w:rPr>
              <w:t>投诉</w:t>
            </w:r>
            <w:r>
              <w:rPr>
                <w:rFonts w:hint="eastAsia" w:hAnsi="宋体"/>
                <w:color w:val="auto"/>
                <w:kern w:val="0"/>
                <w:szCs w:val="21"/>
                <w:highlight w:val="none"/>
              </w:rPr>
              <w:t>受理</w:t>
            </w:r>
            <w:r>
              <w:rPr>
                <w:rFonts w:hAnsi="宋体"/>
                <w:color w:val="auto"/>
                <w:kern w:val="0"/>
                <w:szCs w:val="21"/>
                <w:highlight w:val="none"/>
              </w:rPr>
              <w:t>部门</w:t>
            </w:r>
          </w:p>
        </w:tc>
        <w:tc>
          <w:tcPr>
            <w:tcW w:w="3294" w:type="dxa"/>
            <w:gridSpan w:val="3"/>
            <w:tcMar>
              <w:top w:w="30" w:type="dxa"/>
              <w:left w:w="30" w:type="dxa"/>
              <w:bottom w:w="30" w:type="dxa"/>
              <w:right w:w="30" w:type="dxa"/>
            </w:tcMar>
            <w:vAlign w:val="center"/>
          </w:tcPr>
          <w:p w14:paraId="20FD03F0">
            <w:pPr>
              <w:widowControl/>
              <w:spacing w:line="440" w:lineRule="exact"/>
              <w:jc w:val="left"/>
              <w:rPr>
                <w:color w:val="auto"/>
                <w:szCs w:val="21"/>
                <w:highlight w:val="none"/>
              </w:rPr>
            </w:pPr>
          </w:p>
        </w:tc>
        <w:tc>
          <w:tcPr>
            <w:tcW w:w="1440" w:type="dxa"/>
            <w:gridSpan w:val="2"/>
            <w:vAlign w:val="center"/>
          </w:tcPr>
          <w:p w14:paraId="7EEF8576">
            <w:pPr>
              <w:widowControl/>
              <w:spacing w:line="440" w:lineRule="exact"/>
              <w:jc w:val="center"/>
              <w:rPr>
                <w:color w:val="auto"/>
                <w:szCs w:val="21"/>
                <w:highlight w:val="none"/>
              </w:rPr>
            </w:pPr>
            <w:r>
              <w:rPr>
                <w:rFonts w:hAnsi="宋体"/>
                <w:color w:val="auto"/>
                <w:szCs w:val="21"/>
                <w:highlight w:val="none"/>
              </w:rPr>
              <w:t>投诉</w:t>
            </w:r>
            <w:r>
              <w:rPr>
                <w:rFonts w:hint="eastAsia" w:hAnsi="宋体"/>
                <w:color w:val="auto"/>
                <w:szCs w:val="21"/>
                <w:highlight w:val="none"/>
              </w:rPr>
              <w:t>受理</w:t>
            </w:r>
            <w:r>
              <w:rPr>
                <w:rFonts w:hAnsi="宋体"/>
                <w:color w:val="auto"/>
                <w:szCs w:val="21"/>
                <w:highlight w:val="none"/>
              </w:rPr>
              <w:t>电话</w:t>
            </w:r>
          </w:p>
        </w:tc>
        <w:tc>
          <w:tcPr>
            <w:tcW w:w="3006" w:type="dxa"/>
            <w:vAlign w:val="center"/>
          </w:tcPr>
          <w:p w14:paraId="05060198">
            <w:pPr>
              <w:widowControl/>
              <w:spacing w:line="440" w:lineRule="exact"/>
              <w:jc w:val="left"/>
              <w:rPr>
                <w:color w:val="auto"/>
                <w:szCs w:val="21"/>
                <w:highlight w:val="none"/>
              </w:rPr>
            </w:pPr>
          </w:p>
        </w:tc>
      </w:tr>
    </w:tbl>
    <w:p w14:paraId="484D136C">
      <w:pPr>
        <w:jc w:val="center"/>
        <w:rPr>
          <w:color w:val="auto"/>
          <w:sz w:val="28"/>
          <w:szCs w:val="28"/>
          <w:highlight w:val="none"/>
        </w:rPr>
      </w:pPr>
    </w:p>
    <w:p w14:paraId="32865D54">
      <w:pPr>
        <w:spacing w:before="120" w:beforeLines="50"/>
        <w:rPr>
          <w:rFonts w:ascii="宋体" w:hAnsi="宋体"/>
          <w:color w:val="auto"/>
          <w:szCs w:val="21"/>
          <w:highlight w:val="none"/>
        </w:rPr>
      </w:pPr>
      <w:r>
        <w:rPr>
          <w:rFonts w:hint="eastAsia" w:ascii="宋体" w:hAnsi="宋体"/>
          <w:color w:val="auto"/>
          <w:szCs w:val="21"/>
          <w:highlight w:val="none"/>
        </w:rPr>
        <w:t>本表一式5份：招标人2</w:t>
      </w:r>
      <w:r>
        <w:rPr>
          <w:rFonts w:ascii="宋体" w:hAnsi="宋体"/>
          <w:color w:val="auto"/>
          <w:szCs w:val="21"/>
          <w:highlight w:val="none"/>
        </w:rPr>
        <w:t>份、</w:t>
      </w:r>
      <w:r>
        <w:rPr>
          <w:rFonts w:hint="eastAsia" w:ascii="宋体" w:hAnsi="宋体"/>
          <w:color w:val="auto"/>
          <w:szCs w:val="21"/>
          <w:highlight w:val="none"/>
        </w:rPr>
        <w:t>招标</w:t>
      </w:r>
      <w:r>
        <w:rPr>
          <w:rFonts w:ascii="宋体" w:hAnsi="宋体"/>
          <w:color w:val="auto"/>
          <w:szCs w:val="21"/>
          <w:highlight w:val="none"/>
        </w:rPr>
        <w:t>代理</w:t>
      </w:r>
      <w:r>
        <w:rPr>
          <w:rFonts w:hint="eastAsia" w:ascii="宋体" w:hAnsi="宋体"/>
          <w:color w:val="auto"/>
          <w:szCs w:val="21"/>
          <w:highlight w:val="none"/>
        </w:rPr>
        <w:t>机构1</w:t>
      </w:r>
      <w:r>
        <w:rPr>
          <w:rFonts w:ascii="宋体" w:hAnsi="宋体"/>
          <w:color w:val="auto"/>
          <w:szCs w:val="21"/>
          <w:highlight w:val="none"/>
        </w:rPr>
        <w:t>份、招投标监督管理部门</w:t>
      </w:r>
      <w:r>
        <w:rPr>
          <w:rFonts w:hint="eastAsia" w:ascii="宋体" w:hAnsi="宋体"/>
          <w:color w:val="auto"/>
          <w:szCs w:val="21"/>
          <w:highlight w:val="none"/>
        </w:rPr>
        <w:t>1份、交易中心1份</w:t>
      </w:r>
      <w:r>
        <w:rPr>
          <w:rFonts w:ascii="宋体" w:hAnsi="宋体"/>
          <w:color w:val="auto"/>
          <w:szCs w:val="21"/>
          <w:highlight w:val="none"/>
        </w:rPr>
        <w:t>。</w:t>
      </w:r>
    </w:p>
    <w:p w14:paraId="4506D46A">
      <w:pPr>
        <w:spacing w:before="120" w:beforeLines="50"/>
        <w:rPr>
          <w:rFonts w:ascii="宋体" w:hAnsi="宋体"/>
          <w:color w:val="auto"/>
          <w:szCs w:val="21"/>
          <w:highlight w:val="none"/>
        </w:rPr>
      </w:pPr>
    </w:p>
    <w:p w14:paraId="5C2E1DCF">
      <w:pPr>
        <w:spacing w:before="120" w:beforeLines="50"/>
        <w:rPr>
          <w:rFonts w:ascii="楷体" w:hAnsi="楷体" w:eastAsia="楷体" w:cs="楷体"/>
          <w:b/>
          <w:bCs/>
          <w:color w:val="auto"/>
          <w:highlight w:val="none"/>
        </w:rPr>
      </w:pPr>
      <w:r>
        <w:rPr>
          <w:rFonts w:hint="eastAsia" w:ascii="楷体" w:hAnsi="楷体" w:eastAsia="楷体" w:cs="楷体"/>
          <w:b/>
          <w:bCs/>
          <w:color w:val="auto"/>
          <w:highlight w:val="none"/>
        </w:rPr>
        <w:t>备注：1. 以上身份证号在公示时应隐藏中间部分数字。</w:t>
      </w:r>
    </w:p>
    <w:p w14:paraId="1FC4EC51">
      <w:pPr>
        <w:spacing w:before="120" w:beforeLines="50"/>
        <w:rPr>
          <w:rFonts w:ascii="楷体" w:hAnsi="楷体" w:eastAsia="楷体" w:cs="楷体"/>
          <w:b/>
          <w:bCs/>
          <w:color w:val="auto"/>
          <w:highlight w:val="none"/>
        </w:rPr>
      </w:pPr>
      <w:r>
        <w:rPr>
          <w:rFonts w:hint="eastAsia" w:ascii="楷体" w:hAnsi="楷体" w:eastAsia="楷体" w:cs="楷体"/>
          <w:b/>
          <w:bCs/>
          <w:color w:val="auto"/>
          <w:highlight w:val="none"/>
        </w:rPr>
        <w:t>2. 中标候选人享受《政府采购促进中小企业发展管理办法》（财库〔2020〕46号）规定的中小企业扶持政策的，招标人应当在公示中标候选人时公开中标候选人的《中小企业声明函》。</w:t>
      </w:r>
    </w:p>
    <w:p w14:paraId="5FA0467E">
      <w:pPr>
        <w:rPr>
          <w:rFonts w:ascii="楷体" w:hAnsi="楷体" w:eastAsia="楷体" w:cs="楷体"/>
          <w:b/>
          <w:bCs/>
          <w:color w:val="auto"/>
          <w:highlight w:val="none"/>
        </w:rPr>
      </w:pPr>
      <w:r>
        <w:rPr>
          <w:rFonts w:hint="eastAsia" w:ascii="楷体" w:hAnsi="楷体" w:eastAsia="楷体" w:cs="楷体"/>
          <w:b/>
          <w:bCs/>
          <w:color w:val="auto"/>
          <w:highlight w:val="none"/>
        </w:rPr>
        <w:t>3. 中标候选人为残疾人福利性单位的，招标人或者其委托的招标代理机构应当在中标候选人公示时公开中标候选人的《残疾人福利性单位声明函》。</w:t>
      </w:r>
    </w:p>
    <w:p w14:paraId="53111425">
      <w:pPr>
        <w:spacing w:before="120" w:beforeLines="50"/>
        <w:rPr>
          <w:color w:val="auto"/>
          <w:highlight w:val="none"/>
        </w:rPr>
      </w:pPr>
      <w:r>
        <w:rPr>
          <w:rFonts w:hint="eastAsia" w:ascii="楷体" w:hAnsi="楷体" w:eastAsia="楷体" w:cs="楷体"/>
          <w:b/>
          <w:bCs/>
          <w:color w:val="auto"/>
          <w:highlight w:val="none"/>
        </w:rPr>
        <w:t>4.中标候选人公示时应同时公示所有中标候选人的项目组人员配备情况表。</w:t>
      </w:r>
    </w:p>
    <w:p w14:paraId="6027F907">
      <w:pPr>
        <w:spacing w:before="120" w:beforeLines="50"/>
        <w:rPr>
          <w:rFonts w:ascii="楷体" w:hAnsi="楷体" w:eastAsia="楷体" w:cs="楷体"/>
          <w:b/>
          <w:bCs/>
          <w:color w:val="auto"/>
          <w:highlight w:val="none"/>
          <w:lang w:val="en"/>
        </w:rPr>
      </w:pPr>
      <w:r>
        <w:rPr>
          <w:rFonts w:ascii="楷体" w:hAnsi="楷体" w:eastAsia="楷体" w:cs="楷体"/>
          <w:b/>
          <w:bCs/>
          <w:color w:val="auto"/>
          <w:highlight w:val="none"/>
          <w:lang w:val="en"/>
        </w:rPr>
        <w:t>5.</w:t>
      </w:r>
      <w:r>
        <w:rPr>
          <w:rFonts w:hint="eastAsia" w:ascii="楷体" w:hAnsi="楷体" w:eastAsia="楷体" w:cs="楷体"/>
          <w:b/>
          <w:bCs/>
          <w:color w:val="auto"/>
          <w:highlight w:val="none"/>
          <w:lang w:val="en"/>
        </w:rPr>
        <w:t>中标候选人</w:t>
      </w:r>
      <w:r>
        <w:rPr>
          <w:rFonts w:hint="eastAsia" w:ascii="楷体" w:hAnsi="楷体" w:eastAsia="楷体" w:cs="楷体"/>
          <w:b/>
          <w:bCs/>
          <w:color w:val="auto"/>
          <w:highlight w:val="none"/>
        </w:rPr>
        <w:t>企业诚信评分为“桂建云”平台或者区市级诚信评分平台公示的企业诚信得分。</w:t>
      </w:r>
    </w:p>
    <w:p w14:paraId="40785C17">
      <w:pPr>
        <w:spacing w:line="360" w:lineRule="auto"/>
        <w:ind w:right="420"/>
        <w:jc w:val="center"/>
        <w:rPr>
          <w:rFonts w:ascii="宋体" w:hAnsi="宋体"/>
          <w:b/>
          <w:color w:val="auto"/>
          <w:sz w:val="28"/>
          <w:szCs w:val="28"/>
          <w:highlight w:val="none"/>
        </w:rPr>
      </w:pPr>
    </w:p>
    <w:p w14:paraId="2855FC29">
      <w:pPr>
        <w:spacing w:line="360" w:lineRule="auto"/>
        <w:ind w:right="420"/>
        <w:jc w:val="center"/>
        <w:rPr>
          <w:rFonts w:ascii="宋体" w:hAnsi="宋体"/>
          <w:b/>
          <w:color w:val="auto"/>
          <w:sz w:val="28"/>
          <w:szCs w:val="28"/>
          <w:highlight w:val="none"/>
        </w:rPr>
      </w:pPr>
    </w:p>
    <w:p w14:paraId="65E21E72">
      <w:pPr>
        <w:spacing w:line="360" w:lineRule="auto"/>
        <w:ind w:right="420"/>
        <w:jc w:val="center"/>
        <w:rPr>
          <w:rFonts w:ascii="宋体" w:hAnsi="宋体"/>
          <w:b/>
          <w:color w:val="auto"/>
          <w:sz w:val="28"/>
          <w:szCs w:val="28"/>
          <w:highlight w:val="none"/>
        </w:rPr>
      </w:pPr>
    </w:p>
    <w:p w14:paraId="5F0F4A0F">
      <w:pPr>
        <w:spacing w:line="360" w:lineRule="auto"/>
        <w:ind w:right="420"/>
        <w:jc w:val="center"/>
        <w:rPr>
          <w:rFonts w:ascii="宋体" w:hAnsi="宋体"/>
          <w:b/>
          <w:color w:val="auto"/>
          <w:sz w:val="28"/>
          <w:szCs w:val="28"/>
          <w:highlight w:val="none"/>
        </w:rPr>
      </w:pPr>
    </w:p>
    <w:p w14:paraId="1F9EBF0C">
      <w:pPr>
        <w:spacing w:line="360" w:lineRule="auto"/>
        <w:ind w:right="420"/>
        <w:jc w:val="center"/>
        <w:rPr>
          <w:rFonts w:ascii="宋体" w:hAnsi="宋体"/>
          <w:b/>
          <w:color w:val="auto"/>
          <w:sz w:val="28"/>
          <w:szCs w:val="28"/>
          <w:highlight w:val="none"/>
        </w:rPr>
      </w:pPr>
      <w:r>
        <w:rPr>
          <w:rFonts w:ascii="宋体" w:hAnsi="宋体"/>
          <w:b/>
          <w:color w:val="auto"/>
          <w:sz w:val="28"/>
          <w:szCs w:val="28"/>
          <w:highlight w:val="none"/>
        </w:rPr>
        <w:t>第一中标候选人</w:t>
      </w:r>
      <w:r>
        <w:rPr>
          <w:rFonts w:hint="eastAsia" w:ascii="宋体" w:hAnsi="宋体"/>
          <w:b/>
          <w:color w:val="auto"/>
          <w:sz w:val="28"/>
          <w:szCs w:val="28"/>
          <w:highlight w:val="none"/>
        </w:rPr>
        <w:t xml:space="preserve"> </w:t>
      </w:r>
      <w:r>
        <w:rPr>
          <w:rFonts w:ascii="宋体" w:hAnsi="宋体"/>
          <w:b/>
          <w:color w:val="auto"/>
          <w:sz w:val="28"/>
          <w:szCs w:val="28"/>
          <w:highlight w:val="none"/>
        </w:rPr>
        <w:t>项目组人员配备情况表</w:t>
      </w:r>
    </w:p>
    <w:tbl>
      <w:tblPr>
        <w:tblStyle w:val="40"/>
        <w:tblW w:w="9889" w:type="dxa"/>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34"/>
        <w:gridCol w:w="1152"/>
        <w:gridCol w:w="1258"/>
        <w:gridCol w:w="992"/>
        <w:gridCol w:w="992"/>
        <w:gridCol w:w="1560"/>
        <w:gridCol w:w="1557"/>
        <w:gridCol w:w="569"/>
      </w:tblGrid>
      <w:tr w14:paraId="06AC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30FA83B">
            <w:pPr>
              <w:pStyle w:val="137"/>
              <w:jc w:val="center"/>
              <w:outlineLvl w:val="0"/>
              <w:rPr>
                <w:b/>
                <w:color w:val="auto"/>
                <w:szCs w:val="21"/>
                <w:highlight w:val="none"/>
              </w:rPr>
            </w:pPr>
            <w:r>
              <w:rPr>
                <w:b/>
                <w:color w:val="auto"/>
                <w:szCs w:val="21"/>
                <w:highlight w:val="none"/>
              </w:rPr>
              <w:t>序号</w:t>
            </w:r>
          </w:p>
        </w:tc>
        <w:tc>
          <w:tcPr>
            <w:tcW w:w="1134" w:type="dxa"/>
            <w:vAlign w:val="center"/>
          </w:tcPr>
          <w:p w14:paraId="68879875">
            <w:pPr>
              <w:pStyle w:val="137"/>
              <w:jc w:val="center"/>
              <w:outlineLvl w:val="0"/>
              <w:rPr>
                <w:b/>
                <w:color w:val="auto"/>
                <w:szCs w:val="21"/>
                <w:highlight w:val="none"/>
              </w:rPr>
            </w:pPr>
            <w:r>
              <w:rPr>
                <w:rFonts w:hint="eastAsia"/>
                <w:b/>
                <w:color w:val="auto"/>
                <w:szCs w:val="21"/>
                <w:highlight w:val="none"/>
              </w:rPr>
              <w:t>姓名</w:t>
            </w:r>
          </w:p>
        </w:tc>
        <w:tc>
          <w:tcPr>
            <w:tcW w:w="1152" w:type="dxa"/>
            <w:vAlign w:val="center"/>
          </w:tcPr>
          <w:p w14:paraId="0C9D31F3">
            <w:pPr>
              <w:pStyle w:val="137"/>
              <w:jc w:val="center"/>
              <w:outlineLvl w:val="0"/>
              <w:rPr>
                <w:b/>
                <w:color w:val="auto"/>
                <w:szCs w:val="21"/>
                <w:highlight w:val="none"/>
              </w:rPr>
            </w:pPr>
            <w:r>
              <w:rPr>
                <w:rFonts w:hint="eastAsia"/>
                <w:b/>
                <w:color w:val="auto"/>
                <w:szCs w:val="21"/>
                <w:highlight w:val="none"/>
              </w:rPr>
              <w:t>身份证</w:t>
            </w:r>
          </w:p>
          <w:p w14:paraId="55A450FC">
            <w:pPr>
              <w:pStyle w:val="137"/>
              <w:jc w:val="center"/>
              <w:outlineLvl w:val="0"/>
              <w:rPr>
                <w:b/>
                <w:color w:val="auto"/>
                <w:szCs w:val="21"/>
                <w:highlight w:val="none"/>
              </w:rPr>
            </w:pPr>
            <w:r>
              <w:rPr>
                <w:rFonts w:hint="eastAsia"/>
                <w:b/>
                <w:color w:val="auto"/>
                <w:szCs w:val="21"/>
                <w:highlight w:val="none"/>
              </w:rPr>
              <w:t>号码</w:t>
            </w:r>
          </w:p>
        </w:tc>
        <w:tc>
          <w:tcPr>
            <w:tcW w:w="1258" w:type="dxa"/>
            <w:vAlign w:val="center"/>
          </w:tcPr>
          <w:p w14:paraId="3ABF6E10">
            <w:pPr>
              <w:pStyle w:val="137"/>
              <w:jc w:val="center"/>
              <w:outlineLvl w:val="0"/>
              <w:rPr>
                <w:b/>
                <w:color w:val="auto"/>
                <w:szCs w:val="21"/>
                <w:highlight w:val="none"/>
              </w:rPr>
            </w:pPr>
            <w:r>
              <w:rPr>
                <w:b/>
                <w:color w:val="auto"/>
                <w:szCs w:val="21"/>
                <w:highlight w:val="none"/>
              </w:rPr>
              <w:t>拟在本项目任职</w:t>
            </w:r>
          </w:p>
        </w:tc>
        <w:tc>
          <w:tcPr>
            <w:tcW w:w="992" w:type="dxa"/>
            <w:vAlign w:val="center"/>
          </w:tcPr>
          <w:p w14:paraId="053C24F3">
            <w:pPr>
              <w:pStyle w:val="137"/>
              <w:jc w:val="center"/>
              <w:outlineLvl w:val="0"/>
              <w:rPr>
                <w:b/>
                <w:color w:val="auto"/>
                <w:szCs w:val="21"/>
                <w:highlight w:val="none"/>
              </w:rPr>
            </w:pPr>
            <w:r>
              <w:rPr>
                <w:b/>
                <w:color w:val="auto"/>
                <w:szCs w:val="21"/>
                <w:highlight w:val="none"/>
              </w:rPr>
              <w:t>职</w:t>
            </w:r>
            <w:r>
              <w:rPr>
                <w:rFonts w:hint="eastAsia"/>
                <w:b/>
                <w:color w:val="auto"/>
                <w:szCs w:val="21"/>
                <w:highlight w:val="none"/>
              </w:rPr>
              <w:t xml:space="preserve"> </w:t>
            </w:r>
            <w:r>
              <w:rPr>
                <w:b/>
                <w:color w:val="auto"/>
                <w:szCs w:val="21"/>
                <w:highlight w:val="none"/>
              </w:rPr>
              <w:t>称</w:t>
            </w:r>
          </w:p>
        </w:tc>
        <w:tc>
          <w:tcPr>
            <w:tcW w:w="992" w:type="dxa"/>
            <w:vAlign w:val="center"/>
          </w:tcPr>
          <w:p w14:paraId="08F46B1C">
            <w:pPr>
              <w:pStyle w:val="137"/>
              <w:jc w:val="center"/>
              <w:outlineLvl w:val="0"/>
              <w:rPr>
                <w:b/>
                <w:color w:val="auto"/>
                <w:szCs w:val="21"/>
                <w:highlight w:val="none"/>
              </w:rPr>
            </w:pPr>
            <w:r>
              <w:rPr>
                <w:b/>
                <w:color w:val="auto"/>
                <w:szCs w:val="21"/>
                <w:highlight w:val="none"/>
              </w:rPr>
              <w:t>专</w:t>
            </w:r>
            <w:r>
              <w:rPr>
                <w:rFonts w:hint="eastAsia"/>
                <w:b/>
                <w:color w:val="auto"/>
                <w:szCs w:val="21"/>
                <w:highlight w:val="none"/>
              </w:rPr>
              <w:t xml:space="preserve"> </w:t>
            </w:r>
            <w:r>
              <w:rPr>
                <w:b/>
                <w:color w:val="auto"/>
                <w:szCs w:val="21"/>
                <w:highlight w:val="none"/>
              </w:rPr>
              <w:t>业</w:t>
            </w:r>
          </w:p>
        </w:tc>
        <w:tc>
          <w:tcPr>
            <w:tcW w:w="1560" w:type="dxa"/>
            <w:vAlign w:val="center"/>
          </w:tcPr>
          <w:p w14:paraId="3C59D8DC">
            <w:pPr>
              <w:pStyle w:val="137"/>
              <w:jc w:val="center"/>
              <w:outlineLvl w:val="0"/>
              <w:rPr>
                <w:b/>
                <w:color w:val="auto"/>
                <w:szCs w:val="21"/>
                <w:highlight w:val="none"/>
              </w:rPr>
            </w:pPr>
            <w:r>
              <w:rPr>
                <w:b/>
                <w:color w:val="auto"/>
                <w:szCs w:val="21"/>
                <w:highlight w:val="none"/>
              </w:rPr>
              <w:t>执业</w:t>
            </w:r>
            <w:r>
              <w:rPr>
                <w:rFonts w:hint="eastAsia"/>
                <w:b/>
                <w:color w:val="auto"/>
                <w:szCs w:val="21"/>
                <w:highlight w:val="none"/>
              </w:rPr>
              <w:t>注册</w:t>
            </w:r>
            <w:r>
              <w:rPr>
                <w:b/>
                <w:color w:val="auto"/>
                <w:szCs w:val="21"/>
                <w:highlight w:val="none"/>
              </w:rPr>
              <w:t>资格</w:t>
            </w:r>
            <w:r>
              <w:rPr>
                <w:rFonts w:hint="eastAsia"/>
                <w:b/>
                <w:color w:val="auto"/>
                <w:szCs w:val="21"/>
                <w:highlight w:val="none"/>
              </w:rPr>
              <w:t>（如有）</w:t>
            </w:r>
          </w:p>
        </w:tc>
        <w:tc>
          <w:tcPr>
            <w:tcW w:w="1557" w:type="dxa"/>
            <w:vAlign w:val="center"/>
          </w:tcPr>
          <w:p w14:paraId="355251E9">
            <w:pPr>
              <w:pStyle w:val="137"/>
              <w:jc w:val="center"/>
              <w:outlineLvl w:val="0"/>
              <w:rPr>
                <w:b/>
                <w:color w:val="auto"/>
                <w:szCs w:val="21"/>
                <w:highlight w:val="none"/>
              </w:rPr>
            </w:pPr>
            <w:r>
              <w:rPr>
                <w:b/>
                <w:color w:val="auto"/>
                <w:szCs w:val="21"/>
                <w:highlight w:val="none"/>
              </w:rPr>
              <w:t>证书编号</w:t>
            </w:r>
          </w:p>
        </w:tc>
        <w:tc>
          <w:tcPr>
            <w:tcW w:w="569" w:type="dxa"/>
            <w:vAlign w:val="center"/>
          </w:tcPr>
          <w:p w14:paraId="2DA2441B">
            <w:pPr>
              <w:pStyle w:val="137"/>
              <w:jc w:val="center"/>
              <w:outlineLvl w:val="0"/>
              <w:rPr>
                <w:b/>
                <w:color w:val="auto"/>
                <w:szCs w:val="21"/>
                <w:highlight w:val="none"/>
              </w:rPr>
            </w:pPr>
            <w:r>
              <w:rPr>
                <w:b/>
                <w:color w:val="auto"/>
                <w:szCs w:val="21"/>
                <w:highlight w:val="none"/>
              </w:rPr>
              <w:t>备注</w:t>
            </w:r>
          </w:p>
        </w:tc>
      </w:tr>
      <w:tr w14:paraId="3699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6BCF4082">
            <w:pPr>
              <w:pStyle w:val="137"/>
              <w:jc w:val="center"/>
              <w:outlineLvl w:val="0"/>
              <w:rPr>
                <w:color w:val="auto"/>
                <w:szCs w:val="21"/>
                <w:highlight w:val="none"/>
              </w:rPr>
            </w:pPr>
          </w:p>
        </w:tc>
        <w:tc>
          <w:tcPr>
            <w:tcW w:w="1134" w:type="dxa"/>
          </w:tcPr>
          <w:p w14:paraId="12EB46A2">
            <w:pPr>
              <w:pStyle w:val="137"/>
              <w:jc w:val="center"/>
              <w:outlineLvl w:val="0"/>
              <w:rPr>
                <w:color w:val="auto"/>
                <w:szCs w:val="21"/>
                <w:highlight w:val="none"/>
              </w:rPr>
            </w:pPr>
          </w:p>
        </w:tc>
        <w:tc>
          <w:tcPr>
            <w:tcW w:w="1152" w:type="dxa"/>
          </w:tcPr>
          <w:p w14:paraId="1E49145F">
            <w:pPr>
              <w:pStyle w:val="137"/>
              <w:jc w:val="center"/>
              <w:outlineLvl w:val="0"/>
              <w:rPr>
                <w:color w:val="auto"/>
                <w:szCs w:val="21"/>
                <w:highlight w:val="none"/>
              </w:rPr>
            </w:pPr>
          </w:p>
        </w:tc>
        <w:tc>
          <w:tcPr>
            <w:tcW w:w="1258" w:type="dxa"/>
          </w:tcPr>
          <w:p w14:paraId="397063C5">
            <w:pPr>
              <w:pStyle w:val="137"/>
              <w:jc w:val="center"/>
              <w:outlineLvl w:val="0"/>
              <w:rPr>
                <w:color w:val="auto"/>
                <w:szCs w:val="21"/>
                <w:highlight w:val="none"/>
              </w:rPr>
            </w:pPr>
          </w:p>
        </w:tc>
        <w:tc>
          <w:tcPr>
            <w:tcW w:w="992" w:type="dxa"/>
          </w:tcPr>
          <w:p w14:paraId="0F28543A">
            <w:pPr>
              <w:pStyle w:val="137"/>
              <w:jc w:val="center"/>
              <w:outlineLvl w:val="0"/>
              <w:rPr>
                <w:color w:val="auto"/>
                <w:szCs w:val="21"/>
                <w:highlight w:val="none"/>
              </w:rPr>
            </w:pPr>
          </w:p>
        </w:tc>
        <w:tc>
          <w:tcPr>
            <w:tcW w:w="992" w:type="dxa"/>
          </w:tcPr>
          <w:p w14:paraId="1F377E3A">
            <w:pPr>
              <w:pStyle w:val="137"/>
              <w:jc w:val="center"/>
              <w:outlineLvl w:val="0"/>
              <w:rPr>
                <w:color w:val="auto"/>
                <w:szCs w:val="21"/>
                <w:highlight w:val="none"/>
              </w:rPr>
            </w:pPr>
          </w:p>
        </w:tc>
        <w:tc>
          <w:tcPr>
            <w:tcW w:w="1560" w:type="dxa"/>
          </w:tcPr>
          <w:p w14:paraId="51FDF900">
            <w:pPr>
              <w:pStyle w:val="137"/>
              <w:jc w:val="center"/>
              <w:outlineLvl w:val="0"/>
              <w:rPr>
                <w:color w:val="auto"/>
                <w:szCs w:val="21"/>
                <w:highlight w:val="none"/>
              </w:rPr>
            </w:pPr>
          </w:p>
        </w:tc>
        <w:tc>
          <w:tcPr>
            <w:tcW w:w="1557" w:type="dxa"/>
          </w:tcPr>
          <w:p w14:paraId="57F2D7E3">
            <w:pPr>
              <w:pStyle w:val="137"/>
              <w:jc w:val="center"/>
              <w:outlineLvl w:val="0"/>
              <w:rPr>
                <w:color w:val="auto"/>
                <w:szCs w:val="21"/>
                <w:highlight w:val="none"/>
              </w:rPr>
            </w:pPr>
          </w:p>
        </w:tc>
        <w:tc>
          <w:tcPr>
            <w:tcW w:w="569" w:type="dxa"/>
          </w:tcPr>
          <w:p w14:paraId="7D7C3F95">
            <w:pPr>
              <w:pStyle w:val="137"/>
              <w:jc w:val="center"/>
              <w:outlineLvl w:val="0"/>
              <w:rPr>
                <w:color w:val="auto"/>
                <w:szCs w:val="21"/>
                <w:highlight w:val="none"/>
              </w:rPr>
            </w:pPr>
          </w:p>
        </w:tc>
      </w:tr>
      <w:tr w14:paraId="012A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53F75D79">
            <w:pPr>
              <w:pStyle w:val="137"/>
              <w:jc w:val="center"/>
              <w:outlineLvl w:val="0"/>
              <w:rPr>
                <w:color w:val="auto"/>
                <w:szCs w:val="21"/>
                <w:highlight w:val="none"/>
              </w:rPr>
            </w:pPr>
          </w:p>
        </w:tc>
        <w:tc>
          <w:tcPr>
            <w:tcW w:w="1134" w:type="dxa"/>
          </w:tcPr>
          <w:p w14:paraId="017C4CD1">
            <w:pPr>
              <w:pStyle w:val="137"/>
              <w:jc w:val="center"/>
              <w:outlineLvl w:val="0"/>
              <w:rPr>
                <w:color w:val="auto"/>
                <w:szCs w:val="21"/>
                <w:highlight w:val="none"/>
              </w:rPr>
            </w:pPr>
          </w:p>
        </w:tc>
        <w:tc>
          <w:tcPr>
            <w:tcW w:w="1152" w:type="dxa"/>
          </w:tcPr>
          <w:p w14:paraId="66ADCF99">
            <w:pPr>
              <w:pStyle w:val="137"/>
              <w:jc w:val="center"/>
              <w:outlineLvl w:val="0"/>
              <w:rPr>
                <w:color w:val="auto"/>
                <w:szCs w:val="21"/>
                <w:highlight w:val="none"/>
              </w:rPr>
            </w:pPr>
          </w:p>
        </w:tc>
        <w:tc>
          <w:tcPr>
            <w:tcW w:w="1258" w:type="dxa"/>
          </w:tcPr>
          <w:p w14:paraId="2DC33F7B">
            <w:pPr>
              <w:pStyle w:val="137"/>
              <w:jc w:val="center"/>
              <w:outlineLvl w:val="0"/>
              <w:rPr>
                <w:color w:val="auto"/>
                <w:szCs w:val="21"/>
                <w:highlight w:val="none"/>
              </w:rPr>
            </w:pPr>
          </w:p>
        </w:tc>
        <w:tc>
          <w:tcPr>
            <w:tcW w:w="992" w:type="dxa"/>
          </w:tcPr>
          <w:p w14:paraId="0810EAEF">
            <w:pPr>
              <w:pStyle w:val="137"/>
              <w:jc w:val="center"/>
              <w:outlineLvl w:val="0"/>
              <w:rPr>
                <w:color w:val="auto"/>
                <w:szCs w:val="21"/>
                <w:highlight w:val="none"/>
              </w:rPr>
            </w:pPr>
          </w:p>
        </w:tc>
        <w:tc>
          <w:tcPr>
            <w:tcW w:w="992" w:type="dxa"/>
          </w:tcPr>
          <w:p w14:paraId="001E72B5">
            <w:pPr>
              <w:pStyle w:val="137"/>
              <w:jc w:val="center"/>
              <w:outlineLvl w:val="0"/>
              <w:rPr>
                <w:color w:val="auto"/>
                <w:szCs w:val="21"/>
                <w:highlight w:val="none"/>
              </w:rPr>
            </w:pPr>
          </w:p>
        </w:tc>
        <w:tc>
          <w:tcPr>
            <w:tcW w:w="1560" w:type="dxa"/>
          </w:tcPr>
          <w:p w14:paraId="1A177D42">
            <w:pPr>
              <w:pStyle w:val="137"/>
              <w:jc w:val="center"/>
              <w:outlineLvl w:val="0"/>
              <w:rPr>
                <w:color w:val="auto"/>
                <w:szCs w:val="21"/>
                <w:highlight w:val="none"/>
              </w:rPr>
            </w:pPr>
          </w:p>
        </w:tc>
        <w:tc>
          <w:tcPr>
            <w:tcW w:w="1557" w:type="dxa"/>
          </w:tcPr>
          <w:p w14:paraId="609E28C5">
            <w:pPr>
              <w:pStyle w:val="137"/>
              <w:jc w:val="center"/>
              <w:outlineLvl w:val="0"/>
              <w:rPr>
                <w:color w:val="auto"/>
                <w:szCs w:val="21"/>
                <w:highlight w:val="none"/>
              </w:rPr>
            </w:pPr>
          </w:p>
        </w:tc>
        <w:tc>
          <w:tcPr>
            <w:tcW w:w="569" w:type="dxa"/>
          </w:tcPr>
          <w:p w14:paraId="45A54B72">
            <w:pPr>
              <w:pStyle w:val="137"/>
              <w:jc w:val="center"/>
              <w:outlineLvl w:val="0"/>
              <w:rPr>
                <w:color w:val="auto"/>
                <w:szCs w:val="21"/>
                <w:highlight w:val="none"/>
              </w:rPr>
            </w:pPr>
          </w:p>
        </w:tc>
      </w:tr>
      <w:tr w14:paraId="26CF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6A5806DA">
            <w:pPr>
              <w:pStyle w:val="137"/>
              <w:jc w:val="center"/>
              <w:outlineLvl w:val="0"/>
              <w:rPr>
                <w:color w:val="auto"/>
                <w:szCs w:val="21"/>
                <w:highlight w:val="none"/>
              </w:rPr>
            </w:pPr>
          </w:p>
        </w:tc>
        <w:tc>
          <w:tcPr>
            <w:tcW w:w="1134" w:type="dxa"/>
          </w:tcPr>
          <w:p w14:paraId="45B187CF">
            <w:pPr>
              <w:pStyle w:val="137"/>
              <w:jc w:val="center"/>
              <w:outlineLvl w:val="0"/>
              <w:rPr>
                <w:color w:val="auto"/>
                <w:szCs w:val="21"/>
                <w:highlight w:val="none"/>
              </w:rPr>
            </w:pPr>
          </w:p>
        </w:tc>
        <w:tc>
          <w:tcPr>
            <w:tcW w:w="1152" w:type="dxa"/>
          </w:tcPr>
          <w:p w14:paraId="32261AD4">
            <w:pPr>
              <w:pStyle w:val="137"/>
              <w:jc w:val="center"/>
              <w:outlineLvl w:val="0"/>
              <w:rPr>
                <w:color w:val="auto"/>
                <w:szCs w:val="21"/>
                <w:highlight w:val="none"/>
              </w:rPr>
            </w:pPr>
          </w:p>
        </w:tc>
        <w:tc>
          <w:tcPr>
            <w:tcW w:w="1258" w:type="dxa"/>
          </w:tcPr>
          <w:p w14:paraId="41FDC704">
            <w:pPr>
              <w:pStyle w:val="137"/>
              <w:jc w:val="center"/>
              <w:outlineLvl w:val="0"/>
              <w:rPr>
                <w:color w:val="auto"/>
                <w:szCs w:val="21"/>
                <w:highlight w:val="none"/>
              </w:rPr>
            </w:pPr>
          </w:p>
        </w:tc>
        <w:tc>
          <w:tcPr>
            <w:tcW w:w="992" w:type="dxa"/>
          </w:tcPr>
          <w:p w14:paraId="30A8ABD9">
            <w:pPr>
              <w:pStyle w:val="137"/>
              <w:jc w:val="center"/>
              <w:outlineLvl w:val="0"/>
              <w:rPr>
                <w:color w:val="auto"/>
                <w:szCs w:val="21"/>
                <w:highlight w:val="none"/>
              </w:rPr>
            </w:pPr>
          </w:p>
        </w:tc>
        <w:tc>
          <w:tcPr>
            <w:tcW w:w="992" w:type="dxa"/>
          </w:tcPr>
          <w:p w14:paraId="7F119510">
            <w:pPr>
              <w:pStyle w:val="137"/>
              <w:jc w:val="center"/>
              <w:outlineLvl w:val="0"/>
              <w:rPr>
                <w:color w:val="auto"/>
                <w:szCs w:val="21"/>
                <w:highlight w:val="none"/>
              </w:rPr>
            </w:pPr>
          </w:p>
        </w:tc>
        <w:tc>
          <w:tcPr>
            <w:tcW w:w="1560" w:type="dxa"/>
          </w:tcPr>
          <w:p w14:paraId="7A0603F4">
            <w:pPr>
              <w:pStyle w:val="137"/>
              <w:jc w:val="center"/>
              <w:outlineLvl w:val="0"/>
              <w:rPr>
                <w:color w:val="auto"/>
                <w:szCs w:val="21"/>
                <w:highlight w:val="none"/>
              </w:rPr>
            </w:pPr>
          </w:p>
        </w:tc>
        <w:tc>
          <w:tcPr>
            <w:tcW w:w="1557" w:type="dxa"/>
          </w:tcPr>
          <w:p w14:paraId="14A6354D">
            <w:pPr>
              <w:pStyle w:val="137"/>
              <w:jc w:val="center"/>
              <w:outlineLvl w:val="0"/>
              <w:rPr>
                <w:color w:val="auto"/>
                <w:szCs w:val="21"/>
                <w:highlight w:val="none"/>
              </w:rPr>
            </w:pPr>
          </w:p>
        </w:tc>
        <w:tc>
          <w:tcPr>
            <w:tcW w:w="569" w:type="dxa"/>
          </w:tcPr>
          <w:p w14:paraId="74F8963A">
            <w:pPr>
              <w:pStyle w:val="137"/>
              <w:jc w:val="center"/>
              <w:outlineLvl w:val="0"/>
              <w:rPr>
                <w:color w:val="auto"/>
                <w:szCs w:val="21"/>
                <w:highlight w:val="none"/>
              </w:rPr>
            </w:pPr>
          </w:p>
        </w:tc>
      </w:tr>
      <w:tr w14:paraId="097E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793000CA">
            <w:pPr>
              <w:pStyle w:val="137"/>
              <w:jc w:val="center"/>
              <w:outlineLvl w:val="0"/>
              <w:rPr>
                <w:color w:val="auto"/>
                <w:szCs w:val="21"/>
                <w:highlight w:val="none"/>
              </w:rPr>
            </w:pPr>
          </w:p>
        </w:tc>
        <w:tc>
          <w:tcPr>
            <w:tcW w:w="1134" w:type="dxa"/>
          </w:tcPr>
          <w:p w14:paraId="6B5A7E4D">
            <w:pPr>
              <w:pStyle w:val="137"/>
              <w:jc w:val="center"/>
              <w:outlineLvl w:val="0"/>
              <w:rPr>
                <w:color w:val="auto"/>
                <w:szCs w:val="21"/>
                <w:highlight w:val="none"/>
              </w:rPr>
            </w:pPr>
          </w:p>
        </w:tc>
        <w:tc>
          <w:tcPr>
            <w:tcW w:w="1152" w:type="dxa"/>
          </w:tcPr>
          <w:p w14:paraId="227D5F20">
            <w:pPr>
              <w:pStyle w:val="137"/>
              <w:jc w:val="center"/>
              <w:outlineLvl w:val="0"/>
              <w:rPr>
                <w:color w:val="auto"/>
                <w:szCs w:val="21"/>
                <w:highlight w:val="none"/>
              </w:rPr>
            </w:pPr>
          </w:p>
        </w:tc>
        <w:tc>
          <w:tcPr>
            <w:tcW w:w="1258" w:type="dxa"/>
          </w:tcPr>
          <w:p w14:paraId="25CB42D5">
            <w:pPr>
              <w:pStyle w:val="137"/>
              <w:jc w:val="center"/>
              <w:outlineLvl w:val="0"/>
              <w:rPr>
                <w:color w:val="auto"/>
                <w:szCs w:val="21"/>
                <w:highlight w:val="none"/>
              </w:rPr>
            </w:pPr>
          </w:p>
        </w:tc>
        <w:tc>
          <w:tcPr>
            <w:tcW w:w="992" w:type="dxa"/>
          </w:tcPr>
          <w:p w14:paraId="12EFD17A">
            <w:pPr>
              <w:pStyle w:val="137"/>
              <w:jc w:val="center"/>
              <w:outlineLvl w:val="0"/>
              <w:rPr>
                <w:color w:val="auto"/>
                <w:szCs w:val="21"/>
                <w:highlight w:val="none"/>
              </w:rPr>
            </w:pPr>
          </w:p>
        </w:tc>
        <w:tc>
          <w:tcPr>
            <w:tcW w:w="992" w:type="dxa"/>
          </w:tcPr>
          <w:p w14:paraId="3928DD06">
            <w:pPr>
              <w:pStyle w:val="137"/>
              <w:jc w:val="center"/>
              <w:outlineLvl w:val="0"/>
              <w:rPr>
                <w:color w:val="auto"/>
                <w:szCs w:val="21"/>
                <w:highlight w:val="none"/>
              </w:rPr>
            </w:pPr>
          </w:p>
        </w:tc>
        <w:tc>
          <w:tcPr>
            <w:tcW w:w="1560" w:type="dxa"/>
          </w:tcPr>
          <w:p w14:paraId="03D077B1">
            <w:pPr>
              <w:pStyle w:val="137"/>
              <w:jc w:val="center"/>
              <w:outlineLvl w:val="0"/>
              <w:rPr>
                <w:color w:val="auto"/>
                <w:szCs w:val="21"/>
                <w:highlight w:val="none"/>
              </w:rPr>
            </w:pPr>
          </w:p>
        </w:tc>
        <w:tc>
          <w:tcPr>
            <w:tcW w:w="1557" w:type="dxa"/>
          </w:tcPr>
          <w:p w14:paraId="46AD5471">
            <w:pPr>
              <w:pStyle w:val="137"/>
              <w:jc w:val="center"/>
              <w:outlineLvl w:val="0"/>
              <w:rPr>
                <w:color w:val="auto"/>
                <w:szCs w:val="21"/>
                <w:highlight w:val="none"/>
              </w:rPr>
            </w:pPr>
          </w:p>
        </w:tc>
        <w:tc>
          <w:tcPr>
            <w:tcW w:w="569" w:type="dxa"/>
          </w:tcPr>
          <w:p w14:paraId="0D85849C">
            <w:pPr>
              <w:pStyle w:val="137"/>
              <w:jc w:val="center"/>
              <w:outlineLvl w:val="0"/>
              <w:rPr>
                <w:color w:val="auto"/>
                <w:szCs w:val="21"/>
                <w:highlight w:val="none"/>
              </w:rPr>
            </w:pPr>
          </w:p>
        </w:tc>
      </w:tr>
      <w:tr w14:paraId="598F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5B8AE096">
            <w:pPr>
              <w:pStyle w:val="137"/>
              <w:jc w:val="center"/>
              <w:outlineLvl w:val="0"/>
              <w:rPr>
                <w:color w:val="auto"/>
                <w:szCs w:val="21"/>
                <w:highlight w:val="none"/>
              </w:rPr>
            </w:pPr>
          </w:p>
        </w:tc>
        <w:tc>
          <w:tcPr>
            <w:tcW w:w="1134" w:type="dxa"/>
          </w:tcPr>
          <w:p w14:paraId="4A010314">
            <w:pPr>
              <w:pStyle w:val="137"/>
              <w:jc w:val="center"/>
              <w:outlineLvl w:val="0"/>
              <w:rPr>
                <w:color w:val="auto"/>
                <w:szCs w:val="21"/>
                <w:highlight w:val="none"/>
              </w:rPr>
            </w:pPr>
          </w:p>
        </w:tc>
        <w:tc>
          <w:tcPr>
            <w:tcW w:w="1152" w:type="dxa"/>
          </w:tcPr>
          <w:p w14:paraId="0E12A2FD">
            <w:pPr>
              <w:pStyle w:val="137"/>
              <w:jc w:val="center"/>
              <w:outlineLvl w:val="0"/>
              <w:rPr>
                <w:color w:val="auto"/>
                <w:szCs w:val="21"/>
                <w:highlight w:val="none"/>
              </w:rPr>
            </w:pPr>
          </w:p>
        </w:tc>
        <w:tc>
          <w:tcPr>
            <w:tcW w:w="1258" w:type="dxa"/>
          </w:tcPr>
          <w:p w14:paraId="6185CDF3">
            <w:pPr>
              <w:pStyle w:val="137"/>
              <w:jc w:val="center"/>
              <w:outlineLvl w:val="0"/>
              <w:rPr>
                <w:color w:val="auto"/>
                <w:szCs w:val="21"/>
                <w:highlight w:val="none"/>
              </w:rPr>
            </w:pPr>
          </w:p>
        </w:tc>
        <w:tc>
          <w:tcPr>
            <w:tcW w:w="992" w:type="dxa"/>
          </w:tcPr>
          <w:p w14:paraId="089CCAA1">
            <w:pPr>
              <w:pStyle w:val="137"/>
              <w:jc w:val="center"/>
              <w:outlineLvl w:val="0"/>
              <w:rPr>
                <w:color w:val="auto"/>
                <w:szCs w:val="21"/>
                <w:highlight w:val="none"/>
              </w:rPr>
            </w:pPr>
          </w:p>
        </w:tc>
        <w:tc>
          <w:tcPr>
            <w:tcW w:w="992" w:type="dxa"/>
          </w:tcPr>
          <w:p w14:paraId="6E7C4EF8">
            <w:pPr>
              <w:pStyle w:val="137"/>
              <w:jc w:val="center"/>
              <w:outlineLvl w:val="0"/>
              <w:rPr>
                <w:color w:val="auto"/>
                <w:szCs w:val="21"/>
                <w:highlight w:val="none"/>
              </w:rPr>
            </w:pPr>
          </w:p>
        </w:tc>
        <w:tc>
          <w:tcPr>
            <w:tcW w:w="1560" w:type="dxa"/>
          </w:tcPr>
          <w:p w14:paraId="4D386068">
            <w:pPr>
              <w:pStyle w:val="137"/>
              <w:jc w:val="center"/>
              <w:outlineLvl w:val="0"/>
              <w:rPr>
                <w:color w:val="auto"/>
                <w:szCs w:val="21"/>
                <w:highlight w:val="none"/>
              </w:rPr>
            </w:pPr>
          </w:p>
        </w:tc>
        <w:tc>
          <w:tcPr>
            <w:tcW w:w="1557" w:type="dxa"/>
          </w:tcPr>
          <w:p w14:paraId="5558092C">
            <w:pPr>
              <w:pStyle w:val="137"/>
              <w:jc w:val="center"/>
              <w:outlineLvl w:val="0"/>
              <w:rPr>
                <w:color w:val="auto"/>
                <w:szCs w:val="21"/>
                <w:highlight w:val="none"/>
              </w:rPr>
            </w:pPr>
          </w:p>
        </w:tc>
        <w:tc>
          <w:tcPr>
            <w:tcW w:w="569" w:type="dxa"/>
          </w:tcPr>
          <w:p w14:paraId="654AE0C3">
            <w:pPr>
              <w:pStyle w:val="137"/>
              <w:jc w:val="center"/>
              <w:outlineLvl w:val="0"/>
              <w:rPr>
                <w:color w:val="auto"/>
                <w:szCs w:val="21"/>
                <w:highlight w:val="none"/>
              </w:rPr>
            </w:pPr>
          </w:p>
        </w:tc>
      </w:tr>
      <w:tr w14:paraId="3306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28A79B67">
            <w:pPr>
              <w:pStyle w:val="137"/>
              <w:jc w:val="center"/>
              <w:outlineLvl w:val="0"/>
              <w:rPr>
                <w:color w:val="auto"/>
                <w:szCs w:val="21"/>
                <w:highlight w:val="none"/>
              </w:rPr>
            </w:pPr>
          </w:p>
        </w:tc>
        <w:tc>
          <w:tcPr>
            <w:tcW w:w="1134" w:type="dxa"/>
          </w:tcPr>
          <w:p w14:paraId="0B28F713">
            <w:pPr>
              <w:pStyle w:val="137"/>
              <w:jc w:val="center"/>
              <w:outlineLvl w:val="0"/>
              <w:rPr>
                <w:color w:val="auto"/>
                <w:szCs w:val="21"/>
                <w:highlight w:val="none"/>
              </w:rPr>
            </w:pPr>
          </w:p>
        </w:tc>
        <w:tc>
          <w:tcPr>
            <w:tcW w:w="1152" w:type="dxa"/>
          </w:tcPr>
          <w:p w14:paraId="551DA0DA">
            <w:pPr>
              <w:pStyle w:val="137"/>
              <w:jc w:val="center"/>
              <w:outlineLvl w:val="0"/>
              <w:rPr>
                <w:color w:val="auto"/>
                <w:szCs w:val="21"/>
                <w:highlight w:val="none"/>
              </w:rPr>
            </w:pPr>
          </w:p>
        </w:tc>
        <w:tc>
          <w:tcPr>
            <w:tcW w:w="1258" w:type="dxa"/>
          </w:tcPr>
          <w:p w14:paraId="3A995996">
            <w:pPr>
              <w:pStyle w:val="137"/>
              <w:jc w:val="center"/>
              <w:outlineLvl w:val="0"/>
              <w:rPr>
                <w:color w:val="auto"/>
                <w:szCs w:val="21"/>
                <w:highlight w:val="none"/>
              </w:rPr>
            </w:pPr>
          </w:p>
        </w:tc>
        <w:tc>
          <w:tcPr>
            <w:tcW w:w="992" w:type="dxa"/>
          </w:tcPr>
          <w:p w14:paraId="53C3D3AD">
            <w:pPr>
              <w:pStyle w:val="137"/>
              <w:jc w:val="center"/>
              <w:outlineLvl w:val="0"/>
              <w:rPr>
                <w:color w:val="auto"/>
                <w:szCs w:val="21"/>
                <w:highlight w:val="none"/>
              </w:rPr>
            </w:pPr>
          </w:p>
        </w:tc>
        <w:tc>
          <w:tcPr>
            <w:tcW w:w="992" w:type="dxa"/>
          </w:tcPr>
          <w:p w14:paraId="5A5F4741">
            <w:pPr>
              <w:pStyle w:val="137"/>
              <w:jc w:val="center"/>
              <w:outlineLvl w:val="0"/>
              <w:rPr>
                <w:color w:val="auto"/>
                <w:szCs w:val="21"/>
                <w:highlight w:val="none"/>
              </w:rPr>
            </w:pPr>
          </w:p>
        </w:tc>
        <w:tc>
          <w:tcPr>
            <w:tcW w:w="1560" w:type="dxa"/>
          </w:tcPr>
          <w:p w14:paraId="0B3B2267">
            <w:pPr>
              <w:pStyle w:val="137"/>
              <w:jc w:val="center"/>
              <w:outlineLvl w:val="0"/>
              <w:rPr>
                <w:color w:val="auto"/>
                <w:szCs w:val="21"/>
                <w:highlight w:val="none"/>
              </w:rPr>
            </w:pPr>
          </w:p>
        </w:tc>
        <w:tc>
          <w:tcPr>
            <w:tcW w:w="1557" w:type="dxa"/>
          </w:tcPr>
          <w:p w14:paraId="3DF67071">
            <w:pPr>
              <w:pStyle w:val="137"/>
              <w:jc w:val="center"/>
              <w:outlineLvl w:val="0"/>
              <w:rPr>
                <w:color w:val="auto"/>
                <w:szCs w:val="21"/>
                <w:highlight w:val="none"/>
              </w:rPr>
            </w:pPr>
          </w:p>
        </w:tc>
        <w:tc>
          <w:tcPr>
            <w:tcW w:w="569" w:type="dxa"/>
          </w:tcPr>
          <w:p w14:paraId="32167CE3">
            <w:pPr>
              <w:pStyle w:val="137"/>
              <w:jc w:val="center"/>
              <w:outlineLvl w:val="0"/>
              <w:rPr>
                <w:color w:val="auto"/>
                <w:szCs w:val="21"/>
                <w:highlight w:val="none"/>
              </w:rPr>
            </w:pPr>
          </w:p>
        </w:tc>
      </w:tr>
      <w:tr w14:paraId="6DDC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29FFC863">
            <w:pPr>
              <w:pStyle w:val="137"/>
              <w:jc w:val="center"/>
              <w:outlineLvl w:val="0"/>
              <w:rPr>
                <w:color w:val="auto"/>
                <w:szCs w:val="21"/>
                <w:highlight w:val="none"/>
              </w:rPr>
            </w:pPr>
          </w:p>
        </w:tc>
        <w:tc>
          <w:tcPr>
            <w:tcW w:w="1134" w:type="dxa"/>
          </w:tcPr>
          <w:p w14:paraId="71C943A2">
            <w:pPr>
              <w:pStyle w:val="137"/>
              <w:jc w:val="center"/>
              <w:outlineLvl w:val="0"/>
              <w:rPr>
                <w:color w:val="auto"/>
                <w:szCs w:val="21"/>
                <w:highlight w:val="none"/>
              </w:rPr>
            </w:pPr>
          </w:p>
        </w:tc>
        <w:tc>
          <w:tcPr>
            <w:tcW w:w="1152" w:type="dxa"/>
          </w:tcPr>
          <w:p w14:paraId="28FF5F22">
            <w:pPr>
              <w:pStyle w:val="137"/>
              <w:jc w:val="center"/>
              <w:outlineLvl w:val="0"/>
              <w:rPr>
                <w:color w:val="auto"/>
                <w:szCs w:val="21"/>
                <w:highlight w:val="none"/>
              </w:rPr>
            </w:pPr>
          </w:p>
        </w:tc>
        <w:tc>
          <w:tcPr>
            <w:tcW w:w="1258" w:type="dxa"/>
          </w:tcPr>
          <w:p w14:paraId="7DDF11F4">
            <w:pPr>
              <w:pStyle w:val="137"/>
              <w:jc w:val="center"/>
              <w:outlineLvl w:val="0"/>
              <w:rPr>
                <w:color w:val="auto"/>
                <w:szCs w:val="21"/>
                <w:highlight w:val="none"/>
              </w:rPr>
            </w:pPr>
          </w:p>
        </w:tc>
        <w:tc>
          <w:tcPr>
            <w:tcW w:w="992" w:type="dxa"/>
          </w:tcPr>
          <w:p w14:paraId="2432776A">
            <w:pPr>
              <w:pStyle w:val="137"/>
              <w:jc w:val="center"/>
              <w:outlineLvl w:val="0"/>
              <w:rPr>
                <w:color w:val="auto"/>
                <w:szCs w:val="21"/>
                <w:highlight w:val="none"/>
              </w:rPr>
            </w:pPr>
          </w:p>
        </w:tc>
        <w:tc>
          <w:tcPr>
            <w:tcW w:w="992" w:type="dxa"/>
          </w:tcPr>
          <w:p w14:paraId="52B1057C">
            <w:pPr>
              <w:pStyle w:val="137"/>
              <w:jc w:val="center"/>
              <w:outlineLvl w:val="0"/>
              <w:rPr>
                <w:color w:val="auto"/>
                <w:szCs w:val="21"/>
                <w:highlight w:val="none"/>
              </w:rPr>
            </w:pPr>
          </w:p>
        </w:tc>
        <w:tc>
          <w:tcPr>
            <w:tcW w:w="1560" w:type="dxa"/>
          </w:tcPr>
          <w:p w14:paraId="2C45E761">
            <w:pPr>
              <w:pStyle w:val="137"/>
              <w:jc w:val="center"/>
              <w:outlineLvl w:val="0"/>
              <w:rPr>
                <w:color w:val="auto"/>
                <w:szCs w:val="21"/>
                <w:highlight w:val="none"/>
              </w:rPr>
            </w:pPr>
          </w:p>
        </w:tc>
        <w:tc>
          <w:tcPr>
            <w:tcW w:w="1557" w:type="dxa"/>
          </w:tcPr>
          <w:p w14:paraId="29AE88E2">
            <w:pPr>
              <w:pStyle w:val="137"/>
              <w:jc w:val="center"/>
              <w:outlineLvl w:val="0"/>
              <w:rPr>
                <w:color w:val="auto"/>
                <w:szCs w:val="21"/>
                <w:highlight w:val="none"/>
              </w:rPr>
            </w:pPr>
          </w:p>
        </w:tc>
        <w:tc>
          <w:tcPr>
            <w:tcW w:w="569" w:type="dxa"/>
          </w:tcPr>
          <w:p w14:paraId="39D984D3">
            <w:pPr>
              <w:pStyle w:val="137"/>
              <w:jc w:val="center"/>
              <w:outlineLvl w:val="0"/>
              <w:rPr>
                <w:color w:val="auto"/>
                <w:szCs w:val="21"/>
                <w:highlight w:val="none"/>
              </w:rPr>
            </w:pPr>
          </w:p>
        </w:tc>
      </w:tr>
    </w:tbl>
    <w:p w14:paraId="7F6CD012">
      <w:pPr>
        <w:spacing w:line="360" w:lineRule="auto"/>
        <w:ind w:firstLine="420" w:firstLineChars="200"/>
        <w:rPr>
          <w:color w:val="auto"/>
          <w:szCs w:val="21"/>
          <w:highlight w:val="none"/>
        </w:rPr>
      </w:pPr>
    </w:p>
    <w:p w14:paraId="4D7C3866">
      <w:pPr>
        <w:spacing w:line="360" w:lineRule="auto"/>
        <w:ind w:firstLine="422" w:firstLineChars="200"/>
        <w:rPr>
          <w:rFonts w:eastAsia="楷体_GB2312" w:cs="楷体_GB2312"/>
          <w:b/>
          <w:bCs/>
          <w:color w:val="auto"/>
          <w:highlight w:val="none"/>
        </w:rPr>
      </w:pPr>
      <w:r>
        <w:rPr>
          <w:rFonts w:hint="eastAsia" w:eastAsia="楷体_GB2312" w:cs="楷体_GB2312"/>
          <w:b/>
          <w:bCs/>
          <w:color w:val="auto"/>
          <w:highlight w:val="none"/>
        </w:rPr>
        <w:t>备注：1.相关信息应与“桂建云”系统信息一致，</w:t>
      </w:r>
      <w:r>
        <w:rPr>
          <w:rFonts w:eastAsia="楷体_GB2312" w:cs="楷体_GB2312"/>
          <w:b/>
          <w:bCs/>
          <w:color w:val="auto"/>
          <w:highlight w:val="none"/>
        </w:rPr>
        <w:t>否则</w:t>
      </w:r>
      <w:r>
        <w:rPr>
          <w:rFonts w:hint="eastAsia" w:eastAsia="楷体_GB2312" w:cs="楷体_GB2312"/>
          <w:b/>
          <w:bCs/>
          <w:color w:val="auto"/>
          <w:highlight w:val="none"/>
        </w:rPr>
        <w:t>评审时不予承认。</w:t>
      </w:r>
    </w:p>
    <w:p w14:paraId="7D8B0950">
      <w:pPr>
        <w:spacing w:line="360" w:lineRule="auto"/>
        <w:ind w:firstLine="422" w:firstLineChars="200"/>
        <w:rPr>
          <w:rFonts w:eastAsia="楷体_GB2312" w:cs="楷体_GB2312"/>
          <w:b/>
          <w:bCs/>
          <w:color w:val="auto"/>
          <w:highlight w:val="none"/>
        </w:rPr>
      </w:pPr>
      <w:r>
        <w:rPr>
          <w:rFonts w:hint="eastAsia" w:eastAsia="楷体_GB2312" w:cs="楷体_GB2312"/>
          <w:b/>
          <w:bCs/>
          <w:color w:val="auto"/>
          <w:highlight w:val="none"/>
        </w:rPr>
        <w:t>2.</w:t>
      </w:r>
      <w:r>
        <w:rPr>
          <w:rFonts w:hint="eastAsia" w:ascii="楷体" w:hAnsi="楷体" w:eastAsia="楷体" w:cs="宋体"/>
          <w:b/>
          <w:color w:val="auto"/>
          <w:highlight w:val="none"/>
        </w:rPr>
        <w:t>注册城乡规划师，咨询工程师，注册土木工程师（道路）等未在住建部注册或者未实施注册制度的资格证书，在人员信息中备注一栏填写该人员为某专业注册人员，并在投标人认为的其他材料内补充上传电子证书，</w:t>
      </w:r>
      <w:r>
        <w:rPr>
          <w:rFonts w:ascii="楷体" w:hAnsi="楷体" w:eastAsia="楷体" w:cs="宋体"/>
          <w:b/>
          <w:color w:val="auto"/>
          <w:highlight w:val="none"/>
          <w:lang w:val="en"/>
        </w:rPr>
        <w:t>非电子证书，均不予以认可</w:t>
      </w:r>
      <w:r>
        <w:rPr>
          <w:rFonts w:hint="eastAsia" w:ascii="楷体" w:hAnsi="楷体" w:eastAsia="楷体" w:cs="宋体"/>
          <w:b/>
          <w:color w:val="auto"/>
          <w:highlight w:val="none"/>
        </w:rPr>
        <w:t>。</w:t>
      </w:r>
    </w:p>
    <w:p w14:paraId="3ADFDFCB">
      <w:pPr>
        <w:spacing w:line="360" w:lineRule="auto"/>
        <w:ind w:right="420"/>
        <w:jc w:val="center"/>
        <w:rPr>
          <w:rFonts w:ascii="宋体" w:hAnsi="宋体"/>
          <w:b/>
          <w:color w:val="auto"/>
          <w:sz w:val="28"/>
          <w:szCs w:val="28"/>
          <w:highlight w:val="none"/>
        </w:rPr>
      </w:pPr>
      <w:r>
        <w:rPr>
          <w:rFonts w:ascii="宋体" w:hAnsi="宋体"/>
          <w:b/>
          <w:color w:val="auto"/>
          <w:sz w:val="28"/>
          <w:szCs w:val="28"/>
          <w:highlight w:val="none"/>
        </w:rPr>
        <w:t>第</w:t>
      </w:r>
      <w:r>
        <w:rPr>
          <w:rFonts w:hint="eastAsia" w:ascii="宋体" w:hAnsi="宋体"/>
          <w:b/>
          <w:color w:val="auto"/>
          <w:sz w:val="28"/>
          <w:szCs w:val="28"/>
          <w:highlight w:val="none"/>
        </w:rPr>
        <w:t>二</w:t>
      </w:r>
      <w:r>
        <w:rPr>
          <w:rFonts w:ascii="宋体" w:hAnsi="宋体"/>
          <w:b/>
          <w:color w:val="auto"/>
          <w:sz w:val="28"/>
          <w:szCs w:val="28"/>
          <w:highlight w:val="none"/>
        </w:rPr>
        <w:t>中标候选人</w:t>
      </w:r>
      <w:r>
        <w:rPr>
          <w:rFonts w:hint="eastAsia" w:ascii="宋体" w:hAnsi="宋体"/>
          <w:b/>
          <w:color w:val="auto"/>
          <w:sz w:val="28"/>
          <w:szCs w:val="28"/>
          <w:highlight w:val="none"/>
        </w:rPr>
        <w:t xml:space="preserve"> </w:t>
      </w:r>
      <w:r>
        <w:rPr>
          <w:rFonts w:ascii="宋体" w:hAnsi="宋体"/>
          <w:b/>
          <w:color w:val="auto"/>
          <w:sz w:val="28"/>
          <w:szCs w:val="28"/>
          <w:highlight w:val="none"/>
        </w:rPr>
        <w:t>项目组人员配备情况表</w:t>
      </w:r>
    </w:p>
    <w:tbl>
      <w:tblPr>
        <w:tblStyle w:val="40"/>
        <w:tblW w:w="9889" w:type="dxa"/>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34"/>
        <w:gridCol w:w="1152"/>
        <w:gridCol w:w="1258"/>
        <w:gridCol w:w="992"/>
        <w:gridCol w:w="992"/>
        <w:gridCol w:w="1560"/>
        <w:gridCol w:w="1557"/>
        <w:gridCol w:w="569"/>
      </w:tblGrid>
      <w:tr w14:paraId="03F8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06DC97F">
            <w:pPr>
              <w:pStyle w:val="137"/>
              <w:jc w:val="center"/>
              <w:outlineLvl w:val="0"/>
              <w:rPr>
                <w:b/>
                <w:color w:val="auto"/>
                <w:szCs w:val="21"/>
                <w:highlight w:val="none"/>
              </w:rPr>
            </w:pPr>
            <w:r>
              <w:rPr>
                <w:b/>
                <w:color w:val="auto"/>
                <w:szCs w:val="21"/>
                <w:highlight w:val="none"/>
              </w:rPr>
              <w:t>序号</w:t>
            </w:r>
          </w:p>
        </w:tc>
        <w:tc>
          <w:tcPr>
            <w:tcW w:w="1134" w:type="dxa"/>
            <w:vAlign w:val="center"/>
          </w:tcPr>
          <w:p w14:paraId="7E894B76">
            <w:pPr>
              <w:pStyle w:val="137"/>
              <w:jc w:val="center"/>
              <w:outlineLvl w:val="0"/>
              <w:rPr>
                <w:b/>
                <w:color w:val="auto"/>
                <w:szCs w:val="21"/>
                <w:highlight w:val="none"/>
              </w:rPr>
            </w:pPr>
            <w:r>
              <w:rPr>
                <w:rFonts w:hint="eastAsia"/>
                <w:b/>
                <w:color w:val="auto"/>
                <w:szCs w:val="21"/>
                <w:highlight w:val="none"/>
              </w:rPr>
              <w:t>姓名</w:t>
            </w:r>
          </w:p>
        </w:tc>
        <w:tc>
          <w:tcPr>
            <w:tcW w:w="1152" w:type="dxa"/>
            <w:vAlign w:val="center"/>
          </w:tcPr>
          <w:p w14:paraId="5A5502AE">
            <w:pPr>
              <w:pStyle w:val="137"/>
              <w:jc w:val="center"/>
              <w:outlineLvl w:val="0"/>
              <w:rPr>
                <w:b/>
                <w:color w:val="auto"/>
                <w:szCs w:val="21"/>
                <w:highlight w:val="none"/>
              </w:rPr>
            </w:pPr>
            <w:r>
              <w:rPr>
                <w:rFonts w:hint="eastAsia"/>
                <w:b/>
                <w:color w:val="auto"/>
                <w:szCs w:val="21"/>
                <w:highlight w:val="none"/>
              </w:rPr>
              <w:t>身份证</w:t>
            </w:r>
          </w:p>
          <w:p w14:paraId="2B9D7E0B">
            <w:pPr>
              <w:pStyle w:val="137"/>
              <w:jc w:val="center"/>
              <w:outlineLvl w:val="0"/>
              <w:rPr>
                <w:b/>
                <w:color w:val="auto"/>
                <w:szCs w:val="21"/>
                <w:highlight w:val="none"/>
              </w:rPr>
            </w:pPr>
            <w:r>
              <w:rPr>
                <w:rFonts w:hint="eastAsia"/>
                <w:b/>
                <w:color w:val="auto"/>
                <w:szCs w:val="21"/>
                <w:highlight w:val="none"/>
              </w:rPr>
              <w:t>号码</w:t>
            </w:r>
          </w:p>
        </w:tc>
        <w:tc>
          <w:tcPr>
            <w:tcW w:w="1258" w:type="dxa"/>
            <w:vAlign w:val="center"/>
          </w:tcPr>
          <w:p w14:paraId="1F99C02B">
            <w:pPr>
              <w:pStyle w:val="137"/>
              <w:jc w:val="center"/>
              <w:outlineLvl w:val="0"/>
              <w:rPr>
                <w:b/>
                <w:color w:val="auto"/>
                <w:szCs w:val="21"/>
                <w:highlight w:val="none"/>
              </w:rPr>
            </w:pPr>
            <w:r>
              <w:rPr>
                <w:b/>
                <w:color w:val="auto"/>
                <w:szCs w:val="21"/>
                <w:highlight w:val="none"/>
              </w:rPr>
              <w:t>拟在本项目任职</w:t>
            </w:r>
          </w:p>
        </w:tc>
        <w:tc>
          <w:tcPr>
            <w:tcW w:w="992" w:type="dxa"/>
            <w:vAlign w:val="center"/>
          </w:tcPr>
          <w:p w14:paraId="57753129">
            <w:pPr>
              <w:pStyle w:val="137"/>
              <w:jc w:val="center"/>
              <w:outlineLvl w:val="0"/>
              <w:rPr>
                <w:b/>
                <w:color w:val="auto"/>
                <w:szCs w:val="21"/>
                <w:highlight w:val="none"/>
              </w:rPr>
            </w:pPr>
            <w:r>
              <w:rPr>
                <w:b/>
                <w:color w:val="auto"/>
                <w:szCs w:val="21"/>
                <w:highlight w:val="none"/>
              </w:rPr>
              <w:t>职</w:t>
            </w:r>
            <w:r>
              <w:rPr>
                <w:rFonts w:hint="eastAsia"/>
                <w:b/>
                <w:color w:val="auto"/>
                <w:szCs w:val="21"/>
                <w:highlight w:val="none"/>
              </w:rPr>
              <w:t xml:space="preserve"> </w:t>
            </w:r>
            <w:r>
              <w:rPr>
                <w:b/>
                <w:color w:val="auto"/>
                <w:szCs w:val="21"/>
                <w:highlight w:val="none"/>
              </w:rPr>
              <w:t>称</w:t>
            </w:r>
          </w:p>
        </w:tc>
        <w:tc>
          <w:tcPr>
            <w:tcW w:w="992" w:type="dxa"/>
            <w:vAlign w:val="center"/>
          </w:tcPr>
          <w:p w14:paraId="34702502">
            <w:pPr>
              <w:pStyle w:val="137"/>
              <w:jc w:val="center"/>
              <w:outlineLvl w:val="0"/>
              <w:rPr>
                <w:b/>
                <w:color w:val="auto"/>
                <w:szCs w:val="21"/>
                <w:highlight w:val="none"/>
              </w:rPr>
            </w:pPr>
            <w:r>
              <w:rPr>
                <w:b/>
                <w:color w:val="auto"/>
                <w:szCs w:val="21"/>
                <w:highlight w:val="none"/>
              </w:rPr>
              <w:t>专</w:t>
            </w:r>
            <w:r>
              <w:rPr>
                <w:rFonts w:hint="eastAsia"/>
                <w:b/>
                <w:color w:val="auto"/>
                <w:szCs w:val="21"/>
                <w:highlight w:val="none"/>
              </w:rPr>
              <w:t xml:space="preserve"> </w:t>
            </w:r>
            <w:r>
              <w:rPr>
                <w:b/>
                <w:color w:val="auto"/>
                <w:szCs w:val="21"/>
                <w:highlight w:val="none"/>
              </w:rPr>
              <w:t>业</w:t>
            </w:r>
          </w:p>
        </w:tc>
        <w:tc>
          <w:tcPr>
            <w:tcW w:w="1560" w:type="dxa"/>
            <w:vAlign w:val="center"/>
          </w:tcPr>
          <w:p w14:paraId="301CCA44">
            <w:pPr>
              <w:pStyle w:val="137"/>
              <w:jc w:val="center"/>
              <w:outlineLvl w:val="0"/>
              <w:rPr>
                <w:b/>
                <w:color w:val="auto"/>
                <w:szCs w:val="21"/>
                <w:highlight w:val="none"/>
              </w:rPr>
            </w:pPr>
            <w:r>
              <w:rPr>
                <w:b/>
                <w:color w:val="auto"/>
                <w:szCs w:val="21"/>
                <w:highlight w:val="none"/>
              </w:rPr>
              <w:t>执业</w:t>
            </w:r>
            <w:r>
              <w:rPr>
                <w:rFonts w:hint="eastAsia"/>
                <w:b/>
                <w:color w:val="auto"/>
                <w:szCs w:val="21"/>
                <w:highlight w:val="none"/>
              </w:rPr>
              <w:t>注册</w:t>
            </w:r>
            <w:r>
              <w:rPr>
                <w:b/>
                <w:color w:val="auto"/>
                <w:szCs w:val="21"/>
                <w:highlight w:val="none"/>
              </w:rPr>
              <w:t>资格</w:t>
            </w:r>
            <w:r>
              <w:rPr>
                <w:rFonts w:hint="eastAsia"/>
                <w:b/>
                <w:color w:val="auto"/>
                <w:szCs w:val="21"/>
                <w:highlight w:val="none"/>
              </w:rPr>
              <w:t>（如有）</w:t>
            </w:r>
          </w:p>
        </w:tc>
        <w:tc>
          <w:tcPr>
            <w:tcW w:w="1557" w:type="dxa"/>
            <w:vAlign w:val="center"/>
          </w:tcPr>
          <w:p w14:paraId="1452F203">
            <w:pPr>
              <w:pStyle w:val="137"/>
              <w:jc w:val="center"/>
              <w:outlineLvl w:val="0"/>
              <w:rPr>
                <w:b/>
                <w:color w:val="auto"/>
                <w:szCs w:val="21"/>
                <w:highlight w:val="none"/>
              </w:rPr>
            </w:pPr>
            <w:r>
              <w:rPr>
                <w:b/>
                <w:color w:val="auto"/>
                <w:szCs w:val="21"/>
                <w:highlight w:val="none"/>
              </w:rPr>
              <w:t>证书编号</w:t>
            </w:r>
          </w:p>
        </w:tc>
        <w:tc>
          <w:tcPr>
            <w:tcW w:w="569" w:type="dxa"/>
            <w:vAlign w:val="center"/>
          </w:tcPr>
          <w:p w14:paraId="13B0D391">
            <w:pPr>
              <w:pStyle w:val="137"/>
              <w:jc w:val="center"/>
              <w:outlineLvl w:val="0"/>
              <w:rPr>
                <w:b/>
                <w:color w:val="auto"/>
                <w:szCs w:val="21"/>
                <w:highlight w:val="none"/>
              </w:rPr>
            </w:pPr>
            <w:r>
              <w:rPr>
                <w:b/>
                <w:color w:val="auto"/>
                <w:szCs w:val="21"/>
                <w:highlight w:val="none"/>
              </w:rPr>
              <w:t>备注</w:t>
            </w:r>
          </w:p>
        </w:tc>
      </w:tr>
      <w:tr w14:paraId="2C2C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3C8214DE">
            <w:pPr>
              <w:pStyle w:val="137"/>
              <w:jc w:val="center"/>
              <w:outlineLvl w:val="0"/>
              <w:rPr>
                <w:color w:val="auto"/>
                <w:szCs w:val="21"/>
                <w:highlight w:val="none"/>
              </w:rPr>
            </w:pPr>
          </w:p>
        </w:tc>
        <w:tc>
          <w:tcPr>
            <w:tcW w:w="1134" w:type="dxa"/>
          </w:tcPr>
          <w:p w14:paraId="1247ED2B">
            <w:pPr>
              <w:pStyle w:val="137"/>
              <w:jc w:val="center"/>
              <w:outlineLvl w:val="0"/>
              <w:rPr>
                <w:color w:val="auto"/>
                <w:szCs w:val="21"/>
                <w:highlight w:val="none"/>
              </w:rPr>
            </w:pPr>
          </w:p>
        </w:tc>
        <w:tc>
          <w:tcPr>
            <w:tcW w:w="1152" w:type="dxa"/>
          </w:tcPr>
          <w:p w14:paraId="46E09AD3">
            <w:pPr>
              <w:pStyle w:val="137"/>
              <w:jc w:val="center"/>
              <w:outlineLvl w:val="0"/>
              <w:rPr>
                <w:color w:val="auto"/>
                <w:szCs w:val="21"/>
                <w:highlight w:val="none"/>
              </w:rPr>
            </w:pPr>
          </w:p>
        </w:tc>
        <w:tc>
          <w:tcPr>
            <w:tcW w:w="1258" w:type="dxa"/>
          </w:tcPr>
          <w:p w14:paraId="67AEB1DE">
            <w:pPr>
              <w:pStyle w:val="137"/>
              <w:jc w:val="center"/>
              <w:outlineLvl w:val="0"/>
              <w:rPr>
                <w:color w:val="auto"/>
                <w:szCs w:val="21"/>
                <w:highlight w:val="none"/>
              </w:rPr>
            </w:pPr>
          </w:p>
        </w:tc>
        <w:tc>
          <w:tcPr>
            <w:tcW w:w="992" w:type="dxa"/>
          </w:tcPr>
          <w:p w14:paraId="34CBEE58">
            <w:pPr>
              <w:pStyle w:val="137"/>
              <w:jc w:val="center"/>
              <w:outlineLvl w:val="0"/>
              <w:rPr>
                <w:color w:val="auto"/>
                <w:szCs w:val="21"/>
                <w:highlight w:val="none"/>
              </w:rPr>
            </w:pPr>
          </w:p>
        </w:tc>
        <w:tc>
          <w:tcPr>
            <w:tcW w:w="992" w:type="dxa"/>
          </w:tcPr>
          <w:p w14:paraId="2C661331">
            <w:pPr>
              <w:pStyle w:val="137"/>
              <w:jc w:val="center"/>
              <w:outlineLvl w:val="0"/>
              <w:rPr>
                <w:color w:val="auto"/>
                <w:szCs w:val="21"/>
                <w:highlight w:val="none"/>
              </w:rPr>
            </w:pPr>
          </w:p>
        </w:tc>
        <w:tc>
          <w:tcPr>
            <w:tcW w:w="1560" w:type="dxa"/>
          </w:tcPr>
          <w:p w14:paraId="7428AC56">
            <w:pPr>
              <w:pStyle w:val="137"/>
              <w:jc w:val="center"/>
              <w:outlineLvl w:val="0"/>
              <w:rPr>
                <w:color w:val="auto"/>
                <w:szCs w:val="21"/>
                <w:highlight w:val="none"/>
              </w:rPr>
            </w:pPr>
          </w:p>
        </w:tc>
        <w:tc>
          <w:tcPr>
            <w:tcW w:w="1557" w:type="dxa"/>
          </w:tcPr>
          <w:p w14:paraId="58F38233">
            <w:pPr>
              <w:pStyle w:val="137"/>
              <w:jc w:val="center"/>
              <w:outlineLvl w:val="0"/>
              <w:rPr>
                <w:color w:val="auto"/>
                <w:szCs w:val="21"/>
                <w:highlight w:val="none"/>
              </w:rPr>
            </w:pPr>
          </w:p>
        </w:tc>
        <w:tc>
          <w:tcPr>
            <w:tcW w:w="569" w:type="dxa"/>
          </w:tcPr>
          <w:p w14:paraId="33A97C00">
            <w:pPr>
              <w:pStyle w:val="137"/>
              <w:jc w:val="center"/>
              <w:outlineLvl w:val="0"/>
              <w:rPr>
                <w:color w:val="auto"/>
                <w:szCs w:val="21"/>
                <w:highlight w:val="none"/>
              </w:rPr>
            </w:pPr>
          </w:p>
        </w:tc>
      </w:tr>
      <w:tr w14:paraId="5DAA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46BC4D75">
            <w:pPr>
              <w:pStyle w:val="137"/>
              <w:jc w:val="center"/>
              <w:outlineLvl w:val="0"/>
              <w:rPr>
                <w:color w:val="auto"/>
                <w:szCs w:val="21"/>
                <w:highlight w:val="none"/>
              </w:rPr>
            </w:pPr>
          </w:p>
        </w:tc>
        <w:tc>
          <w:tcPr>
            <w:tcW w:w="1134" w:type="dxa"/>
          </w:tcPr>
          <w:p w14:paraId="67E7E71E">
            <w:pPr>
              <w:pStyle w:val="137"/>
              <w:jc w:val="center"/>
              <w:outlineLvl w:val="0"/>
              <w:rPr>
                <w:color w:val="auto"/>
                <w:szCs w:val="21"/>
                <w:highlight w:val="none"/>
              </w:rPr>
            </w:pPr>
          </w:p>
        </w:tc>
        <w:tc>
          <w:tcPr>
            <w:tcW w:w="1152" w:type="dxa"/>
          </w:tcPr>
          <w:p w14:paraId="3AD61148">
            <w:pPr>
              <w:pStyle w:val="137"/>
              <w:jc w:val="center"/>
              <w:outlineLvl w:val="0"/>
              <w:rPr>
                <w:color w:val="auto"/>
                <w:szCs w:val="21"/>
                <w:highlight w:val="none"/>
              </w:rPr>
            </w:pPr>
          </w:p>
        </w:tc>
        <w:tc>
          <w:tcPr>
            <w:tcW w:w="1258" w:type="dxa"/>
          </w:tcPr>
          <w:p w14:paraId="50D2564F">
            <w:pPr>
              <w:pStyle w:val="137"/>
              <w:jc w:val="center"/>
              <w:outlineLvl w:val="0"/>
              <w:rPr>
                <w:color w:val="auto"/>
                <w:szCs w:val="21"/>
                <w:highlight w:val="none"/>
              </w:rPr>
            </w:pPr>
          </w:p>
        </w:tc>
        <w:tc>
          <w:tcPr>
            <w:tcW w:w="992" w:type="dxa"/>
          </w:tcPr>
          <w:p w14:paraId="21225DD5">
            <w:pPr>
              <w:pStyle w:val="137"/>
              <w:jc w:val="center"/>
              <w:outlineLvl w:val="0"/>
              <w:rPr>
                <w:color w:val="auto"/>
                <w:szCs w:val="21"/>
                <w:highlight w:val="none"/>
              </w:rPr>
            </w:pPr>
          </w:p>
        </w:tc>
        <w:tc>
          <w:tcPr>
            <w:tcW w:w="992" w:type="dxa"/>
          </w:tcPr>
          <w:p w14:paraId="799F5CA0">
            <w:pPr>
              <w:pStyle w:val="137"/>
              <w:jc w:val="center"/>
              <w:outlineLvl w:val="0"/>
              <w:rPr>
                <w:color w:val="auto"/>
                <w:szCs w:val="21"/>
                <w:highlight w:val="none"/>
              </w:rPr>
            </w:pPr>
          </w:p>
        </w:tc>
        <w:tc>
          <w:tcPr>
            <w:tcW w:w="1560" w:type="dxa"/>
          </w:tcPr>
          <w:p w14:paraId="13A7DCCF">
            <w:pPr>
              <w:pStyle w:val="137"/>
              <w:jc w:val="center"/>
              <w:outlineLvl w:val="0"/>
              <w:rPr>
                <w:color w:val="auto"/>
                <w:szCs w:val="21"/>
                <w:highlight w:val="none"/>
              </w:rPr>
            </w:pPr>
          </w:p>
        </w:tc>
        <w:tc>
          <w:tcPr>
            <w:tcW w:w="1557" w:type="dxa"/>
          </w:tcPr>
          <w:p w14:paraId="490F8D2F">
            <w:pPr>
              <w:pStyle w:val="137"/>
              <w:jc w:val="center"/>
              <w:outlineLvl w:val="0"/>
              <w:rPr>
                <w:color w:val="auto"/>
                <w:szCs w:val="21"/>
                <w:highlight w:val="none"/>
              </w:rPr>
            </w:pPr>
          </w:p>
        </w:tc>
        <w:tc>
          <w:tcPr>
            <w:tcW w:w="569" w:type="dxa"/>
          </w:tcPr>
          <w:p w14:paraId="62AC686F">
            <w:pPr>
              <w:pStyle w:val="137"/>
              <w:jc w:val="center"/>
              <w:outlineLvl w:val="0"/>
              <w:rPr>
                <w:color w:val="auto"/>
                <w:szCs w:val="21"/>
                <w:highlight w:val="none"/>
              </w:rPr>
            </w:pPr>
          </w:p>
        </w:tc>
      </w:tr>
      <w:tr w14:paraId="5BF9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71AB5DDE">
            <w:pPr>
              <w:pStyle w:val="137"/>
              <w:jc w:val="center"/>
              <w:outlineLvl w:val="0"/>
              <w:rPr>
                <w:color w:val="auto"/>
                <w:szCs w:val="21"/>
                <w:highlight w:val="none"/>
              </w:rPr>
            </w:pPr>
          </w:p>
        </w:tc>
        <w:tc>
          <w:tcPr>
            <w:tcW w:w="1134" w:type="dxa"/>
          </w:tcPr>
          <w:p w14:paraId="3C01602C">
            <w:pPr>
              <w:pStyle w:val="137"/>
              <w:jc w:val="center"/>
              <w:outlineLvl w:val="0"/>
              <w:rPr>
                <w:color w:val="auto"/>
                <w:szCs w:val="21"/>
                <w:highlight w:val="none"/>
              </w:rPr>
            </w:pPr>
          </w:p>
        </w:tc>
        <w:tc>
          <w:tcPr>
            <w:tcW w:w="1152" w:type="dxa"/>
          </w:tcPr>
          <w:p w14:paraId="5CF9F031">
            <w:pPr>
              <w:pStyle w:val="137"/>
              <w:jc w:val="center"/>
              <w:outlineLvl w:val="0"/>
              <w:rPr>
                <w:color w:val="auto"/>
                <w:szCs w:val="21"/>
                <w:highlight w:val="none"/>
              </w:rPr>
            </w:pPr>
          </w:p>
        </w:tc>
        <w:tc>
          <w:tcPr>
            <w:tcW w:w="1258" w:type="dxa"/>
          </w:tcPr>
          <w:p w14:paraId="5FBBD7DC">
            <w:pPr>
              <w:pStyle w:val="137"/>
              <w:jc w:val="center"/>
              <w:outlineLvl w:val="0"/>
              <w:rPr>
                <w:color w:val="auto"/>
                <w:szCs w:val="21"/>
                <w:highlight w:val="none"/>
              </w:rPr>
            </w:pPr>
          </w:p>
        </w:tc>
        <w:tc>
          <w:tcPr>
            <w:tcW w:w="992" w:type="dxa"/>
          </w:tcPr>
          <w:p w14:paraId="230DB2C9">
            <w:pPr>
              <w:pStyle w:val="137"/>
              <w:jc w:val="center"/>
              <w:outlineLvl w:val="0"/>
              <w:rPr>
                <w:color w:val="auto"/>
                <w:szCs w:val="21"/>
                <w:highlight w:val="none"/>
              </w:rPr>
            </w:pPr>
          </w:p>
        </w:tc>
        <w:tc>
          <w:tcPr>
            <w:tcW w:w="992" w:type="dxa"/>
          </w:tcPr>
          <w:p w14:paraId="33D95CBD">
            <w:pPr>
              <w:pStyle w:val="137"/>
              <w:jc w:val="center"/>
              <w:outlineLvl w:val="0"/>
              <w:rPr>
                <w:color w:val="auto"/>
                <w:szCs w:val="21"/>
                <w:highlight w:val="none"/>
              </w:rPr>
            </w:pPr>
          </w:p>
        </w:tc>
        <w:tc>
          <w:tcPr>
            <w:tcW w:w="1560" w:type="dxa"/>
          </w:tcPr>
          <w:p w14:paraId="375BC240">
            <w:pPr>
              <w:pStyle w:val="137"/>
              <w:jc w:val="center"/>
              <w:outlineLvl w:val="0"/>
              <w:rPr>
                <w:color w:val="auto"/>
                <w:szCs w:val="21"/>
                <w:highlight w:val="none"/>
              </w:rPr>
            </w:pPr>
          </w:p>
        </w:tc>
        <w:tc>
          <w:tcPr>
            <w:tcW w:w="1557" w:type="dxa"/>
          </w:tcPr>
          <w:p w14:paraId="293E0B99">
            <w:pPr>
              <w:pStyle w:val="137"/>
              <w:jc w:val="center"/>
              <w:outlineLvl w:val="0"/>
              <w:rPr>
                <w:color w:val="auto"/>
                <w:szCs w:val="21"/>
                <w:highlight w:val="none"/>
              </w:rPr>
            </w:pPr>
          </w:p>
        </w:tc>
        <w:tc>
          <w:tcPr>
            <w:tcW w:w="569" w:type="dxa"/>
          </w:tcPr>
          <w:p w14:paraId="017BAFBE">
            <w:pPr>
              <w:pStyle w:val="137"/>
              <w:jc w:val="center"/>
              <w:outlineLvl w:val="0"/>
              <w:rPr>
                <w:color w:val="auto"/>
                <w:szCs w:val="21"/>
                <w:highlight w:val="none"/>
              </w:rPr>
            </w:pPr>
          </w:p>
        </w:tc>
      </w:tr>
      <w:tr w14:paraId="222C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14DD232B">
            <w:pPr>
              <w:pStyle w:val="137"/>
              <w:jc w:val="center"/>
              <w:outlineLvl w:val="0"/>
              <w:rPr>
                <w:color w:val="auto"/>
                <w:szCs w:val="21"/>
                <w:highlight w:val="none"/>
              </w:rPr>
            </w:pPr>
          </w:p>
        </w:tc>
        <w:tc>
          <w:tcPr>
            <w:tcW w:w="1134" w:type="dxa"/>
          </w:tcPr>
          <w:p w14:paraId="1EA732C8">
            <w:pPr>
              <w:pStyle w:val="137"/>
              <w:jc w:val="center"/>
              <w:outlineLvl w:val="0"/>
              <w:rPr>
                <w:color w:val="auto"/>
                <w:szCs w:val="21"/>
                <w:highlight w:val="none"/>
              </w:rPr>
            </w:pPr>
          </w:p>
        </w:tc>
        <w:tc>
          <w:tcPr>
            <w:tcW w:w="1152" w:type="dxa"/>
          </w:tcPr>
          <w:p w14:paraId="099BCACE">
            <w:pPr>
              <w:pStyle w:val="137"/>
              <w:jc w:val="center"/>
              <w:outlineLvl w:val="0"/>
              <w:rPr>
                <w:color w:val="auto"/>
                <w:szCs w:val="21"/>
                <w:highlight w:val="none"/>
              </w:rPr>
            </w:pPr>
          </w:p>
        </w:tc>
        <w:tc>
          <w:tcPr>
            <w:tcW w:w="1258" w:type="dxa"/>
          </w:tcPr>
          <w:p w14:paraId="2CF8D8A5">
            <w:pPr>
              <w:pStyle w:val="137"/>
              <w:jc w:val="center"/>
              <w:outlineLvl w:val="0"/>
              <w:rPr>
                <w:color w:val="auto"/>
                <w:szCs w:val="21"/>
                <w:highlight w:val="none"/>
              </w:rPr>
            </w:pPr>
          </w:p>
        </w:tc>
        <w:tc>
          <w:tcPr>
            <w:tcW w:w="992" w:type="dxa"/>
          </w:tcPr>
          <w:p w14:paraId="07EC7E84">
            <w:pPr>
              <w:pStyle w:val="137"/>
              <w:jc w:val="center"/>
              <w:outlineLvl w:val="0"/>
              <w:rPr>
                <w:color w:val="auto"/>
                <w:szCs w:val="21"/>
                <w:highlight w:val="none"/>
              </w:rPr>
            </w:pPr>
          </w:p>
        </w:tc>
        <w:tc>
          <w:tcPr>
            <w:tcW w:w="992" w:type="dxa"/>
          </w:tcPr>
          <w:p w14:paraId="6FF2785B">
            <w:pPr>
              <w:pStyle w:val="137"/>
              <w:jc w:val="center"/>
              <w:outlineLvl w:val="0"/>
              <w:rPr>
                <w:color w:val="auto"/>
                <w:szCs w:val="21"/>
                <w:highlight w:val="none"/>
              </w:rPr>
            </w:pPr>
          </w:p>
        </w:tc>
        <w:tc>
          <w:tcPr>
            <w:tcW w:w="1560" w:type="dxa"/>
          </w:tcPr>
          <w:p w14:paraId="7959AA51">
            <w:pPr>
              <w:pStyle w:val="137"/>
              <w:jc w:val="center"/>
              <w:outlineLvl w:val="0"/>
              <w:rPr>
                <w:color w:val="auto"/>
                <w:szCs w:val="21"/>
                <w:highlight w:val="none"/>
              </w:rPr>
            </w:pPr>
          </w:p>
        </w:tc>
        <w:tc>
          <w:tcPr>
            <w:tcW w:w="1557" w:type="dxa"/>
          </w:tcPr>
          <w:p w14:paraId="1C6634BF">
            <w:pPr>
              <w:pStyle w:val="137"/>
              <w:jc w:val="center"/>
              <w:outlineLvl w:val="0"/>
              <w:rPr>
                <w:color w:val="auto"/>
                <w:szCs w:val="21"/>
                <w:highlight w:val="none"/>
              </w:rPr>
            </w:pPr>
          </w:p>
        </w:tc>
        <w:tc>
          <w:tcPr>
            <w:tcW w:w="569" w:type="dxa"/>
          </w:tcPr>
          <w:p w14:paraId="2A18928A">
            <w:pPr>
              <w:pStyle w:val="137"/>
              <w:jc w:val="center"/>
              <w:outlineLvl w:val="0"/>
              <w:rPr>
                <w:color w:val="auto"/>
                <w:szCs w:val="21"/>
                <w:highlight w:val="none"/>
              </w:rPr>
            </w:pPr>
          </w:p>
        </w:tc>
      </w:tr>
      <w:tr w14:paraId="5459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2390657E">
            <w:pPr>
              <w:pStyle w:val="137"/>
              <w:jc w:val="center"/>
              <w:outlineLvl w:val="0"/>
              <w:rPr>
                <w:color w:val="auto"/>
                <w:szCs w:val="21"/>
                <w:highlight w:val="none"/>
              </w:rPr>
            </w:pPr>
          </w:p>
        </w:tc>
        <w:tc>
          <w:tcPr>
            <w:tcW w:w="1134" w:type="dxa"/>
          </w:tcPr>
          <w:p w14:paraId="40880D80">
            <w:pPr>
              <w:pStyle w:val="137"/>
              <w:jc w:val="center"/>
              <w:outlineLvl w:val="0"/>
              <w:rPr>
                <w:color w:val="auto"/>
                <w:szCs w:val="21"/>
                <w:highlight w:val="none"/>
              </w:rPr>
            </w:pPr>
          </w:p>
        </w:tc>
        <w:tc>
          <w:tcPr>
            <w:tcW w:w="1152" w:type="dxa"/>
          </w:tcPr>
          <w:p w14:paraId="5A369B88">
            <w:pPr>
              <w:pStyle w:val="137"/>
              <w:jc w:val="center"/>
              <w:outlineLvl w:val="0"/>
              <w:rPr>
                <w:color w:val="auto"/>
                <w:szCs w:val="21"/>
                <w:highlight w:val="none"/>
              </w:rPr>
            </w:pPr>
          </w:p>
        </w:tc>
        <w:tc>
          <w:tcPr>
            <w:tcW w:w="1258" w:type="dxa"/>
          </w:tcPr>
          <w:p w14:paraId="6869BA99">
            <w:pPr>
              <w:pStyle w:val="137"/>
              <w:jc w:val="center"/>
              <w:outlineLvl w:val="0"/>
              <w:rPr>
                <w:color w:val="auto"/>
                <w:szCs w:val="21"/>
                <w:highlight w:val="none"/>
              </w:rPr>
            </w:pPr>
          </w:p>
        </w:tc>
        <w:tc>
          <w:tcPr>
            <w:tcW w:w="992" w:type="dxa"/>
          </w:tcPr>
          <w:p w14:paraId="1076198A">
            <w:pPr>
              <w:pStyle w:val="137"/>
              <w:jc w:val="center"/>
              <w:outlineLvl w:val="0"/>
              <w:rPr>
                <w:color w:val="auto"/>
                <w:szCs w:val="21"/>
                <w:highlight w:val="none"/>
              </w:rPr>
            </w:pPr>
          </w:p>
        </w:tc>
        <w:tc>
          <w:tcPr>
            <w:tcW w:w="992" w:type="dxa"/>
          </w:tcPr>
          <w:p w14:paraId="798425DE">
            <w:pPr>
              <w:pStyle w:val="137"/>
              <w:jc w:val="center"/>
              <w:outlineLvl w:val="0"/>
              <w:rPr>
                <w:color w:val="auto"/>
                <w:szCs w:val="21"/>
                <w:highlight w:val="none"/>
              </w:rPr>
            </w:pPr>
          </w:p>
        </w:tc>
        <w:tc>
          <w:tcPr>
            <w:tcW w:w="1560" w:type="dxa"/>
          </w:tcPr>
          <w:p w14:paraId="2B663112">
            <w:pPr>
              <w:pStyle w:val="137"/>
              <w:jc w:val="center"/>
              <w:outlineLvl w:val="0"/>
              <w:rPr>
                <w:color w:val="auto"/>
                <w:szCs w:val="21"/>
                <w:highlight w:val="none"/>
              </w:rPr>
            </w:pPr>
          </w:p>
        </w:tc>
        <w:tc>
          <w:tcPr>
            <w:tcW w:w="1557" w:type="dxa"/>
          </w:tcPr>
          <w:p w14:paraId="13EA040B">
            <w:pPr>
              <w:pStyle w:val="137"/>
              <w:jc w:val="center"/>
              <w:outlineLvl w:val="0"/>
              <w:rPr>
                <w:color w:val="auto"/>
                <w:szCs w:val="21"/>
                <w:highlight w:val="none"/>
              </w:rPr>
            </w:pPr>
          </w:p>
        </w:tc>
        <w:tc>
          <w:tcPr>
            <w:tcW w:w="569" w:type="dxa"/>
          </w:tcPr>
          <w:p w14:paraId="595FE603">
            <w:pPr>
              <w:pStyle w:val="137"/>
              <w:jc w:val="center"/>
              <w:outlineLvl w:val="0"/>
              <w:rPr>
                <w:color w:val="auto"/>
                <w:szCs w:val="21"/>
                <w:highlight w:val="none"/>
              </w:rPr>
            </w:pPr>
          </w:p>
        </w:tc>
      </w:tr>
      <w:tr w14:paraId="7CF6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1068AEC7">
            <w:pPr>
              <w:pStyle w:val="137"/>
              <w:jc w:val="center"/>
              <w:outlineLvl w:val="0"/>
              <w:rPr>
                <w:color w:val="auto"/>
                <w:szCs w:val="21"/>
                <w:highlight w:val="none"/>
              </w:rPr>
            </w:pPr>
          </w:p>
        </w:tc>
        <w:tc>
          <w:tcPr>
            <w:tcW w:w="1134" w:type="dxa"/>
          </w:tcPr>
          <w:p w14:paraId="517522FA">
            <w:pPr>
              <w:pStyle w:val="137"/>
              <w:jc w:val="center"/>
              <w:outlineLvl w:val="0"/>
              <w:rPr>
                <w:color w:val="auto"/>
                <w:szCs w:val="21"/>
                <w:highlight w:val="none"/>
              </w:rPr>
            </w:pPr>
          </w:p>
        </w:tc>
        <w:tc>
          <w:tcPr>
            <w:tcW w:w="1152" w:type="dxa"/>
          </w:tcPr>
          <w:p w14:paraId="10227DF2">
            <w:pPr>
              <w:pStyle w:val="137"/>
              <w:jc w:val="center"/>
              <w:outlineLvl w:val="0"/>
              <w:rPr>
                <w:color w:val="auto"/>
                <w:szCs w:val="21"/>
                <w:highlight w:val="none"/>
              </w:rPr>
            </w:pPr>
          </w:p>
        </w:tc>
        <w:tc>
          <w:tcPr>
            <w:tcW w:w="1258" w:type="dxa"/>
          </w:tcPr>
          <w:p w14:paraId="3E906C0A">
            <w:pPr>
              <w:pStyle w:val="137"/>
              <w:jc w:val="center"/>
              <w:outlineLvl w:val="0"/>
              <w:rPr>
                <w:color w:val="auto"/>
                <w:szCs w:val="21"/>
                <w:highlight w:val="none"/>
              </w:rPr>
            </w:pPr>
          </w:p>
        </w:tc>
        <w:tc>
          <w:tcPr>
            <w:tcW w:w="992" w:type="dxa"/>
          </w:tcPr>
          <w:p w14:paraId="7E74037E">
            <w:pPr>
              <w:pStyle w:val="137"/>
              <w:jc w:val="center"/>
              <w:outlineLvl w:val="0"/>
              <w:rPr>
                <w:color w:val="auto"/>
                <w:szCs w:val="21"/>
                <w:highlight w:val="none"/>
              </w:rPr>
            </w:pPr>
          </w:p>
        </w:tc>
        <w:tc>
          <w:tcPr>
            <w:tcW w:w="992" w:type="dxa"/>
          </w:tcPr>
          <w:p w14:paraId="54C309FF">
            <w:pPr>
              <w:pStyle w:val="137"/>
              <w:jc w:val="center"/>
              <w:outlineLvl w:val="0"/>
              <w:rPr>
                <w:color w:val="auto"/>
                <w:szCs w:val="21"/>
                <w:highlight w:val="none"/>
              </w:rPr>
            </w:pPr>
          </w:p>
        </w:tc>
        <w:tc>
          <w:tcPr>
            <w:tcW w:w="1560" w:type="dxa"/>
          </w:tcPr>
          <w:p w14:paraId="479BB6E7">
            <w:pPr>
              <w:pStyle w:val="137"/>
              <w:jc w:val="center"/>
              <w:outlineLvl w:val="0"/>
              <w:rPr>
                <w:color w:val="auto"/>
                <w:szCs w:val="21"/>
                <w:highlight w:val="none"/>
              </w:rPr>
            </w:pPr>
          </w:p>
        </w:tc>
        <w:tc>
          <w:tcPr>
            <w:tcW w:w="1557" w:type="dxa"/>
          </w:tcPr>
          <w:p w14:paraId="67E14BA8">
            <w:pPr>
              <w:pStyle w:val="137"/>
              <w:jc w:val="center"/>
              <w:outlineLvl w:val="0"/>
              <w:rPr>
                <w:color w:val="auto"/>
                <w:szCs w:val="21"/>
                <w:highlight w:val="none"/>
              </w:rPr>
            </w:pPr>
          </w:p>
        </w:tc>
        <w:tc>
          <w:tcPr>
            <w:tcW w:w="569" w:type="dxa"/>
          </w:tcPr>
          <w:p w14:paraId="2A80D221">
            <w:pPr>
              <w:pStyle w:val="137"/>
              <w:jc w:val="center"/>
              <w:outlineLvl w:val="0"/>
              <w:rPr>
                <w:color w:val="auto"/>
                <w:szCs w:val="21"/>
                <w:highlight w:val="none"/>
              </w:rPr>
            </w:pPr>
          </w:p>
        </w:tc>
      </w:tr>
      <w:tr w14:paraId="7F2D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229B7E71">
            <w:pPr>
              <w:pStyle w:val="137"/>
              <w:jc w:val="center"/>
              <w:outlineLvl w:val="0"/>
              <w:rPr>
                <w:color w:val="auto"/>
                <w:szCs w:val="21"/>
                <w:highlight w:val="none"/>
              </w:rPr>
            </w:pPr>
          </w:p>
        </w:tc>
        <w:tc>
          <w:tcPr>
            <w:tcW w:w="1134" w:type="dxa"/>
          </w:tcPr>
          <w:p w14:paraId="0142CE48">
            <w:pPr>
              <w:pStyle w:val="137"/>
              <w:jc w:val="center"/>
              <w:outlineLvl w:val="0"/>
              <w:rPr>
                <w:color w:val="auto"/>
                <w:szCs w:val="21"/>
                <w:highlight w:val="none"/>
              </w:rPr>
            </w:pPr>
          </w:p>
        </w:tc>
        <w:tc>
          <w:tcPr>
            <w:tcW w:w="1152" w:type="dxa"/>
          </w:tcPr>
          <w:p w14:paraId="4BD93EF5">
            <w:pPr>
              <w:pStyle w:val="137"/>
              <w:jc w:val="center"/>
              <w:outlineLvl w:val="0"/>
              <w:rPr>
                <w:color w:val="auto"/>
                <w:szCs w:val="21"/>
                <w:highlight w:val="none"/>
              </w:rPr>
            </w:pPr>
          </w:p>
        </w:tc>
        <w:tc>
          <w:tcPr>
            <w:tcW w:w="1258" w:type="dxa"/>
          </w:tcPr>
          <w:p w14:paraId="7022A8DA">
            <w:pPr>
              <w:pStyle w:val="137"/>
              <w:jc w:val="center"/>
              <w:outlineLvl w:val="0"/>
              <w:rPr>
                <w:color w:val="auto"/>
                <w:szCs w:val="21"/>
                <w:highlight w:val="none"/>
              </w:rPr>
            </w:pPr>
          </w:p>
        </w:tc>
        <w:tc>
          <w:tcPr>
            <w:tcW w:w="992" w:type="dxa"/>
          </w:tcPr>
          <w:p w14:paraId="21841529">
            <w:pPr>
              <w:pStyle w:val="137"/>
              <w:jc w:val="center"/>
              <w:outlineLvl w:val="0"/>
              <w:rPr>
                <w:color w:val="auto"/>
                <w:szCs w:val="21"/>
                <w:highlight w:val="none"/>
              </w:rPr>
            </w:pPr>
          </w:p>
        </w:tc>
        <w:tc>
          <w:tcPr>
            <w:tcW w:w="992" w:type="dxa"/>
          </w:tcPr>
          <w:p w14:paraId="1EE674B2">
            <w:pPr>
              <w:pStyle w:val="137"/>
              <w:jc w:val="center"/>
              <w:outlineLvl w:val="0"/>
              <w:rPr>
                <w:color w:val="auto"/>
                <w:szCs w:val="21"/>
                <w:highlight w:val="none"/>
              </w:rPr>
            </w:pPr>
          </w:p>
        </w:tc>
        <w:tc>
          <w:tcPr>
            <w:tcW w:w="1560" w:type="dxa"/>
          </w:tcPr>
          <w:p w14:paraId="6451F1DD">
            <w:pPr>
              <w:pStyle w:val="137"/>
              <w:jc w:val="center"/>
              <w:outlineLvl w:val="0"/>
              <w:rPr>
                <w:color w:val="auto"/>
                <w:szCs w:val="21"/>
                <w:highlight w:val="none"/>
              </w:rPr>
            </w:pPr>
          </w:p>
        </w:tc>
        <w:tc>
          <w:tcPr>
            <w:tcW w:w="1557" w:type="dxa"/>
          </w:tcPr>
          <w:p w14:paraId="67CF1740">
            <w:pPr>
              <w:pStyle w:val="137"/>
              <w:jc w:val="center"/>
              <w:outlineLvl w:val="0"/>
              <w:rPr>
                <w:color w:val="auto"/>
                <w:szCs w:val="21"/>
                <w:highlight w:val="none"/>
              </w:rPr>
            </w:pPr>
          </w:p>
        </w:tc>
        <w:tc>
          <w:tcPr>
            <w:tcW w:w="569" w:type="dxa"/>
          </w:tcPr>
          <w:p w14:paraId="0C24930D">
            <w:pPr>
              <w:pStyle w:val="137"/>
              <w:jc w:val="center"/>
              <w:outlineLvl w:val="0"/>
              <w:rPr>
                <w:color w:val="auto"/>
                <w:szCs w:val="21"/>
                <w:highlight w:val="none"/>
              </w:rPr>
            </w:pPr>
          </w:p>
        </w:tc>
      </w:tr>
    </w:tbl>
    <w:p w14:paraId="429D6C31">
      <w:pPr>
        <w:spacing w:line="360" w:lineRule="auto"/>
        <w:ind w:firstLine="420" w:firstLineChars="200"/>
        <w:rPr>
          <w:color w:val="auto"/>
          <w:szCs w:val="21"/>
          <w:highlight w:val="none"/>
        </w:rPr>
      </w:pPr>
    </w:p>
    <w:p w14:paraId="242CB741">
      <w:pPr>
        <w:spacing w:line="360" w:lineRule="auto"/>
        <w:ind w:firstLine="422" w:firstLineChars="200"/>
        <w:rPr>
          <w:rFonts w:eastAsia="楷体_GB2312" w:cs="楷体_GB2312"/>
          <w:b/>
          <w:bCs/>
          <w:color w:val="auto"/>
          <w:highlight w:val="none"/>
        </w:rPr>
      </w:pPr>
      <w:r>
        <w:rPr>
          <w:rFonts w:hint="eastAsia" w:eastAsia="楷体_GB2312" w:cs="楷体_GB2312"/>
          <w:b/>
          <w:bCs/>
          <w:color w:val="auto"/>
          <w:highlight w:val="none"/>
        </w:rPr>
        <w:t>备注：1.相关信息应与“桂建云”系统信息一致，</w:t>
      </w:r>
      <w:r>
        <w:rPr>
          <w:rFonts w:eastAsia="楷体_GB2312" w:cs="楷体_GB2312"/>
          <w:b/>
          <w:bCs/>
          <w:color w:val="auto"/>
          <w:highlight w:val="none"/>
        </w:rPr>
        <w:t>否则</w:t>
      </w:r>
      <w:r>
        <w:rPr>
          <w:rFonts w:hint="eastAsia" w:eastAsia="楷体_GB2312" w:cs="楷体_GB2312"/>
          <w:b/>
          <w:bCs/>
          <w:color w:val="auto"/>
          <w:highlight w:val="none"/>
        </w:rPr>
        <w:t>评审时不予承认。</w:t>
      </w:r>
    </w:p>
    <w:p w14:paraId="41E0F77F">
      <w:pPr>
        <w:spacing w:line="360" w:lineRule="auto"/>
        <w:ind w:firstLine="422" w:firstLineChars="200"/>
        <w:rPr>
          <w:rFonts w:eastAsia="楷体_GB2312" w:cs="楷体_GB2312"/>
          <w:b/>
          <w:bCs/>
          <w:color w:val="auto"/>
          <w:highlight w:val="none"/>
          <w:lang w:val="en"/>
        </w:rPr>
      </w:pPr>
      <w:r>
        <w:rPr>
          <w:rFonts w:hint="eastAsia" w:eastAsia="楷体_GB2312" w:cs="楷体_GB2312"/>
          <w:b/>
          <w:bCs/>
          <w:color w:val="auto"/>
          <w:highlight w:val="none"/>
        </w:rPr>
        <w:t>2.</w:t>
      </w:r>
      <w:r>
        <w:rPr>
          <w:rFonts w:hint="eastAsia" w:ascii="楷体" w:hAnsi="楷体" w:eastAsia="楷体" w:cs="宋体"/>
          <w:b/>
          <w:color w:val="auto"/>
          <w:highlight w:val="none"/>
        </w:rPr>
        <w:t>注册城乡规划师，咨询工程师，注册土木工程师（道路）等未在住建部注册或者未实施注册制度的资格证书，在人员信息中备注一栏填写该人员为某专业注册人员，并在投标人认为的其他材料内补充上传电子证书，</w:t>
      </w:r>
      <w:r>
        <w:rPr>
          <w:rFonts w:ascii="楷体" w:hAnsi="楷体" w:eastAsia="楷体" w:cs="宋体"/>
          <w:b/>
          <w:color w:val="auto"/>
          <w:highlight w:val="none"/>
          <w:lang w:val="en"/>
        </w:rPr>
        <w:t>非电子证书，均不予以认可。</w:t>
      </w:r>
    </w:p>
    <w:p w14:paraId="5FF89486">
      <w:pPr>
        <w:rPr>
          <w:rFonts w:ascii="宋体" w:hAnsi="宋体"/>
          <w:color w:val="auto"/>
          <w:szCs w:val="21"/>
          <w:highlight w:val="none"/>
          <w:lang w:val="en"/>
        </w:rPr>
      </w:pPr>
    </w:p>
    <w:p w14:paraId="1C97701D">
      <w:pPr>
        <w:spacing w:line="360" w:lineRule="auto"/>
        <w:ind w:firstLine="422" w:firstLineChars="200"/>
        <w:rPr>
          <w:rFonts w:eastAsia="楷体_GB2312" w:cs="楷体_GB2312"/>
          <w:b/>
          <w:bCs/>
          <w:color w:val="auto"/>
          <w:highlight w:val="none"/>
        </w:rPr>
      </w:pPr>
    </w:p>
    <w:p w14:paraId="42AA28D6">
      <w:pPr>
        <w:spacing w:line="360" w:lineRule="auto"/>
        <w:ind w:right="420"/>
        <w:jc w:val="center"/>
        <w:rPr>
          <w:rFonts w:ascii="宋体" w:hAnsi="宋体"/>
          <w:b/>
          <w:color w:val="auto"/>
          <w:sz w:val="28"/>
          <w:szCs w:val="28"/>
          <w:highlight w:val="none"/>
        </w:rPr>
      </w:pPr>
      <w:r>
        <w:rPr>
          <w:rFonts w:ascii="宋体" w:hAnsi="宋体"/>
          <w:b/>
          <w:color w:val="auto"/>
          <w:sz w:val="28"/>
          <w:szCs w:val="28"/>
          <w:highlight w:val="none"/>
        </w:rPr>
        <w:t>第</w:t>
      </w:r>
      <w:r>
        <w:rPr>
          <w:rFonts w:hint="eastAsia" w:ascii="宋体" w:hAnsi="宋体"/>
          <w:b/>
          <w:color w:val="auto"/>
          <w:sz w:val="28"/>
          <w:szCs w:val="28"/>
          <w:highlight w:val="none"/>
        </w:rPr>
        <w:t>三</w:t>
      </w:r>
      <w:r>
        <w:rPr>
          <w:rFonts w:ascii="宋体" w:hAnsi="宋体"/>
          <w:b/>
          <w:color w:val="auto"/>
          <w:sz w:val="28"/>
          <w:szCs w:val="28"/>
          <w:highlight w:val="none"/>
        </w:rPr>
        <w:t>中标候选人</w:t>
      </w:r>
      <w:r>
        <w:rPr>
          <w:rFonts w:hint="eastAsia" w:ascii="宋体" w:hAnsi="宋体"/>
          <w:b/>
          <w:color w:val="auto"/>
          <w:sz w:val="28"/>
          <w:szCs w:val="28"/>
          <w:highlight w:val="none"/>
        </w:rPr>
        <w:t xml:space="preserve"> </w:t>
      </w:r>
      <w:r>
        <w:rPr>
          <w:rFonts w:ascii="宋体" w:hAnsi="宋体"/>
          <w:b/>
          <w:color w:val="auto"/>
          <w:sz w:val="28"/>
          <w:szCs w:val="28"/>
          <w:highlight w:val="none"/>
        </w:rPr>
        <w:t>项目组人员配备情况表</w:t>
      </w:r>
    </w:p>
    <w:tbl>
      <w:tblPr>
        <w:tblStyle w:val="40"/>
        <w:tblW w:w="9889" w:type="dxa"/>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34"/>
        <w:gridCol w:w="1152"/>
        <w:gridCol w:w="1258"/>
        <w:gridCol w:w="992"/>
        <w:gridCol w:w="992"/>
        <w:gridCol w:w="1560"/>
        <w:gridCol w:w="1557"/>
        <w:gridCol w:w="569"/>
      </w:tblGrid>
      <w:tr w14:paraId="7381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5C20E4F">
            <w:pPr>
              <w:pStyle w:val="137"/>
              <w:jc w:val="center"/>
              <w:outlineLvl w:val="0"/>
              <w:rPr>
                <w:b/>
                <w:color w:val="auto"/>
                <w:szCs w:val="21"/>
                <w:highlight w:val="none"/>
              </w:rPr>
            </w:pPr>
            <w:r>
              <w:rPr>
                <w:b/>
                <w:color w:val="auto"/>
                <w:szCs w:val="21"/>
                <w:highlight w:val="none"/>
              </w:rPr>
              <w:t>序号</w:t>
            </w:r>
          </w:p>
        </w:tc>
        <w:tc>
          <w:tcPr>
            <w:tcW w:w="1134" w:type="dxa"/>
            <w:vAlign w:val="center"/>
          </w:tcPr>
          <w:p w14:paraId="0F400FDB">
            <w:pPr>
              <w:pStyle w:val="137"/>
              <w:jc w:val="center"/>
              <w:outlineLvl w:val="0"/>
              <w:rPr>
                <w:b/>
                <w:color w:val="auto"/>
                <w:szCs w:val="21"/>
                <w:highlight w:val="none"/>
              </w:rPr>
            </w:pPr>
            <w:r>
              <w:rPr>
                <w:rFonts w:hint="eastAsia"/>
                <w:b/>
                <w:color w:val="auto"/>
                <w:szCs w:val="21"/>
                <w:highlight w:val="none"/>
              </w:rPr>
              <w:t>姓名</w:t>
            </w:r>
          </w:p>
        </w:tc>
        <w:tc>
          <w:tcPr>
            <w:tcW w:w="1152" w:type="dxa"/>
            <w:vAlign w:val="center"/>
          </w:tcPr>
          <w:p w14:paraId="7A101452">
            <w:pPr>
              <w:pStyle w:val="137"/>
              <w:jc w:val="center"/>
              <w:outlineLvl w:val="0"/>
              <w:rPr>
                <w:b/>
                <w:color w:val="auto"/>
                <w:szCs w:val="21"/>
                <w:highlight w:val="none"/>
              </w:rPr>
            </w:pPr>
            <w:r>
              <w:rPr>
                <w:rFonts w:hint="eastAsia"/>
                <w:b/>
                <w:color w:val="auto"/>
                <w:szCs w:val="21"/>
                <w:highlight w:val="none"/>
              </w:rPr>
              <w:t>身份证</w:t>
            </w:r>
          </w:p>
          <w:p w14:paraId="0860566B">
            <w:pPr>
              <w:pStyle w:val="137"/>
              <w:jc w:val="center"/>
              <w:outlineLvl w:val="0"/>
              <w:rPr>
                <w:b/>
                <w:color w:val="auto"/>
                <w:szCs w:val="21"/>
                <w:highlight w:val="none"/>
              </w:rPr>
            </w:pPr>
            <w:r>
              <w:rPr>
                <w:rFonts w:hint="eastAsia"/>
                <w:b/>
                <w:color w:val="auto"/>
                <w:szCs w:val="21"/>
                <w:highlight w:val="none"/>
              </w:rPr>
              <w:t>号码</w:t>
            </w:r>
          </w:p>
        </w:tc>
        <w:tc>
          <w:tcPr>
            <w:tcW w:w="1258" w:type="dxa"/>
            <w:vAlign w:val="center"/>
          </w:tcPr>
          <w:p w14:paraId="1078A3BB">
            <w:pPr>
              <w:pStyle w:val="137"/>
              <w:jc w:val="center"/>
              <w:outlineLvl w:val="0"/>
              <w:rPr>
                <w:b/>
                <w:color w:val="auto"/>
                <w:szCs w:val="21"/>
                <w:highlight w:val="none"/>
              </w:rPr>
            </w:pPr>
            <w:r>
              <w:rPr>
                <w:b/>
                <w:color w:val="auto"/>
                <w:szCs w:val="21"/>
                <w:highlight w:val="none"/>
              </w:rPr>
              <w:t>拟在本项目任职</w:t>
            </w:r>
          </w:p>
        </w:tc>
        <w:tc>
          <w:tcPr>
            <w:tcW w:w="992" w:type="dxa"/>
            <w:vAlign w:val="center"/>
          </w:tcPr>
          <w:p w14:paraId="098B23D5">
            <w:pPr>
              <w:pStyle w:val="137"/>
              <w:jc w:val="center"/>
              <w:outlineLvl w:val="0"/>
              <w:rPr>
                <w:b/>
                <w:color w:val="auto"/>
                <w:szCs w:val="21"/>
                <w:highlight w:val="none"/>
              </w:rPr>
            </w:pPr>
            <w:r>
              <w:rPr>
                <w:b/>
                <w:color w:val="auto"/>
                <w:szCs w:val="21"/>
                <w:highlight w:val="none"/>
              </w:rPr>
              <w:t>职</w:t>
            </w:r>
            <w:r>
              <w:rPr>
                <w:rFonts w:hint="eastAsia"/>
                <w:b/>
                <w:color w:val="auto"/>
                <w:szCs w:val="21"/>
                <w:highlight w:val="none"/>
              </w:rPr>
              <w:t xml:space="preserve"> </w:t>
            </w:r>
            <w:r>
              <w:rPr>
                <w:b/>
                <w:color w:val="auto"/>
                <w:szCs w:val="21"/>
                <w:highlight w:val="none"/>
              </w:rPr>
              <w:t>称</w:t>
            </w:r>
          </w:p>
        </w:tc>
        <w:tc>
          <w:tcPr>
            <w:tcW w:w="992" w:type="dxa"/>
            <w:vAlign w:val="center"/>
          </w:tcPr>
          <w:p w14:paraId="0C6938C7">
            <w:pPr>
              <w:pStyle w:val="137"/>
              <w:jc w:val="center"/>
              <w:outlineLvl w:val="0"/>
              <w:rPr>
                <w:b/>
                <w:color w:val="auto"/>
                <w:szCs w:val="21"/>
                <w:highlight w:val="none"/>
              </w:rPr>
            </w:pPr>
            <w:r>
              <w:rPr>
                <w:b/>
                <w:color w:val="auto"/>
                <w:szCs w:val="21"/>
                <w:highlight w:val="none"/>
              </w:rPr>
              <w:t>专</w:t>
            </w:r>
            <w:r>
              <w:rPr>
                <w:rFonts w:hint="eastAsia"/>
                <w:b/>
                <w:color w:val="auto"/>
                <w:szCs w:val="21"/>
                <w:highlight w:val="none"/>
              </w:rPr>
              <w:t xml:space="preserve"> </w:t>
            </w:r>
            <w:r>
              <w:rPr>
                <w:b/>
                <w:color w:val="auto"/>
                <w:szCs w:val="21"/>
                <w:highlight w:val="none"/>
              </w:rPr>
              <w:t>业</w:t>
            </w:r>
          </w:p>
        </w:tc>
        <w:tc>
          <w:tcPr>
            <w:tcW w:w="1560" w:type="dxa"/>
            <w:vAlign w:val="center"/>
          </w:tcPr>
          <w:p w14:paraId="1115A449">
            <w:pPr>
              <w:pStyle w:val="137"/>
              <w:jc w:val="center"/>
              <w:outlineLvl w:val="0"/>
              <w:rPr>
                <w:b/>
                <w:color w:val="auto"/>
                <w:szCs w:val="21"/>
                <w:highlight w:val="none"/>
              </w:rPr>
            </w:pPr>
            <w:r>
              <w:rPr>
                <w:b/>
                <w:color w:val="auto"/>
                <w:szCs w:val="21"/>
                <w:highlight w:val="none"/>
              </w:rPr>
              <w:t>执业</w:t>
            </w:r>
            <w:r>
              <w:rPr>
                <w:rFonts w:hint="eastAsia"/>
                <w:b/>
                <w:color w:val="auto"/>
                <w:szCs w:val="21"/>
                <w:highlight w:val="none"/>
              </w:rPr>
              <w:t>注册</w:t>
            </w:r>
            <w:r>
              <w:rPr>
                <w:b/>
                <w:color w:val="auto"/>
                <w:szCs w:val="21"/>
                <w:highlight w:val="none"/>
              </w:rPr>
              <w:t>资格</w:t>
            </w:r>
            <w:r>
              <w:rPr>
                <w:rFonts w:hint="eastAsia"/>
                <w:b/>
                <w:color w:val="auto"/>
                <w:szCs w:val="21"/>
                <w:highlight w:val="none"/>
              </w:rPr>
              <w:t>（如有）</w:t>
            </w:r>
          </w:p>
        </w:tc>
        <w:tc>
          <w:tcPr>
            <w:tcW w:w="1557" w:type="dxa"/>
            <w:vAlign w:val="center"/>
          </w:tcPr>
          <w:p w14:paraId="15322718">
            <w:pPr>
              <w:pStyle w:val="137"/>
              <w:jc w:val="center"/>
              <w:outlineLvl w:val="0"/>
              <w:rPr>
                <w:b/>
                <w:color w:val="auto"/>
                <w:szCs w:val="21"/>
                <w:highlight w:val="none"/>
              </w:rPr>
            </w:pPr>
            <w:r>
              <w:rPr>
                <w:b/>
                <w:color w:val="auto"/>
                <w:szCs w:val="21"/>
                <w:highlight w:val="none"/>
              </w:rPr>
              <w:t>证书编号</w:t>
            </w:r>
          </w:p>
        </w:tc>
        <w:tc>
          <w:tcPr>
            <w:tcW w:w="569" w:type="dxa"/>
            <w:vAlign w:val="center"/>
          </w:tcPr>
          <w:p w14:paraId="5F12541D">
            <w:pPr>
              <w:pStyle w:val="137"/>
              <w:jc w:val="center"/>
              <w:outlineLvl w:val="0"/>
              <w:rPr>
                <w:b/>
                <w:color w:val="auto"/>
                <w:szCs w:val="21"/>
                <w:highlight w:val="none"/>
              </w:rPr>
            </w:pPr>
            <w:r>
              <w:rPr>
                <w:b/>
                <w:color w:val="auto"/>
                <w:szCs w:val="21"/>
                <w:highlight w:val="none"/>
              </w:rPr>
              <w:t>备注</w:t>
            </w:r>
          </w:p>
        </w:tc>
      </w:tr>
      <w:tr w14:paraId="77E8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18A7F2B2">
            <w:pPr>
              <w:pStyle w:val="137"/>
              <w:jc w:val="center"/>
              <w:outlineLvl w:val="0"/>
              <w:rPr>
                <w:color w:val="auto"/>
                <w:szCs w:val="21"/>
                <w:highlight w:val="none"/>
              </w:rPr>
            </w:pPr>
          </w:p>
        </w:tc>
        <w:tc>
          <w:tcPr>
            <w:tcW w:w="1134" w:type="dxa"/>
          </w:tcPr>
          <w:p w14:paraId="604F9935">
            <w:pPr>
              <w:pStyle w:val="137"/>
              <w:jc w:val="center"/>
              <w:outlineLvl w:val="0"/>
              <w:rPr>
                <w:color w:val="auto"/>
                <w:szCs w:val="21"/>
                <w:highlight w:val="none"/>
              </w:rPr>
            </w:pPr>
          </w:p>
        </w:tc>
        <w:tc>
          <w:tcPr>
            <w:tcW w:w="1152" w:type="dxa"/>
          </w:tcPr>
          <w:p w14:paraId="70311705">
            <w:pPr>
              <w:pStyle w:val="137"/>
              <w:jc w:val="center"/>
              <w:outlineLvl w:val="0"/>
              <w:rPr>
                <w:color w:val="auto"/>
                <w:szCs w:val="21"/>
                <w:highlight w:val="none"/>
              </w:rPr>
            </w:pPr>
          </w:p>
        </w:tc>
        <w:tc>
          <w:tcPr>
            <w:tcW w:w="1258" w:type="dxa"/>
          </w:tcPr>
          <w:p w14:paraId="324168F6">
            <w:pPr>
              <w:pStyle w:val="137"/>
              <w:jc w:val="center"/>
              <w:outlineLvl w:val="0"/>
              <w:rPr>
                <w:color w:val="auto"/>
                <w:szCs w:val="21"/>
                <w:highlight w:val="none"/>
              </w:rPr>
            </w:pPr>
          </w:p>
        </w:tc>
        <w:tc>
          <w:tcPr>
            <w:tcW w:w="992" w:type="dxa"/>
          </w:tcPr>
          <w:p w14:paraId="6BC7978D">
            <w:pPr>
              <w:pStyle w:val="137"/>
              <w:jc w:val="center"/>
              <w:outlineLvl w:val="0"/>
              <w:rPr>
                <w:color w:val="auto"/>
                <w:szCs w:val="21"/>
                <w:highlight w:val="none"/>
              </w:rPr>
            </w:pPr>
          </w:p>
        </w:tc>
        <w:tc>
          <w:tcPr>
            <w:tcW w:w="992" w:type="dxa"/>
          </w:tcPr>
          <w:p w14:paraId="25AC3B54">
            <w:pPr>
              <w:pStyle w:val="137"/>
              <w:jc w:val="center"/>
              <w:outlineLvl w:val="0"/>
              <w:rPr>
                <w:color w:val="auto"/>
                <w:szCs w:val="21"/>
                <w:highlight w:val="none"/>
              </w:rPr>
            </w:pPr>
          </w:p>
        </w:tc>
        <w:tc>
          <w:tcPr>
            <w:tcW w:w="1560" w:type="dxa"/>
          </w:tcPr>
          <w:p w14:paraId="50FE70F6">
            <w:pPr>
              <w:pStyle w:val="137"/>
              <w:jc w:val="center"/>
              <w:outlineLvl w:val="0"/>
              <w:rPr>
                <w:color w:val="auto"/>
                <w:szCs w:val="21"/>
                <w:highlight w:val="none"/>
              </w:rPr>
            </w:pPr>
          </w:p>
        </w:tc>
        <w:tc>
          <w:tcPr>
            <w:tcW w:w="1557" w:type="dxa"/>
          </w:tcPr>
          <w:p w14:paraId="69C37847">
            <w:pPr>
              <w:pStyle w:val="137"/>
              <w:jc w:val="center"/>
              <w:outlineLvl w:val="0"/>
              <w:rPr>
                <w:color w:val="auto"/>
                <w:szCs w:val="21"/>
                <w:highlight w:val="none"/>
              </w:rPr>
            </w:pPr>
          </w:p>
        </w:tc>
        <w:tc>
          <w:tcPr>
            <w:tcW w:w="569" w:type="dxa"/>
          </w:tcPr>
          <w:p w14:paraId="46BC4791">
            <w:pPr>
              <w:pStyle w:val="137"/>
              <w:jc w:val="center"/>
              <w:outlineLvl w:val="0"/>
              <w:rPr>
                <w:color w:val="auto"/>
                <w:szCs w:val="21"/>
                <w:highlight w:val="none"/>
              </w:rPr>
            </w:pPr>
          </w:p>
        </w:tc>
      </w:tr>
      <w:tr w14:paraId="3EE0E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311DEC93">
            <w:pPr>
              <w:pStyle w:val="137"/>
              <w:jc w:val="center"/>
              <w:outlineLvl w:val="0"/>
              <w:rPr>
                <w:color w:val="auto"/>
                <w:szCs w:val="21"/>
                <w:highlight w:val="none"/>
              </w:rPr>
            </w:pPr>
          </w:p>
        </w:tc>
        <w:tc>
          <w:tcPr>
            <w:tcW w:w="1134" w:type="dxa"/>
          </w:tcPr>
          <w:p w14:paraId="6E7E25D7">
            <w:pPr>
              <w:pStyle w:val="137"/>
              <w:jc w:val="center"/>
              <w:outlineLvl w:val="0"/>
              <w:rPr>
                <w:color w:val="auto"/>
                <w:szCs w:val="21"/>
                <w:highlight w:val="none"/>
              </w:rPr>
            </w:pPr>
          </w:p>
        </w:tc>
        <w:tc>
          <w:tcPr>
            <w:tcW w:w="1152" w:type="dxa"/>
          </w:tcPr>
          <w:p w14:paraId="73C2C64E">
            <w:pPr>
              <w:pStyle w:val="137"/>
              <w:jc w:val="center"/>
              <w:outlineLvl w:val="0"/>
              <w:rPr>
                <w:color w:val="auto"/>
                <w:szCs w:val="21"/>
                <w:highlight w:val="none"/>
              </w:rPr>
            </w:pPr>
          </w:p>
        </w:tc>
        <w:tc>
          <w:tcPr>
            <w:tcW w:w="1258" w:type="dxa"/>
          </w:tcPr>
          <w:p w14:paraId="58A7FC80">
            <w:pPr>
              <w:pStyle w:val="137"/>
              <w:jc w:val="center"/>
              <w:outlineLvl w:val="0"/>
              <w:rPr>
                <w:color w:val="auto"/>
                <w:szCs w:val="21"/>
                <w:highlight w:val="none"/>
              </w:rPr>
            </w:pPr>
          </w:p>
        </w:tc>
        <w:tc>
          <w:tcPr>
            <w:tcW w:w="992" w:type="dxa"/>
          </w:tcPr>
          <w:p w14:paraId="649DE287">
            <w:pPr>
              <w:pStyle w:val="137"/>
              <w:jc w:val="center"/>
              <w:outlineLvl w:val="0"/>
              <w:rPr>
                <w:color w:val="auto"/>
                <w:szCs w:val="21"/>
                <w:highlight w:val="none"/>
              </w:rPr>
            </w:pPr>
          </w:p>
        </w:tc>
        <w:tc>
          <w:tcPr>
            <w:tcW w:w="992" w:type="dxa"/>
          </w:tcPr>
          <w:p w14:paraId="0BC0E0C3">
            <w:pPr>
              <w:pStyle w:val="137"/>
              <w:jc w:val="center"/>
              <w:outlineLvl w:val="0"/>
              <w:rPr>
                <w:color w:val="auto"/>
                <w:szCs w:val="21"/>
                <w:highlight w:val="none"/>
              </w:rPr>
            </w:pPr>
          </w:p>
        </w:tc>
        <w:tc>
          <w:tcPr>
            <w:tcW w:w="1560" w:type="dxa"/>
          </w:tcPr>
          <w:p w14:paraId="14B5913C">
            <w:pPr>
              <w:pStyle w:val="137"/>
              <w:jc w:val="center"/>
              <w:outlineLvl w:val="0"/>
              <w:rPr>
                <w:color w:val="auto"/>
                <w:szCs w:val="21"/>
                <w:highlight w:val="none"/>
              </w:rPr>
            </w:pPr>
          </w:p>
        </w:tc>
        <w:tc>
          <w:tcPr>
            <w:tcW w:w="1557" w:type="dxa"/>
          </w:tcPr>
          <w:p w14:paraId="4A9AFD42">
            <w:pPr>
              <w:pStyle w:val="137"/>
              <w:jc w:val="center"/>
              <w:outlineLvl w:val="0"/>
              <w:rPr>
                <w:color w:val="auto"/>
                <w:szCs w:val="21"/>
                <w:highlight w:val="none"/>
              </w:rPr>
            </w:pPr>
          </w:p>
        </w:tc>
        <w:tc>
          <w:tcPr>
            <w:tcW w:w="569" w:type="dxa"/>
          </w:tcPr>
          <w:p w14:paraId="3B70637C">
            <w:pPr>
              <w:pStyle w:val="137"/>
              <w:jc w:val="center"/>
              <w:outlineLvl w:val="0"/>
              <w:rPr>
                <w:color w:val="auto"/>
                <w:szCs w:val="21"/>
                <w:highlight w:val="none"/>
              </w:rPr>
            </w:pPr>
          </w:p>
        </w:tc>
      </w:tr>
      <w:tr w14:paraId="0B37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28CD6215">
            <w:pPr>
              <w:pStyle w:val="137"/>
              <w:jc w:val="center"/>
              <w:outlineLvl w:val="0"/>
              <w:rPr>
                <w:color w:val="auto"/>
                <w:szCs w:val="21"/>
                <w:highlight w:val="none"/>
              </w:rPr>
            </w:pPr>
          </w:p>
        </w:tc>
        <w:tc>
          <w:tcPr>
            <w:tcW w:w="1134" w:type="dxa"/>
          </w:tcPr>
          <w:p w14:paraId="464EDE9E">
            <w:pPr>
              <w:pStyle w:val="137"/>
              <w:jc w:val="center"/>
              <w:outlineLvl w:val="0"/>
              <w:rPr>
                <w:color w:val="auto"/>
                <w:szCs w:val="21"/>
                <w:highlight w:val="none"/>
              </w:rPr>
            </w:pPr>
          </w:p>
        </w:tc>
        <w:tc>
          <w:tcPr>
            <w:tcW w:w="1152" w:type="dxa"/>
          </w:tcPr>
          <w:p w14:paraId="51D76C7A">
            <w:pPr>
              <w:pStyle w:val="137"/>
              <w:jc w:val="center"/>
              <w:outlineLvl w:val="0"/>
              <w:rPr>
                <w:color w:val="auto"/>
                <w:szCs w:val="21"/>
                <w:highlight w:val="none"/>
              </w:rPr>
            </w:pPr>
          </w:p>
        </w:tc>
        <w:tc>
          <w:tcPr>
            <w:tcW w:w="1258" w:type="dxa"/>
          </w:tcPr>
          <w:p w14:paraId="638AF5E4">
            <w:pPr>
              <w:pStyle w:val="137"/>
              <w:jc w:val="center"/>
              <w:outlineLvl w:val="0"/>
              <w:rPr>
                <w:color w:val="auto"/>
                <w:szCs w:val="21"/>
                <w:highlight w:val="none"/>
              </w:rPr>
            </w:pPr>
          </w:p>
        </w:tc>
        <w:tc>
          <w:tcPr>
            <w:tcW w:w="992" w:type="dxa"/>
          </w:tcPr>
          <w:p w14:paraId="385A7CFC">
            <w:pPr>
              <w:pStyle w:val="137"/>
              <w:jc w:val="center"/>
              <w:outlineLvl w:val="0"/>
              <w:rPr>
                <w:color w:val="auto"/>
                <w:szCs w:val="21"/>
                <w:highlight w:val="none"/>
              </w:rPr>
            </w:pPr>
          </w:p>
        </w:tc>
        <w:tc>
          <w:tcPr>
            <w:tcW w:w="992" w:type="dxa"/>
          </w:tcPr>
          <w:p w14:paraId="18DE9F10">
            <w:pPr>
              <w:pStyle w:val="137"/>
              <w:jc w:val="center"/>
              <w:outlineLvl w:val="0"/>
              <w:rPr>
                <w:color w:val="auto"/>
                <w:szCs w:val="21"/>
                <w:highlight w:val="none"/>
              </w:rPr>
            </w:pPr>
          </w:p>
        </w:tc>
        <w:tc>
          <w:tcPr>
            <w:tcW w:w="1560" w:type="dxa"/>
          </w:tcPr>
          <w:p w14:paraId="5F709C05">
            <w:pPr>
              <w:pStyle w:val="137"/>
              <w:jc w:val="center"/>
              <w:outlineLvl w:val="0"/>
              <w:rPr>
                <w:color w:val="auto"/>
                <w:szCs w:val="21"/>
                <w:highlight w:val="none"/>
              </w:rPr>
            </w:pPr>
          </w:p>
        </w:tc>
        <w:tc>
          <w:tcPr>
            <w:tcW w:w="1557" w:type="dxa"/>
          </w:tcPr>
          <w:p w14:paraId="01834BC5">
            <w:pPr>
              <w:pStyle w:val="137"/>
              <w:jc w:val="center"/>
              <w:outlineLvl w:val="0"/>
              <w:rPr>
                <w:color w:val="auto"/>
                <w:szCs w:val="21"/>
                <w:highlight w:val="none"/>
              </w:rPr>
            </w:pPr>
          </w:p>
        </w:tc>
        <w:tc>
          <w:tcPr>
            <w:tcW w:w="569" w:type="dxa"/>
          </w:tcPr>
          <w:p w14:paraId="14B7971D">
            <w:pPr>
              <w:pStyle w:val="137"/>
              <w:jc w:val="center"/>
              <w:outlineLvl w:val="0"/>
              <w:rPr>
                <w:color w:val="auto"/>
                <w:szCs w:val="21"/>
                <w:highlight w:val="none"/>
              </w:rPr>
            </w:pPr>
          </w:p>
        </w:tc>
      </w:tr>
      <w:tr w14:paraId="55DC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18628DC0">
            <w:pPr>
              <w:pStyle w:val="137"/>
              <w:jc w:val="center"/>
              <w:outlineLvl w:val="0"/>
              <w:rPr>
                <w:color w:val="auto"/>
                <w:szCs w:val="21"/>
                <w:highlight w:val="none"/>
              </w:rPr>
            </w:pPr>
          </w:p>
        </w:tc>
        <w:tc>
          <w:tcPr>
            <w:tcW w:w="1134" w:type="dxa"/>
          </w:tcPr>
          <w:p w14:paraId="303B1D65">
            <w:pPr>
              <w:pStyle w:val="137"/>
              <w:jc w:val="center"/>
              <w:outlineLvl w:val="0"/>
              <w:rPr>
                <w:color w:val="auto"/>
                <w:szCs w:val="21"/>
                <w:highlight w:val="none"/>
              </w:rPr>
            </w:pPr>
          </w:p>
        </w:tc>
        <w:tc>
          <w:tcPr>
            <w:tcW w:w="1152" w:type="dxa"/>
          </w:tcPr>
          <w:p w14:paraId="2D28F9E5">
            <w:pPr>
              <w:pStyle w:val="137"/>
              <w:jc w:val="center"/>
              <w:outlineLvl w:val="0"/>
              <w:rPr>
                <w:color w:val="auto"/>
                <w:szCs w:val="21"/>
                <w:highlight w:val="none"/>
              </w:rPr>
            </w:pPr>
          </w:p>
        </w:tc>
        <w:tc>
          <w:tcPr>
            <w:tcW w:w="1258" w:type="dxa"/>
          </w:tcPr>
          <w:p w14:paraId="47810D6F">
            <w:pPr>
              <w:pStyle w:val="137"/>
              <w:jc w:val="center"/>
              <w:outlineLvl w:val="0"/>
              <w:rPr>
                <w:color w:val="auto"/>
                <w:szCs w:val="21"/>
                <w:highlight w:val="none"/>
              </w:rPr>
            </w:pPr>
          </w:p>
        </w:tc>
        <w:tc>
          <w:tcPr>
            <w:tcW w:w="992" w:type="dxa"/>
          </w:tcPr>
          <w:p w14:paraId="5DEB31CB">
            <w:pPr>
              <w:pStyle w:val="137"/>
              <w:jc w:val="center"/>
              <w:outlineLvl w:val="0"/>
              <w:rPr>
                <w:color w:val="auto"/>
                <w:szCs w:val="21"/>
                <w:highlight w:val="none"/>
              </w:rPr>
            </w:pPr>
          </w:p>
        </w:tc>
        <w:tc>
          <w:tcPr>
            <w:tcW w:w="992" w:type="dxa"/>
          </w:tcPr>
          <w:p w14:paraId="2C63F78E">
            <w:pPr>
              <w:pStyle w:val="137"/>
              <w:jc w:val="center"/>
              <w:outlineLvl w:val="0"/>
              <w:rPr>
                <w:color w:val="auto"/>
                <w:szCs w:val="21"/>
                <w:highlight w:val="none"/>
              </w:rPr>
            </w:pPr>
          </w:p>
        </w:tc>
        <w:tc>
          <w:tcPr>
            <w:tcW w:w="1560" w:type="dxa"/>
          </w:tcPr>
          <w:p w14:paraId="412F24A4">
            <w:pPr>
              <w:pStyle w:val="137"/>
              <w:jc w:val="center"/>
              <w:outlineLvl w:val="0"/>
              <w:rPr>
                <w:color w:val="auto"/>
                <w:szCs w:val="21"/>
                <w:highlight w:val="none"/>
              </w:rPr>
            </w:pPr>
          </w:p>
        </w:tc>
        <w:tc>
          <w:tcPr>
            <w:tcW w:w="1557" w:type="dxa"/>
          </w:tcPr>
          <w:p w14:paraId="46C53BAA">
            <w:pPr>
              <w:pStyle w:val="137"/>
              <w:jc w:val="center"/>
              <w:outlineLvl w:val="0"/>
              <w:rPr>
                <w:color w:val="auto"/>
                <w:szCs w:val="21"/>
                <w:highlight w:val="none"/>
              </w:rPr>
            </w:pPr>
          </w:p>
        </w:tc>
        <w:tc>
          <w:tcPr>
            <w:tcW w:w="569" w:type="dxa"/>
          </w:tcPr>
          <w:p w14:paraId="036A3223">
            <w:pPr>
              <w:pStyle w:val="137"/>
              <w:jc w:val="center"/>
              <w:outlineLvl w:val="0"/>
              <w:rPr>
                <w:color w:val="auto"/>
                <w:szCs w:val="21"/>
                <w:highlight w:val="none"/>
              </w:rPr>
            </w:pPr>
          </w:p>
        </w:tc>
      </w:tr>
      <w:tr w14:paraId="5ECB3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52884710">
            <w:pPr>
              <w:pStyle w:val="137"/>
              <w:jc w:val="center"/>
              <w:outlineLvl w:val="0"/>
              <w:rPr>
                <w:color w:val="auto"/>
                <w:szCs w:val="21"/>
                <w:highlight w:val="none"/>
              </w:rPr>
            </w:pPr>
          </w:p>
        </w:tc>
        <w:tc>
          <w:tcPr>
            <w:tcW w:w="1134" w:type="dxa"/>
          </w:tcPr>
          <w:p w14:paraId="25CD052F">
            <w:pPr>
              <w:pStyle w:val="137"/>
              <w:jc w:val="center"/>
              <w:outlineLvl w:val="0"/>
              <w:rPr>
                <w:color w:val="auto"/>
                <w:szCs w:val="21"/>
                <w:highlight w:val="none"/>
              </w:rPr>
            </w:pPr>
          </w:p>
        </w:tc>
        <w:tc>
          <w:tcPr>
            <w:tcW w:w="1152" w:type="dxa"/>
          </w:tcPr>
          <w:p w14:paraId="42DD0506">
            <w:pPr>
              <w:pStyle w:val="137"/>
              <w:jc w:val="center"/>
              <w:outlineLvl w:val="0"/>
              <w:rPr>
                <w:color w:val="auto"/>
                <w:szCs w:val="21"/>
                <w:highlight w:val="none"/>
              </w:rPr>
            </w:pPr>
          </w:p>
        </w:tc>
        <w:tc>
          <w:tcPr>
            <w:tcW w:w="1258" w:type="dxa"/>
          </w:tcPr>
          <w:p w14:paraId="406DA380">
            <w:pPr>
              <w:pStyle w:val="137"/>
              <w:jc w:val="center"/>
              <w:outlineLvl w:val="0"/>
              <w:rPr>
                <w:color w:val="auto"/>
                <w:szCs w:val="21"/>
                <w:highlight w:val="none"/>
              </w:rPr>
            </w:pPr>
          </w:p>
        </w:tc>
        <w:tc>
          <w:tcPr>
            <w:tcW w:w="992" w:type="dxa"/>
          </w:tcPr>
          <w:p w14:paraId="52E8A109">
            <w:pPr>
              <w:pStyle w:val="137"/>
              <w:jc w:val="center"/>
              <w:outlineLvl w:val="0"/>
              <w:rPr>
                <w:color w:val="auto"/>
                <w:szCs w:val="21"/>
                <w:highlight w:val="none"/>
              </w:rPr>
            </w:pPr>
          </w:p>
        </w:tc>
        <w:tc>
          <w:tcPr>
            <w:tcW w:w="992" w:type="dxa"/>
          </w:tcPr>
          <w:p w14:paraId="45924C6C">
            <w:pPr>
              <w:pStyle w:val="137"/>
              <w:jc w:val="center"/>
              <w:outlineLvl w:val="0"/>
              <w:rPr>
                <w:color w:val="auto"/>
                <w:szCs w:val="21"/>
                <w:highlight w:val="none"/>
              </w:rPr>
            </w:pPr>
          </w:p>
        </w:tc>
        <w:tc>
          <w:tcPr>
            <w:tcW w:w="1560" w:type="dxa"/>
          </w:tcPr>
          <w:p w14:paraId="3EC329AF">
            <w:pPr>
              <w:pStyle w:val="137"/>
              <w:jc w:val="center"/>
              <w:outlineLvl w:val="0"/>
              <w:rPr>
                <w:color w:val="auto"/>
                <w:szCs w:val="21"/>
                <w:highlight w:val="none"/>
              </w:rPr>
            </w:pPr>
          </w:p>
        </w:tc>
        <w:tc>
          <w:tcPr>
            <w:tcW w:w="1557" w:type="dxa"/>
          </w:tcPr>
          <w:p w14:paraId="5AB57B15">
            <w:pPr>
              <w:pStyle w:val="137"/>
              <w:jc w:val="center"/>
              <w:outlineLvl w:val="0"/>
              <w:rPr>
                <w:color w:val="auto"/>
                <w:szCs w:val="21"/>
                <w:highlight w:val="none"/>
              </w:rPr>
            </w:pPr>
          </w:p>
        </w:tc>
        <w:tc>
          <w:tcPr>
            <w:tcW w:w="569" w:type="dxa"/>
          </w:tcPr>
          <w:p w14:paraId="3CEFE9E1">
            <w:pPr>
              <w:pStyle w:val="137"/>
              <w:jc w:val="center"/>
              <w:outlineLvl w:val="0"/>
              <w:rPr>
                <w:color w:val="auto"/>
                <w:szCs w:val="21"/>
                <w:highlight w:val="none"/>
              </w:rPr>
            </w:pPr>
          </w:p>
        </w:tc>
      </w:tr>
      <w:tr w14:paraId="1929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2F2D2962">
            <w:pPr>
              <w:pStyle w:val="137"/>
              <w:jc w:val="center"/>
              <w:outlineLvl w:val="0"/>
              <w:rPr>
                <w:color w:val="auto"/>
                <w:szCs w:val="21"/>
                <w:highlight w:val="none"/>
              </w:rPr>
            </w:pPr>
          </w:p>
        </w:tc>
        <w:tc>
          <w:tcPr>
            <w:tcW w:w="1134" w:type="dxa"/>
          </w:tcPr>
          <w:p w14:paraId="0F13A0C1">
            <w:pPr>
              <w:pStyle w:val="137"/>
              <w:jc w:val="center"/>
              <w:outlineLvl w:val="0"/>
              <w:rPr>
                <w:color w:val="auto"/>
                <w:szCs w:val="21"/>
                <w:highlight w:val="none"/>
              </w:rPr>
            </w:pPr>
          </w:p>
        </w:tc>
        <w:tc>
          <w:tcPr>
            <w:tcW w:w="1152" w:type="dxa"/>
          </w:tcPr>
          <w:p w14:paraId="412FB487">
            <w:pPr>
              <w:pStyle w:val="137"/>
              <w:jc w:val="center"/>
              <w:outlineLvl w:val="0"/>
              <w:rPr>
                <w:color w:val="auto"/>
                <w:szCs w:val="21"/>
                <w:highlight w:val="none"/>
              </w:rPr>
            </w:pPr>
          </w:p>
        </w:tc>
        <w:tc>
          <w:tcPr>
            <w:tcW w:w="1258" w:type="dxa"/>
          </w:tcPr>
          <w:p w14:paraId="46277BAA">
            <w:pPr>
              <w:pStyle w:val="137"/>
              <w:jc w:val="center"/>
              <w:outlineLvl w:val="0"/>
              <w:rPr>
                <w:color w:val="auto"/>
                <w:szCs w:val="21"/>
                <w:highlight w:val="none"/>
              </w:rPr>
            </w:pPr>
          </w:p>
        </w:tc>
        <w:tc>
          <w:tcPr>
            <w:tcW w:w="992" w:type="dxa"/>
          </w:tcPr>
          <w:p w14:paraId="13FF76C6">
            <w:pPr>
              <w:pStyle w:val="137"/>
              <w:jc w:val="center"/>
              <w:outlineLvl w:val="0"/>
              <w:rPr>
                <w:color w:val="auto"/>
                <w:szCs w:val="21"/>
                <w:highlight w:val="none"/>
              </w:rPr>
            </w:pPr>
          </w:p>
        </w:tc>
        <w:tc>
          <w:tcPr>
            <w:tcW w:w="992" w:type="dxa"/>
          </w:tcPr>
          <w:p w14:paraId="6D39F059">
            <w:pPr>
              <w:pStyle w:val="137"/>
              <w:jc w:val="center"/>
              <w:outlineLvl w:val="0"/>
              <w:rPr>
                <w:color w:val="auto"/>
                <w:szCs w:val="21"/>
                <w:highlight w:val="none"/>
              </w:rPr>
            </w:pPr>
          </w:p>
        </w:tc>
        <w:tc>
          <w:tcPr>
            <w:tcW w:w="1560" w:type="dxa"/>
          </w:tcPr>
          <w:p w14:paraId="7C49687E">
            <w:pPr>
              <w:pStyle w:val="137"/>
              <w:jc w:val="center"/>
              <w:outlineLvl w:val="0"/>
              <w:rPr>
                <w:color w:val="auto"/>
                <w:szCs w:val="21"/>
                <w:highlight w:val="none"/>
              </w:rPr>
            </w:pPr>
          </w:p>
        </w:tc>
        <w:tc>
          <w:tcPr>
            <w:tcW w:w="1557" w:type="dxa"/>
          </w:tcPr>
          <w:p w14:paraId="672623B0">
            <w:pPr>
              <w:pStyle w:val="137"/>
              <w:jc w:val="center"/>
              <w:outlineLvl w:val="0"/>
              <w:rPr>
                <w:color w:val="auto"/>
                <w:szCs w:val="21"/>
                <w:highlight w:val="none"/>
              </w:rPr>
            </w:pPr>
          </w:p>
        </w:tc>
        <w:tc>
          <w:tcPr>
            <w:tcW w:w="569" w:type="dxa"/>
          </w:tcPr>
          <w:p w14:paraId="05D27A18">
            <w:pPr>
              <w:pStyle w:val="137"/>
              <w:jc w:val="center"/>
              <w:outlineLvl w:val="0"/>
              <w:rPr>
                <w:color w:val="auto"/>
                <w:szCs w:val="21"/>
                <w:highlight w:val="none"/>
              </w:rPr>
            </w:pPr>
          </w:p>
        </w:tc>
      </w:tr>
      <w:tr w14:paraId="7781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13DA6108">
            <w:pPr>
              <w:pStyle w:val="137"/>
              <w:jc w:val="center"/>
              <w:outlineLvl w:val="0"/>
              <w:rPr>
                <w:color w:val="auto"/>
                <w:szCs w:val="21"/>
                <w:highlight w:val="none"/>
              </w:rPr>
            </w:pPr>
          </w:p>
        </w:tc>
        <w:tc>
          <w:tcPr>
            <w:tcW w:w="1134" w:type="dxa"/>
          </w:tcPr>
          <w:p w14:paraId="06FE5F61">
            <w:pPr>
              <w:pStyle w:val="137"/>
              <w:jc w:val="center"/>
              <w:outlineLvl w:val="0"/>
              <w:rPr>
                <w:color w:val="auto"/>
                <w:szCs w:val="21"/>
                <w:highlight w:val="none"/>
              </w:rPr>
            </w:pPr>
          </w:p>
        </w:tc>
        <w:tc>
          <w:tcPr>
            <w:tcW w:w="1152" w:type="dxa"/>
          </w:tcPr>
          <w:p w14:paraId="2FA207A8">
            <w:pPr>
              <w:pStyle w:val="137"/>
              <w:jc w:val="center"/>
              <w:outlineLvl w:val="0"/>
              <w:rPr>
                <w:color w:val="auto"/>
                <w:szCs w:val="21"/>
                <w:highlight w:val="none"/>
              </w:rPr>
            </w:pPr>
          </w:p>
        </w:tc>
        <w:tc>
          <w:tcPr>
            <w:tcW w:w="1258" w:type="dxa"/>
          </w:tcPr>
          <w:p w14:paraId="138DC927">
            <w:pPr>
              <w:pStyle w:val="137"/>
              <w:jc w:val="center"/>
              <w:outlineLvl w:val="0"/>
              <w:rPr>
                <w:color w:val="auto"/>
                <w:szCs w:val="21"/>
                <w:highlight w:val="none"/>
              </w:rPr>
            </w:pPr>
          </w:p>
        </w:tc>
        <w:tc>
          <w:tcPr>
            <w:tcW w:w="992" w:type="dxa"/>
          </w:tcPr>
          <w:p w14:paraId="468F7334">
            <w:pPr>
              <w:pStyle w:val="137"/>
              <w:jc w:val="center"/>
              <w:outlineLvl w:val="0"/>
              <w:rPr>
                <w:color w:val="auto"/>
                <w:szCs w:val="21"/>
                <w:highlight w:val="none"/>
              </w:rPr>
            </w:pPr>
          </w:p>
        </w:tc>
        <w:tc>
          <w:tcPr>
            <w:tcW w:w="992" w:type="dxa"/>
          </w:tcPr>
          <w:p w14:paraId="789D7D1C">
            <w:pPr>
              <w:pStyle w:val="137"/>
              <w:jc w:val="center"/>
              <w:outlineLvl w:val="0"/>
              <w:rPr>
                <w:color w:val="auto"/>
                <w:szCs w:val="21"/>
                <w:highlight w:val="none"/>
              </w:rPr>
            </w:pPr>
          </w:p>
        </w:tc>
        <w:tc>
          <w:tcPr>
            <w:tcW w:w="1560" w:type="dxa"/>
          </w:tcPr>
          <w:p w14:paraId="246219C8">
            <w:pPr>
              <w:pStyle w:val="137"/>
              <w:jc w:val="center"/>
              <w:outlineLvl w:val="0"/>
              <w:rPr>
                <w:color w:val="auto"/>
                <w:szCs w:val="21"/>
                <w:highlight w:val="none"/>
              </w:rPr>
            </w:pPr>
          </w:p>
        </w:tc>
        <w:tc>
          <w:tcPr>
            <w:tcW w:w="1557" w:type="dxa"/>
          </w:tcPr>
          <w:p w14:paraId="05B0B69D">
            <w:pPr>
              <w:pStyle w:val="137"/>
              <w:jc w:val="center"/>
              <w:outlineLvl w:val="0"/>
              <w:rPr>
                <w:color w:val="auto"/>
                <w:szCs w:val="21"/>
                <w:highlight w:val="none"/>
              </w:rPr>
            </w:pPr>
          </w:p>
        </w:tc>
        <w:tc>
          <w:tcPr>
            <w:tcW w:w="569" w:type="dxa"/>
          </w:tcPr>
          <w:p w14:paraId="23D69F29">
            <w:pPr>
              <w:pStyle w:val="137"/>
              <w:jc w:val="center"/>
              <w:outlineLvl w:val="0"/>
              <w:rPr>
                <w:color w:val="auto"/>
                <w:szCs w:val="21"/>
                <w:highlight w:val="none"/>
              </w:rPr>
            </w:pPr>
          </w:p>
        </w:tc>
      </w:tr>
    </w:tbl>
    <w:p w14:paraId="5752A8BC">
      <w:pPr>
        <w:spacing w:line="360" w:lineRule="auto"/>
        <w:ind w:firstLine="420" w:firstLineChars="200"/>
        <w:rPr>
          <w:color w:val="auto"/>
          <w:szCs w:val="21"/>
          <w:highlight w:val="none"/>
        </w:rPr>
      </w:pPr>
    </w:p>
    <w:p w14:paraId="2091011B">
      <w:pPr>
        <w:spacing w:line="360" w:lineRule="auto"/>
        <w:ind w:firstLine="422" w:firstLineChars="200"/>
        <w:rPr>
          <w:rFonts w:eastAsia="楷体_GB2312" w:cs="楷体_GB2312"/>
          <w:b/>
          <w:bCs/>
          <w:color w:val="auto"/>
          <w:highlight w:val="none"/>
        </w:rPr>
      </w:pPr>
      <w:r>
        <w:rPr>
          <w:rFonts w:hint="eastAsia" w:eastAsia="楷体_GB2312" w:cs="楷体_GB2312"/>
          <w:b/>
          <w:bCs/>
          <w:color w:val="auto"/>
          <w:highlight w:val="none"/>
        </w:rPr>
        <w:t>备注：1.相关信息应与“桂建云”系统信息一致，</w:t>
      </w:r>
      <w:r>
        <w:rPr>
          <w:rFonts w:eastAsia="楷体_GB2312" w:cs="楷体_GB2312"/>
          <w:b/>
          <w:bCs/>
          <w:color w:val="auto"/>
          <w:highlight w:val="none"/>
        </w:rPr>
        <w:t>否则</w:t>
      </w:r>
      <w:r>
        <w:rPr>
          <w:rFonts w:hint="eastAsia" w:eastAsia="楷体_GB2312" w:cs="楷体_GB2312"/>
          <w:b/>
          <w:bCs/>
          <w:color w:val="auto"/>
          <w:highlight w:val="none"/>
        </w:rPr>
        <w:t>评审时不予承认。</w:t>
      </w:r>
    </w:p>
    <w:p w14:paraId="0E907328">
      <w:pPr>
        <w:spacing w:line="360" w:lineRule="auto"/>
        <w:ind w:firstLine="422" w:firstLineChars="200"/>
        <w:rPr>
          <w:rFonts w:eastAsia="楷体_GB2312" w:cs="楷体_GB2312"/>
          <w:b/>
          <w:bCs/>
          <w:color w:val="auto"/>
          <w:highlight w:val="none"/>
          <w:lang w:val="en"/>
        </w:rPr>
      </w:pPr>
      <w:r>
        <w:rPr>
          <w:rFonts w:hint="eastAsia" w:eastAsia="楷体_GB2312" w:cs="楷体_GB2312"/>
          <w:b/>
          <w:bCs/>
          <w:color w:val="auto"/>
          <w:highlight w:val="none"/>
        </w:rPr>
        <w:t>2.</w:t>
      </w:r>
      <w:r>
        <w:rPr>
          <w:rFonts w:hint="eastAsia" w:ascii="楷体" w:hAnsi="楷体" w:eastAsia="楷体" w:cs="宋体"/>
          <w:b/>
          <w:color w:val="auto"/>
          <w:highlight w:val="none"/>
        </w:rPr>
        <w:t>注册城乡规划师，咨询工程师，注册土木工程师（道路）等未在住建部注册或者未实施注册制度的资格证书，在人员信息中备注一栏填写该人员为某专业注册人员，并在投标人认为的其他材料内补充上传电子证书，</w:t>
      </w:r>
      <w:r>
        <w:rPr>
          <w:rFonts w:ascii="楷体" w:hAnsi="楷体" w:eastAsia="楷体" w:cs="宋体"/>
          <w:b/>
          <w:color w:val="auto"/>
          <w:highlight w:val="none"/>
          <w:lang w:val="en"/>
        </w:rPr>
        <w:t>非电子证书，均不予以认可。</w:t>
      </w:r>
    </w:p>
    <w:p w14:paraId="60D3E4FD">
      <w:pPr>
        <w:rPr>
          <w:rFonts w:ascii="宋体" w:hAnsi="宋体"/>
          <w:color w:val="auto"/>
          <w:szCs w:val="21"/>
          <w:highlight w:val="none"/>
        </w:rPr>
      </w:pPr>
    </w:p>
    <w:p w14:paraId="72AA592B">
      <w:pPr>
        <w:rPr>
          <w:rFonts w:ascii="宋体" w:hAnsi="宋体"/>
          <w:color w:val="auto"/>
          <w:szCs w:val="21"/>
          <w:highlight w:val="none"/>
        </w:rPr>
      </w:pPr>
    </w:p>
    <w:p w14:paraId="270CF389">
      <w:pPr>
        <w:rPr>
          <w:rFonts w:ascii="宋体" w:hAnsi="宋体"/>
          <w:color w:val="auto"/>
          <w:szCs w:val="21"/>
          <w:highlight w:val="none"/>
        </w:rPr>
      </w:pPr>
    </w:p>
    <w:p w14:paraId="7C60C88A">
      <w:pPr>
        <w:rPr>
          <w:rFonts w:ascii="宋体" w:hAnsi="宋体"/>
          <w:color w:val="auto"/>
          <w:szCs w:val="21"/>
          <w:highlight w:val="none"/>
        </w:rPr>
      </w:pPr>
    </w:p>
    <w:p w14:paraId="39DDB21E">
      <w:pPr>
        <w:rPr>
          <w:rFonts w:ascii="宋体" w:hAnsi="宋体"/>
          <w:color w:val="auto"/>
          <w:szCs w:val="21"/>
          <w:highlight w:val="none"/>
        </w:rPr>
      </w:pPr>
    </w:p>
    <w:p w14:paraId="56550613">
      <w:pPr>
        <w:rPr>
          <w:rFonts w:ascii="宋体" w:hAnsi="宋体"/>
          <w:color w:val="auto"/>
          <w:szCs w:val="21"/>
          <w:highlight w:val="none"/>
        </w:rPr>
      </w:pPr>
    </w:p>
    <w:p w14:paraId="0989F345">
      <w:pPr>
        <w:rPr>
          <w:rFonts w:ascii="宋体" w:hAnsi="宋体"/>
          <w:color w:val="auto"/>
          <w:szCs w:val="21"/>
          <w:highlight w:val="none"/>
        </w:rPr>
      </w:pPr>
    </w:p>
    <w:p w14:paraId="0E66F3AB">
      <w:pPr>
        <w:rPr>
          <w:rFonts w:ascii="宋体" w:hAnsi="宋体"/>
          <w:color w:val="auto"/>
          <w:szCs w:val="21"/>
          <w:highlight w:val="none"/>
        </w:rPr>
      </w:pPr>
    </w:p>
    <w:p w14:paraId="08560805">
      <w:pPr>
        <w:rPr>
          <w:rFonts w:ascii="宋体" w:hAnsi="宋体"/>
          <w:color w:val="auto"/>
          <w:szCs w:val="21"/>
          <w:highlight w:val="none"/>
        </w:rPr>
      </w:pPr>
    </w:p>
    <w:p w14:paraId="00FE6ABF">
      <w:pPr>
        <w:rPr>
          <w:rFonts w:ascii="宋体" w:hAnsi="宋体"/>
          <w:color w:val="auto"/>
          <w:szCs w:val="21"/>
          <w:highlight w:val="none"/>
        </w:rPr>
      </w:pPr>
    </w:p>
    <w:p w14:paraId="7C279132">
      <w:pPr>
        <w:rPr>
          <w:rFonts w:ascii="宋体" w:hAnsi="宋体"/>
          <w:color w:val="auto"/>
          <w:szCs w:val="21"/>
          <w:highlight w:val="none"/>
        </w:rPr>
      </w:pPr>
    </w:p>
    <w:p w14:paraId="5204D36D">
      <w:pPr>
        <w:rPr>
          <w:rFonts w:ascii="宋体" w:hAnsi="宋体"/>
          <w:color w:val="auto"/>
          <w:szCs w:val="21"/>
          <w:highlight w:val="none"/>
        </w:rPr>
      </w:pPr>
    </w:p>
    <w:p w14:paraId="2D0D95E7">
      <w:pPr>
        <w:rPr>
          <w:rFonts w:ascii="宋体" w:hAnsi="宋体"/>
          <w:color w:val="auto"/>
          <w:szCs w:val="21"/>
          <w:highlight w:val="none"/>
        </w:rPr>
      </w:pPr>
    </w:p>
    <w:p w14:paraId="74A7240B">
      <w:pPr>
        <w:rPr>
          <w:rFonts w:ascii="宋体" w:hAnsi="宋体"/>
          <w:color w:val="auto"/>
          <w:szCs w:val="21"/>
          <w:highlight w:val="none"/>
        </w:rPr>
      </w:pPr>
    </w:p>
    <w:p w14:paraId="3A2BD379">
      <w:pPr>
        <w:rPr>
          <w:rFonts w:ascii="宋体" w:hAnsi="宋体"/>
          <w:color w:val="auto"/>
          <w:szCs w:val="21"/>
          <w:highlight w:val="none"/>
        </w:rPr>
      </w:pPr>
    </w:p>
    <w:p w14:paraId="4803F647">
      <w:pPr>
        <w:rPr>
          <w:rFonts w:ascii="宋体" w:hAnsi="宋体"/>
          <w:color w:val="auto"/>
          <w:szCs w:val="21"/>
          <w:highlight w:val="none"/>
        </w:rPr>
      </w:pPr>
    </w:p>
    <w:p w14:paraId="12373870">
      <w:pPr>
        <w:rPr>
          <w:rFonts w:ascii="宋体" w:hAnsi="宋体"/>
          <w:color w:val="auto"/>
          <w:szCs w:val="21"/>
          <w:highlight w:val="none"/>
        </w:rPr>
      </w:pPr>
    </w:p>
    <w:p w14:paraId="62CB9F29">
      <w:pPr>
        <w:rPr>
          <w:rFonts w:ascii="宋体" w:hAnsi="宋体"/>
          <w:color w:val="auto"/>
          <w:szCs w:val="21"/>
          <w:highlight w:val="none"/>
        </w:rPr>
      </w:pPr>
    </w:p>
    <w:p w14:paraId="688BA15F">
      <w:pPr>
        <w:rPr>
          <w:rFonts w:ascii="宋体" w:hAnsi="宋体"/>
          <w:color w:val="auto"/>
          <w:szCs w:val="21"/>
          <w:highlight w:val="none"/>
        </w:rPr>
      </w:pPr>
    </w:p>
    <w:p w14:paraId="40C997E0">
      <w:pPr>
        <w:rPr>
          <w:rFonts w:ascii="宋体" w:hAnsi="宋体"/>
          <w:color w:val="auto"/>
          <w:szCs w:val="21"/>
          <w:highlight w:val="none"/>
        </w:rPr>
      </w:pPr>
    </w:p>
    <w:p w14:paraId="66A6AFA8">
      <w:pPr>
        <w:rPr>
          <w:rFonts w:ascii="宋体" w:hAnsi="宋体"/>
          <w:color w:val="auto"/>
          <w:szCs w:val="21"/>
          <w:highlight w:val="none"/>
        </w:rPr>
      </w:pPr>
    </w:p>
    <w:p w14:paraId="530F4AE2">
      <w:pPr>
        <w:rPr>
          <w:rFonts w:ascii="宋体" w:hAnsi="宋体"/>
          <w:color w:val="auto"/>
          <w:szCs w:val="21"/>
          <w:highlight w:val="none"/>
        </w:rPr>
      </w:pPr>
    </w:p>
    <w:p w14:paraId="42A39D3C">
      <w:pPr>
        <w:rPr>
          <w:rFonts w:ascii="宋体" w:hAnsi="宋体"/>
          <w:color w:val="auto"/>
          <w:szCs w:val="21"/>
          <w:highlight w:val="none"/>
        </w:rPr>
      </w:pPr>
    </w:p>
    <w:p w14:paraId="0CD2D04B">
      <w:pPr>
        <w:rPr>
          <w:rFonts w:ascii="宋体" w:hAnsi="宋体"/>
          <w:color w:val="auto"/>
          <w:szCs w:val="21"/>
          <w:highlight w:val="none"/>
        </w:rPr>
      </w:pPr>
    </w:p>
    <w:p w14:paraId="67546017">
      <w:pPr>
        <w:rPr>
          <w:rFonts w:ascii="宋体" w:hAnsi="宋体"/>
          <w:color w:val="auto"/>
          <w:szCs w:val="21"/>
          <w:highlight w:val="none"/>
        </w:rPr>
      </w:pPr>
    </w:p>
    <w:p w14:paraId="0C8FA7E4">
      <w:pPr>
        <w:rPr>
          <w:b/>
          <w:color w:val="auto"/>
          <w:szCs w:val="21"/>
          <w:highlight w:val="none"/>
        </w:rPr>
      </w:pPr>
      <w:r>
        <w:rPr>
          <w:b/>
          <w:color w:val="auto"/>
          <w:szCs w:val="21"/>
          <w:highlight w:val="none"/>
        </w:rPr>
        <w:t>表A-</w:t>
      </w:r>
      <w:r>
        <w:rPr>
          <w:rFonts w:hint="eastAsia"/>
          <w:b/>
          <w:color w:val="auto"/>
          <w:szCs w:val="21"/>
          <w:highlight w:val="none"/>
        </w:rPr>
        <w:t>16</w:t>
      </w:r>
      <w:r>
        <w:rPr>
          <w:b/>
          <w:color w:val="auto"/>
          <w:szCs w:val="21"/>
          <w:highlight w:val="none"/>
        </w:rPr>
        <w:t>：</w:t>
      </w:r>
      <w:r>
        <w:rPr>
          <w:rFonts w:hint="eastAsia"/>
          <w:b/>
          <w:color w:val="auto"/>
          <w:szCs w:val="21"/>
          <w:highlight w:val="none"/>
        </w:rPr>
        <w:t>中标通知书</w:t>
      </w:r>
    </w:p>
    <w:p w14:paraId="704028ED">
      <w:pPr>
        <w:jc w:val="center"/>
        <w:rPr>
          <w:b/>
          <w:color w:val="auto"/>
          <w:sz w:val="28"/>
          <w:szCs w:val="28"/>
          <w:highlight w:val="none"/>
        </w:rPr>
      </w:pPr>
      <w:r>
        <w:rPr>
          <w:rFonts w:hint="eastAsia" w:eastAsia="黑体"/>
          <w:color w:val="auto"/>
          <w:sz w:val="28"/>
          <w:szCs w:val="28"/>
          <w:highlight w:val="none"/>
        </w:rPr>
        <w:t>中标通知书</w:t>
      </w:r>
    </w:p>
    <w:p w14:paraId="7DC17711">
      <w:pPr>
        <w:ind w:firstLine="210" w:firstLineChars="100"/>
        <w:rPr>
          <w:color w:val="auto"/>
          <w:szCs w:val="21"/>
          <w:highlight w:val="none"/>
        </w:rPr>
      </w:pPr>
      <w:r>
        <w:rPr>
          <w:rFonts w:hint="eastAsia" w:hAnsi="宋体"/>
          <w:color w:val="auto"/>
          <w:szCs w:val="21"/>
          <w:highlight w:val="none"/>
        </w:rPr>
        <w:t>项目招标</w:t>
      </w:r>
      <w:r>
        <w:rPr>
          <w:rFonts w:hAnsi="宋体"/>
          <w:color w:val="auto"/>
          <w:szCs w:val="21"/>
          <w:highlight w:val="none"/>
        </w:rPr>
        <w:t>编号：</w:t>
      </w:r>
      <w:r>
        <w:rPr>
          <w:b/>
          <w:color w:val="auto"/>
          <w:szCs w:val="21"/>
          <w:highlight w:val="none"/>
        </w:rPr>
        <w:t xml:space="preserve">   </w:t>
      </w:r>
      <w:r>
        <w:rPr>
          <w:color w:val="auto"/>
          <w:szCs w:val="21"/>
          <w:highlight w:val="none"/>
        </w:rPr>
        <w:t xml:space="preserve">                                </w:t>
      </w:r>
      <w:r>
        <w:rPr>
          <w:rFonts w:hint="eastAsia"/>
          <w:color w:val="auto"/>
          <w:szCs w:val="21"/>
          <w:highlight w:val="none"/>
        </w:rPr>
        <w:t>中标通知书编号（如有）：</w:t>
      </w:r>
      <w:r>
        <w:rPr>
          <w:color w:val="auto"/>
          <w:szCs w:val="21"/>
          <w:highlight w:val="none"/>
        </w:rPr>
        <w:t xml:space="preserve">               </w:t>
      </w:r>
    </w:p>
    <w:tbl>
      <w:tblPr>
        <w:tblStyle w:val="40"/>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336"/>
        <w:gridCol w:w="68"/>
        <w:gridCol w:w="1089"/>
        <w:gridCol w:w="103"/>
        <w:gridCol w:w="1650"/>
        <w:gridCol w:w="1621"/>
        <w:gridCol w:w="1333"/>
        <w:gridCol w:w="1876"/>
      </w:tblGrid>
      <w:tr w14:paraId="6C90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124" w:type="dxa"/>
            <w:gridSpan w:val="3"/>
            <w:vAlign w:val="center"/>
          </w:tcPr>
          <w:p w14:paraId="3B0CA42E">
            <w:pPr>
              <w:spacing w:line="360" w:lineRule="exact"/>
              <w:jc w:val="center"/>
              <w:rPr>
                <w:color w:val="auto"/>
                <w:szCs w:val="21"/>
                <w:highlight w:val="none"/>
              </w:rPr>
            </w:pPr>
            <w:r>
              <w:rPr>
                <w:rFonts w:hAnsi="宋体"/>
                <w:color w:val="auto"/>
                <w:szCs w:val="21"/>
                <w:highlight w:val="none"/>
              </w:rPr>
              <w:t>建设单位</w:t>
            </w:r>
          </w:p>
        </w:tc>
        <w:tc>
          <w:tcPr>
            <w:tcW w:w="7672" w:type="dxa"/>
            <w:gridSpan w:val="6"/>
            <w:vAlign w:val="center"/>
          </w:tcPr>
          <w:p w14:paraId="4123A480">
            <w:pPr>
              <w:spacing w:line="360" w:lineRule="exact"/>
              <w:rPr>
                <w:b/>
                <w:color w:val="auto"/>
                <w:szCs w:val="21"/>
                <w:highlight w:val="none"/>
              </w:rPr>
            </w:pPr>
          </w:p>
        </w:tc>
      </w:tr>
      <w:tr w14:paraId="1000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124" w:type="dxa"/>
            <w:gridSpan w:val="3"/>
            <w:vAlign w:val="center"/>
          </w:tcPr>
          <w:p w14:paraId="06962A38">
            <w:pPr>
              <w:spacing w:line="360" w:lineRule="exact"/>
              <w:jc w:val="center"/>
              <w:rPr>
                <w:color w:val="auto"/>
                <w:szCs w:val="21"/>
                <w:highlight w:val="none"/>
              </w:rPr>
            </w:pPr>
            <w:r>
              <w:rPr>
                <w:rFonts w:hAnsi="宋体"/>
                <w:color w:val="auto"/>
                <w:szCs w:val="21"/>
                <w:highlight w:val="none"/>
              </w:rPr>
              <w:t>代建单位</w:t>
            </w:r>
            <w:r>
              <w:rPr>
                <w:rFonts w:hint="eastAsia" w:hAnsi="宋体"/>
                <w:color w:val="auto"/>
                <w:szCs w:val="21"/>
                <w:highlight w:val="none"/>
              </w:rPr>
              <w:t>（如有）</w:t>
            </w:r>
          </w:p>
        </w:tc>
        <w:tc>
          <w:tcPr>
            <w:tcW w:w="7672" w:type="dxa"/>
            <w:gridSpan w:val="6"/>
            <w:vAlign w:val="center"/>
          </w:tcPr>
          <w:p w14:paraId="5FCF82EB">
            <w:pPr>
              <w:spacing w:line="360" w:lineRule="exact"/>
              <w:rPr>
                <w:b/>
                <w:color w:val="auto"/>
                <w:szCs w:val="21"/>
                <w:highlight w:val="none"/>
              </w:rPr>
            </w:pPr>
          </w:p>
        </w:tc>
      </w:tr>
      <w:tr w14:paraId="5AD5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124" w:type="dxa"/>
            <w:gridSpan w:val="3"/>
            <w:vAlign w:val="center"/>
          </w:tcPr>
          <w:p w14:paraId="7E12D734">
            <w:pPr>
              <w:spacing w:line="360" w:lineRule="exact"/>
              <w:jc w:val="center"/>
              <w:rPr>
                <w:color w:val="auto"/>
                <w:szCs w:val="21"/>
                <w:highlight w:val="none"/>
              </w:rPr>
            </w:pPr>
            <w:r>
              <w:rPr>
                <w:rFonts w:hAnsi="宋体"/>
                <w:color w:val="auto"/>
                <w:szCs w:val="21"/>
                <w:highlight w:val="none"/>
              </w:rPr>
              <w:t>中标单位</w:t>
            </w:r>
          </w:p>
        </w:tc>
        <w:tc>
          <w:tcPr>
            <w:tcW w:w="7672" w:type="dxa"/>
            <w:gridSpan w:val="6"/>
            <w:vAlign w:val="center"/>
          </w:tcPr>
          <w:p w14:paraId="4B22FC4A">
            <w:pPr>
              <w:spacing w:line="360" w:lineRule="exact"/>
              <w:rPr>
                <w:b/>
                <w:color w:val="auto"/>
                <w:szCs w:val="21"/>
                <w:highlight w:val="none"/>
              </w:rPr>
            </w:pPr>
          </w:p>
        </w:tc>
      </w:tr>
      <w:tr w14:paraId="2596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124" w:type="dxa"/>
            <w:gridSpan w:val="3"/>
            <w:vAlign w:val="center"/>
          </w:tcPr>
          <w:p w14:paraId="329D1B08">
            <w:pPr>
              <w:spacing w:line="360" w:lineRule="exact"/>
              <w:jc w:val="center"/>
              <w:rPr>
                <w:color w:val="auto"/>
                <w:szCs w:val="21"/>
                <w:highlight w:val="none"/>
              </w:rPr>
            </w:pPr>
            <w:r>
              <w:rPr>
                <w:rFonts w:hint="eastAsia" w:hAnsi="宋体"/>
                <w:color w:val="auto"/>
                <w:szCs w:val="21"/>
                <w:highlight w:val="none"/>
              </w:rPr>
              <w:t>招标</w:t>
            </w:r>
            <w:r>
              <w:rPr>
                <w:rFonts w:hAnsi="宋体"/>
                <w:color w:val="auto"/>
                <w:szCs w:val="21"/>
                <w:highlight w:val="none"/>
              </w:rPr>
              <w:t>代理</w:t>
            </w:r>
            <w:r>
              <w:rPr>
                <w:rFonts w:hint="eastAsia" w:hAnsi="宋体"/>
                <w:color w:val="auto"/>
                <w:szCs w:val="21"/>
                <w:highlight w:val="none"/>
              </w:rPr>
              <w:t>机构</w:t>
            </w:r>
          </w:p>
        </w:tc>
        <w:tc>
          <w:tcPr>
            <w:tcW w:w="7672" w:type="dxa"/>
            <w:gridSpan w:val="6"/>
            <w:vAlign w:val="center"/>
          </w:tcPr>
          <w:p w14:paraId="13562112">
            <w:pPr>
              <w:spacing w:line="360" w:lineRule="exact"/>
              <w:rPr>
                <w:b/>
                <w:color w:val="auto"/>
                <w:szCs w:val="21"/>
                <w:highlight w:val="none"/>
              </w:rPr>
            </w:pPr>
          </w:p>
        </w:tc>
      </w:tr>
      <w:tr w14:paraId="598E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124" w:type="dxa"/>
            <w:gridSpan w:val="3"/>
            <w:vAlign w:val="center"/>
          </w:tcPr>
          <w:p w14:paraId="208CBD75">
            <w:pPr>
              <w:spacing w:line="360" w:lineRule="exact"/>
              <w:jc w:val="center"/>
              <w:rPr>
                <w:color w:val="auto"/>
                <w:szCs w:val="21"/>
                <w:highlight w:val="none"/>
              </w:rPr>
            </w:pPr>
            <w:r>
              <w:rPr>
                <w:rFonts w:hint="eastAsia" w:hAnsi="宋体"/>
                <w:color w:val="auto"/>
                <w:szCs w:val="21"/>
                <w:highlight w:val="none"/>
              </w:rPr>
              <w:t>项目</w:t>
            </w:r>
            <w:r>
              <w:rPr>
                <w:rFonts w:hAnsi="宋体"/>
                <w:color w:val="auto"/>
                <w:szCs w:val="21"/>
                <w:highlight w:val="none"/>
              </w:rPr>
              <w:t>名称</w:t>
            </w:r>
          </w:p>
        </w:tc>
        <w:tc>
          <w:tcPr>
            <w:tcW w:w="7672" w:type="dxa"/>
            <w:gridSpan w:val="6"/>
            <w:vAlign w:val="center"/>
          </w:tcPr>
          <w:p w14:paraId="6CAC29EB">
            <w:pPr>
              <w:spacing w:line="360" w:lineRule="exact"/>
              <w:rPr>
                <w:b/>
                <w:color w:val="auto"/>
                <w:szCs w:val="21"/>
                <w:highlight w:val="none"/>
              </w:rPr>
            </w:pPr>
          </w:p>
        </w:tc>
      </w:tr>
      <w:tr w14:paraId="3E55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124" w:type="dxa"/>
            <w:gridSpan w:val="3"/>
            <w:vAlign w:val="center"/>
          </w:tcPr>
          <w:p w14:paraId="6AC62EA9">
            <w:pPr>
              <w:spacing w:line="360" w:lineRule="exact"/>
              <w:jc w:val="center"/>
              <w:rPr>
                <w:color w:val="auto"/>
                <w:szCs w:val="21"/>
                <w:highlight w:val="none"/>
              </w:rPr>
            </w:pPr>
            <w:r>
              <w:rPr>
                <w:rFonts w:hAnsi="宋体"/>
                <w:color w:val="auto"/>
                <w:szCs w:val="21"/>
                <w:highlight w:val="none"/>
              </w:rPr>
              <w:t>工程地址</w:t>
            </w:r>
          </w:p>
        </w:tc>
        <w:tc>
          <w:tcPr>
            <w:tcW w:w="7672" w:type="dxa"/>
            <w:gridSpan w:val="6"/>
            <w:vAlign w:val="center"/>
          </w:tcPr>
          <w:p w14:paraId="32657975">
            <w:pPr>
              <w:spacing w:line="360" w:lineRule="exact"/>
              <w:rPr>
                <w:b/>
                <w:color w:val="auto"/>
                <w:szCs w:val="21"/>
                <w:highlight w:val="none"/>
              </w:rPr>
            </w:pPr>
          </w:p>
        </w:tc>
      </w:tr>
      <w:tr w14:paraId="15EF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124" w:type="dxa"/>
            <w:gridSpan w:val="3"/>
            <w:vAlign w:val="center"/>
          </w:tcPr>
          <w:p w14:paraId="2F6BC084">
            <w:pPr>
              <w:spacing w:line="360" w:lineRule="exact"/>
              <w:jc w:val="center"/>
              <w:rPr>
                <w:color w:val="auto"/>
                <w:szCs w:val="21"/>
                <w:highlight w:val="none"/>
              </w:rPr>
            </w:pPr>
            <w:r>
              <w:rPr>
                <w:rFonts w:hAnsi="宋体"/>
                <w:color w:val="auto"/>
                <w:szCs w:val="21"/>
                <w:highlight w:val="none"/>
              </w:rPr>
              <w:t>中标范围</w:t>
            </w:r>
          </w:p>
        </w:tc>
        <w:tc>
          <w:tcPr>
            <w:tcW w:w="7672" w:type="dxa"/>
            <w:gridSpan w:val="6"/>
            <w:vAlign w:val="center"/>
          </w:tcPr>
          <w:p w14:paraId="05799F77">
            <w:pPr>
              <w:spacing w:line="360" w:lineRule="exact"/>
              <w:rPr>
                <w:b/>
                <w:color w:val="auto"/>
                <w:szCs w:val="21"/>
                <w:highlight w:val="none"/>
              </w:rPr>
            </w:pPr>
          </w:p>
        </w:tc>
      </w:tr>
      <w:tr w14:paraId="461B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124" w:type="dxa"/>
            <w:gridSpan w:val="3"/>
            <w:vAlign w:val="center"/>
          </w:tcPr>
          <w:p w14:paraId="48E065DD">
            <w:pPr>
              <w:spacing w:line="360" w:lineRule="exact"/>
              <w:jc w:val="center"/>
              <w:rPr>
                <w:color w:val="auto"/>
                <w:szCs w:val="21"/>
                <w:highlight w:val="none"/>
              </w:rPr>
            </w:pPr>
            <w:r>
              <w:rPr>
                <w:rFonts w:hint="eastAsia" w:hAnsi="宋体"/>
                <w:color w:val="auto"/>
                <w:szCs w:val="21"/>
                <w:highlight w:val="none"/>
              </w:rPr>
              <w:t>建设规模</w:t>
            </w:r>
          </w:p>
        </w:tc>
        <w:tc>
          <w:tcPr>
            <w:tcW w:w="2842" w:type="dxa"/>
            <w:gridSpan w:val="3"/>
            <w:vAlign w:val="center"/>
          </w:tcPr>
          <w:p w14:paraId="585098B8">
            <w:pPr>
              <w:spacing w:line="360" w:lineRule="exact"/>
              <w:jc w:val="center"/>
              <w:rPr>
                <w:b/>
                <w:color w:val="auto"/>
                <w:szCs w:val="21"/>
                <w:highlight w:val="none"/>
              </w:rPr>
            </w:pPr>
            <w:r>
              <w:rPr>
                <w:rFonts w:hint="eastAsia"/>
                <w:color w:val="auto"/>
                <w:kern w:val="0"/>
                <w:szCs w:val="21"/>
                <w:highlight w:val="none"/>
              </w:rPr>
              <w:t>（应注明建筑高度、面积等）</w:t>
            </w:r>
          </w:p>
        </w:tc>
        <w:tc>
          <w:tcPr>
            <w:tcW w:w="1621" w:type="dxa"/>
            <w:vAlign w:val="center"/>
          </w:tcPr>
          <w:p w14:paraId="4F2518AF">
            <w:pPr>
              <w:spacing w:line="360" w:lineRule="exact"/>
              <w:jc w:val="center"/>
              <w:rPr>
                <w:color w:val="auto"/>
                <w:szCs w:val="21"/>
                <w:highlight w:val="none"/>
              </w:rPr>
            </w:pPr>
            <w:r>
              <w:rPr>
                <w:rFonts w:hint="eastAsia" w:hAnsi="宋体"/>
                <w:color w:val="auto"/>
                <w:szCs w:val="21"/>
                <w:highlight w:val="none"/>
              </w:rPr>
              <w:t>投资估算</w:t>
            </w:r>
          </w:p>
        </w:tc>
        <w:tc>
          <w:tcPr>
            <w:tcW w:w="3209" w:type="dxa"/>
            <w:gridSpan w:val="2"/>
            <w:vAlign w:val="center"/>
          </w:tcPr>
          <w:p w14:paraId="4383D774">
            <w:pPr>
              <w:spacing w:line="360" w:lineRule="exact"/>
              <w:rPr>
                <w:b/>
                <w:color w:val="auto"/>
                <w:szCs w:val="21"/>
                <w:highlight w:val="none"/>
              </w:rPr>
            </w:pPr>
          </w:p>
        </w:tc>
      </w:tr>
      <w:tr w14:paraId="64CF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124" w:type="dxa"/>
            <w:gridSpan w:val="3"/>
            <w:vAlign w:val="center"/>
          </w:tcPr>
          <w:p w14:paraId="758B8B2C">
            <w:pPr>
              <w:spacing w:line="360" w:lineRule="exact"/>
              <w:jc w:val="center"/>
              <w:rPr>
                <w:color w:val="auto"/>
                <w:szCs w:val="21"/>
                <w:highlight w:val="none"/>
              </w:rPr>
            </w:pPr>
            <w:r>
              <w:rPr>
                <w:rFonts w:hAnsi="宋体"/>
                <w:color w:val="auto"/>
                <w:szCs w:val="21"/>
                <w:highlight w:val="none"/>
              </w:rPr>
              <w:t>项目</w:t>
            </w:r>
            <w:r>
              <w:rPr>
                <w:rFonts w:hint="eastAsia" w:hAnsi="宋体"/>
                <w:color w:val="auto"/>
                <w:szCs w:val="21"/>
                <w:highlight w:val="none"/>
              </w:rPr>
              <w:t>负责人</w:t>
            </w:r>
          </w:p>
        </w:tc>
        <w:tc>
          <w:tcPr>
            <w:tcW w:w="1089" w:type="dxa"/>
            <w:vAlign w:val="center"/>
          </w:tcPr>
          <w:p w14:paraId="565FC5F9">
            <w:pPr>
              <w:spacing w:line="360" w:lineRule="exact"/>
              <w:jc w:val="center"/>
              <w:rPr>
                <w:b/>
                <w:color w:val="auto"/>
                <w:szCs w:val="21"/>
                <w:highlight w:val="none"/>
              </w:rPr>
            </w:pPr>
          </w:p>
        </w:tc>
        <w:tc>
          <w:tcPr>
            <w:tcW w:w="1753" w:type="dxa"/>
            <w:gridSpan w:val="2"/>
            <w:vAlign w:val="center"/>
          </w:tcPr>
          <w:p w14:paraId="5B35F73D">
            <w:pPr>
              <w:spacing w:line="360" w:lineRule="exact"/>
              <w:jc w:val="center"/>
              <w:rPr>
                <w:color w:val="auto"/>
                <w:szCs w:val="21"/>
                <w:highlight w:val="none"/>
              </w:rPr>
            </w:pPr>
            <w:r>
              <w:rPr>
                <w:rFonts w:hint="eastAsia" w:hAnsi="宋体"/>
                <w:color w:val="auto"/>
                <w:szCs w:val="21"/>
                <w:highlight w:val="none"/>
              </w:rPr>
              <w:t>注册专业及等级</w:t>
            </w:r>
          </w:p>
        </w:tc>
        <w:tc>
          <w:tcPr>
            <w:tcW w:w="1621" w:type="dxa"/>
            <w:vAlign w:val="center"/>
          </w:tcPr>
          <w:p w14:paraId="4FDBB724">
            <w:pPr>
              <w:spacing w:line="360" w:lineRule="exact"/>
              <w:jc w:val="center"/>
              <w:rPr>
                <w:b/>
                <w:color w:val="auto"/>
                <w:szCs w:val="21"/>
                <w:highlight w:val="none"/>
              </w:rPr>
            </w:pPr>
          </w:p>
        </w:tc>
        <w:tc>
          <w:tcPr>
            <w:tcW w:w="1333" w:type="dxa"/>
            <w:vAlign w:val="center"/>
          </w:tcPr>
          <w:p w14:paraId="6DAD1AA1">
            <w:pPr>
              <w:spacing w:line="360" w:lineRule="exact"/>
              <w:jc w:val="center"/>
              <w:rPr>
                <w:color w:val="auto"/>
                <w:szCs w:val="21"/>
                <w:highlight w:val="none"/>
              </w:rPr>
            </w:pPr>
            <w:r>
              <w:rPr>
                <w:rFonts w:hint="eastAsia" w:hAnsi="宋体"/>
                <w:color w:val="auto"/>
                <w:szCs w:val="21"/>
                <w:highlight w:val="none"/>
              </w:rPr>
              <w:t>注册编号</w:t>
            </w:r>
          </w:p>
        </w:tc>
        <w:tc>
          <w:tcPr>
            <w:tcW w:w="1876" w:type="dxa"/>
            <w:vAlign w:val="center"/>
          </w:tcPr>
          <w:p w14:paraId="7FE42611">
            <w:pPr>
              <w:spacing w:line="360" w:lineRule="exact"/>
              <w:rPr>
                <w:b/>
                <w:color w:val="auto"/>
                <w:szCs w:val="21"/>
                <w:highlight w:val="none"/>
              </w:rPr>
            </w:pPr>
          </w:p>
        </w:tc>
      </w:tr>
      <w:tr w14:paraId="64A9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20" w:type="dxa"/>
            <w:vMerge w:val="restart"/>
            <w:vAlign w:val="center"/>
          </w:tcPr>
          <w:p w14:paraId="1CBCAC49">
            <w:pPr>
              <w:spacing w:line="360" w:lineRule="exact"/>
              <w:jc w:val="center"/>
              <w:rPr>
                <w:color w:val="auto"/>
                <w:szCs w:val="21"/>
                <w:highlight w:val="none"/>
              </w:rPr>
            </w:pPr>
            <w:r>
              <w:rPr>
                <w:rFonts w:hAnsi="宋体"/>
                <w:color w:val="auto"/>
                <w:szCs w:val="21"/>
                <w:highlight w:val="none"/>
              </w:rPr>
              <w:t>中标</w:t>
            </w:r>
          </w:p>
          <w:p w14:paraId="3F660F56">
            <w:pPr>
              <w:spacing w:line="360" w:lineRule="exact"/>
              <w:jc w:val="center"/>
              <w:rPr>
                <w:color w:val="auto"/>
                <w:szCs w:val="21"/>
                <w:highlight w:val="none"/>
              </w:rPr>
            </w:pPr>
            <w:r>
              <w:rPr>
                <w:rFonts w:hAnsi="宋体"/>
                <w:color w:val="auto"/>
                <w:szCs w:val="21"/>
                <w:highlight w:val="none"/>
              </w:rPr>
              <w:t>主要</w:t>
            </w:r>
          </w:p>
          <w:p w14:paraId="43650D96">
            <w:pPr>
              <w:spacing w:line="360" w:lineRule="exact"/>
              <w:jc w:val="center"/>
              <w:rPr>
                <w:color w:val="auto"/>
                <w:szCs w:val="21"/>
                <w:highlight w:val="none"/>
              </w:rPr>
            </w:pPr>
            <w:r>
              <w:rPr>
                <w:rFonts w:hAnsi="宋体"/>
                <w:color w:val="auto"/>
                <w:szCs w:val="21"/>
                <w:highlight w:val="none"/>
              </w:rPr>
              <w:t>条件</w:t>
            </w:r>
          </w:p>
        </w:tc>
        <w:tc>
          <w:tcPr>
            <w:tcW w:w="1404" w:type="dxa"/>
            <w:gridSpan w:val="2"/>
            <w:vAlign w:val="center"/>
          </w:tcPr>
          <w:p w14:paraId="314AA247">
            <w:pPr>
              <w:spacing w:line="360" w:lineRule="exact"/>
              <w:jc w:val="center"/>
              <w:rPr>
                <w:color w:val="auto"/>
                <w:szCs w:val="21"/>
                <w:highlight w:val="none"/>
              </w:rPr>
            </w:pPr>
            <w:r>
              <w:rPr>
                <w:rFonts w:hAnsi="宋体"/>
                <w:color w:val="auto"/>
                <w:szCs w:val="21"/>
                <w:highlight w:val="none"/>
              </w:rPr>
              <w:t>中标</w:t>
            </w:r>
            <w:r>
              <w:rPr>
                <w:rFonts w:hint="eastAsia" w:hAnsi="宋体"/>
                <w:color w:val="auto"/>
                <w:szCs w:val="21"/>
                <w:highlight w:val="none"/>
              </w:rPr>
              <w:t>价格</w:t>
            </w:r>
          </w:p>
        </w:tc>
        <w:tc>
          <w:tcPr>
            <w:tcW w:w="7672" w:type="dxa"/>
            <w:gridSpan w:val="6"/>
            <w:vAlign w:val="center"/>
          </w:tcPr>
          <w:p w14:paraId="05E27EBE">
            <w:pPr>
              <w:spacing w:line="360" w:lineRule="exact"/>
              <w:jc w:val="right"/>
              <w:rPr>
                <w:b/>
                <w:color w:val="auto"/>
                <w:szCs w:val="21"/>
                <w:highlight w:val="none"/>
              </w:rPr>
            </w:pPr>
          </w:p>
        </w:tc>
      </w:tr>
      <w:tr w14:paraId="4D04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20" w:type="dxa"/>
            <w:vMerge w:val="continue"/>
          </w:tcPr>
          <w:p w14:paraId="04316138">
            <w:pPr>
              <w:spacing w:line="360" w:lineRule="exact"/>
              <w:rPr>
                <w:color w:val="auto"/>
                <w:szCs w:val="21"/>
                <w:highlight w:val="none"/>
              </w:rPr>
            </w:pPr>
          </w:p>
        </w:tc>
        <w:tc>
          <w:tcPr>
            <w:tcW w:w="1404" w:type="dxa"/>
            <w:gridSpan w:val="2"/>
            <w:vAlign w:val="center"/>
          </w:tcPr>
          <w:p w14:paraId="09B07C25">
            <w:pPr>
              <w:spacing w:line="360" w:lineRule="exact"/>
              <w:jc w:val="center"/>
              <w:rPr>
                <w:color w:val="auto"/>
                <w:szCs w:val="21"/>
                <w:highlight w:val="none"/>
              </w:rPr>
            </w:pPr>
            <w:r>
              <w:rPr>
                <w:rFonts w:hint="eastAsia" w:hAnsi="宋体"/>
                <w:color w:val="auto"/>
                <w:szCs w:val="21"/>
                <w:highlight w:val="none"/>
              </w:rPr>
              <w:t>设计服务期</w:t>
            </w:r>
          </w:p>
        </w:tc>
        <w:tc>
          <w:tcPr>
            <w:tcW w:w="7672" w:type="dxa"/>
            <w:gridSpan w:val="6"/>
            <w:vAlign w:val="center"/>
          </w:tcPr>
          <w:p w14:paraId="6ED98D7E">
            <w:pPr>
              <w:spacing w:line="360" w:lineRule="exact"/>
              <w:jc w:val="right"/>
              <w:rPr>
                <w:b/>
                <w:color w:val="auto"/>
                <w:szCs w:val="21"/>
                <w:highlight w:val="none"/>
              </w:rPr>
            </w:pPr>
          </w:p>
        </w:tc>
      </w:tr>
      <w:tr w14:paraId="60F2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Merge w:val="continue"/>
          </w:tcPr>
          <w:p w14:paraId="34FBE1A7">
            <w:pPr>
              <w:spacing w:line="360" w:lineRule="exact"/>
              <w:rPr>
                <w:color w:val="auto"/>
                <w:szCs w:val="21"/>
                <w:highlight w:val="none"/>
              </w:rPr>
            </w:pPr>
          </w:p>
        </w:tc>
        <w:tc>
          <w:tcPr>
            <w:tcW w:w="1404" w:type="dxa"/>
            <w:gridSpan w:val="2"/>
            <w:vAlign w:val="center"/>
          </w:tcPr>
          <w:p w14:paraId="3CAA9786">
            <w:pPr>
              <w:spacing w:line="360" w:lineRule="exact"/>
              <w:jc w:val="center"/>
              <w:rPr>
                <w:color w:val="auto"/>
                <w:szCs w:val="21"/>
                <w:highlight w:val="none"/>
              </w:rPr>
            </w:pPr>
            <w:r>
              <w:rPr>
                <w:rFonts w:hAnsi="宋体"/>
                <w:color w:val="auto"/>
                <w:szCs w:val="21"/>
                <w:highlight w:val="none"/>
              </w:rPr>
              <w:t>质量</w:t>
            </w:r>
            <w:r>
              <w:rPr>
                <w:rFonts w:hint="eastAsia" w:hAnsi="宋体"/>
                <w:color w:val="auto"/>
                <w:szCs w:val="21"/>
                <w:highlight w:val="none"/>
              </w:rPr>
              <w:t>标准</w:t>
            </w:r>
          </w:p>
        </w:tc>
        <w:tc>
          <w:tcPr>
            <w:tcW w:w="7672" w:type="dxa"/>
            <w:gridSpan w:val="6"/>
            <w:vAlign w:val="center"/>
          </w:tcPr>
          <w:p w14:paraId="06F961F1">
            <w:pPr>
              <w:spacing w:line="360" w:lineRule="exact"/>
              <w:jc w:val="right"/>
              <w:rPr>
                <w:b/>
                <w:color w:val="auto"/>
                <w:szCs w:val="21"/>
                <w:highlight w:val="none"/>
              </w:rPr>
            </w:pPr>
          </w:p>
        </w:tc>
      </w:tr>
      <w:tr w14:paraId="3AEC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3316" w:type="dxa"/>
            <w:gridSpan w:val="5"/>
          </w:tcPr>
          <w:p w14:paraId="1A18CC1D">
            <w:pPr>
              <w:spacing w:line="360" w:lineRule="exact"/>
              <w:ind w:firstLine="1260" w:firstLineChars="600"/>
              <w:jc w:val="right"/>
              <w:rPr>
                <w:color w:val="auto"/>
                <w:szCs w:val="21"/>
                <w:highlight w:val="none"/>
              </w:rPr>
            </w:pPr>
            <w:r>
              <w:rPr>
                <w:rFonts w:hint="eastAsia"/>
                <w:color w:val="auto"/>
                <w:szCs w:val="21"/>
                <w:highlight w:val="none"/>
              </w:rPr>
              <w:t>代建单位（如有）：</w:t>
            </w:r>
          </w:p>
          <w:p w14:paraId="03FC4B3B">
            <w:pPr>
              <w:spacing w:line="360" w:lineRule="exact"/>
              <w:rPr>
                <w:color w:val="auto"/>
                <w:szCs w:val="21"/>
                <w:highlight w:val="none"/>
              </w:rPr>
            </w:pPr>
            <w:r>
              <w:rPr>
                <w:rFonts w:hAnsi="宋体"/>
                <w:color w:val="auto"/>
                <w:szCs w:val="21"/>
                <w:highlight w:val="none"/>
              </w:rPr>
              <w:t>（盖</w:t>
            </w:r>
            <w:r>
              <w:rPr>
                <w:rFonts w:hint="eastAsia" w:hAnsi="宋体"/>
                <w:color w:val="auto"/>
                <w:szCs w:val="21"/>
                <w:highlight w:val="none"/>
              </w:rPr>
              <w:t>单位公</w:t>
            </w:r>
            <w:r>
              <w:rPr>
                <w:rFonts w:hAnsi="宋体"/>
                <w:color w:val="auto"/>
                <w:szCs w:val="21"/>
                <w:highlight w:val="none"/>
              </w:rPr>
              <w:t>章）</w:t>
            </w:r>
          </w:p>
          <w:p w14:paraId="24AC6585">
            <w:pPr>
              <w:spacing w:line="360" w:lineRule="exact"/>
              <w:rPr>
                <w:color w:val="auto"/>
                <w:szCs w:val="21"/>
                <w:highlight w:val="none"/>
              </w:rPr>
            </w:pPr>
          </w:p>
          <w:p w14:paraId="3DD8D2DD">
            <w:pPr>
              <w:spacing w:line="360" w:lineRule="exact"/>
              <w:rPr>
                <w:color w:val="auto"/>
                <w:szCs w:val="21"/>
                <w:highlight w:val="none"/>
              </w:rPr>
            </w:pPr>
          </w:p>
          <w:p w14:paraId="72CF99F0">
            <w:pPr>
              <w:spacing w:line="360" w:lineRule="exact"/>
              <w:rPr>
                <w:color w:val="auto"/>
                <w:szCs w:val="21"/>
                <w:highlight w:val="none"/>
              </w:rPr>
            </w:pPr>
            <w:r>
              <w:rPr>
                <w:rFonts w:hAnsi="宋体"/>
                <w:color w:val="auto"/>
                <w:szCs w:val="21"/>
                <w:highlight w:val="none"/>
              </w:rPr>
              <w:t>法定代表人：</w:t>
            </w:r>
          </w:p>
          <w:p w14:paraId="44F8A05F">
            <w:pPr>
              <w:spacing w:line="360" w:lineRule="exact"/>
              <w:rPr>
                <w:rFonts w:hAnsi="宋体"/>
                <w:color w:val="auto"/>
                <w:szCs w:val="21"/>
                <w:highlight w:val="none"/>
              </w:rPr>
            </w:pPr>
            <w:r>
              <w:rPr>
                <w:rFonts w:hAnsi="宋体"/>
                <w:color w:val="auto"/>
                <w:szCs w:val="21"/>
                <w:highlight w:val="none"/>
              </w:rPr>
              <w:t>（签字或盖章）</w:t>
            </w:r>
          </w:p>
          <w:p w14:paraId="6DAA68EF">
            <w:pPr>
              <w:spacing w:line="360" w:lineRule="exact"/>
              <w:rPr>
                <w:color w:val="auto"/>
                <w:szCs w:val="21"/>
                <w:highlight w:val="none"/>
              </w:rPr>
            </w:pPr>
          </w:p>
          <w:p w14:paraId="6BCA6CAE">
            <w:pPr>
              <w:spacing w:line="360" w:lineRule="exact"/>
              <w:ind w:firstLine="1260" w:firstLineChars="600"/>
              <w:jc w:val="right"/>
              <w:rPr>
                <w:color w:val="auto"/>
                <w:szCs w:val="21"/>
                <w:highlight w:val="none"/>
              </w:rPr>
            </w:pPr>
            <w:r>
              <w:rPr>
                <w:rFonts w:hAnsi="宋体"/>
                <w:color w:val="auto"/>
                <w:szCs w:val="21"/>
                <w:highlight w:val="none"/>
              </w:rPr>
              <w:t>年</w:t>
            </w:r>
            <w:r>
              <w:rPr>
                <w:color w:val="auto"/>
                <w:szCs w:val="21"/>
                <w:highlight w:val="none"/>
              </w:rPr>
              <w:t xml:space="preserve">    </w:t>
            </w:r>
            <w:r>
              <w:rPr>
                <w:rFonts w:hAnsi="宋体"/>
                <w:color w:val="auto"/>
                <w:szCs w:val="21"/>
                <w:highlight w:val="none"/>
              </w:rPr>
              <w:t>月</w:t>
            </w:r>
            <w:r>
              <w:rPr>
                <w:color w:val="auto"/>
                <w:szCs w:val="21"/>
                <w:highlight w:val="none"/>
              </w:rPr>
              <w:t xml:space="preserve">    </w:t>
            </w:r>
            <w:r>
              <w:rPr>
                <w:rFonts w:hAnsi="宋体"/>
                <w:color w:val="auto"/>
                <w:szCs w:val="21"/>
                <w:highlight w:val="none"/>
              </w:rPr>
              <w:t>日</w:t>
            </w:r>
          </w:p>
        </w:tc>
        <w:tc>
          <w:tcPr>
            <w:tcW w:w="3271" w:type="dxa"/>
            <w:gridSpan w:val="2"/>
          </w:tcPr>
          <w:p w14:paraId="34E524C0">
            <w:pPr>
              <w:spacing w:line="360" w:lineRule="exact"/>
              <w:rPr>
                <w:color w:val="auto"/>
                <w:szCs w:val="21"/>
                <w:highlight w:val="none"/>
              </w:rPr>
            </w:pPr>
            <w:r>
              <w:rPr>
                <w:rFonts w:hAnsi="宋体"/>
                <w:color w:val="auto"/>
                <w:szCs w:val="21"/>
                <w:highlight w:val="none"/>
              </w:rPr>
              <w:t>建设单位：</w:t>
            </w:r>
          </w:p>
          <w:p w14:paraId="30F95384">
            <w:pPr>
              <w:spacing w:line="360" w:lineRule="exact"/>
              <w:rPr>
                <w:color w:val="auto"/>
                <w:szCs w:val="21"/>
                <w:highlight w:val="none"/>
              </w:rPr>
            </w:pPr>
            <w:r>
              <w:rPr>
                <w:rFonts w:hAnsi="宋体"/>
                <w:color w:val="auto"/>
                <w:szCs w:val="21"/>
                <w:highlight w:val="none"/>
              </w:rPr>
              <w:t>（盖</w:t>
            </w:r>
            <w:r>
              <w:rPr>
                <w:rFonts w:hint="eastAsia" w:hAnsi="宋体"/>
                <w:color w:val="auto"/>
                <w:szCs w:val="21"/>
                <w:highlight w:val="none"/>
              </w:rPr>
              <w:t>单位公</w:t>
            </w:r>
            <w:r>
              <w:rPr>
                <w:rFonts w:hAnsi="宋体"/>
                <w:color w:val="auto"/>
                <w:szCs w:val="21"/>
                <w:highlight w:val="none"/>
              </w:rPr>
              <w:t>章）</w:t>
            </w:r>
          </w:p>
          <w:p w14:paraId="242C1163">
            <w:pPr>
              <w:spacing w:line="360" w:lineRule="exact"/>
              <w:rPr>
                <w:color w:val="auto"/>
                <w:szCs w:val="21"/>
                <w:highlight w:val="none"/>
              </w:rPr>
            </w:pPr>
          </w:p>
          <w:p w14:paraId="0400A327">
            <w:pPr>
              <w:spacing w:line="360" w:lineRule="exact"/>
              <w:rPr>
                <w:color w:val="auto"/>
                <w:szCs w:val="21"/>
                <w:highlight w:val="none"/>
              </w:rPr>
            </w:pPr>
          </w:p>
          <w:p w14:paraId="2365EAFB">
            <w:pPr>
              <w:spacing w:line="360" w:lineRule="exact"/>
              <w:rPr>
                <w:color w:val="auto"/>
                <w:szCs w:val="21"/>
                <w:highlight w:val="none"/>
              </w:rPr>
            </w:pPr>
            <w:r>
              <w:rPr>
                <w:rFonts w:hAnsi="宋体"/>
                <w:color w:val="auto"/>
                <w:szCs w:val="21"/>
                <w:highlight w:val="none"/>
              </w:rPr>
              <w:t>法定代表人：</w:t>
            </w:r>
          </w:p>
          <w:p w14:paraId="651BB96A">
            <w:pPr>
              <w:spacing w:line="360" w:lineRule="exact"/>
              <w:rPr>
                <w:rFonts w:hAnsi="宋体"/>
                <w:color w:val="auto"/>
                <w:szCs w:val="21"/>
                <w:highlight w:val="none"/>
              </w:rPr>
            </w:pPr>
            <w:r>
              <w:rPr>
                <w:rFonts w:hAnsi="宋体"/>
                <w:color w:val="auto"/>
                <w:szCs w:val="21"/>
                <w:highlight w:val="none"/>
              </w:rPr>
              <w:t>（签字或盖章）</w:t>
            </w:r>
          </w:p>
          <w:p w14:paraId="18921513">
            <w:pPr>
              <w:spacing w:line="360" w:lineRule="exact"/>
              <w:rPr>
                <w:color w:val="auto"/>
                <w:szCs w:val="21"/>
                <w:highlight w:val="none"/>
              </w:rPr>
            </w:pPr>
          </w:p>
          <w:p w14:paraId="38B7C447">
            <w:pPr>
              <w:spacing w:line="360" w:lineRule="exact"/>
              <w:ind w:firstLine="1260" w:firstLineChars="600"/>
              <w:jc w:val="right"/>
              <w:rPr>
                <w:rFonts w:hAnsi="宋体"/>
                <w:color w:val="auto"/>
                <w:szCs w:val="21"/>
                <w:highlight w:val="none"/>
              </w:rPr>
            </w:pPr>
            <w:r>
              <w:rPr>
                <w:rFonts w:hAnsi="宋体"/>
                <w:color w:val="auto"/>
                <w:szCs w:val="21"/>
                <w:highlight w:val="none"/>
              </w:rPr>
              <w:t>年</w:t>
            </w:r>
            <w:r>
              <w:rPr>
                <w:color w:val="auto"/>
                <w:szCs w:val="21"/>
                <w:highlight w:val="none"/>
              </w:rPr>
              <w:t xml:space="preserve">    </w:t>
            </w:r>
            <w:r>
              <w:rPr>
                <w:rFonts w:hAnsi="宋体"/>
                <w:color w:val="auto"/>
                <w:szCs w:val="21"/>
                <w:highlight w:val="none"/>
              </w:rPr>
              <w:t>月</w:t>
            </w:r>
            <w:r>
              <w:rPr>
                <w:color w:val="auto"/>
                <w:szCs w:val="21"/>
                <w:highlight w:val="none"/>
              </w:rPr>
              <w:t xml:space="preserve">    </w:t>
            </w:r>
            <w:r>
              <w:rPr>
                <w:rFonts w:hAnsi="宋体"/>
                <w:color w:val="auto"/>
                <w:szCs w:val="21"/>
                <w:highlight w:val="none"/>
              </w:rPr>
              <w:t>日</w:t>
            </w:r>
          </w:p>
          <w:p w14:paraId="3E26F909">
            <w:pPr>
              <w:spacing w:line="360" w:lineRule="exact"/>
              <w:ind w:firstLine="1155" w:firstLineChars="550"/>
              <w:rPr>
                <w:color w:val="auto"/>
                <w:szCs w:val="21"/>
                <w:highlight w:val="none"/>
              </w:rPr>
            </w:pPr>
          </w:p>
        </w:tc>
        <w:tc>
          <w:tcPr>
            <w:tcW w:w="3209" w:type="dxa"/>
            <w:gridSpan w:val="2"/>
          </w:tcPr>
          <w:p w14:paraId="1972B044">
            <w:pPr>
              <w:spacing w:line="360" w:lineRule="exact"/>
              <w:rPr>
                <w:color w:val="auto"/>
                <w:szCs w:val="21"/>
                <w:highlight w:val="none"/>
              </w:rPr>
            </w:pPr>
            <w:r>
              <w:rPr>
                <w:rFonts w:hint="eastAsia" w:hAnsi="宋体"/>
                <w:color w:val="auto"/>
                <w:szCs w:val="21"/>
                <w:highlight w:val="none"/>
              </w:rPr>
              <w:t>招标</w:t>
            </w:r>
            <w:r>
              <w:rPr>
                <w:rFonts w:hAnsi="宋体"/>
                <w:color w:val="auto"/>
                <w:szCs w:val="21"/>
                <w:highlight w:val="none"/>
              </w:rPr>
              <w:t>代理</w:t>
            </w:r>
            <w:r>
              <w:rPr>
                <w:rFonts w:hint="eastAsia" w:hAnsi="宋体"/>
                <w:color w:val="auto"/>
                <w:szCs w:val="21"/>
                <w:highlight w:val="none"/>
              </w:rPr>
              <w:t>机构</w:t>
            </w:r>
            <w:r>
              <w:rPr>
                <w:rFonts w:hAnsi="宋体"/>
                <w:color w:val="auto"/>
                <w:szCs w:val="21"/>
                <w:highlight w:val="none"/>
              </w:rPr>
              <w:t>：</w:t>
            </w:r>
          </w:p>
          <w:p w14:paraId="4549C521">
            <w:pPr>
              <w:spacing w:line="360" w:lineRule="exact"/>
              <w:rPr>
                <w:color w:val="auto"/>
                <w:szCs w:val="21"/>
                <w:highlight w:val="none"/>
              </w:rPr>
            </w:pPr>
            <w:r>
              <w:rPr>
                <w:rFonts w:hAnsi="宋体"/>
                <w:color w:val="auto"/>
                <w:szCs w:val="21"/>
                <w:highlight w:val="none"/>
              </w:rPr>
              <w:t>（盖</w:t>
            </w:r>
            <w:r>
              <w:rPr>
                <w:rFonts w:hint="eastAsia" w:hAnsi="宋体"/>
                <w:color w:val="auto"/>
                <w:szCs w:val="21"/>
                <w:highlight w:val="none"/>
              </w:rPr>
              <w:t>单位公</w:t>
            </w:r>
            <w:r>
              <w:rPr>
                <w:rFonts w:hAnsi="宋体"/>
                <w:color w:val="auto"/>
                <w:szCs w:val="21"/>
                <w:highlight w:val="none"/>
              </w:rPr>
              <w:t>章）</w:t>
            </w:r>
          </w:p>
          <w:p w14:paraId="5BDBA05F">
            <w:pPr>
              <w:spacing w:line="360" w:lineRule="exact"/>
              <w:rPr>
                <w:color w:val="auto"/>
                <w:szCs w:val="21"/>
                <w:highlight w:val="none"/>
              </w:rPr>
            </w:pPr>
          </w:p>
          <w:p w14:paraId="2731618D">
            <w:pPr>
              <w:spacing w:line="360" w:lineRule="exact"/>
              <w:rPr>
                <w:color w:val="auto"/>
                <w:szCs w:val="21"/>
                <w:highlight w:val="none"/>
              </w:rPr>
            </w:pPr>
          </w:p>
          <w:p w14:paraId="13C0ECDD">
            <w:pPr>
              <w:spacing w:line="360" w:lineRule="exact"/>
              <w:rPr>
                <w:color w:val="auto"/>
                <w:szCs w:val="21"/>
                <w:highlight w:val="none"/>
              </w:rPr>
            </w:pPr>
            <w:r>
              <w:rPr>
                <w:rFonts w:hAnsi="宋体"/>
                <w:color w:val="auto"/>
                <w:szCs w:val="21"/>
                <w:highlight w:val="none"/>
              </w:rPr>
              <w:t>法定代表人：</w:t>
            </w:r>
          </w:p>
          <w:p w14:paraId="52FD3E73">
            <w:pPr>
              <w:spacing w:line="360" w:lineRule="exact"/>
              <w:rPr>
                <w:color w:val="auto"/>
                <w:szCs w:val="21"/>
                <w:highlight w:val="none"/>
              </w:rPr>
            </w:pPr>
            <w:r>
              <w:rPr>
                <w:rFonts w:hAnsi="宋体"/>
                <w:color w:val="auto"/>
                <w:szCs w:val="21"/>
                <w:highlight w:val="none"/>
              </w:rPr>
              <w:t>（签字或盖章）</w:t>
            </w:r>
          </w:p>
          <w:p w14:paraId="117B0263">
            <w:pPr>
              <w:spacing w:line="360" w:lineRule="exact"/>
              <w:ind w:firstLine="1155" w:firstLineChars="550"/>
              <w:rPr>
                <w:rFonts w:hAnsi="宋体"/>
                <w:color w:val="auto"/>
                <w:szCs w:val="21"/>
                <w:highlight w:val="none"/>
              </w:rPr>
            </w:pPr>
          </w:p>
          <w:p w14:paraId="403B7A8A">
            <w:pPr>
              <w:spacing w:line="360" w:lineRule="exact"/>
              <w:jc w:val="right"/>
              <w:rPr>
                <w:color w:val="auto"/>
                <w:szCs w:val="21"/>
                <w:highlight w:val="none"/>
              </w:rPr>
            </w:pPr>
            <w:r>
              <w:rPr>
                <w:rFonts w:hAnsi="宋体"/>
                <w:color w:val="auto"/>
                <w:szCs w:val="21"/>
                <w:highlight w:val="none"/>
              </w:rPr>
              <w:t>年</w:t>
            </w:r>
            <w:r>
              <w:rPr>
                <w:color w:val="auto"/>
                <w:szCs w:val="21"/>
                <w:highlight w:val="none"/>
              </w:rPr>
              <w:t xml:space="preserve">    </w:t>
            </w:r>
            <w:r>
              <w:rPr>
                <w:rFonts w:hAnsi="宋体"/>
                <w:color w:val="auto"/>
                <w:szCs w:val="21"/>
                <w:highlight w:val="none"/>
              </w:rPr>
              <w:t>月</w:t>
            </w:r>
            <w:r>
              <w:rPr>
                <w:color w:val="auto"/>
                <w:szCs w:val="21"/>
                <w:highlight w:val="none"/>
              </w:rPr>
              <w:t xml:space="preserve">    </w:t>
            </w:r>
            <w:r>
              <w:rPr>
                <w:rFonts w:hAnsi="宋体"/>
                <w:color w:val="auto"/>
                <w:szCs w:val="21"/>
                <w:highlight w:val="none"/>
              </w:rPr>
              <w:t>日</w:t>
            </w:r>
          </w:p>
        </w:tc>
      </w:tr>
      <w:tr w14:paraId="2EF3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056" w:type="dxa"/>
            <w:gridSpan w:val="2"/>
            <w:vAlign w:val="center"/>
          </w:tcPr>
          <w:p w14:paraId="1E8E66FA">
            <w:pPr>
              <w:spacing w:line="360" w:lineRule="exact"/>
              <w:jc w:val="center"/>
              <w:rPr>
                <w:color w:val="auto"/>
                <w:szCs w:val="21"/>
                <w:highlight w:val="none"/>
              </w:rPr>
            </w:pPr>
            <w:r>
              <w:rPr>
                <w:rFonts w:hAnsi="宋体"/>
                <w:color w:val="auto"/>
                <w:szCs w:val="21"/>
                <w:highlight w:val="none"/>
              </w:rPr>
              <w:t>备注</w:t>
            </w:r>
          </w:p>
        </w:tc>
        <w:tc>
          <w:tcPr>
            <w:tcW w:w="7740" w:type="dxa"/>
            <w:gridSpan w:val="7"/>
            <w:vAlign w:val="center"/>
          </w:tcPr>
          <w:p w14:paraId="1520E58E">
            <w:pPr>
              <w:spacing w:line="360" w:lineRule="exact"/>
              <w:rPr>
                <w:color w:val="auto"/>
                <w:szCs w:val="21"/>
                <w:highlight w:val="none"/>
              </w:rPr>
            </w:pPr>
            <w:r>
              <w:rPr>
                <w:rFonts w:hint="eastAsia"/>
                <w:color w:val="auto"/>
                <w:highlight w:val="none"/>
              </w:rPr>
              <w:t>中标</w:t>
            </w:r>
            <w:r>
              <w:rPr>
                <w:color w:val="auto"/>
                <w:highlight w:val="none"/>
              </w:rPr>
              <w:t>人在收到中标通知书后，须在</w:t>
            </w:r>
            <w:r>
              <w:rPr>
                <w:color w:val="auto"/>
                <w:highlight w:val="none"/>
                <w:u w:val="single"/>
              </w:rPr>
              <w:t xml:space="preserve">    </w:t>
            </w:r>
            <w:r>
              <w:rPr>
                <w:color w:val="auto"/>
                <w:highlight w:val="none"/>
              </w:rPr>
              <w:t>日内向</w:t>
            </w:r>
            <w:r>
              <w:rPr>
                <w:rFonts w:hint="eastAsia"/>
                <w:color w:val="auto"/>
                <w:highlight w:val="none"/>
              </w:rPr>
              <w:t>招标人足额</w:t>
            </w:r>
            <w:r>
              <w:rPr>
                <w:color w:val="auto"/>
                <w:highlight w:val="none"/>
              </w:rPr>
              <w:t>提交履约</w:t>
            </w:r>
            <w:r>
              <w:rPr>
                <w:rFonts w:hint="eastAsia"/>
                <w:color w:val="auto"/>
                <w:highlight w:val="none"/>
              </w:rPr>
              <w:t>保证金，否则招标人可以取消其中标资格。</w:t>
            </w:r>
            <w:r>
              <w:rPr>
                <w:color w:val="auto"/>
                <w:szCs w:val="21"/>
                <w:highlight w:val="none"/>
              </w:rPr>
              <w:t>招标人和中标人应当在投标有效期内以及中标通知书发出之日起30天内，根据招标文件和中标人的投标文件订立书面合同。</w:t>
            </w:r>
          </w:p>
        </w:tc>
      </w:tr>
    </w:tbl>
    <w:p w14:paraId="73E37333">
      <w:pPr>
        <w:spacing w:before="120" w:beforeLines="50"/>
        <w:rPr>
          <w:rFonts w:ascii="宋体" w:hAnsi="宋体" w:cs="宋体"/>
          <w:color w:val="auto"/>
          <w:highlight w:val="none"/>
        </w:rPr>
      </w:pPr>
      <w:r>
        <w:rPr>
          <w:rFonts w:hint="eastAsia" w:ascii="宋体" w:hAnsi="宋体" w:cs="宋体"/>
          <w:color w:val="auto"/>
          <w:highlight w:val="none"/>
        </w:rPr>
        <w:t>一式</w:t>
      </w:r>
      <w:r>
        <w:rPr>
          <w:rFonts w:ascii="宋体" w:hAnsi="宋体"/>
          <w:color w:val="auto"/>
          <w:highlight w:val="none"/>
        </w:rPr>
        <w:t>1</w:t>
      </w:r>
      <w:r>
        <w:rPr>
          <w:rFonts w:hint="eastAsia" w:ascii="宋体" w:hAnsi="宋体"/>
          <w:color w:val="auto"/>
          <w:highlight w:val="none"/>
        </w:rPr>
        <w:t>2</w:t>
      </w:r>
      <w:r>
        <w:rPr>
          <w:rFonts w:hint="eastAsia" w:ascii="宋体" w:hAnsi="宋体" w:cs="宋体"/>
          <w:color w:val="auto"/>
          <w:highlight w:val="none"/>
        </w:rPr>
        <w:t>份。其中：建设单位</w:t>
      </w:r>
      <w:r>
        <w:rPr>
          <w:rFonts w:ascii="宋体" w:hAnsi="宋体"/>
          <w:color w:val="auto"/>
          <w:highlight w:val="none"/>
        </w:rPr>
        <w:t>6</w:t>
      </w:r>
      <w:r>
        <w:rPr>
          <w:rFonts w:hint="eastAsia" w:ascii="宋体" w:hAnsi="宋体" w:cs="宋体"/>
          <w:color w:val="auto"/>
          <w:highlight w:val="none"/>
        </w:rPr>
        <w:t>份（用于办理工程质量监督、安全监督、施工许可证以及存档等有关手续）、中标单位</w:t>
      </w:r>
      <w:r>
        <w:rPr>
          <w:rFonts w:hint="eastAsia" w:ascii="宋体" w:hAnsi="宋体"/>
          <w:color w:val="auto"/>
          <w:highlight w:val="none"/>
        </w:rPr>
        <w:t>3</w:t>
      </w:r>
      <w:r>
        <w:rPr>
          <w:rFonts w:hint="eastAsia" w:ascii="宋体" w:hAnsi="宋体" w:cs="宋体"/>
          <w:color w:val="auto"/>
          <w:highlight w:val="none"/>
        </w:rPr>
        <w:t>份、招标代理单位</w:t>
      </w:r>
      <w:r>
        <w:rPr>
          <w:rFonts w:ascii="宋体" w:hAnsi="宋体"/>
          <w:color w:val="auto"/>
          <w:highlight w:val="none"/>
        </w:rPr>
        <w:t>1</w:t>
      </w:r>
      <w:r>
        <w:rPr>
          <w:rFonts w:hint="eastAsia" w:ascii="宋体" w:hAnsi="宋体" w:cs="宋体"/>
          <w:color w:val="auto"/>
          <w:highlight w:val="none"/>
        </w:rPr>
        <w:t>份、招投标监督管理部门</w:t>
      </w:r>
      <w:r>
        <w:rPr>
          <w:rFonts w:ascii="宋体" w:hAnsi="宋体"/>
          <w:color w:val="auto"/>
          <w:highlight w:val="none"/>
        </w:rPr>
        <w:t>1</w:t>
      </w:r>
      <w:r>
        <w:rPr>
          <w:rFonts w:hint="eastAsia" w:ascii="宋体" w:hAnsi="宋体" w:cs="宋体"/>
          <w:color w:val="auto"/>
          <w:highlight w:val="none"/>
        </w:rPr>
        <w:t>份、交易中心</w:t>
      </w:r>
      <w:r>
        <w:rPr>
          <w:rFonts w:ascii="宋体" w:hAnsi="宋体"/>
          <w:color w:val="auto"/>
          <w:highlight w:val="none"/>
        </w:rPr>
        <w:t>1</w:t>
      </w:r>
      <w:r>
        <w:rPr>
          <w:rFonts w:hint="eastAsia" w:ascii="宋体" w:hAnsi="宋体" w:cs="宋体"/>
          <w:color w:val="auto"/>
          <w:highlight w:val="none"/>
        </w:rPr>
        <w:t>份。</w:t>
      </w:r>
    </w:p>
    <w:p w14:paraId="470128F9">
      <w:pPr>
        <w:spacing w:before="120" w:beforeLines="50"/>
        <w:rPr>
          <w:rFonts w:ascii="宋体" w:hAnsi="宋体" w:cs="宋体"/>
          <w:color w:val="auto"/>
          <w:highlight w:val="none"/>
        </w:rPr>
      </w:pPr>
    </w:p>
    <w:p w14:paraId="7D035FE9">
      <w:pPr>
        <w:spacing w:before="120" w:beforeLines="50"/>
        <w:rPr>
          <w:rFonts w:hAnsi="宋体" w:cs="宋体"/>
          <w:color w:val="auto"/>
          <w:highlight w:val="none"/>
        </w:rPr>
      </w:pPr>
    </w:p>
    <w:p w14:paraId="70F6BBC5">
      <w:pPr>
        <w:spacing w:before="120" w:beforeLines="50"/>
        <w:rPr>
          <w:rFonts w:hAnsi="宋体" w:cs="宋体"/>
          <w:color w:val="auto"/>
          <w:highlight w:val="none"/>
        </w:rPr>
      </w:pPr>
    </w:p>
    <w:p w14:paraId="02C7A105">
      <w:pPr>
        <w:spacing w:before="120" w:beforeLines="50"/>
        <w:rPr>
          <w:rFonts w:hAnsi="宋体" w:cs="宋体"/>
          <w:color w:val="auto"/>
          <w:highlight w:val="none"/>
        </w:rPr>
      </w:pPr>
    </w:p>
    <w:p w14:paraId="1F3D5307">
      <w:pPr>
        <w:spacing w:before="120" w:beforeLines="50"/>
        <w:rPr>
          <w:rFonts w:hAnsi="宋体" w:cs="宋体"/>
          <w:color w:val="auto"/>
          <w:highlight w:val="none"/>
        </w:rPr>
      </w:pPr>
    </w:p>
    <w:p w14:paraId="7B3C7DA3">
      <w:pPr>
        <w:spacing w:before="120" w:beforeLines="50"/>
        <w:rPr>
          <w:rFonts w:hAnsi="宋体" w:cs="宋体"/>
          <w:color w:val="auto"/>
          <w:highlight w:val="none"/>
        </w:rPr>
      </w:pPr>
    </w:p>
    <w:p w14:paraId="49EB872F">
      <w:pPr>
        <w:spacing w:before="120" w:beforeLines="50"/>
        <w:rPr>
          <w:rFonts w:hAnsi="宋体" w:cs="宋体"/>
          <w:color w:val="auto"/>
          <w:highlight w:val="none"/>
        </w:rPr>
      </w:pPr>
    </w:p>
    <w:p w14:paraId="0D54F1D2">
      <w:pPr>
        <w:spacing w:before="120" w:beforeLines="50"/>
        <w:rPr>
          <w:rFonts w:hAnsi="宋体" w:cs="宋体"/>
          <w:color w:val="auto"/>
          <w:highlight w:val="none"/>
        </w:rPr>
      </w:pPr>
    </w:p>
    <w:p w14:paraId="486A0726">
      <w:pPr>
        <w:spacing w:before="120" w:beforeLines="50"/>
        <w:rPr>
          <w:rFonts w:hAnsi="宋体"/>
          <w:color w:val="auto"/>
          <w:highlight w:val="none"/>
        </w:rPr>
      </w:pPr>
    </w:p>
    <w:p w14:paraId="0A183099">
      <w:pPr>
        <w:rPr>
          <w:b/>
          <w:color w:val="auto"/>
          <w:szCs w:val="21"/>
          <w:highlight w:val="none"/>
        </w:rPr>
      </w:pPr>
      <w:r>
        <w:rPr>
          <w:b/>
          <w:color w:val="auto"/>
          <w:szCs w:val="21"/>
          <w:highlight w:val="none"/>
        </w:rPr>
        <w:t>附表A-</w:t>
      </w:r>
      <w:r>
        <w:rPr>
          <w:rFonts w:hint="eastAsia"/>
          <w:b/>
          <w:color w:val="auto"/>
          <w:szCs w:val="21"/>
          <w:highlight w:val="none"/>
        </w:rPr>
        <w:t>17</w:t>
      </w:r>
      <w:r>
        <w:rPr>
          <w:b/>
          <w:color w:val="auto"/>
          <w:szCs w:val="21"/>
          <w:highlight w:val="none"/>
        </w:rPr>
        <w:t>：</w:t>
      </w:r>
      <w:r>
        <w:rPr>
          <w:rFonts w:hint="eastAsia"/>
          <w:b/>
          <w:color w:val="auto"/>
          <w:szCs w:val="21"/>
          <w:highlight w:val="none"/>
        </w:rPr>
        <w:t>中标公告</w:t>
      </w:r>
    </w:p>
    <w:p w14:paraId="1F286BFF">
      <w:pPr>
        <w:jc w:val="center"/>
        <w:rPr>
          <w:b/>
          <w:color w:val="auto"/>
          <w:sz w:val="28"/>
          <w:szCs w:val="28"/>
          <w:highlight w:val="none"/>
        </w:rPr>
      </w:pPr>
      <w:r>
        <w:rPr>
          <w:rFonts w:hint="eastAsia" w:eastAsia="黑体"/>
          <w:color w:val="auto"/>
          <w:sz w:val="28"/>
          <w:szCs w:val="28"/>
          <w:highlight w:val="none"/>
        </w:rPr>
        <w:t>中标公告</w:t>
      </w:r>
    </w:p>
    <w:tbl>
      <w:tblPr>
        <w:tblStyle w:val="40"/>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26"/>
        <w:gridCol w:w="3294"/>
        <w:gridCol w:w="10"/>
        <w:gridCol w:w="1430"/>
        <w:gridCol w:w="25"/>
        <w:gridCol w:w="2981"/>
      </w:tblGrid>
      <w:tr w14:paraId="5752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6A9048A4">
            <w:pPr>
              <w:widowControl/>
              <w:spacing w:line="360" w:lineRule="auto"/>
              <w:jc w:val="center"/>
              <w:rPr>
                <w:color w:val="auto"/>
                <w:kern w:val="0"/>
                <w:szCs w:val="21"/>
                <w:highlight w:val="none"/>
              </w:rPr>
            </w:pPr>
            <w:r>
              <w:rPr>
                <w:rFonts w:hAnsi="宋体"/>
                <w:color w:val="auto"/>
                <w:kern w:val="0"/>
                <w:szCs w:val="21"/>
                <w:highlight w:val="none"/>
              </w:rPr>
              <w:t>项目名称</w:t>
            </w:r>
          </w:p>
        </w:tc>
        <w:tc>
          <w:tcPr>
            <w:tcW w:w="7740" w:type="dxa"/>
            <w:gridSpan w:val="5"/>
            <w:tcMar>
              <w:top w:w="0" w:type="dxa"/>
              <w:left w:w="75" w:type="dxa"/>
              <w:bottom w:w="0" w:type="dxa"/>
              <w:right w:w="0" w:type="dxa"/>
            </w:tcMar>
            <w:vAlign w:val="center"/>
          </w:tcPr>
          <w:p w14:paraId="0DC4BB2A">
            <w:pPr>
              <w:widowControl/>
              <w:spacing w:line="360" w:lineRule="auto"/>
              <w:jc w:val="center"/>
              <w:rPr>
                <w:color w:val="auto"/>
                <w:kern w:val="0"/>
                <w:szCs w:val="21"/>
                <w:highlight w:val="none"/>
              </w:rPr>
            </w:pPr>
          </w:p>
        </w:tc>
      </w:tr>
      <w:tr w14:paraId="625D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3AD204B4">
            <w:pPr>
              <w:widowControl/>
              <w:spacing w:line="360" w:lineRule="auto"/>
              <w:jc w:val="center"/>
              <w:rPr>
                <w:rFonts w:hAnsi="宋体"/>
                <w:color w:val="auto"/>
                <w:kern w:val="0"/>
                <w:szCs w:val="21"/>
                <w:highlight w:val="none"/>
              </w:rPr>
            </w:pPr>
            <w:r>
              <w:rPr>
                <w:rFonts w:hAnsi="宋体"/>
                <w:color w:val="auto"/>
                <w:szCs w:val="21"/>
                <w:highlight w:val="none"/>
              </w:rPr>
              <w:t>项目</w:t>
            </w:r>
            <w:r>
              <w:rPr>
                <w:rFonts w:hint="eastAsia" w:hAnsi="宋体"/>
                <w:color w:val="auto"/>
                <w:szCs w:val="21"/>
                <w:highlight w:val="none"/>
              </w:rPr>
              <w:t>招标</w:t>
            </w:r>
            <w:r>
              <w:rPr>
                <w:rFonts w:hAnsi="宋体"/>
                <w:color w:val="auto"/>
                <w:szCs w:val="21"/>
                <w:highlight w:val="none"/>
              </w:rPr>
              <w:t>编号</w:t>
            </w:r>
          </w:p>
        </w:tc>
        <w:tc>
          <w:tcPr>
            <w:tcW w:w="7740" w:type="dxa"/>
            <w:gridSpan w:val="5"/>
            <w:tcMar>
              <w:top w:w="0" w:type="dxa"/>
              <w:left w:w="75" w:type="dxa"/>
              <w:bottom w:w="0" w:type="dxa"/>
              <w:right w:w="0" w:type="dxa"/>
            </w:tcMar>
            <w:vAlign w:val="center"/>
          </w:tcPr>
          <w:p w14:paraId="1EFB2609">
            <w:pPr>
              <w:widowControl/>
              <w:spacing w:line="360" w:lineRule="auto"/>
              <w:jc w:val="center"/>
              <w:rPr>
                <w:color w:val="auto"/>
                <w:kern w:val="0"/>
                <w:szCs w:val="21"/>
                <w:highlight w:val="none"/>
              </w:rPr>
            </w:pPr>
          </w:p>
        </w:tc>
      </w:tr>
      <w:tr w14:paraId="59C4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4F002766">
            <w:pPr>
              <w:widowControl/>
              <w:spacing w:line="360" w:lineRule="auto"/>
              <w:jc w:val="center"/>
              <w:rPr>
                <w:rFonts w:hAnsi="宋体"/>
                <w:color w:val="auto"/>
                <w:kern w:val="0"/>
                <w:szCs w:val="21"/>
                <w:highlight w:val="none"/>
              </w:rPr>
            </w:pPr>
            <w:r>
              <w:rPr>
                <w:rFonts w:hint="eastAsia" w:hAnsi="宋体"/>
                <w:color w:val="auto"/>
                <w:kern w:val="0"/>
                <w:szCs w:val="21"/>
                <w:highlight w:val="none"/>
              </w:rPr>
              <w:t>代建单位（如有）</w:t>
            </w:r>
          </w:p>
        </w:tc>
        <w:tc>
          <w:tcPr>
            <w:tcW w:w="7740" w:type="dxa"/>
            <w:gridSpan w:val="5"/>
            <w:tcMar>
              <w:top w:w="0" w:type="dxa"/>
              <w:left w:w="75" w:type="dxa"/>
              <w:bottom w:w="0" w:type="dxa"/>
              <w:right w:w="0" w:type="dxa"/>
            </w:tcMar>
            <w:vAlign w:val="center"/>
          </w:tcPr>
          <w:p w14:paraId="4AB76F14">
            <w:pPr>
              <w:widowControl/>
              <w:spacing w:line="360" w:lineRule="auto"/>
              <w:jc w:val="center"/>
              <w:rPr>
                <w:color w:val="auto"/>
                <w:kern w:val="0"/>
                <w:szCs w:val="21"/>
                <w:highlight w:val="none"/>
              </w:rPr>
            </w:pPr>
          </w:p>
        </w:tc>
      </w:tr>
      <w:tr w14:paraId="2A09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03E5FB20">
            <w:pPr>
              <w:widowControl/>
              <w:spacing w:line="360" w:lineRule="auto"/>
              <w:jc w:val="center"/>
              <w:rPr>
                <w:rFonts w:hAnsi="宋体"/>
                <w:color w:val="auto"/>
                <w:kern w:val="0"/>
                <w:szCs w:val="21"/>
                <w:highlight w:val="none"/>
              </w:rPr>
            </w:pPr>
            <w:r>
              <w:rPr>
                <w:rFonts w:hint="eastAsia" w:hAnsi="宋体"/>
                <w:color w:val="auto"/>
                <w:kern w:val="0"/>
                <w:szCs w:val="21"/>
                <w:highlight w:val="none"/>
              </w:rPr>
              <w:t>建设单位</w:t>
            </w:r>
          </w:p>
        </w:tc>
        <w:tc>
          <w:tcPr>
            <w:tcW w:w="7740" w:type="dxa"/>
            <w:gridSpan w:val="5"/>
            <w:tcMar>
              <w:top w:w="0" w:type="dxa"/>
              <w:left w:w="75" w:type="dxa"/>
              <w:bottom w:w="0" w:type="dxa"/>
              <w:right w:w="0" w:type="dxa"/>
            </w:tcMar>
            <w:vAlign w:val="center"/>
          </w:tcPr>
          <w:p w14:paraId="3F90EA71">
            <w:pPr>
              <w:widowControl/>
              <w:spacing w:line="360" w:lineRule="auto"/>
              <w:jc w:val="center"/>
              <w:rPr>
                <w:color w:val="auto"/>
                <w:kern w:val="0"/>
                <w:szCs w:val="21"/>
                <w:highlight w:val="none"/>
              </w:rPr>
            </w:pPr>
          </w:p>
        </w:tc>
      </w:tr>
      <w:tr w14:paraId="05B06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579B0D77">
            <w:pPr>
              <w:widowControl/>
              <w:spacing w:line="360" w:lineRule="auto"/>
              <w:jc w:val="center"/>
              <w:rPr>
                <w:color w:val="auto"/>
                <w:kern w:val="0"/>
                <w:szCs w:val="21"/>
                <w:highlight w:val="none"/>
              </w:rPr>
            </w:pPr>
            <w:r>
              <w:rPr>
                <w:rFonts w:hAnsi="宋体"/>
                <w:color w:val="auto"/>
                <w:kern w:val="0"/>
                <w:szCs w:val="21"/>
                <w:highlight w:val="none"/>
              </w:rPr>
              <w:t>招标类别</w:t>
            </w:r>
          </w:p>
        </w:tc>
        <w:tc>
          <w:tcPr>
            <w:tcW w:w="3294" w:type="dxa"/>
            <w:tcMar>
              <w:top w:w="0" w:type="dxa"/>
              <w:left w:w="75" w:type="dxa"/>
              <w:bottom w:w="0" w:type="dxa"/>
              <w:right w:w="0" w:type="dxa"/>
            </w:tcMar>
            <w:vAlign w:val="center"/>
          </w:tcPr>
          <w:p w14:paraId="65C07974">
            <w:pPr>
              <w:widowControl/>
              <w:spacing w:line="360" w:lineRule="auto"/>
              <w:jc w:val="center"/>
              <w:rPr>
                <w:color w:val="auto"/>
                <w:kern w:val="0"/>
                <w:szCs w:val="21"/>
                <w:highlight w:val="none"/>
              </w:rPr>
            </w:pPr>
            <w:r>
              <w:rPr>
                <w:rFonts w:hint="eastAsia"/>
                <w:color w:val="auto"/>
                <w:kern w:val="0"/>
                <w:szCs w:val="21"/>
                <w:highlight w:val="none"/>
              </w:rPr>
              <w:t>□</w:t>
            </w:r>
            <w:r>
              <w:rPr>
                <w:rFonts w:hAnsi="宋体"/>
                <w:color w:val="auto"/>
                <w:kern w:val="0"/>
                <w:szCs w:val="21"/>
                <w:highlight w:val="none"/>
              </w:rPr>
              <w:t>委托招标</w:t>
            </w:r>
            <w:r>
              <w:rPr>
                <w:color w:val="auto"/>
                <w:kern w:val="0"/>
                <w:szCs w:val="21"/>
                <w:highlight w:val="none"/>
              </w:rPr>
              <w:t xml:space="preserve">    </w:t>
            </w:r>
            <w:r>
              <w:rPr>
                <w:rFonts w:hint="eastAsia"/>
                <w:color w:val="auto"/>
                <w:kern w:val="0"/>
                <w:szCs w:val="21"/>
                <w:highlight w:val="none"/>
              </w:rPr>
              <w:t>□</w:t>
            </w:r>
            <w:r>
              <w:rPr>
                <w:rFonts w:hAnsi="宋体"/>
                <w:color w:val="auto"/>
                <w:kern w:val="0"/>
                <w:szCs w:val="21"/>
                <w:highlight w:val="none"/>
              </w:rPr>
              <w:t>自行招标</w:t>
            </w:r>
          </w:p>
        </w:tc>
        <w:tc>
          <w:tcPr>
            <w:tcW w:w="1440" w:type="dxa"/>
            <w:gridSpan w:val="2"/>
            <w:vAlign w:val="center"/>
          </w:tcPr>
          <w:p w14:paraId="08B1ED7C">
            <w:pPr>
              <w:widowControl/>
              <w:spacing w:line="360" w:lineRule="auto"/>
              <w:jc w:val="center"/>
              <w:rPr>
                <w:color w:val="auto"/>
                <w:kern w:val="0"/>
                <w:szCs w:val="21"/>
                <w:highlight w:val="none"/>
              </w:rPr>
            </w:pPr>
            <w:r>
              <w:rPr>
                <w:rFonts w:hAnsi="宋体"/>
                <w:color w:val="auto"/>
                <w:kern w:val="0"/>
                <w:szCs w:val="21"/>
                <w:highlight w:val="none"/>
              </w:rPr>
              <w:t>招标方式</w:t>
            </w:r>
          </w:p>
        </w:tc>
        <w:tc>
          <w:tcPr>
            <w:tcW w:w="3006" w:type="dxa"/>
            <w:gridSpan w:val="2"/>
            <w:tcMar>
              <w:top w:w="0" w:type="dxa"/>
              <w:left w:w="75" w:type="dxa"/>
              <w:bottom w:w="0" w:type="dxa"/>
              <w:right w:w="0" w:type="dxa"/>
            </w:tcMar>
            <w:vAlign w:val="center"/>
          </w:tcPr>
          <w:p w14:paraId="19E74B2D">
            <w:pPr>
              <w:widowControl/>
              <w:spacing w:line="360" w:lineRule="auto"/>
              <w:jc w:val="center"/>
              <w:rPr>
                <w:color w:val="auto"/>
                <w:kern w:val="0"/>
                <w:szCs w:val="21"/>
                <w:highlight w:val="none"/>
              </w:rPr>
            </w:pPr>
            <w:r>
              <w:rPr>
                <w:rFonts w:hint="eastAsia"/>
                <w:color w:val="auto"/>
                <w:kern w:val="0"/>
                <w:szCs w:val="21"/>
                <w:highlight w:val="none"/>
              </w:rPr>
              <w:t>□</w:t>
            </w:r>
            <w:r>
              <w:rPr>
                <w:rFonts w:hAnsi="宋体"/>
                <w:color w:val="auto"/>
                <w:kern w:val="0"/>
                <w:szCs w:val="21"/>
                <w:highlight w:val="none"/>
              </w:rPr>
              <w:t>公开招标</w:t>
            </w:r>
            <w:r>
              <w:rPr>
                <w:color w:val="auto"/>
                <w:kern w:val="0"/>
                <w:szCs w:val="21"/>
                <w:highlight w:val="none"/>
              </w:rPr>
              <w:t xml:space="preserve">    </w:t>
            </w:r>
            <w:r>
              <w:rPr>
                <w:rFonts w:hint="eastAsia"/>
                <w:color w:val="auto"/>
                <w:kern w:val="0"/>
                <w:szCs w:val="21"/>
                <w:highlight w:val="none"/>
              </w:rPr>
              <w:t>□</w:t>
            </w:r>
            <w:r>
              <w:rPr>
                <w:rFonts w:hAnsi="宋体"/>
                <w:color w:val="auto"/>
                <w:kern w:val="0"/>
                <w:szCs w:val="21"/>
                <w:highlight w:val="none"/>
              </w:rPr>
              <w:t>邀请招标</w:t>
            </w:r>
          </w:p>
        </w:tc>
      </w:tr>
      <w:tr w14:paraId="24D3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1E5D3771">
            <w:pPr>
              <w:widowControl/>
              <w:spacing w:line="360" w:lineRule="auto"/>
              <w:jc w:val="center"/>
              <w:rPr>
                <w:color w:val="auto"/>
                <w:kern w:val="0"/>
                <w:szCs w:val="21"/>
                <w:highlight w:val="none"/>
              </w:rPr>
            </w:pPr>
            <w:r>
              <w:rPr>
                <w:rFonts w:hAnsi="宋体"/>
                <w:color w:val="auto"/>
                <w:kern w:val="0"/>
                <w:szCs w:val="21"/>
                <w:highlight w:val="none"/>
              </w:rPr>
              <w:t>招标代理机构</w:t>
            </w:r>
          </w:p>
        </w:tc>
        <w:tc>
          <w:tcPr>
            <w:tcW w:w="7740" w:type="dxa"/>
            <w:gridSpan w:val="5"/>
            <w:tcMar>
              <w:top w:w="0" w:type="dxa"/>
              <w:left w:w="75" w:type="dxa"/>
              <w:bottom w:w="0" w:type="dxa"/>
              <w:right w:w="0" w:type="dxa"/>
            </w:tcMar>
            <w:vAlign w:val="center"/>
          </w:tcPr>
          <w:p w14:paraId="45DA5AB6">
            <w:pPr>
              <w:widowControl/>
              <w:spacing w:line="360" w:lineRule="auto"/>
              <w:jc w:val="left"/>
              <w:rPr>
                <w:color w:val="auto"/>
                <w:kern w:val="0"/>
                <w:szCs w:val="21"/>
                <w:highlight w:val="none"/>
              </w:rPr>
            </w:pPr>
          </w:p>
        </w:tc>
      </w:tr>
      <w:tr w14:paraId="40C0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1BCE67D7">
            <w:pPr>
              <w:widowControl/>
              <w:spacing w:line="360" w:lineRule="auto"/>
              <w:jc w:val="center"/>
              <w:rPr>
                <w:color w:val="auto"/>
                <w:kern w:val="0"/>
                <w:szCs w:val="21"/>
                <w:highlight w:val="none"/>
              </w:rPr>
            </w:pPr>
            <w:r>
              <w:rPr>
                <w:rFonts w:hint="eastAsia" w:hAnsi="宋体"/>
                <w:color w:val="auto"/>
                <w:kern w:val="0"/>
                <w:szCs w:val="21"/>
                <w:highlight w:val="none"/>
              </w:rPr>
              <w:t>中标范围</w:t>
            </w:r>
          </w:p>
        </w:tc>
        <w:tc>
          <w:tcPr>
            <w:tcW w:w="7740" w:type="dxa"/>
            <w:gridSpan w:val="5"/>
            <w:tcMar>
              <w:top w:w="0" w:type="dxa"/>
              <w:left w:w="75" w:type="dxa"/>
              <w:bottom w:w="0" w:type="dxa"/>
              <w:right w:w="0" w:type="dxa"/>
            </w:tcMar>
            <w:vAlign w:val="center"/>
          </w:tcPr>
          <w:p w14:paraId="51AE2541">
            <w:pPr>
              <w:widowControl/>
              <w:spacing w:line="360" w:lineRule="auto"/>
              <w:ind w:right="185" w:rightChars="88"/>
              <w:jc w:val="left"/>
              <w:rPr>
                <w:color w:val="auto"/>
                <w:kern w:val="0"/>
                <w:szCs w:val="21"/>
                <w:highlight w:val="none"/>
              </w:rPr>
            </w:pPr>
          </w:p>
        </w:tc>
      </w:tr>
      <w:tr w14:paraId="06A4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3E8585A1">
            <w:pPr>
              <w:widowControl/>
              <w:spacing w:line="360" w:lineRule="auto"/>
              <w:jc w:val="center"/>
              <w:rPr>
                <w:rFonts w:hAnsi="宋体"/>
                <w:color w:val="auto"/>
                <w:kern w:val="0"/>
                <w:szCs w:val="21"/>
                <w:highlight w:val="none"/>
              </w:rPr>
            </w:pPr>
            <w:r>
              <w:rPr>
                <w:rFonts w:hint="eastAsia" w:hAnsi="宋体" w:cs="宋体"/>
                <w:color w:val="auto"/>
                <w:kern w:val="0"/>
                <w:highlight w:val="none"/>
              </w:rPr>
              <w:t>评</w:t>
            </w:r>
            <w:r>
              <w:rPr>
                <w:rFonts w:hAnsi="宋体" w:cs="宋体"/>
                <w:color w:val="auto"/>
                <w:kern w:val="0"/>
                <w:highlight w:val="none"/>
              </w:rPr>
              <w:t>标委员会</w:t>
            </w:r>
            <w:r>
              <w:rPr>
                <w:rFonts w:hint="eastAsia" w:hAnsi="宋体" w:cs="宋体"/>
                <w:color w:val="auto"/>
                <w:kern w:val="0"/>
                <w:highlight w:val="none"/>
              </w:rPr>
              <w:t>成员</w:t>
            </w:r>
          </w:p>
        </w:tc>
        <w:tc>
          <w:tcPr>
            <w:tcW w:w="7740" w:type="dxa"/>
            <w:gridSpan w:val="5"/>
            <w:tcMar>
              <w:top w:w="0" w:type="dxa"/>
              <w:left w:w="75" w:type="dxa"/>
              <w:bottom w:w="0" w:type="dxa"/>
              <w:right w:w="0" w:type="dxa"/>
            </w:tcMar>
            <w:vAlign w:val="center"/>
          </w:tcPr>
          <w:p w14:paraId="7E41F444">
            <w:pPr>
              <w:widowControl/>
              <w:spacing w:line="360" w:lineRule="auto"/>
              <w:ind w:right="185" w:rightChars="88"/>
              <w:jc w:val="left"/>
              <w:rPr>
                <w:color w:val="auto"/>
                <w:kern w:val="0"/>
                <w:szCs w:val="21"/>
                <w:highlight w:val="none"/>
              </w:rPr>
            </w:pPr>
          </w:p>
        </w:tc>
      </w:tr>
      <w:tr w14:paraId="5F87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 w:hRule="atLeast"/>
          <w:jc w:val="center"/>
        </w:trPr>
        <w:tc>
          <w:tcPr>
            <w:tcW w:w="1926" w:type="dxa"/>
            <w:vAlign w:val="center"/>
          </w:tcPr>
          <w:p w14:paraId="5983E77F">
            <w:pPr>
              <w:widowControl/>
              <w:spacing w:line="360" w:lineRule="auto"/>
              <w:jc w:val="center"/>
              <w:rPr>
                <w:color w:val="auto"/>
                <w:kern w:val="0"/>
                <w:szCs w:val="21"/>
                <w:highlight w:val="none"/>
              </w:rPr>
            </w:pPr>
            <w:r>
              <w:rPr>
                <w:rFonts w:hAnsi="宋体"/>
                <w:color w:val="auto"/>
                <w:kern w:val="0"/>
                <w:szCs w:val="21"/>
                <w:highlight w:val="none"/>
              </w:rPr>
              <w:t>开标时间</w:t>
            </w:r>
          </w:p>
        </w:tc>
        <w:tc>
          <w:tcPr>
            <w:tcW w:w="3304" w:type="dxa"/>
            <w:gridSpan w:val="2"/>
            <w:tcMar>
              <w:top w:w="0" w:type="dxa"/>
              <w:left w:w="75" w:type="dxa"/>
              <w:bottom w:w="0" w:type="dxa"/>
              <w:right w:w="0" w:type="dxa"/>
            </w:tcMar>
            <w:vAlign w:val="center"/>
          </w:tcPr>
          <w:p w14:paraId="03D795AE">
            <w:pPr>
              <w:widowControl/>
              <w:spacing w:line="360" w:lineRule="auto"/>
              <w:jc w:val="left"/>
              <w:rPr>
                <w:color w:val="auto"/>
                <w:kern w:val="0"/>
                <w:szCs w:val="21"/>
                <w:highlight w:val="none"/>
              </w:rPr>
            </w:pPr>
          </w:p>
        </w:tc>
        <w:tc>
          <w:tcPr>
            <w:tcW w:w="1455" w:type="dxa"/>
            <w:gridSpan w:val="2"/>
            <w:tcMar>
              <w:top w:w="0" w:type="dxa"/>
              <w:left w:w="75" w:type="dxa"/>
              <w:bottom w:w="0" w:type="dxa"/>
              <w:right w:w="0" w:type="dxa"/>
            </w:tcMar>
            <w:vAlign w:val="center"/>
          </w:tcPr>
          <w:p w14:paraId="65A9B2BC">
            <w:pPr>
              <w:widowControl/>
              <w:spacing w:line="360" w:lineRule="auto"/>
              <w:jc w:val="center"/>
              <w:rPr>
                <w:color w:val="auto"/>
                <w:kern w:val="0"/>
                <w:szCs w:val="21"/>
                <w:highlight w:val="none"/>
              </w:rPr>
            </w:pPr>
            <w:r>
              <w:rPr>
                <w:rFonts w:hAnsi="宋体"/>
                <w:color w:val="auto"/>
                <w:kern w:val="0"/>
                <w:szCs w:val="21"/>
                <w:highlight w:val="none"/>
              </w:rPr>
              <w:t>开标地点</w:t>
            </w:r>
          </w:p>
        </w:tc>
        <w:tc>
          <w:tcPr>
            <w:tcW w:w="2981" w:type="dxa"/>
            <w:tcMar>
              <w:top w:w="0" w:type="dxa"/>
              <w:left w:w="75" w:type="dxa"/>
              <w:bottom w:w="0" w:type="dxa"/>
              <w:right w:w="0" w:type="dxa"/>
            </w:tcMar>
            <w:vAlign w:val="center"/>
          </w:tcPr>
          <w:p w14:paraId="76F4590A">
            <w:pPr>
              <w:widowControl/>
              <w:spacing w:line="360" w:lineRule="auto"/>
              <w:jc w:val="left"/>
              <w:rPr>
                <w:color w:val="auto"/>
                <w:kern w:val="0"/>
                <w:szCs w:val="21"/>
                <w:highlight w:val="none"/>
              </w:rPr>
            </w:pPr>
          </w:p>
        </w:tc>
      </w:tr>
      <w:tr w14:paraId="526E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142AE6D8">
            <w:pPr>
              <w:widowControl/>
              <w:spacing w:line="360" w:lineRule="auto"/>
              <w:jc w:val="center"/>
              <w:rPr>
                <w:color w:val="auto"/>
                <w:kern w:val="0"/>
                <w:szCs w:val="21"/>
                <w:highlight w:val="none"/>
              </w:rPr>
            </w:pPr>
            <w:r>
              <w:rPr>
                <w:rFonts w:hAnsi="宋体"/>
                <w:color w:val="auto"/>
                <w:kern w:val="0"/>
                <w:szCs w:val="21"/>
                <w:highlight w:val="none"/>
              </w:rPr>
              <w:t>中标人</w:t>
            </w:r>
          </w:p>
        </w:tc>
        <w:tc>
          <w:tcPr>
            <w:tcW w:w="7740" w:type="dxa"/>
            <w:gridSpan w:val="5"/>
            <w:tcMar>
              <w:top w:w="0" w:type="dxa"/>
              <w:left w:w="75" w:type="dxa"/>
              <w:bottom w:w="0" w:type="dxa"/>
              <w:right w:w="0" w:type="dxa"/>
            </w:tcMar>
            <w:vAlign w:val="center"/>
          </w:tcPr>
          <w:p w14:paraId="2F34050A">
            <w:pPr>
              <w:widowControl/>
              <w:spacing w:line="360" w:lineRule="auto"/>
              <w:jc w:val="left"/>
              <w:rPr>
                <w:color w:val="auto"/>
                <w:kern w:val="0"/>
                <w:szCs w:val="21"/>
                <w:highlight w:val="none"/>
              </w:rPr>
            </w:pPr>
          </w:p>
        </w:tc>
      </w:tr>
      <w:tr w14:paraId="0FAC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7F73E797">
            <w:pPr>
              <w:widowControl/>
              <w:spacing w:line="360" w:lineRule="auto"/>
              <w:jc w:val="center"/>
              <w:rPr>
                <w:color w:val="auto"/>
                <w:kern w:val="0"/>
                <w:szCs w:val="21"/>
                <w:highlight w:val="none"/>
              </w:rPr>
            </w:pPr>
            <w:r>
              <w:rPr>
                <w:rFonts w:hint="eastAsia" w:hAnsi="宋体"/>
                <w:color w:val="auto"/>
                <w:kern w:val="0"/>
                <w:szCs w:val="21"/>
                <w:highlight w:val="none"/>
              </w:rPr>
              <w:t>中标价格</w:t>
            </w:r>
          </w:p>
        </w:tc>
        <w:tc>
          <w:tcPr>
            <w:tcW w:w="7740" w:type="dxa"/>
            <w:gridSpan w:val="5"/>
            <w:tcMar>
              <w:top w:w="0" w:type="dxa"/>
              <w:left w:w="75" w:type="dxa"/>
              <w:bottom w:w="0" w:type="dxa"/>
              <w:right w:w="0" w:type="dxa"/>
            </w:tcMar>
            <w:vAlign w:val="center"/>
          </w:tcPr>
          <w:p w14:paraId="2FB87A51">
            <w:pPr>
              <w:widowControl/>
              <w:spacing w:line="360" w:lineRule="auto"/>
              <w:jc w:val="left"/>
              <w:rPr>
                <w:color w:val="auto"/>
                <w:kern w:val="0"/>
                <w:szCs w:val="21"/>
                <w:highlight w:val="none"/>
              </w:rPr>
            </w:pPr>
          </w:p>
        </w:tc>
      </w:tr>
      <w:tr w14:paraId="2C6C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12E017BB">
            <w:pPr>
              <w:widowControl/>
              <w:spacing w:line="360" w:lineRule="auto"/>
              <w:jc w:val="center"/>
              <w:rPr>
                <w:color w:val="auto"/>
                <w:kern w:val="0"/>
                <w:szCs w:val="21"/>
                <w:highlight w:val="none"/>
              </w:rPr>
            </w:pPr>
            <w:r>
              <w:rPr>
                <w:rFonts w:hint="eastAsia" w:hAnsi="宋体"/>
                <w:color w:val="auto"/>
                <w:kern w:val="0"/>
                <w:szCs w:val="21"/>
                <w:highlight w:val="none"/>
              </w:rPr>
              <w:t>设计服务期限</w:t>
            </w:r>
          </w:p>
        </w:tc>
        <w:tc>
          <w:tcPr>
            <w:tcW w:w="7740" w:type="dxa"/>
            <w:gridSpan w:val="5"/>
            <w:tcMar>
              <w:top w:w="0" w:type="dxa"/>
              <w:left w:w="75" w:type="dxa"/>
              <w:bottom w:w="0" w:type="dxa"/>
              <w:right w:w="0" w:type="dxa"/>
            </w:tcMar>
            <w:vAlign w:val="center"/>
          </w:tcPr>
          <w:p w14:paraId="26F8D2CC">
            <w:pPr>
              <w:widowControl/>
              <w:spacing w:line="360" w:lineRule="auto"/>
              <w:jc w:val="left"/>
              <w:rPr>
                <w:color w:val="auto"/>
                <w:kern w:val="0"/>
                <w:szCs w:val="21"/>
                <w:highlight w:val="none"/>
              </w:rPr>
            </w:pPr>
          </w:p>
        </w:tc>
      </w:tr>
      <w:tr w14:paraId="3711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1CF194E1">
            <w:pPr>
              <w:widowControl/>
              <w:spacing w:line="360" w:lineRule="auto"/>
              <w:jc w:val="center"/>
              <w:rPr>
                <w:color w:val="auto"/>
                <w:kern w:val="0"/>
                <w:szCs w:val="21"/>
                <w:highlight w:val="none"/>
              </w:rPr>
            </w:pPr>
            <w:r>
              <w:rPr>
                <w:rFonts w:hAnsi="宋体"/>
                <w:color w:val="auto"/>
                <w:kern w:val="0"/>
                <w:szCs w:val="21"/>
                <w:highlight w:val="none"/>
              </w:rPr>
              <w:t>质量</w:t>
            </w:r>
            <w:r>
              <w:rPr>
                <w:rFonts w:hint="eastAsia" w:hAnsi="宋体"/>
                <w:color w:val="auto"/>
                <w:kern w:val="0"/>
                <w:szCs w:val="21"/>
                <w:highlight w:val="none"/>
              </w:rPr>
              <w:t>标准</w:t>
            </w:r>
          </w:p>
        </w:tc>
        <w:tc>
          <w:tcPr>
            <w:tcW w:w="7740" w:type="dxa"/>
            <w:gridSpan w:val="5"/>
            <w:tcMar>
              <w:top w:w="0" w:type="dxa"/>
              <w:left w:w="75" w:type="dxa"/>
              <w:bottom w:w="0" w:type="dxa"/>
              <w:right w:w="0" w:type="dxa"/>
            </w:tcMar>
            <w:vAlign w:val="center"/>
          </w:tcPr>
          <w:p w14:paraId="700A4C6E">
            <w:pPr>
              <w:widowControl/>
              <w:spacing w:line="360" w:lineRule="auto"/>
              <w:jc w:val="center"/>
              <w:rPr>
                <w:color w:val="auto"/>
                <w:kern w:val="0"/>
                <w:szCs w:val="21"/>
                <w:highlight w:val="none"/>
              </w:rPr>
            </w:pPr>
          </w:p>
        </w:tc>
      </w:tr>
      <w:tr w14:paraId="46A9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1926" w:type="dxa"/>
            <w:vAlign w:val="center"/>
          </w:tcPr>
          <w:p w14:paraId="09FF4AA4">
            <w:pPr>
              <w:widowControl/>
              <w:spacing w:line="360" w:lineRule="auto"/>
              <w:jc w:val="center"/>
              <w:rPr>
                <w:color w:val="auto"/>
                <w:kern w:val="0"/>
                <w:szCs w:val="21"/>
                <w:highlight w:val="none"/>
              </w:rPr>
            </w:pPr>
            <w:r>
              <w:rPr>
                <w:rFonts w:hAnsi="宋体"/>
                <w:color w:val="auto"/>
                <w:kern w:val="0"/>
                <w:szCs w:val="21"/>
                <w:highlight w:val="none"/>
              </w:rPr>
              <w:t>项目</w:t>
            </w:r>
            <w:r>
              <w:rPr>
                <w:rFonts w:hint="eastAsia" w:hAnsi="宋体"/>
                <w:color w:val="auto"/>
                <w:kern w:val="0"/>
                <w:szCs w:val="21"/>
                <w:highlight w:val="none"/>
              </w:rPr>
              <w:t>负责人</w:t>
            </w:r>
          </w:p>
        </w:tc>
        <w:tc>
          <w:tcPr>
            <w:tcW w:w="7740" w:type="dxa"/>
            <w:gridSpan w:val="5"/>
            <w:tcMar>
              <w:top w:w="0" w:type="dxa"/>
              <w:left w:w="75" w:type="dxa"/>
              <w:bottom w:w="0" w:type="dxa"/>
              <w:right w:w="0" w:type="dxa"/>
            </w:tcMar>
            <w:vAlign w:val="center"/>
          </w:tcPr>
          <w:p w14:paraId="785D6257">
            <w:pPr>
              <w:widowControl/>
              <w:spacing w:line="360" w:lineRule="auto"/>
              <w:rPr>
                <w:color w:val="auto"/>
                <w:kern w:val="0"/>
                <w:szCs w:val="21"/>
                <w:highlight w:val="none"/>
              </w:rPr>
            </w:pPr>
            <w:r>
              <w:rPr>
                <w:rFonts w:hAnsi="宋体"/>
                <w:color w:val="auto"/>
                <w:kern w:val="0"/>
                <w:szCs w:val="21"/>
                <w:highlight w:val="none"/>
              </w:rPr>
              <w:t>注册</w:t>
            </w:r>
            <w:r>
              <w:rPr>
                <w:rFonts w:hint="eastAsia" w:hAnsi="宋体"/>
                <w:color w:val="auto"/>
                <w:kern w:val="0"/>
                <w:szCs w:val="21"/>
                <w:highlight w:val="none"/>
              </w:rPr>
              <w:t>编号</w:t>
            </w:r>
            <w:r>
              <w:rPr>
                <w:rFonts w:hAnsi="宋体"/>
                <w:color w:val="auto"/>
                <w:kern w:val="0"/>
                <w:szCs w:val="21"/>
                <w:highlight w:val="none"/>
              </w:rPr>
              <w:t>：</w:t>
            </w:r>
            <w:r>
              <w:rPr>
                <w:color w:val="auto"/>
                <w:kern w:val="0"/>
                <w:szCs w:val="21"/>
                <w:highlight w:val="none"/>
              </w:rPr>
              <w:t xml:space="preserve">       </w:t>
            </w:r>
            <w:r>
              <w:rPr>
                <w:rFonts w:hint="eastAsia"/>
                <w:color w:val="auto"/>
                <w:kern w:val="0"/>
                <w:szCs w:val="21"/>
                <w:highlight w:val="none"/>
              </w:rPr>
              <w:t xml:space="preserve">           </w:t>
            </w:r>
            <w:r>
              <w:rPr>
                <w:color w:val="auto"/>
                <w:kern w:val="0"/>
                <w:szCs w:val="21"/>
                <w:highlight w:val="none"/>
              </w:rPr>
              <w:t xml:space="preserve"> </w:t>
            </w:r>
          </w:p>
        </w:tc>
      </w:tr>
      <w:tr w14:paraId="6109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7FAF4A29">
            <w:pPr>
              <w:widowControl/>
              <w:spacing w:line="360" w:lineRule="auto"/>
              <w:jc w:val="center"/>
              <w:rPr>
                <w:color w:val="auto"/>
                <w:kern w:val="0"/>
                <w:szCs w:val="21"/>
                <w:highlight w:val="none"/>
              </w:rPr>
            </w:pPr>
            <w:r>
              <w:rPr>
                <w:rFonts w:hAnsi="宋体"/>
                <w:color w:val="auto"/>
                <w:kern w:val="0"/>
                <w:szCs w:val="21"/>
                <w:highlight w:val="none"/>
              </w:rPr>
              <w:t>公</w:t>
            </w:r>
            <w:r>
              <w:rPr>
                <w:rFonts w:hint="eastAsia" w:hAnsi="宋体"/>
                <w:color w:val="auto"/>
                <w:kern w:val="0"/>
                <w:szCs w:val="21"/>
                <w:highlight w:val="none"/>
              </w:rPr>
              <w:t>告</w:t>
            </w:r>
            <w:r>
              <w:rPr>
                <w:rFonts w:hAnsi="宋体"/>
                <w:color w:val="auto"/>
                <w:kern w:val="0"/>
                <w:szCs w:val="21"/>
                <w:highlight w:val="none"/>
              </w:rPr>
              <w:t>媒介</w:t>
            </w:r>
          </w:p>
        </w:tc>
        <w:tc>
          <w:tcPr>
            <w:tcW w:w="7740" w:type="dxa"/>
            <w:gridSpan w:val="5"/>
            <w:tcMar>
              <w:top w:w="0" w:type="dxa"/>
              <w:left w:w="75" w:type="dxa"/>
              <w:bottom w:w="0" w:type="dxa"/>
              <w:right w:w="0" w:type="dxa"/>
            </w:tcMar>
            <w:vAlign w:val="center"/>
          </w:tcPr>
          <w:p w14:paraId="1C39DC44">
            <w:pPr>
              <w:widowControl/>
              <w:spacing w:line="360" w:lineRule="auto"/>
              <w:ind w:right="178" w:rightChars="85"/>
              <w:rPr>
                <w:color w:val="auto"/>
                <w:szCs w:val="21"/>
                <w:highlight w:val="none"/>
              </w:rPr>
            </w:pPr>
          </w:p>
        </w:tc>
      </w:tr>
      <w:tr w14:paraId="5533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31BDFA22">
            <w:pPr>
              <w:widowControl/>
              <w:spacing w:line="360" w:lineRule="auto"/>
              <w:jc w:val="center"/>
              <w:rPr>
                <w:rFonts w:hAnsi="宋体"/>
                <w:color w:val="auto"/>
                <w:kern w:val="0"/>
                <w:szCs w:val="21"/>
                <w:highlight w:val="none"/>
              </w:rPr>
            </w:pPr>
            <w:r>
              <w:rPr>
                <w:rFonts w:hint="eastAsia" w:hAnsi="宋体"/>
                <w:color w:val="auto"/>
                <w:kern w:val="0"/>
                <w:szCs w:val="21"/>
                <w:highlight w:val="none"/>
              </w:rPr>
              <w:t>公告日期（即中标通知书签发日期）</w:t>
            </w:r>
          </w:p>
        </w:tc>
        <w:tc>
          <w:tcPr>
            <w:tcW w:w="7740" w:type="dxa"/>
            <w:gridSpan w:val="5"/>
            <w:tcMar>
              <w:top w:w="0" w:type="dxa"/>
              <w:left w:w="75" w:type="dxa"/>
              <w:bottom w:w="0" w:type="dxa"/>
              <w:right w:w="0" w:type="dxa"/>
            </w:tcMar>
            <w:vAlign w:val="center"/>
          </w:tcPr>
          <w:p w14:paraId="472294D9">
            <w:pPr>
              <w:widowControl/>
              <w:spacing w:line="360" w:lineRule="auto"/>
              <w:ind w:right="178" w:rightChars="85"/>
              <w:rPr>
                <w:color w:val="auto"/>
                <w:szCs w:val="21"/>
                <w:highlight w:val="none"/>
              </w:rPr>
            </w:pPr>
          </w:p>
        </w:tc>
      </w:tr>
    </w:tbl>
    <w:p w14:paraId="7E42EAB3">
      <w:pPr>
        <w:spacing w:before="120" w:beforeLines="50"/>
        <w:rPr>
          <w:rFonts w:eastAsia="楷体_GB2312" w:cs="楷体_GB2312"/>
          <w:b/>
          <w:bCs/>
          <w:color w:val="auto"/>
          <w:highlight w:val="none"/>
        </w:rPr>
      </w:pPr>
      <w:r>
        <w:rPr>
          <w:rFonts w:hint="eastAsia" w:eastAsia="楷体_GB2312" w:cs="楷体_GB2312"/>
          <w:b/>
          <w:bCs/>
          <w:color w:val="auto"/>
          <w:highlight w:val="none"/>
        </w:rPr>
        <w:t>备注：1、招标人应在发布媒介发布中标公告；2、以上身份证号在公告时应隐藏中</w:t>
      </w:r>
      <w:r>
        <w:rPr>
          <w:rFonts w:eastAsia="楷体_GB2312" w:cs="楷体_GB2312"/>
          <w:b/>
          <w:bCs/>
          <w:color w:val="auto"/>
          <w:highlight w:val="none"/>
        </w:rPr>
        <w:t>间</w:t>
      </w:r>
      <w:r>
        <w:rPr>
          <w:rFonts w:hint="eastAsia" w:eastAsia="楷体_GB2312" w:cs="楷体_GB2312"/>
          <w:b/>
          <w:bCs/>
          <w:color w:val="auto"/>
          <w:highlight w:val="none"/>
        </w:rPr>
        <w:t>部分数字。</w:t>
      </w:r>
    </w:p>
    <w:p w14:paraId="48D338DA">
      <w:pPr>
        <w:rPr>
          <w:color w:val="auto"/>
          <w:szCs w:val="21"/>
          <w:highlight w:val="none"/>
        </w:rPr>
      </w:pPr>
    </w:p>
    <w:p w14:paraId="28DFACF1">
      <w:pPr>
        <w:rPr>
          <w:color w:val="auto"/>
          <w:szCs w:val="21"/>
          <w:highlight w:val="none"/>
        </w:rPr>
      </w:pPr>
    </w:p>
    <w:p w14:paraId="57201A92">
      <w:pPr>
        <w:rPr>
          <w:color w:val="auto"/>
          <w:szCs w:val="21"/>
          <w:highlight w:val="none"/>
        </w:rPr>
      </w:pPr>
    </w:p>
    <w:p w14:paraId="5A79E3AE">
      <w:pPr>
        <w:rPr>
          <w:color w:val="auto"/>
          <w:szCs w:val="21"/>
          <w:highlight w:val="none"/>
        </w:rPr>
      </w:pPr>
    </w:p>
    <w:p w14:paraId="2438FF4A">
      <w:pPr>
        <w:rPr>
          <w:color w:val="auto"/>
          <w:szCs w:val="21"/>
          <w:highlight w:val="none"/>
        </w:rPr>
        <w:sectPr>
          <w:pgSz w:w="11906" w:h="16838"/>
          <w:pgMar w:top="1440" w:right="1440" w:bottom="1440" w:left="1797" w:header="851" w:footer="851" w:gutter="0"/>
          <w:cols w:space="720" w:num="1"/>
          <w:docGrid w:linePitch="312" w:charSpace="0"/>
        </w:sectPr>
      </w:pPr>
    </w:p>
    <w:p w14:paraId="110769BE">
      <w:pPr>
        <w:widowControl/>
        <w:jc w:val="left"/>
        <w:rPr>
          <w:color w:val="auto"/>
          <w:highlight w:val="none"/>
        </w:rPr>
      </w:pPr>
    </w:p>
    <w:p w14:paraId="749D7F28">
      <w:pPr>
        <w:pStyle w:val="2"/>
        <w:rPr>
          <w:color w:val="auto"/>
          <w:highlight w:val="none"/>
        </w:rPr>
      </w:pPr>
      <w:bookmarkStart w:id="138" w:name="_Toc1043"/>
      <w:r>
        <w:rPr>
          <w:color w:val="auto"/>
          <w:highlight w:val="none"/>
        </w:rPr>
        <w:t>第四章  合同条款及格式</w:t>
      </w:r>
      <w:bookmarkEnd w:id="138"/>
    </w:p>
    <w:p w14:paraId="7ED5E2EC">
      <w:pPr>
        <w:keepNext/>
        <w:keepLines/>
        <w:spacing w:line="360" w:lineRule="auto"/>
        <w:jc w:val="center"/>
        <w:outlineLvl w:val="0"/>
        <w:rPr>
          <w:rFonts w:ascii="宋体" w:hAnsi="宋体"/>
          <w:b/>
          <w:bCs/>
          <w:color w:val="auto"/>
          <w:kern w:val="44"/>
          <w:sz w:val="32"/>
          <w:szCs w:val="44"/>
          <w:highlight w:val="none"/>
        </w:rPr>
      </w:pPr>
      <w:bookmarkStart w:id="139" w:name="_Toc351203480"/>
      <w:bookmarkStart w:id="140" w:name="_Toc296503025"/>
      <w:bookmarkStart w:id="141" w:name="_Toc296890982"/>
      <w:bookmarkStart w:id="142" w:name="_Toc256000098"/>
      <w:bookmarkStart w:id="143" w:name="_Toc389065255"/>
      <w:bookmarkStart w:id="144" w:name="_Toc373227552"/>
      <w:bookmarkStart w:id="145" w:name="_Toc503540100"/>
      <w:bookmarkStart w:id="146" w:name="_Toc373478199"/>
      <w:r>
        <w:rPr>
          <w:rFonts w:ascii="宋体" w:hAnsi="宋体"/>
          <w:b/>
          <w:bCs/>
          <w:color w:val="auto"/>
          <w:kern w:val="44"/>
          <w:sz w:val="32"/>
          <w:szCs w:val="44"/>
          <w:highlight w:val="none"/>
        </w:rPr>
        <w:t>第一</w:t>
      </w:r>
      <w:r>
        <w:rPr>
          <w:rFonts w:hint="eastAsia" w:ascii="宋体" w:hAnsi="宋体"/>
          <w:b/>
          <w:bCs/>
          <w:color w:val="auto"/>
          <w:kern w:val="44"/>
          <w:sz w:val="32"/>
          <w:szCs w:val="44"/>
          <w:highlight w:val="none"/>
        </w:rPr>
        <w:t>部分</w:t>
      </w:r>
      <w:r>
        <w:rPr>
          <w:rFonts w:ascii="宋体" w:hAnsi="宋体"/>
          <w:b/>
          <w:bCs/>
          <w:color w:val="auto"/>
          <w:kern w:val="44"/>
          <w:sz w:val="32"/>
          <w:szCs w:val="44"/>
          <w:highlight w:val="none"/>
        </w:rPr>
        <w:t xml:space="preserve"> 合同协议书</w:t>
      </w:r>
      <w:bookmarkEnd w:id="139"/>
      <w:bookmarkEnd w:id="140"/>
      <w:bookmarkEnd w:id="141"/>
      <w:bookmarkEnd w:id="142"/>
      <w:bookmarkEnd w:id="143"/>
      <w:bookmarkEnd w:id="144"/>
      <w:bookmarkEnd w:id="145"/>
      <w:bookmarkEnd w:id="146"/>
    </w:p>
    <w:p w14:paraId="0FE1522F">
      <w:pPr>
        <w:spacing w:line="360" w:lineRule="auto"/>
        <w:rPr>
          <w:rFonts w:hint="eastAsia" w:ascii="宋体" w:hAnsi="宋体"/>
          <w:color w:val="auto"/>
          <w:kern w:val="0"/>
          <w:szCs w:val="21"/>
          <w:highlight w:val="none"/>
        </w:rPr>
      </w:pPr>
    </w:p>
    <w:p w14:paraId="5C6D59A1">
      <w:pPr>
        <w:spacing w:line="360" w:lineRule="auto"/>
        <w:rPr>
          <w:rFonts w:ascii="宋体" w:hAnsi="宋体"/>
          <w:color w:val="auto"/>
          <w:kern w:val="0"/>
          <w:szCs w:val="21"/>
          <w:highlight w:val="none"/>
          <w:u w:val="single"/>
        </w:rPr>
      </w:pPr>
      <w:r>
        <w:rPr>
          <w:rFonts w:hint="eastAsia" w:ascii="宋体" w:hAnsi="宋体"/>
          <w:color w:val="auto"/>
          <w:kern w:val="0"/>
          <w:szCs w:val="21"/>
          <w:highlight w:val="none"/>
        </w:rPr>
        <w:t>发包人（全称）：</w:t>
      </w:r>
      <w:r>
        <w:rPr>
          <w:rFonts w:hint="eastAsia" w:ascii="宋体" w:hAnsi="宋体"/>
          <w:color w:val="auto"/>
          <w:kern w:val="0"/>
          <w:szCs w:val="21"/>
          <w:highlight w:val="none"/>
          <w:u w:val="single"/>
        </w:rPr>
        <w:t xml:space="preserve">桂林理工大学 </w:t>
      </w:r>
      <w:r>
        <w:rPr>
          <w:rFonts w:ascii="宋体" w:hAnsi="宋体"/>
          <w:color w:val="auto"/>
          <w:kern w:val="0"/>
          <w:szCs w:val="21"/>
          <w:highlight w:val="none"/>
          <w:u w:val="single"/>
        </w:rPr>
        <w:t xml:space="preserve">    </w:t>
      </w:r>
    </w:p>
    <w:p w14:paraId="67647041">
      <w:pPr>
        <w:spacing w:line="360" w:lineRule="auto"/>
        <w:rPr>
          <w:rFonts w:ascii="宋体" w:hAnsi="宋体"/>
          <w:color w:val="auto"/>
          <w:kern w:val="0"/>
          <w:szCs w:val="21"/>
          <w:highlight w:val="none"/>
          <w:u w:val="single"/>
        </w:rPr>
      </w:pPr>
      <w:r>
        <w:rPr>
          <w:rFonts w:hint="eastAsia" w:ascii="宋体" w:hAnsi="宋体"/>
          <w:color w:val="auto"/>
          <w:kern w:val="0"/>
          <w:szCs w:val="21"/>
          <w:highlight w:val="none"/>
        </w:rPr>
        <w:t>设计人（全称）：</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p>
    <w:p w14:paraId="31ACF66B">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根据《中华人民共和国民法典》《中华人民共和国建筑法》及有关法律规定，遵循平等、自愿、公平和诚实信用的原则，双方就</w:t>
      </w:r>
      <w:r>
        <w:rPr>
          <w:rFonts w:hint="eastAsia" w:ascii="宋体" w:hAnsi="宋体"/>
          <w:color w:val="auto"/>
          <w:szCs w:val="24"/>
          <w:highlight w:val="none"/>
          <w:u w:val="single"/>
        </w:rPr>
        <w:t>桂林理工大学自然资源科研楼工程设计服务</w:t>
      </w:r>
      <w:r>
        <w:rPr>
          <w:rFonts w:hint="eastAsia" w:ascii="宋体" w:hAnsi="宋体"/>
          <w:color w:val="auto"/>
          <w:kern w:val="0"/>
          <w:szCs w:val="21"/>
          <w:highlight w:val="none"/>
        </w:rPr>
        <w:t>及有关事项协商一致，共同达成如下协议：</w:t>
      </w:r>
      <w:bookmarkStart w:id="147" w:name="_Toc351203481"/>
    </w:p>
    <w:p w14:paraId="778209AD">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一、</w:t>
      </w:r>
      <w:r>
        <w:rPr>
          <w:rFonts w:hint="eastAsia" w:ascii="宋体" w:hAnsi="宋体"/>
          <w:b/>
          <w:bCs/>
          <w:color w:val="auto"/>
          <w:kern w:val="0"/>
          <w:szCs w:val="21"/>
          <w:highlight w:val="none"/>
        </w:rPr>
        <w:t>工程概况</w:t>
      </w:r>
    </w:p>
    <w:p w14:paraId="774663C4">
      <w:pPr>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w:t>
      </w:r>
      <w:r>
        <w:rPr>
          <w:rFonts w:hint="eastAsia" w:ascii="宋体" w:hAnsi="宋体"/>
          <w:color w:val="auto"/>
          <w:kern w:val="0"/>
          <w:szCs w:val="21"/>
          <w:highlight w:val="none"/>
        </w:rPr>
        <w:t>工程名称：</w:t>
      </w:r>
      <w:r>
        <w:rPr>
          <w:rFonts w:hint="eastAsia" w:ascii="宋体" w:hAnsi="宋体"/>
          <w:color w:val="auto"/>
          <w:szCs w:val="24"/>
          <w:highlight w:val="none"/>
          <w:u w:val="single"/>
        </w:rPr>
        <w:t>桂林理工大学自然资源科研楼工程设计服务</w:t>
      </w:r>
      <w:r>
        <w:rPr>
          <w:rFonts w:hint="eastAsia" w:ascii="宋体" w:hAnsi="宋体"/>
          <w:color w:val="auto"/>
          <w:kern w:val="0"/>
          <w:szCs w:val="21"/>
          <w:highlight w:val="none"/>
        </w:rPr>
        <w:t xml:space="preserve"> </w:t>
      </w:r>
    </w:p>
    <w:p w14:paraId="5C766D70">
      <w:pPr>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2.</w:t>
      </w:r>
      <w:r>
        <w:rPr>
          <w:rFonts w:hint="eastAsia" w:ascii="宋体" w:hAnsi="宋体"/>
          <w:color w:val="auto"/>
          <w:kern w:val="0"/>
          <w:szCs w:val="21"/>
          <w:highlight w:val="none"/>
        </w:rPr>
        <w:t>工程地点：</w:t>
      </w:r>
      <w:r>
        <w:rPr>
          <w:rFonts w:hint="eastAsia" w:ascii="宋体" w:hAnsi="宋体"/>
          <w:color w:val="auto"/>
          <w:szCs w:val="24"/>
          <w:highlight w:val="none"/>
          <w:u w:val="single"/>
        </w:rPr>
        <w:t>桂林理工大学屏风校区内</w:t>
      </w:r>
      <w:r>
        <w:rPr>
          <w:rFonts w:hint="eastAsia" w:ascii="宋体" w:hAnsi="宋体"/>
          <w:color w:val="auto"/>
          <w:szCs w:val="24"/>
          <w:highlight w:val="none"/>
          <w:u w:val="single"/>
          <w:lang w:eastAsia="zh-CN"/>
        </w:rPr>
        <w:t>（</w:t>
      </w:r>
      <w:r>
        <w:rPr>
          <w:rFonts w:hint="eastAsia" w:ascii="宋体" w:hAnsi="宋体"/>
          <w:color w:val="auto"/>
          <w:szCs w:val="24"/>
          <w:highlight w:val="none"/>
          <w:u w:val="single"/>
        </w:rPr>
        <w:t>桂林市七星区建干路12号</w:t>
      </w:r>
      <w:r>
        <w:rPr>
          <w:rFonts w:hint="eastAsia" w:ascii="宋体" w:hAnsi="宋体"/>
          <w:color w:val="auto"/>
          <w:szCs w:val="24"/>
          <w:highlight w:val="none"/>
          <w:u w:val="single"/>
          <w:lang w:eastAsia="zh-CN"/>
        </w:rPr>
        <w:t>）</w:t>
      </w:r>
      <w:r>
        <w:rPr>
          <w:rFonts w:hint="eastAsia" w:ascii="宋体" w:hAnsi="宋体"/>
          <w:color w:val="auto"/>
          <w:kern w:val="0"/>
          <w:szCs w:val="21"/>
          <w:highlight w:val="none"/>
        </w:rPr>
        <w:t>。</w:t>
      </w:r>
    </w:p>
    <w:p w14:paraId="7BD1D4E8">
      <w:pPr>
        <w:spacing w:line="360" w:lineRule="auto"/>
        <w:ind w:firstLine="420" w:firstLineChars="200"/>
        <w:rPr>
          <w:rFonts w:ascii="宋体" w:hAnsi="宋体"/>
          <w:color w:val="auto"/>
          <w:kern w:val="0"/>
          <w:szCs w:val="21"/>
          <w:highlight w:val="none"/>
          <w:u w:val="single"/>
        </w:rPr>
      </w:pPr>
      <w:r>
        <w:rPr>
          <w:rFonts w:ascii="宋体" w:hAnsi="宋体"/>
          <w:color w:val="auto"/>
          <w:kern w:val="0"/>
          <w:szCs w:val="21"/>
          <w:highlight w:val="none"/>
        </w:rPr>
        <w:t>3.</w:t>
      </w:r>
      <w:r>
        <w:rPr>
          <w:rFonts w:hint="eastAsia" w:ascii="宋体" w:hAnsi="宋体"/>
          <w:color w:val="auto"/>
          <w:kern w:val="0"/>
          <w:szCs w:val="21"/>
          <w:highlight w:val="none"/>
        </w:rPr>
        <w:t>规划占地面积：</w:t>
      </w:r>
      <w:r>
        <w:rPr>
          <w:rFonts w:hint="eastAsia" w:ascii="宋体" w:hAnsi="宋体"/>
          <w:color w:val="auto"/>
          <w:kern w:val="0"/>
          <w:szCs w:val="21"/>
          <w:highlight w:val="none"/>
          <w:lang w:val="en-US" w:eastAsia="zh-CN"/>
        </w:rPr>
        <w:t xml:space="preserve">项目拆除校内 </w:t>
      </w:r>
      <w:r>
        <w:rPr>
          <w:rFonts w:hint="default" w:ascii="宋体" w:hAnsi="宋体"/>
          <w:color w:val="auto"/>
          <w:kern w:val="0"/>
          <w:szCs w:val="21"/>
          <w:highlight w:val="none"/>
          <w:lang w:val="en-US" w:eastAsia="zh-CN"/>
        </w:rPr>
        <w:t xml:space="preserve">1 </w:t>
      </w:r>
      <w:r>
        <w:rPr>
          <w:rFonts w:hint="eastAsia" w:ascii="宋体" w:hAnsi="宋体"/>
          <w:color w:val="auto"/>
          <w:kern w:val="0"/>
          <w:szCs w:val="21"/>
          <w:highlight w:val="none"/>
          <w:lang w:val="en-US" w:eastAsia="zh-CN"/>
        </w:rPr>
        <w:t xml:space="preserve">栋教学楼，拆除面积 </w:t>
      </w:r>
      <w:r>
        <w:rPr>
          <w:rFonts w:hint="default" w:ascii="宋体" w:hAnsi="宋体"/>
          <w:color w:val="auto"/>
          <w:kern w:val="0"/>
          <w:szCs w:val="21"/>
          <w:highlight w:val="none"/>
          <w:lang w:val="en-US" w:eastAsia="zh-CN"/>
        </w:rPr>
        <w:t xml:space="preserve">4956.10 </w:t>
      </w:r>
      <w:r>
        <w:rPr>
          <w:rFonts w:hint="eastAsia" w:ascii="宋体" w:hAnsi="宋体"/>
          <w:color w:val="auto"/>
          <w:kern w:val="0"/>
          <w:szCs w:val="21"/>
          <w:highlight w:val="none"/>
          <w:lang w:val="en-US" w:eastAsia="zh-CN"/>
        </w:rPr>
        <w:t xml:space="preserve">平方米。拆除后新建 </w:t>
      </w:r>
      <w:r>
        <w:rPr>
          <w:rFonts w:hint="default" w:ascii="宋体" w:hAnsi="宋体"/>
          <w:color w:val="auto"/>
          <w:kern w:val="0"/>
          <w:szCs w:val="21"/>
          <w:highlight w:val="none"/>
          <w:lang w:val="en-US" w:eastAsia="zh-CN"/>
        </w:rPr>
        <w:t xml:space="preserve">1 </w:t>
      </w:r>
      <w:r>
        <w:rPr>
          <w:rFonts w:hint="eastAsia" w:ascii="宋体" w:hAnsi="宋体"/>
          <w:color w:val="auto"/>
          <w:kern w:val="0"/>
          <w:szCs w:val="21"/>
          <w:highlight w:val="none"/>
          <w:lang w:val="en-US" w:eastAsia="zh-CN"/>
        </w:rPr>
        <w:t xml:space="preserve">栋科研楼，总建筑面积 </w:t>
      </w:r>
      <w:r>
        <w:rPr>
          <w:rFonts w:hint="default" w:ascii="宋体" w:hAnsi="宋体"/>
          <w:color w:val="auto"/>
          <w:kern w:val="0"/>
          <w:szCs w:val="21"/>
          <w:highlight w:val="none"/>
          <w:lang w:val="en-US" w:eastAsia="zh-CN"/>
        </w:rPr>
        <w:t xml:space="preserve">19695.35 </w:t>
      </w:r>
      <w:r>
        <w:rPr>
          <w:rFonts w:hint="eastAsia" w:ascii="宋体" w:hAnsi="宋体"/>
          <w:color w:val="auto"/>
          <w:kern w:val="0"/>
          <w:szCs w:val="21"/>
          <w:highlight w:val="none"/>
          <w:lang w:val="en-US" w:eastAsia="zh-CN"/>
        </w:rPr>
        <w:t xml:space="preserve">平方米，其中地上建筑面积 </w:t>
      </w:r>
      <w:r>
        <w:rPr>
          <w:rFonts w:hint="default" w:ascii="宋体" w:hAnsi="宋体"/>
          <w:color w:val="auto"/>
          <w:kern w:val="0"/>
          <w:szCs w:val="21"/>
          <w:highlight w:val="none"/>
          <w:lang w:val="en-US" w:eastAsia="zh-CN"/>
        </w:rPr>
        <w:t xml:space="preserve">16212.93 </w:t>
      </w:r>
      <w:r>
        <w:rPr>
          <w:rFonts w:hint="eastAsia" w:ascii="宋体" w:hAnsi="宋体"/>
          <w:color w:val="auto"/>
          <w:kern w:val="0"/>
          <w:szCs w:val="21"/>
          <w:highlight w:val="none"/>
          <w:lang w:val="en-US" w:eastAsia="zh-CN"/>
        </w:rPr>
        <w:t xml:space="preserve">平方米，地下建筑面积 </w:t>
      </w:r>
      <w:r>
        <w:rPr>
          <w:rFonts w:hint="default" w:ascii="宋体" w:hAnsi="宋体"/>
          <w:color w:val="auto"/>
          <w:kern w:val="0"/>
          <w:szCs w:val="21"/>
          <w:highlight w:val="none"/>
          <w:lang w:val="en-US" w:eastAsia="zh-CN"/>
        </w:rPr>
        <w:t xml:space="preserve">3482.42 </w:t>
      </w:r>
      <w:r>
        <w:rPr>
          <w:rFonts w:hint="eastAsia" w:ascii="宋体" w:hAnsi="宋体"/>
          <w:color w:val="auto"/>
          <w:kern w:val="0"/>
          <w:szCs w:val="21"/>
          <w:highlight w:val="none"/>
          <w:lang w:val="en-US" w:eastAsia="zh-CN"/>
        </w:rPr>
        <w:t>平方米。</w:t>
      </w:r>
    </w:p>
    <w:p w14:paraId="3C394ABD">
      <w:pPr>
        <w:spacing w:line="360" w:lineRule="auto"/>
        <w:ind w:firstLine="420" w:firstLineChars="200"/>
        <w:rPr>
          <w:rFonts w:hint="eastAsia"/>
          <w:color w:val="auto"/>
          <w:highlight w:val="none"/>
          <w:lang w:val="en-US" w:eastAsia="zh-CN"/>
        </w:rPr>
      </w:pPr>
      <w:r>
        <w:rPr>
          <w:rFonts w:ascii="宋体" w:hAnsi="宋体"/>
          <w:color w:val="auto"/>
          <w:kern w:val="0"/>
          <w:szCs w:val="21"/>
          <w:highlight w:val="none"/>
        </w:rPr>
        <w:t>4.</w:t>
      </w:r>
      <w:r>
        <w:rPr>
          <w:rFonts w:hint="eastAsia" w:ascii="宋体" w:hAnsi="宋体"/>
          <w:color w:val="auto"/>
          <w:kern w:val="0"/>
          <w:szCs w:val="21"/>
          <w:highlight w:val="none"/>
        </w:rPr>
        <w:t>投资估算：</w:t>
      </w:r>
      <w:r>
        <w:rPr>
          <w:rFonts w:hint="eastAsia"/>
          <w:color w:val="auto"/>
          <w:highlight w:val="none"/>
          <w:lang w:val="en-US" w:eastAsia="zh-CN"/>
        </w:rPr>
        <w:t>9500.3</w:t>
      </w:r>
      <w:r>
        <w:rPr>
          <w:rFonts w:hint="eastAsia"/>
          <w:color w:val="auto"/>
          <w:highlight w:val="none"/>
          <w:lang w:val="en-US" w:eastAsia="zh-CN"/>
        </w:rPr>
        <w:t>万元。</w:t>
      </w:r>
    </w:p>
    <w:p w14:paraId="16B2B560">
      <w:pPr>
        <w:snapToGrid w:val="0"/>
        <w:spacing w:line="360" w:lineRule="auto"/>
        <w:ind w:firstLine="422" w:firstLineChars="200"/>
        <w:rPr>
          <w:rFonts w:ascii="宋体" w:hAnsi="宋体"/>
          <w:b/>
          <w:bCs/>
          <w:color w:val="auto"/>
          <w:kern w:val="0"/>
          <w:szCs w:val="21"/>
          <w:highlight w:val="none"/>
        </w:rPr>
      </w:pPr>
      <w:r>
        <w:rPr>
          <w:rFonts w:hint="eastAsia" w:ascii="宋体" w:hAnsi="宋体"/>
          <w:b/>
          <w:bCs/>
          <w:color w:val="auto"/>
          <w:kern w:val="0"/>
          <w:szCs w:val="21"/>
          <w:highlight w:val="none"/>
        </w:rPr>
        <w:t>二、工程设计范围、阶段与服务内容</w:t>
      </w:r>
    </w:p>
    <w:p w14:paraId="4ED2A660">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1.工程设计范围：初步设计（含概算编制）</w:t>
      </w:r>
      <w:r>
        <w:rPr>
          <w:rFonts w:hint="eastAsia" w:ascii="宋体" w:hAnsi="宋体" w:cs="宋体"/>
          <w:color w:val="auto"/>
          <w:szCs w:val="21"/>
          <w:highlight w:val="none"/>
          <w:u w:val="single"/>
          <w:lang w:val="en-US" w:eastAsia="zh-CN"/>
        </w:rPr>
        <w:t>及施工图设计</w:t>
      </w:r>
      <w:r>
        <w:rPr>
          <w:rFonts w:hint="eastAsia" w:ascii="宋体" w:hAnsi="宋体" w:cs="宋体"/>
          <w:color w:val="auto"/>
          <w:szCs w:val="21"/>
          <w:highlight w:val="none"/>
          <w:u w:val="single"/>
        </w:rPr>
        <w:t>等。施工工期间提供设计咨询相关技术服务直至项目竣工验收合格（包括保修期间与设计有关的保修事项）。设计文件编制深度按《建筑工程设计文件编制深度（2016年版）》的要求执行 。</w:t>
      </w:r>
    </w:p>
    <w:p w14:paraId="1C1AAB57">
      <w:pPr>
        <w:snapToGrid w:val="0"/>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2.工程设计服务阶段：</w:t>
      </w:r>
      <w:r>
        <w:rPr>
          <w:rFonts w:hint="eastAsia"/>
          <w:color w:val="auto"/>
          <w:spacing w:val="-5"/>
          <w:highlight w:val="none"/>
          <w:u w:val="single"/>
          <w:lang w:eastAsia="zh-CN"/>
        </w:rPr>
        <w:t>□</w:t>
      </w:r>
      <w:r>
        <w:rPr>
          <w:rFonts w:hint="eastAsia"/>
          <w:color w:val="auto"/>
          <w:spacing w:val="-5"/>
          <w:highlight w:val="none"/>
          <w:u w:val="single"/>
        </w:rPr>
        <w:t xml:space="preserve">概念性方案设计 </w:t>
      </w:r>
      <w:r>
        <w:rPr>
          <w:rFonts w:hint="eastAsia"/>
          <w:color w:val="auto"/>
          <w:spacing w:val="-5"/>
          <w:highlight w:val="none"/>
          <w:u w:val="single"/>
          <w:lang w:eastAsia="zh-CN"/>
        </w:rPr>
        <w:t>□</w:t>
      </w:r>
      <w:r>
        <w:rPr>
          <w:rFonts w:hint="eastAsia"/>
          <w:color w:val="auto"/>
          <w:spacing w:val="-5"/>
          <w:highlight w:val="none"/>
          <w:u w:val="single"/>
        </w:rPr>
        <w:t xml:space="preserve">实施性方案设计 ☑初步设计 </w:t>
      </w:r>
      <w:r>
        <w:rPr>
          <w:rFonts w:hint="eastAsia"/>
          <w:color w:val="auto"/>
          <w:spacing w:val="-5"/>
          <w:highlight w:val="none"/>
          <w:u w:val="single"/>
          <w:lang w:eastAsia="zh-CN"/>
        </w:rPr>
        <w:t>☑</w:t>
      </w:r>
      <w:r>
        <w:rPr>
          <w:rFonts w:hint="eastAsia"/>
          <w:color w:val="auto"/>
          <w:spacing w:val="-5"/>
          <w:highlight w:val="none"/>
          <w:u w:val="single"/>
        </w:rPr>
        <w:t>施工图设计</w:t>
      </w:r>
      <w:r>
        <w:rPr>
          <w:rFonts w:hint="eastAsia"/>
          <w:color w:val="auto"/>
          <w:spacing w:val="-5"/>
          <w:highlight w:val="none"/>
          <w:u w:val="single"/>
        </w:rPr>
        <w:t>☑其他：含概算编制、施工配合</w:t>
      </w:r>
    </w:p>
    <w:p w14:paraId="6ED08634">
      <w:pPr>
        <w:snapToGrid w:val="0"/>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3.工程设计服务内容：主要建设内容和建设规模:新建一栋科研楼，总建筑面积19800平方米。主要建设内容包括建筑工程、装饰装修工程、给排水工程、电气工程、消防工程、智能化工程、通风工程及相关附属配套设施等。</w:t>
      </w:r>
    </w:p>
    <w:p w14:paraId="22F368AC">
      <w:pPr>
        <w:snapToGrid w:val="0"/>
        <w:spacing w:line="360" w:lineRule="auto"/>
        <w:ind w:firstLine="422" w:firstLineChars="200"/>
        <w:jc w:val="left"/>
        <w:rPr>
          <w:rFonts w:ascii="宋体" w:hAnsi="宋体"/>
          <w:b/>
          <w:bCs/>
          <w:color w:val="auto"/>
          <w:kern w:val="0"/>
          <w:szCs w:val="21"/>
          <w:highlight w:val="none"/>
        </w:rPr>
      </w:pPr>
      <w:r>
        <w:rPr>
          <w:rFonts w:hint="eastAsia" w:ascii="宋体" w:hAnsi="宋体"/>
          <w:b/>
          <w:bCs/>
          <w:color w:val="auto"/>
          <w:kern w:val="0"/>
          <w:szCs w:val="21"/>
          <w:highlight w:val="none"/>
        </w:rPr>
        <w:t>三、工程设计周期</w:t>
      </w:r>
    </w:p>
    <w:p w14:paraId="525E0F1D">
      <w:pPr>
        <w:snapToGrid w:val="0"/>
        <w:spacing w:line="360" w:lineRule="auto"/>
        <w:ind w:firstLine="420" w:firstLineChars="200"/>
        <w:jc w:val="left"/>
        <w:rPr>
          <w:rFonts w:ascii="宋体" w:hAnsi="宋体"/>
          <w:color w:val="auto"/>
          <w:kern w:val="0"/>
          <w:szCs w:val="21"/>
          <w:highlight w:val="none"/>
        </w:rPr>
      </w:pPr>
      <w:r>
        <w:rPr>
          <w:rFonts w:ascii="宋体" w:hAnsi="宋体"/>
          <w:color w:val="auto"/>
          <w:kern w:val="0"/>
          <w:szCs w:val="21"/>
          <w:highlight w:val="none"/>
        </w:rPr>
        <w:t xml:space="preserve">1. </w:t>
      </w:r>
      <w:r>
        <w:rPr>
          <w:rFonts w:hint="eastAsia" w:ascii="宋体" w:hAnsi="宋体"/>
          <w:color w:val="auto"/>
          <w:kern w:val="0"/>
          <w:szCs w:val="21"/>
          <w:highlight w:val="none"/>
        </w:rPr>
        <w:t>计划开始设计日期:</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年</w:t>
      </w:r>
      <w:r>
        <w:rPr>
          <w:rFonts w:hint="eastAsia" w:ascii="宋体" w:hAnsi="宋体" w:cs="MingLiU_HKSCS-ExtB"/>
          <w:color w:val="auto"/>
          <w:kern w:val="0"/>
          <w:szCs w:val="21"/>
          <w:highlight w:val="none"/>
          <w:u w:val="single"/>
        </w:rPr>
        <w:t xml:space="preserve">     </w:t>
      </w:r>
      <w:r>
        <w:rPr>
          <w:rFonts w:hint="eastAsia" w:ascii="宋体" w:hAnsi="宋体"/>
          <w:color w:val="auto"/>
          <w:kern w:val="0"/>
          <w:szCs w:val="21"/>
          <w:highlight w:val="none"/>
        </w:rPr>
        <w:t>月</w:t>
      </w:r>
      <w:r>
        <w:rPr>
          <w:rFonts w:hint="eastAsia" w:ascii="宋体" w:hAnsi="宋体" w:cs="MingLiU_HKSCS-ExtB"/>
          <w:color w:val="auto"/>
          <w:kern w:val="0"/>
          <w:szCs w:val="21"/>
          <w:highlight w:val="none"/>
          <w:u w:val="single"/>
        </w:rPr>
        <w:t xml:space="preserve">      </w:t>
      </w:r>
      <w:r>
        <w:rPr>
          <w:rFonts w:hint="eastAsia" w:ascii="宋体" w:hAnsi="宋体"/>
          <w:color w:val="auto"/>
          <w:kern w:val="0"/>
          <w:szCs w:val="21"/>
          <w:highlight w:val="none"/>
        </w:rPr>
        <w:t>日。</w:t>
      </w:r>
    </w:p>
    <w:p w14:paraId="2242460B">
      <w:pPr>
        <w:snapToGrid w:val="0"/>
        <w:spacing w:line="360" w:lineRule="auto"/>
        <w:ind w:firstLine="420" w:firstLineChars="200"/>
        <w:jc w:val="left"/>
        <w:rPr>
          <w:rFonts w:ascii="宋体" w:hAnsi="宋体"/>
          <w:color w:val="auto"/>
          <w:kern w:val="0"/>
          <w:szCs w:val="21"/>
          <w:highlight w:val="none"/>
        </w:rPr>
      </w:pPr>
      <w:r>
        <w:rPr>
          <w:rFonts w:ascii="宋体" w:hAnsi="宋体"/>
          <w:color w:val="auto"/>
          <w:kern w:val="0"/>
          <w:szCs w:val="21"/>
          <w:highlight w:val="none"/>
        </w:rPr>
        <w:t xml:space="preserve">2. </w:t>
      </w:r>
      <w:r>
        <w:rPr>
          <w:rFonts w:hint="eastAsia" w:ascii="宋体" w:hAnsi="宋体"/>
          <w:color w:val="auto"/>
          <w:kern w:val="0"/>
          <w:szCs w:val="21"/>
          <w:highlight w:val="none"/>
        </w:rPr>
        <w:t>计划完成设计日期：</w:t>
      </w:r>
      <w:r>
        <w:rPr>
          <w:rFonts w:hint="eastAsia" w:ascii="宋体" w:hAnsi="宋体" w:cs="MingLiU_HKSCS-ExtB"/>
          <w:color w:val="auto"/>
          <w:kern w:val="0"/>
          <w:szCs w:val="21"/>
          <w:highlight w:val="none"/>
          <w:u w:val="single"/>
        </w:rPr>
        <w:t xml:space="preserve">      </w:t>
      </w:r>
      <w:r>
        <w:rPr>
          <w:rFonts w:hint="eastAsia" w:ascii="宋体" w:hAnsi="宋体"/>
          <w:color w:val="auto"/>
          <w:kern w:val="0"/>
          <w:szCs w:val="21"/>
          <w:highlight w:val="none"/>
        </w:rPr>
        <w:t>年</w:t>
      </w:r>
      <w:r>
        <w:rPr>
          <w:rFonts w:hint="eastAsia" w:ascii="宋体" w:hAnsi="宋体" w:cs="MingLiU_HKSCS-ExtB"/>
          <w:color w:val="auto"/>
          <w:kern w:val="0"/>
          <w:szCs w:val="21"/>
          <w:highlight w:val="none"/>
          <w:u w:val="single"/>
        </w:rPr>
        <w:t xml:space="preserve">    </w:t>
      </w:r>
      <w:r>
        <w:rPr>
          <w:rFonts w:hint="eastAsia" w:ascii="宋体" w:hAnsi="宋体"/>
          <w:color w:val="auto"/>
          <w:kern w:val="0"/>
          <w:szCs w:val="21"/>
          <w:highlight w:val="none"/>
        </w:rPr>
        <w:t>月</w:t>
      </w:r>
      <w:r>
        <w:rPr>
          <w:rFonts w:hint="eastAsia" w:ascii="宋体" w:hAnsi="宋体" w:cs="MingLiU_HKSCS-ExtB"/>
          <w:color w:val="auto"/>
          <w:kern w:val="0"/>
          <w:szCs w:val="21"/>
          <w:highlight w:val="none"/>
          <w:u w:val="single"/>
        </w:rPr>
        <w:t xml:space="preserve">     </w:t>
      </w:r>
      <w:r>
        <w:rPr>
          <w:rFonts w:hint="eastAsia" w:ascii="宋体" w:hAnsi="宋体"/>
          <w:color w:val="auto"/>
          <w:kern w:val="0"/>
          <w:szCs w:val="21"/>
          <w:highlight w:val="none"/>
        </w:rPr>
        <w:t>日。</w:t>
      </w:r>
    </w:p>
    <w:p w14:paraId="4A58DBEB">
      <w:pPr>
        <w:snapToGrid w:val="0"/>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w:t>
      </w:r>
      <w:r>
        <w:rPr>
          <w:rFonts w:hint="eastAsia" w:ascii="宋体" w:hAnsi="宋体"/>
          <w:color w:val="auto"/>
          <w:kern w:val="0"/>
          <w:szCs w:val="21"/>
          <w:highlight w:val="none"/>
        </w:rPr>
        <w:t>设计服务期：</w:t>
      </w:r>
      <w:r>
        <w:rPr>
          <w:rFonts w:hint="eastAsia" w:ascii="宋体" w:hAnsi="宋体" w:cs="MingLiU_HKSCS-ExtB"/>
          <w:color w:val="auto"/>
          <w:kern w:val="0"/>
          <w:szCs w:val="21"/>
          <w:highlight w:val="none"/>
          <w:u w:val="single"/>
        </w:rPr>
        <w:t xml:space="preserve">     </w:t>
      </w:r>
      <w:r>
        <w:rPr>
          <w:rFonts w:hint="eastAsia" w:ascii="宋体" w:hAnsi="宋体"/>
          <w:color w:val="auto"/>
          <w:kern w:val="0"/>
          <w:szCs w:val="21"/>
          <w:highlight w:val="none"/>
        </w:rPr>
        <w:t>日历天。</w:t>
      </w:r>
    </w:p>
    <w:p w14:paraId="667818FD">
      <w:pPr>
        <w:snapToGrid w:val="0"/>
        <w:spacing w:line="360" w:lineRule="auto"/>
        <w:ind w:firstLine="420" w:firstLineChars="200"/>
        <w:jc w:val="left"/>
        <w:rPr>
          <w:rFonts w:ascii="宋体" w:hAnsi="宋体"/>
          <w:color w:val="auto"/>
          <w:kern w:val="0"/>
          <w:szCs w:val="21"/>
          <w:highlight w:val="none"/>
        </w:rPr>
      </w:pPr>
      <w:r>
        <w:rPr>
          <w:rFonts w:ascii="宋体" w:hAnsi="宋体"/>
          <w:color w:val="auto"/>
          <w:kern w:val="0"/>
          <w:szCs w:val="21"/>
          <w:highlight w:val="none"/>
        </w:rPr>
        <w:t xml:space="preserve">4. </w:t>
      </w:r>
      <w:r>
        <w:rPr>
          <w:rFonts w:hint="eastAsia" w:ascii="宋体" w:hAnsi="宋体"/>
          <w:color w:val="auto"/>
          <w:kern w:val="0"/>
          <w:szCs w:val="21"/>
          <w:highlight w:val="none"/>
        </w:rPr>
        <w:t>实际日期按照发包人在《开始设计通知》中载明的开始设计日期为准。</w:t>
      </w:r>
    </w:p>
    <w:p w14:paraId="3478ED4F">
      <w:pPr>
        <w:snapToGrid w:val="0"/>
        <w:spacing w:line="360" w:lineRule="auto"/>
        <w:ind w:firstLine="420" w:firstLineChars="200"/>
        <w:jc w:val="left"/>
        <w:rPr>
          <w:rFonts w:ascii="宋体" w:hAnsi="宋体"/>
          <w:color w:val="auto"/>
          <w:kern w:val="0"/>
          <w:szCs w:val="21"/>
          <w:highlight w:val="none"/>
        </w:rPr>
      </w:pPr>
      <w:r>
        <w:rPr>
          <w:rFonts w:ascii="宋体" w:hAnsi="宋体"/>
          <w:color w:val="auto"/>
          <w:kern w:val="0"/>
          <w:szCs w:val="21"/>
          <w:highlight w:val="none"/>
        </w:rPr>
        <w:t>5.</w:t>
      </w:r>
      <w:r>
        <w:rPr>
          <w:rFonts w:hint="eastAsia" w:ascii="宋体" w:hAnsi="宋体"/>
          <w:color w:val="auto"/>
          <w:kern w:val="0"/>
          <w:szCs w:val="21"/>
          <w:highlight w:val="none"/>
        </w:rPr>
        <w:t>具体设计周期以专用合同条款及其附件的约定为准。</w:t>
      </w:r>
    </w:p>
    <w:p w14:paraId="0B8B0BD7">
      <w:pPr>
        <w:snapToGrid w:val="0"/>
        <w:spacing w:line="360" w:lineRule="auto"/>
        <w:ind w:firstLine="422" w:firstLineChars="200"/>
        <w:jc w:val="left"/>
        <w:rPr>
          <w:rFonts w:ascii="宋体" w:hAnsi="宋体"/>
          <w:b/>
          <w:bCs/>
          <w:color w:val="auto"/>
          <w:kern w:val="0"/>
          <w:szCs w:val="21"/>
          <w:highlight w:val="none"/>
        </w:rPr>
      </w:pPr>
      <w:r>
        <w:rPr>
          <w:rFonts w:hint="eastAsia" w:ascii="宋体" w:hAnsi="宋体"/>
          <w:b/>
          <w:bCs/>
          <w:color w:val="auto"/>
          <w:kern w:val="0"/>
          <w:szCs w:val="21"/>
          <w:highlight w:val="none"/>
        </w:rPr>
        <w:t>四、合同价格形式与签约合同价</w:t>
      </w:r>
    </w:p>
    <w:p w14:paraId="3D6EDBE2">
      <w:pPr>
        <w:snapToGrid w:val="0"/>
        <w:spacing w:line="360" w:lineRule="auto"/>
        <w:ind w:firstLine="420" w:firstLineChars="200"/>
        <w:rPr>
          <w:color w:val="auto"/>
          <w:szCs w:val="21"/>
          <w:highlight w:val="none"/>
          <w:u w:val="single"/>
        </w:rPr>
      </w:pPr>
      <w:r>
        <w:rPr>
          <w:rFonts w:ascii="宋体" w:hAnsi="宋体"/>
          <w:color w:val="auto"/>
          <w:kern w:val="0"/>
          <w:szCs w:val="21"/>
          <w:highlight w:val="none"/>
        </w:rPr>
        <w:t>1.</w:t>
      </w:r>
      <w:r>
        <w:rPr>
          <w:rFonts w:hint="eastAsia" w:ascii="宋体" w:hAnsi="宋体"/>
          <w:color w:val="auto"/>
          <w:kern w:val="0"/>
          <w:szCs w:val="21"/>
          <w:highlight w:val="none"/>
        </w:rPr>
        <w:t>合同价格形式：</w:t>
      </w:r>
      <w:r>
        <w:rPr>
          <w:color w:val="auto"/>
          <w:szCs w:val="21"/>
          <w:highlight w:val="none"/>
          <w:u w:val="single"/>
        </w:rPr>
        <w:t>其他价格形式</w:t>
      </w:r>
    </w:p>
    <w:p w14:paraId="361909A1">
      <w:pPr>
        <w:snapToGrid w:val="0"/>
        <w:spacing w:line="360" w:lineRule="auto"/>
        <w:ind w:firstLine="420" w:firstLineChars="200"/>
        <w:rPr>
          <w:rFonts w:ascii="宋体" w:hAnsi="宋体"/>
          <w:color w:val="auto"/>
          <w:kern w:val="0"/>
          <w:szCs w:val="21"/>
          <w:highlight w:val="none"/>
        </w:rPr>
      </w:pPr>
      <w:r>
        <w:rPr>
          <w:rFonts w:hint="eastAsia"/>
          <w:color w:val="auto"/>
          <w:szCs w:val="21"/>
          <w:highlight w:val="none"/>
          <w:u w:val="none"/>
          <w:lang w:val="en-US" w:eastAsia="zh-CN"/>
        </w:rPr>
        <w:t>2.中标折扣率为：</w:t>
      </w:r>
      <w:r>
        <w:rPr>
          <w:rFonts w:hint="eastAsia"/>
          <w:color w:val="auto"/>
          <w:szCs w:val="21"/>
          <w:highlight w:val="none"/>
          <w:u w:val="single"/>
          <w:lang w:val="en-US" w:eastAsia="zh-CN"/>
        </w:rPr>
        <w:t xml:space="preserve">     </w:t>
      </w:r>
      <w:r>
        <w:rPr>
          <w:rFonts w:hint="eastAsia"/>
          <w:color w:val="auto"/>
          <w:szCs w:val="21"/>
          <w:highlight w:val="none"/>
          <w:u w:val="none"/>
          <w:lang w:val="en-US" w:eastAsia="zh-CN"/>
        </w:rPr>
        <w:t>%</w:t>
      </w:r>
      <w:r>
        <w:rPr>
          <w:rFonts w:hint="eastAsia"/>
          <w:color w:val="auto"/>
          <w:szCs w:val="21"/>
          <w:highlight w:val="none"/>
          <w:u w:val="none"/>
        </w:rPr>
        <w:t>；</w:t>
      </w:r>
      <w:r>
        <w:rPr>
          <w:rFonts w:hint="eastAsia"/>
          <w:color w:val="auto"/>
          <w:szCs w:val="21"/>
          <w:highlight w:val="none"/>
          <w:u w:val="single"/>
        </w:rPr>
        <w:t>设计费以经评审的招标控制价作为计费</w:t>
      </w:r>
      <w:r>
        <w:rPr>
          <w:rFonts w:hint="eastAsia"/>
          <w:color w:val="auto"/>
          <w:szCs w:val="21"/>
          <w:highlight w:val="none"/>
          <w:u w:val="single"/>
          <w:lang w:val="en-US" w:eastAsia="zh-CN"/>
        </w:rPr>
        <w:t>额</w:t>
      </w:r>
      <w:r>
        <w:rPr>
          <w:rFonts w:hint="eastAsia"/>
          <w:color w:val="auto"/>
          <w:szCs w:val="21"/>
          <w:highlight w:val="none"/>
          <w:u w:val="single"/>
          <w:lang w:eastAsia="zh-CN"/>
        </w:rPr>
        <w:t>，</w:t>
      </w:r>
      <w:r>
        <w:rPr>
          <w:rFonts w:hint="eastAsia"/>
          <w:color w:val="auto"/>
          <w:szCs w:val="21"/>
          <w:highlight w:val="none"/>
          <w:u w:val="single"/>
          <w:lang w:val="en-US" w:eastAsia="zh-CN"/>
        </w:rPr>
        <w:t>参照</w:t>
      </w:r>
      <w:r>
        <w:rPr>
          <w:rFonts w:hint="eastAsia"/>
          <w:color w:val="auto"/>
          <w:szCs w:val="21"/>
          <w:highlight w:val="none"/>
          <w:u w:val="single"/>
        </w:rPr>
        <w:t>《工程勘察设计收费管理规定》（计价格</w:t>
      </w:r>
      <w:r>
        <w:rPr>
          <w:rFonts w:hint="eastAsia"/>
          <w:color w:val="auto"/>
          <w:szCs w:val="21"/>
          <w:highlight w:val="none"/>
          <w:u w:val="single"/>
          <w:lang w:eastAsia="zh-CN"/>
        </w:rPr>
        <w:t>【</w:t>
      </w:r>
      <w:r>
        <w:rPr>
          <w:rFonts w:hint="eastAsia"/>
          <w:color w:val="auto"/>
          <w:szCs w:val="21"/>
          <w:highlight w:val="none"/>
          <w:u w:val="single"/>
        </w:rPr>
        <w:t>2002</w:t>
      </w:r>
      <w:r>
        <w:rPr>
          <w:rFonts w:hint="eastAsia"/>
          <w:color w:val="auto"/>
          <w:szCs w:val="21"/>
          <w:highlight w:val="none"/>
          <w:u w:val="single"/>
          <w:lang w:eastAsia="zh-CN"/>
        </w:rPr>
        <w:t>】</w:t>
      </w:r>
      <w:r>
        <w:rPr>
          <w:rFonts w:hint="eastAsia"/>
          <w:color w:val="auto"/>
          <w:szCs w:val="21"/>
          <w:highlight w:val="none"/>
          <w:u w:val="single"/>
        </w:rPr>
        <w:t>10号）</w:t>
      </w:r>
      <w:r>
        <w:rPr>
          <w:rFonts w:hint="eastAsia"/>
          <w:color w:val="auto"/>
          <w:szCs w:val="21"/>
          <w:highlight w:val="none"/>
          <w:u w:val="single"/>
          <w:lang w:val="en-US" w:eastAsia="zh-CN"/>
        </w:rPr>
        <w:t>文的计算标准进行结算。</w:t>
      </w:r>
      <w:r>
        <w:rPr>
          <w:rFonts w:hint="eastAsia" w:ascii="Times New Roman" w:hAnsi="Times New Roman" w:eastAsia="宋体" w:cs="Times New Roman"/>
          <w:b w:val="0"/>
          <w:bCs/>
          <w:color w:val="auto"/>
          <w:highlight w:val="none"/>
          <w:u w:val="single"/>
        </w:rPr>
        <w:t>本项目</w:t>
      </w:r>
      <w:r>
        <w:rPr>
          <w:rFonts w:hint="eastAsia" w:ascii="Times New Roman" w:hAnsi="Times New Roman" w:eastAsia="宋体" w:cs="Times New Roman"/>
          <w:b w:val="0"/>
          <w:bCs/>
          <w:color w:val="auto"/>
          <w:highlight w:val="none"/>
          <w:u w:val="single"/>
          <w:lang w:val="en-US" w:eastAsia="zh-CN"/>
        </w:rPr>
        <w:t>招标</w:t>
      </w:r>
      <w:r>
        <w:rPr>
          <w:rFonts w:hint="eastAsia" w:ascii="Times New Roman" w:hAnsi="Times New Roman" w:eastAsia="宋体" w:cs="Times New Roman"/>
          <w:b w:val="0"/>
          <w:bCs/>
          <w:color w:val="auto"/>
          <w:highlight w:val="none"/>
          <w:u w:val="single"/>
        </w:rPr>
        <w:t>内容为本工程项目初步设计（含概算编制）、施工图设计及施工配合，不</w:t>
      </w:r>
      <w:r>
        <w:rPr>
          <w:rFonts w:hint="eastAsia" w:ascii="Times New Roman" w:hAnsi="Times New Roman" w:eastAsia="宋体" w:cs="Times New Roman"/>
          <w:b w:val="0"/>
          <w:bCs/>
          <w:color w:val="auto"/>
          <w:highlight w:val="none"/>
          <w:u w:val="single"/>
          <w:lang w:val="en-US" w:eastAsia="zh-CN"/>
        </w:rPr>
        <w:t>包</w:t>
      </w:r>
      <w:r>
        <w:rPr>
          <w:rFonts w:hint="eastAsia" w:ascii="Times New Roman" w:hAnsi="Times New Roman" w:eastAsia="宋体" w:cs="Times New Roman"/>
          <w:b w:val="0"/>
          <w:bCs/>
          <w:color w:val="auto"/>
          <w:highlight w:val="none"/>
          <w:u w:val="single"/>
        </w:rPr>
        <w:t>含方案设计，工作量</w:t>
      </w:r>
      <w:r>
        <w:rPr>
          <w:rFonts w:hint="eastAsia" w:ascii="Times New Roman" w:hAnsi="Times New Roman" w:eastAsia="宋体" w:cs="Times New Roman"/>
          <w:b w:val="0"/>
          <w:bCs/>
          <w:color w:val="auto"/>
          <w:highlight w:val="none"/>
          <w:u w:val="single"/>
          <w:lang w:val="en-US" w:eastAsia="zh-CN"/>
        </w:rPr>
        <w:t>比例</w:t>
      </w:r>
      <w:r>
        <w:rPr>
          <w:rFonts w:hint="eastAsia" w:ascii="Times New Roman" w:hAnsi="Times New Roman" w:eastAsia="宋体" w:cs="Times New Roman"/>
          <w:b w:val="0"/>
          <w:bCs/>
          <w:color w:val="auto"/>
          <w:highlight w:val="none"/>
          <w:u w:val="single"/>
        </w:rPr>
        <w:t>取</w:t>
      </w:r>
      <w:r>
        <w:rPr>
          <w:rFonts w:hint="eastAsia" w:ascii="Times New Roman" w:hAnsi="Times New Roman" w:eastAsia="宋体" w:cs="Times New Roman"/>
          <w:b w:val="0"/>
          <w:bCs/>
          <w:color w:val="auto"/>
          <w:highlight w:val="none"/>
          <w:u w:val="single"/>
          <w:lang w:val="en-US" w:eastAsia="zh-CN"/>
        </w:rPr>
        <w:t>85%</w:t>
      </w:r>
      <w:r>
        <w:rPr>
          <w:rFonts w:hint="eastAsia" w:ascii="Times New Roman" w:hAnsi="Times New Roman" w:eastAsia="宋体" w:cs="Times New Roman"/>
          <w:b w:val="0"/>
          <w:bCs/>
          <w:color w:val="auto"/>
          <w:highlight w:val="none"/>
          <w:u w:val="single"/>
        </w:rPr>
        <w:t>。</w:t>
      </w:r>
      <w:r>
        <w:rPr>
          <w:rFonts w:hint="eastAsia"/>
          <w:color w:val="auto"/>
          <w:szCs w:val="21"/>
          <w:highlight w:val="none"/>
          <w:u w:val="single"/>
          <w:lang w:val="en-US" w:eastAsia="zh-CN"/>
        </w:rPr>
        <w:t>具体计算公式如下：设计费=</w:t>
      </w:r>
      <w:r>
        <w:rPr>
          <w:rFonts w:hint="eastAsia"/>
          <w:color w:val="auto"/>
          <w:szCs w:val="21"/>
          <w:highlight w:val="none"/>
          <w:u w:val="single"/>
        </w:rPr>
        <w:t>《工程勘察设计收费管理规定》（计价格</w:t>
      </w:r>
      <w:r>
        <w:rPr>
          <w:rFonts w:hint="eastAsia"/>
          <w:color w:val="auto"/>
          <w:szCs w:val="21"/>
          <w:highlight w:val="none"/>
          <w:u w:val="single"/>
          <w:lang w:eastAsia="zh-CN"/>
        </w:rPr>
        <w:t>【</w:t>
      </w:r>
      <w:r>
        <w:rPr>
          <w:rFonts w:hint="eastAsia"/>
          <w:color w:val="auto"/>
          <w:szCs w:val="21"/>
          <w:highlight w:val="none"/>
          <w:u w:val="single"/>
        </w:rPr>
        <w:t>2002</w:t>
      </w:r>
      <w:r>
        <w:rPr>
          <w:rFonts w:hint="eastAsia"/>
          <w:color w:val="auto"/>
          <w:szCs w:val="21"/>
          <w:highlight w:val="none"/>
          <w:u w:val="single"/>
          <w:lang w:eastAsia="zh-CN"/>
        </w:rPr>
        <w:t>】</w:t>
      </w:r>
      <w:r>
        <w:rPr>
          <w:rFonts w:hint="eastAsia"/>
          <w:color w:val="auto"/>
          <w:szCs w:val="21"/>
          <w:highlight w:val="none"/>
          <w:u w:val="single"/>
        </w:rPr>
        <w:t>10号）</w:t>
      </w:r>
      <w:r>
        <w:rPr>
          <w:rFonts w:hint="eastAsia"/>
          <w:color w:val="auto"/>
          <w:szCs w:val="21"/>
          <w:highlight w:val="none"/>
          <w:u w:val="single"/>
          <w:lang w:val="en-US" w:eastAsia="zh-CN"/>
        </w:rPr>
        <w:t>工程设计收费基价×专业调整系数（1.0）×工程复杂程度调整系数（1.0）×附加调整系数（1.0）×工作量比例（85%）×中标折扣率</w:t>
      </w:r>
      <w:r>
        <w:rPr>
          <w:rFonts w:hint="eastAsia" w:ascii="宋体" w:hAnsi="宋体"/>
          <w:color w:val="auto"/>
          <w:kern w:val="0"/>
          <w:szCs w:val="21"/>
          <w:highlight w:val="none"/>
        </w:rPr>
        <w:t>。</w:t>
      </w:r>
    </w:p>
    <w:p w14:paraId="5398B755">
      <w:pPr>
        <w:snapToGrid w:val="0"/>
        <w:spacing w:before="120" w:after="120" w:line="360" w:lineRule="auto"/>
        <w:ind w:firstLine="422" w:firstLineChars="200"/>
        <w:rPr>
          <w:rFonts w:ascii="宋体" w:hAnsi="宋体"/>
          <w:b/>
          <w:bCs/>
          <w:color w:val="auto"/>
          <w:kern w:val="0"/>
          <w:szCs w:val="21"/>
          <w:highlight w:val="none"/>
        </w:rPr>
      </w:pPr>
      <w:bookmarkStart w:id="148" w:name="_Toc351203485"/>
      <w:r>
        <w:rPr>
          <w:rFonts w:hint="eastAsia" w:ascii="宋体" w:hAnsi="宋体"/>
          <w:b/>
          <w:bCs/>
          <w:color w:val="auto"/>
          <w:kern w:val="0"/>
          <w:szCs w:val="21"/>
          <w:highlight w:val="none"/>
        </w:rPr>
        <w:t>五、</w:t>
      </w:r>
      <w:bookmarkEnd w:id="148"/>
      <w:r>
        <w:rPr>
          <w:rFonts w:hint="eastAsia" w:ascii="宋体" w:hAnsi="宋体"/>
          <w:b/>
          <w:bCs/>
          <w:color w:val="auto"/>
          <w:kern w:val="0"/>
          <w:szCs w:val="21"/>
          <w:highlight w:val="none"/>
        </w:rPr>
        <w:t>发包人代表与设计人项目负责人</w:t>
      </w:r>
    </w:p>
    <w:p w14:paraId="74C91E7F">
      <w:pPr>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 xml:space="preserve">1. </w:t>
      </w:r>
      <w:r>
        <w:rPr>
          <w:rFonts w:hint="eastAsia" w:ascii="宋体" w:hAnsi="宋体"/>
          <w:color w:val="auto"/>
          <w:kern w:val="0"/>
          <w:szCs w:val="21"/>
          <w:highlight w:val="none"/>
        </w:rPr>
        <w:t>发包人代表：</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rPr>
        <w:t xml:space="preserve"> 。</w:t>
      </w:r>
    </w:p>
    <w:p w14:paraId="0E0FDA2D">
      <w:pPr>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 xml:space="preserve">2. </w:t>
      </w:r>
      <w:r>
        <w:rPr>
          <w:rFonts w:hint="eastAsia" w:ascii="宋体" w:hAnsi="宋体"/>
          <w:color w:val="auto"/>
          <w:kern w:val="0"/>
          <w:szCs w:val="21"/>
          <w:highlight w:val="none"/>
        </w:rPr>
        <w:t>设计项目负责人：</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 xml:space="preserve"> 。</w:t>
      </w:r>
    </w:p>
    <w:p w14:paraId="71CAB8FD">
      <w:pPr>
        <w:spacing w:line="360" w:lineRule="auto"/>
        <w:ind w:firstLine="422" w:firstLineChars="200"/>
        <w:rPr>
          <w:rFonts w:ascii="宋体" w:hAnsi="宋体"/>
          <w:b/>
          <w:bCs/>
          <w:color w:val="auto"/>
          <w:kern w:val="0"/>
          <w:szCs w:val="21"/>
          <w:highlight w:val="none"/>
        </w:rPr>
      </w:pPr>
      <w:r>
        <w:rPr>
          <w:rFonts w:hint="eastAsia" w:ascii="宋体" w:hAnsi="宋体"/>
          <w:b/>
          <w:bCs/>
          <w:color w:val="auto"/>
          <w:kern w:val="0"/>
          <w:szCs w:val="21"/>
          <w:highlight w:val="none"/>
        </w:rPr>
        <w:t>六、合同文件构成</w:t>
      </w:r>
    </w:p>
    <w:p w14:paraId="40E5CD67">
      <w:pPr>
        <w:autoSpaceDE w:val="0"/>
        <w:autoSpaceDN w:val="0"/>
        <w:adjustRightInd w:val="0"/>
        <w:spacing w:line="360" w:lineRule="auto"/>
        <w:ind w:firstLine="420" w:firstLineChars="200"/>
        <w:jc w:val="left"/>
        <w:rPr>
          <w:rFonts w:ascii="宋体" w:hAnsi="宋体"/>
          <w:color w:val="auto"/>
          <w:kern w:val="0"/>
          <w:szCs w:val="21"/>
          <w:highlight w:val="none"/>
        </w:rPr>
      </w:pPr>
      <w:r>
        <w:rPr>
          <w:rFonts w:ascii="宋体" w:hAnsi="宋体"/>
          <w:color w:val="auto"/>
          <w:kern w:val="0"/>
          <w:szCs w:val="21"/>
          <w:highlight w:val="none"/>
        </w:rPr>
        <w:t xml:space="preserve">1. </w:t>
      </w:r>
      <w:r>
        <w:rPr>
          <w:rFonts w:hint="eastAsia" w:ascii="宋体" w:hAnsi="宋体"/>
          <w:color w:val="auto"/>
          <w:kern w:val="0"/>
          <w:szCs w:val="21"/>
          <w:highlight w:val="none"/>
        </w:rPr>
        <w:t>本协议书与下列文件一起构成合同文件：</w:t>
      </w:r>
    </w:p>
    <w:p w14:paraId="678F2B50">
      <w:pPr>
        <w:autoSpaceDE w:val="0"/>
        <w:autoSpaceDN w:val="0"/>
        <w:adjustRightInd w:val="0"/>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1</w:t>
      </w:r>
      <w:r>
        <w:rPr>
          <w:rFonts w:hint="eastAsia" w:ascii="宋体" w:hAnsi="宋体"/>
          <w:color w:val="auto"/>
          <w:kern w:val="0"/>
          <w:szCs w:val="21"/>
          <w:highlight w:val="none"/>
        </w:rPr>
        <w:t>）专用合同条款及其附件；</w:t>
      </w:r>
    </w:p>
    <w:p w14:paraId="1CA3DF59">
      <w:pPr>
        <w:autoSpaceDE w:val="0"/>
        <w:autoSpaceDN w:val="0"/>
        <w:adjustRightInd w:val="0"/>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2</w:t>
      </w:r>
      <w:r>
        <w:rPr>
          <w:rFonts w:hint="eastAsia" w:ascii="宋体" w:hAnsi="宋体"/>
          <w:color w:val="auto"/>
          <w:kern w:val="0"/>
          <w:szCs w:val="21"/>
          <w:highlight w:val="none"/>
        </w:rPr>
        <w:t>）通用合同条款；</w:t>
      </w:r>
    </w:p>
    <w:p w14:paraId="6C9FA905">
      <w:pPr>
        <w:autoSpaceDE w:val="0"/>
        <w:autoSpaceDN w:val="0"/>
        <w:adjustRightInd w:val="0"/>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3</w:t>
      </w:r>
      <w:r>
        <w:rPr>
          <w:rFonts w:hint="eastAsia" w:ascii="宋体" w:hAnsi="宋体"/>
          <w:color w:val="auto"/>
          <w:kern w:val="0"/>
          <w:szCs w:val="21"/>
          <w:highlight w:val="none"/>
        </w:rPr>
        <w:t>）中标通知书；</w:t>
      </w:r>
    </w:p>
    <w:p w14:paraId="1F358DB1">
      <w:pPr>
        <w:autoSpaceDE w:val="0"/>
        <w:autoSpaceDN w:val="0"/>
        <w:adjustRightInd w:val="0"/>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4</w:t>
      </w:r>
      <w:r>
        <w:rPr>
          <w:rFonts w:hint="eastAsia" w:ascii="宋体" w:hAnsi="宋体"/>
          <w:color w:val="auto"/>
          <w:kern w:val="0"/>
          <w:szCs w:val="21"/>
          <w:highlight w:val="none"/>
        </w:rPr>
        <w:t>）投标函及其附录；</w:t>
      </w:r>
    </w:p>
    <w:p w14:paraId="0BD621F8">
      <w:pPr>
        <w:autoSpaceDE w:val="0"/>
        <w:autoSpaceDN w:val="0"/>
        <w:adjustRightInd w:val="0"/>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5</w:t>
      </w:r>
      <w:r>
        <w:rPr>
          <w:rFonts w:hint="eastAsia" w:ascii="宋体" w:hAnsi="宋体"/>
          <w:color w:val="auto"/>
          <w:kern w:val="0"/>
          <w:szCs w:val="21"/>
          <w:highlight w:val="none"/>
        </w:rPr>
        <w:t>）发包人要求；</w:t>
      </w:r>
    </w:p>
    <w:p w14:paraId="6DE047C2">
      <w:pPr>
        <w:autoSpaceDE w:val="0"/>
        <w:autoSpaceDN w:val="0"/>
        <w:adjustRightInd w:val="0"/>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6</w:t>
      </w:r>
      <w:r>
        <w:rPr>
          <w:rFonts w:hint="eastAsia" w:ascii="宋体" w:hAnsi="宋体"/>
          <w:color w:val="auto"/>
          <w:kern w:val="0"/>
          <w:szCs w:val="21"/>
          <w:highlight w:val="none"/>
        </w:rPr>
        <w:t>）技术标准；</w:t>
      </w:r>
    </w:p>
    <w:p w14:paraId="0731348D">
      <w:pPr>
        <w:autoSpaceDE w:val="0"/>
        <w:autoSpaceDN w:val="0"/>
        <w:adjustRightInd w:val="0"/>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7</w:t>
      </w:r>
      <w:r>
        <w:rPr>
          <w:rFonts w:hint="eastAsia" w:ascii="宋体" w:hAnsi="宋体"/>
          <w:color w:val="auto"/>
          <w:kern w:val="0"/>
          <w:szCs w:val="21"/>
          <w:highlight w:val="none"/>
        </w:rPr>
        <w:t>）设计费用清单；</w:t>
      </w:r>
    </w:p>
    <w:p w14:paraId="7C6C4C4F">
      <w:pPr>
        <w:autoSpaceDE w:val="0"/>
        <w:autoSpaceDN w:val="0"/>
        <w:adjustRightInd w:val="0"/>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8</w:t>
      </w:r>
      <w:r>
        <w:rPr>
          <w:rFonts w:hint="eastAsia" w:ascii="宋体" w:hAnsi="宋体"/>
          <w:color w:val="auto"/>
          <w:kern w:val="0"/>
          <w:szCs w:val="21"/>
          <w:highlight w:val="none"/>
        </w:rPr>
        <w:t>）发包人提供的上一阶段图纸（如果有）；</w:t>
      </w:r>
    </w:p>
    <w:p w14:paraId="05B52B5B">
      <w:pPr>
        <w:autoSpaceDE w:val="0"/>
        <w:autoSpaceDN w:val="0"/>
        <w:adjustRightInd w:val="0"/>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9</w:t>
      </w:r>
      <w:r>
        <w:rPr>
          <w:rFonts w:hint="eastAsia" w:ascii="宋体" w:hAnsi="宋体"/>
          <w:color w:val="auto"/>
          <w:kern w:val="0"/>
          <w:szCs w:val="21"/>
          <w:highlight w:val="none"/>
        </w:rPr>
        <w:t>）其他合同文件。</w:t>
      </w:r>
    </w:p>
    <w:p w14:paraId="4B302B70">
      <w:pPr>
        <w:autoSpaceDE w:val="0"/>
        <w:autoSpaceDN w:val="0"/>
        <w:adjustRightInd w:val="0"/>
        <w:spacing w:line="360" w:lineRule="auto"/>
        <w:ind w:firstLine="420" w:firstLineChars="200"/>
        <w:jc w:val="left"/>
        <w:rPr>
          <w:rFonts w:ascii="宋体" w:hAnsi="宋体"/>
          <w:color w:val="auto"/>
          <w:kern w:val="0"/>
          <w:szCs w:val="21"/>
          <w:highlight w:val="none"/>
        </w:rPr>
      </w:pPr>
      <w:r>
        <w:rPr>
          <w:rFonts w:ascii="宋体" w:hAnsi="宋体"/>
          <w:color w:val="auto"/>
          <w:kern w:val="0"/>
          <w:szCs w:val="21"/>
          <w:highlight w:val="none"/>
        </w:rPr>
        <w:t>2.</w:t>
      </w:r>
      <w:r>
        <w:rPr>
          <w:rFonts w:hint="eastAsia" w:ascii="宋体" w:hAnsi="宋体"/>
          <w:color w:val="auto"/>
          <w:kern w:val="0"/>
          <w:szCs w:val="21"/>
          <w:highlight w:val="none"/>
        </w:rPr>
        <w:t>上述合同文件互相补充和解释。如果合同文件之间存在矛盾或不一致之处，以上述文件的排列顺序在先者为准。</w:t>
      </w:r>
    </w:p>
    <w:p w14:paraId="626A2043">
      <w:pPr>
        <w:autoSpaceDE w:val="0"/>
        <w:autoSpaceDN w:val="0"/>
        <w:adjustRightInd w:val="0"/>
        <w:spacing w:line="360" w:lineRule="auto"/>
        <w:ind w:firstLine="420" w:firstLineChars="200"/>
        <w:jc w:val="left"/>
        <w:rPr>
          <w:rFonts w:ascii="宋体" w:hAnsi="宋体"/>
          <w:color w:val="auto"/>
          <w:kern w:val="0"/>
          <w:szCs w:val="21"/>
          <w:highlight w:val="none"/>
        </w:rPr>
      </w:pPr>
      <w:r>
        <w:rPr>
          <w:rFonts w:ascii="宋体" w:hAnsi="宋体"/>
          <w:color w:val="auto"/>
          <w:kern w:val="0"/>
          <w:szCs w:val="21"/>
          <w:highlight w:val="none"/>
        </w:rPr>
        <w:t>3.</w:t>
      </w:r>
      <w:r>
        <w:rPr>
          <w:rFonts w:hint="eastAsia" w:ascii="宋体" w:hAnsi="宋体"/>
          <w:color w:val="auto"/>
          <w:kern w:val="0"/>
          <w:szCs w:val="21"/>
          <w:highlight w:val="none"/>
        </w:rPr>
        <w:t>上述各项合同文件包括合同当事人就该项合同文件所作出的补充和修改，属于同一类内容的文件，应以最新签署的为准。</w:t>
      </w:r>
    </w:p>
    <w:p w14:paraId="46D98DBA">
      <w:pPr>
        <w:autoSpaceDE w:val="0"/>
        <w:autoSpaceDN w:val="0"/>
        <w:adjustRightInd w:val="0"/>
        <w:spacing w:line="360" w:lineRule="auto"/>
        <w:ind w:firstLine="422" w:firstLineChars="200"/>
        <w:jc w:val="left"/>
        <w:rPr>
          <w:rFonts w:ascii="宋体" w:hAnsi="宋体"/>
          <w:b/>
          <w:color w:val="auto"/>
          <w:kern w:val="0"/>
          <w:szCs w:val="21"/>
          <w:highlight w:val="none"/>
        </w:rPr>
      </w:pPr>
      <w:r>
        <w:rPr>
          <w:rFonts w:hint="eastAsia" w:ascii="宋体" w:hAnsi="宋体"/>
          <w:b/>
          <w:bCs/>
          <w:color w:val="auto"/>
          <w:kern w:val="0"/>
          <w:szCs w:val="21"/>
          <w:highlight w:val="none"/>
        </w:rPr>
        <w:t>七、质量标准和要求</w:t>
      </w:r>
    </w:p>
    <w:p w14:paraId="60E9A10E">
      <w:pPr>
        <w:autoSpaceDE w:val="0"/>
        <w:autoSpaceDN w:val="0"/>
        <w:adjustRightInd w:val="0"/>
        <w:spacing w:line="360" w:lineRule="auto"/>
        <w:jc w:val="left"/>
        <w:rPr>
          <w:rFonts w:ascii="宋体" w:hAnsi="宋体"/>
          <w:color w:val="auto"/>
          <w:szCs w:val="21"/>
          <w:highlight w:val="none"/>
        </w:rPr>
      </w:pPr>
      <w:r>
        <w:rPr>
          <w:rFonts w:hint="eastAsia" w:ascii="宋体" w:hAnsi="宋体"/>
          <w:color w:val="auto"/>
          <w:kern w:val="0"/>
          <w:szCs w:val="21"/>
          <w:highlight w:val="none"/>
        </w:rPr>
        <w:t xml:space="preserve">    设计工作质量符合的标准和要求：</w:t>
      </w:r>
      <w:r>
        <w:rPr>
          <w:rFonts w:hint="eastAsia" w:ascii="宋体" w:hAnsi="宋体" w:cs="宋体"/>
          <w:bCs/>
          <w:color w:val="auto"/>
          <w:kern w:val="0"/>
          <w:szCs w:val="21"/>
          <w:highlight w:val="none"/>
          <w:u w:val="single"/>
        </w:rPr>
        <w:t>符合国家规定的工程设计质量标准、深度要求和现行技术规范、规程要求，并通过国家相关部门组织的审查</w:t>
      </w:r>
      <w:r>
        <w:rPr>
          <w:rFonts w:hint="eastAsia" w:ascii="宋体" w:hAnsi="宋体"/>
          <w:color w:val="auto"/>
          <w:highlight w:val="none"/>
          <w:u w:val="single"/>
        </w:rPr>
        <w:t>。</w:t>
      </w:r>
    </w:p>
    <w:p w14:paraId="4B35133B">
      <w:pPr>
        <w:autoSpaceDE w:val="0"/>
        <w:autoSpaceDN w:val="0"/>
        <w:adjustRightInd w:val="0"/>
        <w:spacing w:line="360" w:lineRule="auto"/>
        <w:ind w:firstLine="422" w:firstLineChars="200"/>
        <w:jc w:val="left"/>
        <w:rPr>
          <w:rFonts w:ascii="宋体" w:hAnsi="宋体"/>
          <w:b/>
          <w:bCs/>
          <w:color w:val="auto"/>
          <w:kern w:val="0"/>
          <w:szCs w:val="21"/>
          <w:highlight w:val="none"/>
        </w:rPr>
      </w:pPr>
      <w:r>
        <w:rPr>
          <w:rFonts w:hint="eastAsia" w:ascii="宋体" w:hAnsi="宋体"/>
          <w:b/>
          <w:bCs/>
          <w:color w:val="auto"/>
          <w:kern w:val="0"/>
          <w:szCs w:val="21"/>
          <w:highlight w:val="none"/>
        </w:rPr>
        <w:t>八、承诺</w:t>
      </w:r>
    </w:p>
    <w:p w14:paraId="13526CD4">
      <w:pPr>
        <w:autoSpaceDE w:val="0"/>
        <w:autoSpaceDN w:val="0"/>
        <w:adjustRightInd w:val="0"/>
        <w:spacing w:line="360" w:lineRule="auto"/>
        <w:ind w:firstLine="420" w:firstLineChars="200"/>
        <w:jc w:val="left"/>
        <w:rPr>
          <w:rFonts w:ascii="宋体" w:hAnsi="宋体"/>
          <w:color w:val="auto"/>
          <w:kern w:val="0"/>
          <w:szCs w:val="21"/>
          <w:highlight w:val="none"/>
        </w:rPr>
      </w:pPr>
      <w:r>
        <w:rPr>
          <w:rFonts w:ascii="宋体" w:hAnsi="宋体"/>
          <w:color w:val="auto"/>
          <w:kern w:val="0"/>
          <w:szCs w:val="21"/>
          <w:highlight w:val="none"/>
        </w:rPr>
        <w:t xml:space="preserve">1. </w:t>
      </w:r>
      <w:r>
        <w:rPr>
          <w:rFonts w:hint="eastAsia" w:ascii="宋体" w:hAnsi="宋体"/>
          <w:color w:val="auto"/>
          <w:kern w:val="0"/>
          <w:szCs w:val="21"/>
          <w:highlight w:val="none"/>
        </w:rPr>
        <w:t>发包人承诺按照法律规定履行项目审批手续，按照合同约定提供设计依据，并按合同约定的条件、期限和方式支付合同价款。</w:t>
      </w:r>
    </w:p>
    <w:p w14:paraId="367395F7">
      <w:pPr>
        <w:autoSpaceDE w:val="0"/>
        <w:autoSpaceDN w:val="0"/>
        <w:adjustRightInd w:val="0"/>
        <w:spacing w:line="360" w:lineRule="auto"/>
        <w:ind w:firstLine="420" w:firstLineChars="200"/>
        <w:jc w:val="left"/>
        <w:rPr>
          <w:rFonts w:ascii="宋体" w:hAnsi="宋体"/>
          <w:color w:val="auto"/>
          <w:kern w:val="0"/>
          <w:szCs w:val="21"/>
          <w:highlight w:val="none"/>
        </w:rPr>
      </w:pPr>
      <w:r>
        <w:rPr>
          <w:rFonts w:ascii="宋体" w:hAnsi="宋体"/>
          <w:color w:val="auto"/>
          <w:kern w:val="0"/>
          <w:szCs w:val="21"/>
          <w:highlight w:val="none"/>
        </w:rPr>
        <w:t xml:space="preserve">2. </w:t>
      </w:r>
      <w:r>
        <w:rPr>
          <w:rFonts w:hint="eastAsia" w:ascii="宋体" w:hAnsi="宋体"/>
          <w:color w:val="auto"/>
          <w:kern w:val="0"/>
          <w:szCs w:val="21"/>
          <w:highlight w:val="none"/>
        </w:rPr>
        <w:t>设计人承诺按照法律和技术标准规定及合同约定提供工程设计服务。</w:t>
      </w:r>
    </w:p>
    <w:p w14:paraId="1261ED98">
      <w:pPr>
        <w:autoSpaceDE w:val="0"/>
        <w:autoSpaceDN w:val="0"/>
        <w:adjustRightInd w:val="0"/>
        <w:spacing w:line="360" w:lineRule="auto"/>
        <w:ind w:firstLine="422" w:firstLineChars="200"/>
        <w:jc w:val="left"/>
        <w:rPr>
          <w:rFonts w:ascii="宋体" w:hAnsi="宋体"/>
          <w:b/>
          <w:bCs/>
          <w:color w:val="auto"/>
          <w:kern w:val="0"/>
          <w:szCs w:val="21"/>
          <w:highlight w:val="none"/>
        </w:rPr>
      </w:pPr>
      <w:r>
        <w:rPr>
          <w:rFonts w:hint="eastAsia" w:ascii="宋体" w:hAnsi="宋体"/>
          <w:b/>
          <w:bCs/>
          <w:color w:val="auto"/>
          <w:kern w:val="0"/>
          <w:szCs w:val="21"/>
          <w:highlight w:val="none"/>
        </w:rPr>
        <w:t>九、词语含义</w:t>
      </w:r>
    </w:p>
    <w:p w14:paraId="69FD4E70">
      <w:pPr>
        <w:autoSpaceDE w:val="0"/>
        <w:autoSpaceDN w:val="0"/>
        <w:adjustRightInd w:val="0"/>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本协议书中词语含义与第二部分通用合同条款中赋予的含义相同。</w:t>
      </w:r>
    </w:p>
    <w:p w14:paraId="0BD6A025">
      <w:pPr>
        <w:autoSpaceDE w:val="0"/>
        <w:autoSpaceDN w:val="0"/>
        <w:adjustRightInd w:val="0"/>
        <w:spacing w:line="360" w:lineRule="auto"/>
        <w:ind w:firstLine="422" w:firstLineChars="200"/>
        <w:jc w:val="left"/>
        <w:rPr>
          <w:rFonts w:ascii="宋体" w:hAnsi="宋体"/>
          <w:b/>
          <w:bCs/>
          <w:color w:val="auto"/>
          <w:kern w:val="0"/>
          <w:szCs w:val="21"/>
          <w:highlight w:val="none"/>
        </w:rPr>
      </w:pPr>
      <w:r>
        <w:rPr>
          <w:rFonts w:hint="eastAsia" w:ascii="宋体" w:hAnsi="宋体"/>
          <w:b/>
          <w:bCs/>
          <w:color w:val="auto"/>
          <w:kern w:val="0"/>
          <w:szCs w:val="21"/>
          <w:highlight w:val="none"/>
        </w:rPr>
        <w:t>十、签订地点</w:t>
      </w:r>
    </w:p>
    <w:p w14:paraId="27D924C7">
      <w:pPr>
        <w:autoSpaceDE w:val="0"/>
        <w:autoSpaceDN w:val="0"/>
        <w:adjustRightInd w:val="0"/>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本合同在</w:t>
      </w:r>
      <w:r>
        <w:rPr>
          <w:rFonts w:hint="eastAsia" w:ascii="宋体" w:hAnsi="宋体"/>
          <w:color w:val="auto"/>
          <w:kern w:val="0"/>
          <w:szCs w:val="21"/>
          <w:highlight w:val="none"/>
          <w:u w:val="single"/>
        </w:rPr>
        <w:t>桂林市</w:t>
      </w:r>
      <w:r>
        <w:rPr>
          <w:rFonts w:hint="eastAsia" w:ascii="宋体" w:hAnsi="宋体"/>
          <w:color w:val="auto"/>
          <w:kern w:val="0"/>
          <w:szCs w:val="21"/>
          <w:highlight w:val="none"/>
        </w:rPr>
        <w:t>签订。</w:t>
      </w:r>
    </w:p>
    <w:p w14:paraId="44116094">
      <w:pPr>
        <w:autoSpaceDE w:val="0"/>
        <w:autoSpaceDN w:val="0"/>
        <w:adjustRightInd w:val="0"/>
        <w:spacing w:line="360" w:lineRule="auto"/>
        <w:ind w:firstLine="422" w:firstLineChars="200"/>
        <w:jc w:val="left"/>
        <w:rPr>
          <w:rFonts w:ascii="宋体" w:hAnsi="宋体"/>
          <w:b/>
          <w:bCs/>
          <w:color w:val="auto"/>
          <w:kern w:val="0"/>
          <w:szCs w:val="21"/>
          <w:highlight w:val="none"/>
        </w:rPr>
      </w:pPr>
      <w:r>
        <w:rPr>
          <w:rFonts w:hint="eastAsia" w:ascii="宋体" w:hAnsi="宋体"/>
          <w:b/>
          <w:bCs/>
          <w:color w:val="auto"/>
          <w:kern w:val="0"/>
          <w:szCs w:val="21"/>
          <w:highlight w:val="none"/>
        </w:rPr>
        <w:t>十一、补充协议</w:t>
      </w:r>
    </w:p>
    <w:p w14:paraId="6E3F4D23">
      <w:pPr>
        <w:autoSpaceDE w:val="0"/>
        <w:autoSpaceDN w:val="0"/>
        <w:adjustRightInd w:val="0"/>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合同未尽事宜，合同当事人另行签订补充协议，补充协议是合同的组成部分。</w:t>
      </w:r>
    </w:p>
    <w:p w14:paraId="3FBBD4F9">
      <w:pPr>
        <w:autoSpaceDE w:val="0"/>
        <w:autoSpaceDN w:val="0"/>
        <w:adjustRightInd w:val="0"/>
        <w:spacing w:line="360" w:lineRule="auto"/>
        <w:ind w:firstLine="420"/>
        <w:jc w:val="left"/>
        <w:rPr>
          <w:rFonts w:ascii="宋体" w:hAnsi="宋体"/>
          <w:b/>
          <w:bCs/>
          <w:color w:val="auto"/>
          <w:kern w:val="0"/>
          <w:szCs w:val="21"/>
          <w:highlight w:val="none"/>
        </w:rPr>
      </w:pPr>
      <w:r>
        <w:rPr>
          <w:rFonts w:hint="eastAsia" w:ascii="宋体" w:hAnsi="宋体"/>
          <w:b/>
          <w:bCs/>
          <w:color w:val="auto"/>
          <w:kern w:val="0"/>
          <w:szCs w:val="21"/>
          <w:highlight w:val="none"/>
        </w:rPr>
        <w:t>十二、合同生效</w:t>
      </w:r>
    </w:p>
    <w:p w14:paraId="19380EE9">
      <w:pPr>
        <w:autoSpaceDE w:val="0"/>
        <w:autoSpaceDN w:val="0"/>
        <w:adjustRightInd w:val="0"/>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本合同经双方法定代表人签章或</w:t>
      </w:r>
      <w:r>
        <w:rPr>
          <w:rFonts w:hAnsi="宋体"/>
          <w:color w:val="auto"/>
          <w:szCs w:val="21"/>
          <w:highlight w:val="none"/>
        </w:rPr>
        <w:t>或其委托代理人</w:t>
      </w:r>
      <w:r>
        <w:rPr>
          <w:rFonts w:hint="eastAsia" w:ascii="宋体" w:hAnsi="宋体"/>
          <w:color w:val="auto"/>
          <w:kern w:val="0"/>
          <w:szCs w:val="21"/>
          <w:highlight w:val="none"/>
        </w:rPr>
        <w:t>签字并加盖单位公章后生效。</w:t>
      </w:r>
    </w:p>
    <w:p w14:paraId="7DEDD9E3">
      <w:pPr>
        <w:autoSpaceDE w:val="0"/>
        <w:autoSpaceDN w:val="0"/>
        <w:adjustRightInd w:val="0"/>
        <w:spacing w:line="360" w:lineRule="auto"/>
        <w:ind w:firstLine="422" w:firstLineChars="200"/>
        <w:jc w:val="left"/>
        <w:rPr>
          <w:rFonts w:ascii="宋体" w:hAnsi="宋体"/>
          <w:b/>
          <w:bCs/>
          <w:color w:val="auto"/>
          <w:kern w:val="0"/>
          <w:szCs w:val="21"/>
          <w:highlight w:val="none"/>
        </w:rPr>
      </w:pPr>
      <w:r>
        <w:rPr>
          <w:rFonts w:hint="eastAsia" w:ascii="宋体" w:hAnsi="宋体"/>
          <w:b/>
          <w:bCs/>
          <w:color w:val="auto"/>
          <w:kern w:val="0"/>
          <w:szCs w:val="21"/>
          <w:highlight w:val="none"/>
        </w:rPr>
        <w:t>十三、合同份数</w:t>
      </w:r>
    </w:p>
    <w:p w14:paraId="7475DA66">
      <w:pPr>
        <w:spacing w:line="360" w:lineRule="auto"/>
        <w:ind w:firstLine="420" w:firstLineChars="200"/>
        <w:rPr>
          <w:rFonts w:hAnsi="宋体"/>
          <w:color w:val="auto"/>
          <w:szCs w:val="21"/>
          <w:highlight w:val="none"/>
        </w:rPr>
      </w:pPr>
      <w:r>
        <w:rPr>
          <w:rFonts w:hint="eastAsia" w:ascii="Calibri" w:hAnsi="宋体"/>
          <w:color w:val="auto"/>
          <w:szCs w:val="21"/>
          <w:highlight w:val="none"/>
        </w:rPr>
        <w:t>本合同正本一式</w:t>
      </w:r>
      <w:r>
        <w:rPr>
          <w:rFonts w:hint="eastAsia" w:ascii="Calibri" w:hAnsi="宋体"/>
          <w:color w:val="auto"/>
          <w:szCs w:val="21"/>
          <w:highlight w:val="none"/>
          <w:u w:val="single"/>
        </w:rPr>
        <w:t xml:space="preserve">    </w:t>
      </w:r>
      <w:r>
        <w:rPr>
          <w:rFonts w:hint="eastAsia" w:ascii="Calibri" w:hAnsi="宋体"/>
          <w:color w:val="auto"/>
          <w:szCs w:val="21"/>
          <w:highlight w:val="none"/>
        </w:rPr>
        <w:t>份、副本一式</w:t>
      </w:r>
      <w:r>
        <w:rPr>
          <w:rFonts w:hint="eastAsia" w:ascii="Calibri" w:hAnsi="宋体"/>
          <w:color w:val="auto"/>
          <w:szCs w:val="21"/>
          <w:highlight w:val="none"/>
          <w:u w:val="single"/>
        </w:rPr>
        <w:t xml:space="preserve">    </w:t>
      </w:r>
      <w:r>
        <w:rPr>
          <w:rFonts w:hint="eastAsia" w:ascii="Calibri" w:hAnsi="宋体"/>
          <w:color w:val="auto"/>
          <w:szCs w:val="21"/>
          <w:highlight w:val="none"/>
        </w:rPr>
        <w:t>份，均具有同等法律效力，发包人执正本</w:t>
      </w:r>
      <w:r>
        <w:rPr>
          <w:rFonts w:hint="eastAsia" w:ascii="Calibri" w:hAnsi="宋体"/>
          <w:color w:val="auto"/>
          <w:szCs w:val="21"/>
          <w:highlight w:val="none"/>
          <w:u w:val="single"/>
        </w:rPr>
        <w:t xml:space="preserve">    </w:t>
      </w:r>
      <w:r>
        <w:rPr>
          <w:rFonts w:hint="eastAsia" w:ascii="Calibri" w:hAnsi="宋体"/>
          <w:color w:val="auto"/>
          <w:szCs w:val="21"/>
          <w:highlight w:val="none"/>
        </w:rPr>
        <w:t>份、副本</w:t>
      </w:r>
      <w:r>
        <w:rPr>
          <w:rFonts w:hint="eastAsia" w:ascii="Calibri" w:hAnsi="宋体"/>
          <w:color w:val="auto"/>
          <w:szCs w:val="21"/>
          <w:highlight w:val="none"/>
          <w:u w:val="single"/>
        </w:rPr>
        <w:t xml:space="preserve">    </w:t>
      </w:r>
      <w:r>
        <w:rPr>
          <w:rFonts w:hint="eastAsia" w:ascii="Calibri" w:hAnsi="宋体"/>
          <w:color w:val="auto"/>
          <w:szCs w:val="21"/>
          <w:highlight w:val="none"/>
        </w:rPr>
        <w:t>份，设计人执正本</w:t>
      </w:r>
      <w:r>
        <w:rPr>
          <w:rFonts w:hint="eastAsia" w:ascii="Calibri" w:hAnsi="宋体"/>
          <w:color w:val="auto"/>
          <w:szCs w:val="21"/>
          <w:highlight w:val="none"/>
          <w:u w:val="single"/>
        </w:rPr>
        <w:t xml:space="preserve">    </w:t>
      </w:r>
      <w:r>
        <w:rPr>
          <w:rFonts w:hint="eastAsia" w:ascii="Calibri" w:hAnsi="宋体"/>
          <w:color w:val="auto"/>
          <w:szCs w:val="21"/>
          <w:highlight w:val="none"/>
        </w:rPr>
        <w:t>份、副本</w:t>
      </w:r>
      <w:r>
        <w:rPr>
          <w:rFonts w:hint="eastAsia" w:ascii="Calibri" w:hAnsi="宋体"/>
          <w:color w:val="auto"/>
          <w:szCs w:val="21"/>
          <w:highlight w:val="none"/>
          <w:u w:val="single"/>
        </w:rPr>
        <w:t xml:space="preserve">    </w:t>
      </w:r>
      <w:r>
        <w:rPr>
          <w:rFonts w:hint="eastAsia" w:ascii="Calibri" w:hAnsi="宋体"/>
          <w:color w:val="auto"/>
          <w:szCs w:val="21"/>
          <w:highlight w:val="none"/>
        </w:rPr>
        <w:t>份。</w:t>
      </w:r>
      <w:bookmarkEnd w:id="147"/>
    </w:p>
    <w:p w14:paraId="55A0963E">
      <w:pPr>
        <w:spacing w:line="360" w:lineRule="auto"/>
        <w:rPr>
          <w:color w:val="auto"/>
          <w:szCs w:val="21"/>
          <w:highlight w:val="none"/>
        </w:rPr>
      </w:pPr>
      <w:r>
        <w:rPr>
          <w:rFonts w:hAnsi="宋体"/>
          <w:color w:val="auto"/>
          <w:szCs w:val="21"/>
          <w:highlight w:val="none"/>
        </w:rPr>
        <w:t>发包人：</w:t>
      </w:r>
      <w:r>
        <w:rPr>
          <w:color w:val="auto"/>
          <w:szCs w:val="21"/>
          <w:highlight w:val="none"/>
        </w:rPr>
        <w:t xml:space="preserve">  </w:t>
      </w:r>
      <w:r>
        <w:rPr>
          <w:rFonts w:hint="eastAsia"/>
          <w:color w:val="auto"/>
          <w:szCs w:val="21"/>
          <w:highlight w:val="none"/>
        </w:rPr>
        <w:t>（</w:t>
      </w:r>
      <w:r>
        <w:rPr>
          <w:rFonts w:hAnsi="宋体"/>
          <w:color w:val="auto"/>
          <w:szCs w:val="21"/>
          <w:highlight w:val="none"/>
        </w:rPr>
        <w:t>公章</w:t>
      </w:r>
      <w:r>
        <w:rPr>
          <w:rFonts w:hint="eastAsia"/>
          <w:color w:val="auto"/>
          <w:szCs w:val="21"/>
          <w:highlight w:val="none"/>
        </w:rPr>
        <w:t>）</w:t>
      </w:r>
      <w:r>
        <w:rPr>
          <w:color w:val="auto"/>
          <w:szCs w:val="21"/>
          <w:highlight w:val="none"/>
        </w:rPr>
        <w:t xml:space="preserve">                              </w:t>
      </w:r>
      <w:r>
        <w:rPr>
          <w:rFonts w:hint="eastAsia" w:hAnsi="宋体"/>
          <w:color w:val="auto"/>
          <w:szCs w:val="21"/>
          <w:highlight w:val="none"/>
        </w:rPr>
        <w:t>设计</w:t>
      </w:r>
      <w:r>
        <w:rPr>
          <w:rFonts w:hAnsi="宋体"/>
          <w:color w:val="auto"/>
          <w:szCs w:val="21"/>
          <w:highlight w:val="none"/>
        </w:rPr>
        <w:t>人：</w:t>
      </w:r>
      <w:r>
        <w:rPr>
          <w:color w:val="auto"/>
          <w:szCs w:val="21"/>
          <w:highlight w:val="none"/>
        </w:rPr>
        <w:t xml:space="preserve">  </w:t>
      </w:r>
      <w:r>
        <w:rPr>
          <w:rFonts w:hint="eastAsia"/>
          <w:color w:val="auto"/>
          <w:szCs w:val="21"/>
          <w:highlight w:val="none"/>
        </w:rPr>
        <w:t>（</w:t>
      </w:r>
      <w:r>
        <w:rPr>
          <w:rFonts w:hAnsi="宋体"/>
          <w:color w:val="auto"/>
          <w:szCs w:val="21"/>
          <w:highlight w:val="none"/>
        </w:rPr>
        <w:t>公章</w:t>
      </w:r>
      <w:r>
        <w:rPr>
          <w:rFonts w:hint="eastAsia"/>
          <w:color w:val="auto"/>
          <w:szCs w:val="21"/>
          <w:highlight w:val="none"/>
        </w:rPr>
        <w:t>）</w:t>
      </w:r>
    </w:p>
    <w:p w14:paraId="3638B329">
      <w:pPr>
        <w:spacing w:line="360" w:lineRule="auto"/>
        <w:rPr>
          <w:color w:val="auto"/>
          <w:szCs w:val="21"/>
          <w:highlight w:val="none"/>
          <w:u w:val="single"/>
        </w:rPr>
      </w:pPr>
      <w:r>
        <w:rPr>
          <w:color w:val="auto"/>
          <w:szCs w:val="21"/>
          <w:highlight w:val="none"/>
        </w:rPr>
        <w:t xml:space="preserve">                                 </w:t>
      </w:r>
    </w:p>
    <w:p w14:paraId="11BE09CA">
      <w:pPr>
        <w:spacing w:line="360" w:lineRule="auto"/>
        <w:rPr>
          <w:color w:val="auto"/>
          <w:szCs w:val="21"/>
          <w:highlight w:val="none"/>
        </w:rPr>
      </w:pPr>
      <w:r>
        <w:rPr>
          <w:rFonts w:hAnsi="宋体"/>
          <w:color w:val="auto"/>
          <w:szCs w:val="21"/>
          <w:highlight w:val="none"/>
        </w:rPr>
        <w:t>法定代表人或其委托代理人：</w:t>
      </w:r>
      <w:r>
        <w:rPr>
          <w:color w:val="auto"/>
          <w:szCs w:val="21"/>
          <w:highlight w:val="none"/>
        </w:rPr>
        <w:t xml:space="preserve">                    </w:t>
      </w:r>
      <w:r>
        <w:rPr>
          <w:rFonts w:hAnsi="宋体"/>
          <w:color w:val="auto"/>
          <w:szCs w:val="21"/>
          <w:highlight w:val="none"/>
        </w:rPr>
        <w:t>法定代表人或其委托代理人：</w:t>
      </w:r>
    </w:p>
    <w:p w14:paraId="6446A61D">
      <w:pPr>
        <w:spacing w:line="360" w:lineRule="auto"/>
        <w:rPr>
          <w:color w:val="auto"/>
          <w:szCs w:val="21"/>
          <w:highlight w:val="none"/>
        </w:rPr>
      </w:pPr>
      <w:r>
        <w:rPr>
          <w:rFonts w:hAnsi="宋体"/>
          <w:color w:val="auto"/>
          <w:szCs w:val="21"/>
          <w:highlight w:val="none"/>
        </w:rPr>
        <w:t>（签字）</w:t>
      </w:r>
      <w:r>
        <w:rPr>
          <w:color w:val="auto"/>
          <w:szCs w:val="21"/>
          <w:highlight w:val="none"/>
        </w:rPr>
        <w:t xml:space="preserve">                                     </w:t>
      </w:r>
      <w:r>
        <w:rPr>
          <w:rFonts w:hAnsi="宋体"/>
          <w:color w:val="auto"/>
          <w:szCs w:val="21"/>
          <w:highlight w:val="none"/>
        </w:rPr>
        <w:t>（签字）</w:t>
      </w:r>
    </w:p>
    <w:p w14:paraId="6580BD17">
      <w:pPr>
        <w:spacing w:line="360" w:lineRule="auto"/>
        <w:rPr>
          <w:color w:val="auto"/>
          <w:szCs w:val="21"/>
          <w:highlight w:val="none"/>
          <w:u w:val="single"/>
        </w:rPr>
      </w:pPr>
    </w:p>
    <w:p w14:paraId="2874B03E">
      <w:pPr>
        <w:spacing w:line="360" w:lineRule="auto"/>
        <w:rPr>
          <w:color w:val="auto"/>
          <w:szCs w:val="21"/>
          <w:highlight w:val="none"/>
          <w:u w:val="single"/>
        </w:rPr>
      </w:pPr>
      <w:r>
        <w:rPr>
          <w:rFonts w:hint="eastAsia" w:hAnsi="宋体"/>
          <w:color w:val="auto"/>
          <w:szCs w:val="21"/>
          <w:highlight w:val="none"/>
        </w:rPr>
        <w:t>社会信用代码</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 xml:space="preserve">  </w:t>
      </w:r>
      <w:r>
        <w:rPr>
          <w:rFonts w:hint="eastAsia" w:hAnsi="宋体"/>
          <w:color w:val="auto"/>
          <w:szCs w:val="21"/>
          <w:highlight w:val="none"/>
        </w:rPr>
        <w:t>社会信用代码</w:t>
      </w:r>
      <w:r>
        <w:rPr>
          <w:rFonts w:hAnsi="宋体"/>
          <w:color w:val="auto"/>
          <w:szCs w:val="21"/>
          <w:highlight w:val="none"/>
        </w:rPr>
        <w:t>：</w:t>
      </w:r>
      <w:r>
        <w:rPr>
          <w:rFonts w:hAnsi="宋体"/>
          <w:color w:val="auto"/>
          <w:szCs w:val="21"/>
          <w:highlight w:val="none"/>
          <w:u w:val="single"/>
        </w:rPr>
        <w:t></w:t>
      </w:r>
    </w:p>
    <w:p w14:paraId="3E8F8702">
      <w:pPr>
        <w:spacing w:line="360" w:lineRule="auto"/>
        <w:rPr>
          <w:color w:val="auto"/>
          <w:szCs w:val="21"/>
          <w:highlight w:val="none"/>
        </w:rPr>
      </w:pP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p>
    <w:p w14:paraId="71C921F6">
      <w:pPr>
        <w:spacing w:line="360" w:lineRule="auto"/>
        <w:rPr>
          <w:color w:val="auto"/>
          <w:szCs w:val="21"/>
          <w:highlight w:val="none"/>
        </w:rPr>
      </w:pPr>
      <w:r>
        <w:rPr>
          <w:rFonts w:hAnsi="宋体"/>
          <w:color w:val="auto"/>
          <w:szCs w:val="21"/>
          <w:highlight w:val="none"/>
        </w:rPr>
        <w:t>邮政编码：</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邮政编码：</w:t>
      </w:r>
      <w:r>
        <w:rPr>
          <w:rFonts w:hAnsi="宋体"/>
          <w:color w:val="auto"/>
          <w:szCs w:val="21"/>
          <w:highlight w:val="none"/>
          <w:u w:val="single"/>
        </w:rPr>
        <w:t></w:t>
      </w:r>
      <w:r>
        <w:rPr>
          <w:color w:val="auto"/>
          <w:szCs w:val="21"/>
          <w:highlight w:val="none"/>
          <w:u w:val="single"/>
        </w:rPr>
        <w:t xml:space="preserve">   </w:t>
      </w:r>
    </w:p>
    <w:p w14:paraId="4B8FEEFA">
      <w:pPr>
        <w:spacing w:line="360" w:lineRule="auto"/>
        <w:rPr>
          <w:color w:val="auto"/>
          <w:szCs w:val="21"/>
          <w:highlight w:val="none"/>
        </w:rPr>
      </w:pPr>
      <w:r>
        <w:rPr>
          <w:rFonts w:hAnsi="宋体"/>
          <w:color w:val="auto"/>
          <w:szCs w:val="21"/>
          <w:highlight w:val="none"/>
        </w:rPr>
        <w:t>法定代表人：</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法定代表人：</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p>
    <w:p w14:paraId="7A5D9F3D">
      <w:pPr>
        <w:spacing w:line="360" w:lineRule="auto"/>
        <w:rPr>
          <w:color w:val="auto"/>
          <w:szCs w:val="21"/>
          <w:highlight w:val="none"/>
        </w:rPr>
      </w:pPr>
      <w:r>
        <w:rPr>
          <w:rFonts w:hAnsi="宋体"/>
          <w:color w:val="auto"/>
          <w:szCs w:val="21"/>
          <w:highlight w:val="none"/>
        </w:rPr>
        <w:t>委托代理人：</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委托代理人：</w:t>
      </w:r>
      <w:r>
        <w:rPr>
          <w:rFonts w:hAnsi="宋体"/>
          <w:color w:val="auto"/>
          <w:szCs w:val="21"/>
          <w:highlight w:val="none"/>
          <w:u w:val="single"/>
        </w:rPr>
        <w:t></w:t>
      </w:r>
      <w:r>
        <w:rPr>
          <w:color w:val="auto"/>
          <w:szCs w:val="21"/>
          <w:highlight w:val="none"/>
          <w:u w:val="single"/>
        </w:rPr>
        <w:t xml:space="preserve">             </w:t>
      </w:r>
    </w:p>
    <w:p w14:paraId="5F8AD1D1">
      <w:pPr>
        <w:spacing w:line="360" w:lineRule="auto"/>
        <w:rPr>
          <w:color w:val="auto"/>
          <w:szCs w:val="21"/>
          <w:highlight w:val="none"/>
        </w:rPr>
      </w:pP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rFonts w:hAnsi="宋体"/>
          <w:color w:val="auto"/>
          <w:szCs w:val="21"/>
          <w:highlight w:val="none"/>
          <w:u w:val="single"/>
        </w:rPr>
        <w:t></w:t>
      </w:r>
      <w:r>
        <w:rPr>
          <w:color w:val="auto"/>
          <w:szCs w:val="21"/>
          <w:highlight w:val="none"/>
          <w:u w:val="single"/>
        </w:rPr>
        <w:t xml:space="preserve">     </w:t>
      </w:r>
    </w:p>
    <w:p w14:paraId="4045BA39">
      <w:pPr>
        <w:spacing w:line="360" w:lineRule="auto"/>
        <w:rPr>
          <w:color w:val="auto"/>
          <w:szCs w:val="21"/>
          <w:highlight w:val="none"/>
        </w:rPr>
      </w:pP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p>
    <w:p w14:paraId="75A5FE01">
      <w:pPr>
        <w:spacing w:line="360" w:lineRule="auto"/>
        <w:rPr>
          <w:color w:val="auto"/>
          <w:szCs w:val="21"/>
          <w:highlight w:val="none"/>
        </w:rPr>
      </w:pPr>
      <w:r>
        <w:rPr>
          <w:rFonts w:hAnsi="宋体"/>
          <w:color w:val="auto"/>
          <w:szCs w:val="21"/>
          <w:highlight w:val="none"/>
        </w:rPr>
        <w:t>电子信箱：</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电子信箱：</w:t>
      </w:r>
      <w:r>
        <w:rPr>
          <w:rFonts w:hAnsi="宋体"/>
          <w:color w:val="auto"/>
          <w:szCs w:val="21"/>
          <w:highlight w:val="none"/>
          <w:u w:val="single"/>
        </w:rPr>
        <w:t></w:t>
      </w:r>
      <w:r>
        <w:rPr>
          <w:color w:val="auto"/>
          <w:szCs w:val="21"/>
          <w:highlight w:val="none"/>
          <w:u w:val="single"/>
        </w:rPr>
        <w:t xml:space="preserve">   </w:t>
      </w:r>
    </w:p>
    <w:p w14:paraId="0EA4ADC9">
      <w:pPr>
        <w:spacing w:line="360" w:lineRule="auto"/>
        <w:rPr>
          <w:color w:val="auto"/>
          <w:szCs w:val="21"/>
          <w:highlight w:val="none"/>
        </w:rPr>
      </w:pPr>
      <w:r>
        <w:rPr>
          <w:rFonts w:hAnsi="宋体"/>
          <w:color w:val="auto"/>
          <w:szCs w:val="21"/>
          <w:highlight w:val="none"/>
        </w:rPr>
        <w:t>开户银行：</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开户银行：</w:t>
      </w:r>
      <w:r>
        <w:rPr>
          <w:rFonts w:hAnsi="宋体"/>
          <w:color w:val="auto"/>
          <w:szCs w:val="21"/>
          <w:highlight w:val="none"/>
          <w:u w:val="single"/>
        </w:rPr>
        <w:t></w:t>
      </w:r>
      <w:r>
        <w:rPr>
          <w:color w:val="auto"/>
          <w:szCs w:val="21"/>
          <w:highlight w:val="none"/>
          <w:u w:val="single"/>
        </w:rPr>
        <w:t xml:space="preserve">   </w:t>
      </w:r>
    </w:p>
    <w:p w14:paraId="0993D16B">
      <w:pPr>
        <w:spacing w:line="360" w:lineRule="auto"/>
        <w:rPr>
          <w:color w:val="auto"/>
          <w:szCs w:val="21"/>
          <w:highlight w:val="none"/>
          <w:u w:val="single"/>
        </w:rPr>
      </w:pPr>
      <w:r>
        <w:rPr>
          <w:rFonts w:hint="eastAsia" w:hAnsi="宋体"/>
          <w:color w:val="auto"/>
          <w:szCs w:val="21"/>
          <w:highlight w:val="none"/>
        </w:rPr>
        <w:t>开户</w:t>
      </w:r>
      <w:r>
        <w:rPr>
          <w:rFonts w:hAnsi="宋体"/>
          <w:color w:val="auto"/>
          <w:szCs w:val="21"/>
          <w:highlight w:val="none"/>
        </w:rPr>
        <w:t>账号：</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 xml:space="preserve"> 开户</w:t>
      </w:r>
      <w:r>
        <w:rPr>
          <w:rFonts w:hAnsi="宋体"/>
          <w:color w:val="auto"/>
          <w:szCs w:val="21"/>
          <w:highlight w:val="none"/>
        </w:rPr>
        <w:t>账号：</w:t>
      </w:r>
      <w:r>
        <w:rPr>
          <w:rFonts w:hAnsi="宋体"/>
          <w:color w:val="auto"/>
          <w:szCs w:val="21"/>
          <w:highlight w:val="none"/>
          <w:u w:val="single"/>
        </w:rPr>
        <w:t></w:t>
      </w:r>
      <w:r>
        <w:rPr>
          <w:color w:val="auto"/>
          <w:szCs w:val="21"/>
          <w:highlight w:val="none"/>
          <w:u w:val="single"/>
        </w:rPr>
        <w:t xml:space="preserve">    </w:t>
      </w:r>
    </w:p>
    <w:p w14:paraId="38A12CDA">
      <w:pPr>
        <w:spacing w:line="360" w:lineRule="auto"/>
        <w:rPr>
          <w:color w:val="auto"/>
          <w:szCs w:val="21"/>
          <w:highlight w:val="none"/>
        </w:rPr>
      </w:pPr>
      <w:r>
        <w:rPr>
          <w:rFonts w:hint="eastAsia"/>
          <w:color w:val="auto"/>
          <w:szCs w:val="21"/>
          <w:highlight w:val="none"/>
        </w:rPr>
        <w:t>签订时间：</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rPr>
        <w:t>月</w:t>
      </w:r>
      <w:r>
        <w:rPr>
          <w:rFonts w:hint="eastAsia"/>
          <w:color w:val="auto"/>
          <w:szCs w:val="21"/>
          <w:highlight w:val="none"/>
          <w:u w:val="single"/>
        </w:rPr>
        <w:t xml:space="preserve">   </w:t>
      </w:r>
      <w:r>
        <w:rPr>
          <w:rFonts w:hint="eastAsia"/>
          <w:color w:val="auto"/>
          <w:szCs w:val="21"/>
          <w:highlight w:val="none"/>
        </w:rPr>
        <w:t>日                签订时间：</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rPr>
        <w:t xml:space="preserve"> 月</w:t>
      </w:r>
      <w:r>
        <w:rPr>
          <w:rFonts w:hint="eastAsia"/>
          <w:color w:val="auto"/>
          <w:szCs w:val="21"/>
          <w:highlight w:val="none"/>
          <w:u w:val="single"/>
        </w:rPr>
        <w:t xml:space="preserve">   </w:t>
      </w:r>
      <w:r>
        <w:rPr>
          <w:rFonts w:hint="eastAsia"/>
          <w:color w:val="auto"/>
          <w:szCs w:val="21"/>
          <w:highlight w:val="none"/>
        </w:rPr>
        <w:t>日</w:t>
      </w:r>
    </w:p>
    <w:p w14:paraId="13C5B1EE">
      <w:pPr>
        <w:rPr>
          <w:rFonts w:ascii="宋体" w:hAnsi="宋体"/>
          <w:color w:val="auto"/>
          <w:sz w:val="20"/>
          <w:szCs w:val="22"/>
          <w:highlight w:val="none"/>
        </w:rPr>
      </w:pPr>
      <w:r>
        <w:rPr>
          <w:rFonts w:hint="eastAsia" w:ascii="宋体" w:hAnsi="宋体"/>
          <w:color w:val="auto"/>
          <w:sz w:val="20"/>
          <w:szCs w:val="22"/>
          <w:highlight w:val="none"/>
        </w:rPr>
        <w:t xml:space="preserve"> </w:t>
      </w:r>
    </w:p>
    <w:p w14:paraId="47BAC1BE">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宋体" w:hAnsi="宋体"/>
          <w:b/>
          <w:bCs/>
          <w:color w:val="auto"/>
          <w:kern w:val="44"/>
          <w:sz w:val="32"/>
          <w:szCs w:val="44"/>
          <w:highlight w:val="none"/>
        </w:rPr>
      </w:pPr>
      <w:bookmarkStart w:id="149" w:name="_Toc46221726"/>
      <w:bookmarkStart w:id="150" w:name="_Toc256000099"/>
    </w:p>
    <w:p w14:paraId="3821FFEF">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宋体" w:hAnsi="宋体"/>
          <w:b/>
          <w:bCs/>
          <w:color w:val="auto"/>
          <w:kern w:val="44"/>
          <w:sz w:val="32"/>
          <w:szCs w:val="44"/>
          <w:highlight w:val="none"/>
        </w:rPr>
      </w:pPr>
    </w:p>
    <w:p w14:paraId="7313D474">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宋体" w:hAnsi="宋体"/>
          <w:b/>
          <w:bCs/>
          <w:color w:val="auto"/>
          <w:kern w:val="44"/>
          <w:sz w:val="32"/>
          <w:szCs w:val="44"/>
          <w:highlight w:val="none"/>
        </w:rPr>
      </w:pPr>
    </w:p>
    <w:p w14:paraId="28D1ADD8">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宋体" w:hAnsi="宋体"/>
          <w:b/>
          <w:bCs/>
          <w:color w:val="auto"/>
          <w:kern w:val="44"/>
          <w:sz w:val="32"/>
          <w:szCs w:val="44"/>
          <w:highlight w:val="none"/>
        </w:rPr>
      </w:pPr>
    </w:p>
    <w:p w14:paraId="500D82E0">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宋体" w:hAnsi="宋体"/>
          <w:b/>
          <w:bCs/>
          <w:color w:val="auto"/>
          <w:kern w:val="44"/>
          <w:sz w:val="32"/>
          <w:szCs w:val="44"/>
          <w:highlight w:val="none"/>
        </w:rPr>
      </w:pPr>
    </w:p>
    <w:p w14:paraId="4F190DE4">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宋体" w:hAnsi="宋体"/>
          <w:b/>
          <w:bCs/>
          <w:color w:val="auto"/>
          <w:kern w:val="44"/>
          <w:sz w:val="32"/>
          <w:szCs w:val="44"/>
          <w:highlight w:val="none"/>
        </w:rPr>
      </w:pPr>
    </w:p>
    <w:p w14:paraId="6C76BB15">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宋体" w:hAnsi="宋体"/>
          <w:b/>
          <w:bCs/>
          <w:color w:val="auto"/>
          <w:kern w:val="44"/>
          <w:sz w:val="32"/>
          <w:szCs w:val="44"/>
          <w:highlight w:val="none"/>
        </w:rPr>
      </w:pPr>
    </w:p>
    <w:p w14:paraId="18B73252">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宋体" w:hAnsi="宋体"/>
          <w:b/>
          <w:bCs/>
          <w:color w:val="auto"/>
          <w:kern w:val="44"/>
          <w:sz w:val="32"/>
          <w:szCs w:val="44"/>
          <w:highlight w:val="none"/>
        </w:rPr>
      </w:pPr>
    </w:p>
    <w:p w14:paraId="3EA42489">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ascii="宋体" w:hAnsi="宋体"/>
          <w:b/>
          <w:bCs/>
          <w:color w:val="auto"/>
          <w:kern w:val="44"/>
          <w:sz w:val="32"/>
          <w:szCs w:val="44"/>
          <w:highlight w:val="none"/>
        </w:rPr>
      </w:pPr>
      <w:r>
        <w:rPr>
          <w:rFonts w:hint="eastAsia" w:ascii="宋体" w:hAnsi="宋体"/>
          <w:b/>
          <w:bCs/>
          <w:color w:val="auto"/>
          <w:kern w:val="44"/>
          <w:sz w:val="32"/>
          <w:szCs w:val="44"/>
          <w:highlight w:val="none"/>
        </w:rPr>
        <w:t>第二部分 通用</w:t>
      </w:r>
      <w:r>
        <w:rPr>
          <w:rFonts w:ascii="宋体" w:hAnsi="宋体"/>
          <w:b/>
          <w:bCs/>
          <w:color w:val="auto"/>
          <w:kern w:val="44"/>
          <w:sz w:val="32"/>
          <w:szCs w:val="44"/>
          <w:highlight w:val="none"/>
        </w:rPr>
        <w:t>合同条款</w:t>
      </w:r>
      <w:bookmarkEnd w:id="149"/>
      <w:bookmarkEnd w:id="150"/>
    </w:p>
    <w:p w14:paraId="7E346AA0">
      <w:pPr>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ascii="宋体" w:hAnsi="宋体"/>
          <w:color w:val="auto"/>
          <w:kern w:val="0"/>
          <w:szCs w:val="21"/>
          <w:highlight w:val="none"/>
        </w:rPr>
      </w:pPr>
    </w:p>
    <w:p w14:paraId="23B9E6CD">
      <w:pPr>
        <w:keepLines w:val="0"/>
        <w:pageBreakBefore w:val="0"/>
        <w:widowControl w:val="0"/>
        <w:kinsoku/>
        <w:wordWrap w:val="0"/>
        <w:overflowPunct/>
        <w:topLinePunct w:val="0"/>
        <w:autoSpaceDE/>
        <w:autoSpaceDN/>
        <w:bidi w:val="0"/>
        <w:adjustRightInd/>
        <w:snapToGrid/>
        <w:spacing w:line="360" w:lineRule="auto"/>
        <w:ind w:firstLine="562" w:firstLineChars="200"/>
        <w:jc w:val="left"/>
        <w:textAlignment w:val="auto"/>
        <w:rPr>
          <w:rFonts w:ascii="宋体" w:hAnsi="宋体"/>
          <w:b/>
          <w:color w:val="auto"/>
          <w:kern w:val="0"/>
          <w:sz w:val="28"/>
          <w:szCs w:val="28"/>
          <w:highlight w:val="none"/>
        </w:rPr>
      </w:pPr>
      <w:r>
        <w:rPr>
          <w:rFonts w:hint="eastAsia" w:ascii="宋体" w:hAnsi="宋体"/>
          <w:b/>
          <w:color w:val="auto"/>
          <w:kern w:val="0"/>
          <w:sz w:val="28"/>
          <w:szCs w:val="28"/>
          <w:highlight w:val="none"/>
        </w:rPr>
        <w:t>房屋建筑工程采用《建设工程设计合同示范文本（房屋建筑工程）》（GF-2015-0209）。</w:t>
      </w:r>
    </w:p>
    <w:p w14:paraId="24C9792D">
      <w:pPr>
        <w:keepLines w:val="0"/>
        <w:pageBreakBefore w:val="0"/>
        <w:widowControl w:val="0"/>
        <w:kinsoku/>
        <w:wordWrap w:val="0"/>
        <w:overflowPunct/>
        <w:topLinePunct w:val="0"/>
        <w:autoSpaceDE/>
        <w:autoSpaceDN/>
        <w:bidi w:val="0"/>
        <w:adjustRightInd/>
        <w:snapToGrid/>
        <w:textAlignment w:val="auto"/>
        <w:rPr>
          <w:rFonts w:ascii="宋体" w:hAnsi="宋体"/>
          <w:color w:val="auto"/>
          <w:szCs w:val="22"/>
          <w:highlight w:val="none"/>
        </w:rPr>
      </w:pPr>
    </w:p>
    <w:p w14:paraId="2E1422FF">
      <w:pPr>
        <w:spacing w:line="360" w:lineRule="auto"/>
        <w:jc w:val="center"/>
        <w:outlineLvl w:val="0"/>
        <w:rPr>
          <w:rFonts w:ascii="宋体" w:hAnsi="宋体"/>
          <w:b/>
          <w:bCs/>
          <w:color w:val="auto"/>
          <w:kern w:val="44"/>
          <w:sz w:val="30"/>
          <w:szCs w:val="30"/>
          <w:highlight w:val="none"/>
        </w:rPr>
      </w:pPr>
      <w:bookmarkStart w:id="151" w:name="_Toc389065257"/>
      <w:bookmarkStart w:id="152" w:name="_Toc503540102"/>
      <w:bookmarkStart w:id="153" w:name="_Toc256000100"/>
      <w:r>
        <w:rPr>
          <w:rFonts w:ascii="宋体" w:hAnsi="宋体"/>
          <w:b/>
          <w:bCs/>
          <w:color w:val="auto"/>
          <w:kern w:val="44"/>
          <w:sz w:val="30"/>
          <w:szCs w:val="30"/>
          <w:highlight w:val="none"/>
        </w:rPr>
        <w:t>第</w:t>
      </w:r>
      <w:r>
        <w:rPr>
          <w:rFonts w:hint="eastAsia" w:ascii="宋体" w:hAnsi="宋体"/>
          <w:b/>
          <w:bCs/>
          <w:color w:val="auto"/>
          <w:kern w:val="44"/>
          <w:sz w:val="30"/>
          <w:szCs w:val="30"/>
          <w:highlight w:val="none"/>
        </w:rPr>
        <w:t>三</w:t>
      </w:r>
      <w:r>
        <w:rPr>
          <w:rFonts w:ascii="宋体" w:hAnsi="宋体"/>
          <w:b/>
          <w:bCs/>
          <w:color w:val="auto"/>
          <w:kern w:val="44"/>
          <w:sz w:val="30"/>
          <w:szCs w:val="30"/>
          <w:highlight w:val="none"/>
        </w:rPr>
        <w:t>部分 专用合同条款</w:t>
      </w:r>
      <w:bookmarkEnd w:id="151"/>
      <w:bookmarkEnd w:id="152"/>
      <w:bookmarkEnd w:id="153"/>
    </w:p>
    <w:p w14:paraId="383530C3">
      <w:pPr>
        <w:keepNext/>
        <w:keepLines/>
        <w:spacing w:before="120" w:after="120" w:line="360" w:lineRule="auto"/>
        <w:outlineLvl w:val="3"/>
        <w:rPr>
          <w:rFonts w:ascii="宋体" w:hAnsi="宋体" w:cs="黑体"/>
          <w:b/>
          <w:color w:val="auto"/>
          <w:sz w:val="24"/>
          <w:highlight w:val="none"/>
        </w:rPr>
      </w:pPr>
      <w:r>
        <w:rPr>
          <w:rFonts w:ascii="宋体" w:hAnsi="宋体" w:cs="黑体"/>
          <w:b/>
          <w:color w:val="auto"/>
          <w:sz w:val="24"/>
          <w:highlight w:val="none"/>
        </w:rPr>
        <w:t xml:space="preserve">1. </w:t>
      </w:r>
      <w:r>
        <w:rPr>
          <w:rFonts w:hint="eastAsia" w:ascii="宋体" w:hAnsi="宋体" w:cs="黑体"/>
          <w:b/>
          <w:color w:val="auto"/>
          <w:sz w:val="24"/>
          <w:highlight w:val="none"/>
        </w:rPr>
        <w:t>一般约定</w:t>
      </w:r>
    </w:p>
    <w:p w14:paraId="3A39A8D1">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1.1 </w:t>
      </w:r>
      <w:r>
        <w:rPr>
          <w:rFonts w:hint="eastAsia" w:ascii="宋体" w:hAnsi="宋体" w:cs="黑体"/>
          <w:bCs/>
          <w:color w:val="auto"/>
          <w:szCs w:val="21"/>
          <w:highlight w:val="none"/>
        </w:rPr>
        <w:t>词语定义与解释</w:t>
      </w:r>
    </w:p>
    <w:p w14:paraId="12BF6931">
      <w:pPr>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 xml:space="preserve">1.1.1 </w:t>
      </w:r>
      <w:r>
        <w:rPr>
          <w:rFonts w:hint="eastAsia" w:ascii="宋体" w:hAnsi="宋体"/>
          <w:color w:val="auto"/>
          <w:kern w:val="0"/>
          <w:szCs w:val="21"/>
          <w:highlight w:val="none"/>
        </w:rPr>
        <w:t>合同</w:t>
      </w:r>
    </w:p>
    <w:p w14:paraId="57837AC8">
      <w:pPr>
        <w:spacing w:line="360" w:lineRule="auto"/>
        <w:ind w:firstLine="420" w:firstLineChars="200"/>
        <w:rPr>
          <w:rFonts w:ascii="宋体" w:hAnsi="宋体" w:cs="宋体"/>
          <w:color w:val="auto"/>
          <w:szCs w:val="21"/>
          <w:highlight w:val="none"/>
          <w:u w:val="single"/>
        </w:rPr>
      </w:pPr>
      <w:r>
        <w:rPr>
          <w:rFonts w:ascii="宋体" w:hAnsi="宋体"/>
          <w:color w:val="auto"/>
          <w:kern w:val="0"/>
          <w:szCs w:val="21"/>
          <w:highlight w:val="none"/>
        </w:rPr>
        <w:t xml:space="preserve">1.1.1.8 </w:t>
      </w:r>
      <w:r>
        <w:rPr>
          <w:rFonts w:hint="eastAsia" w:ascii="宋体" w:hAnsi="宋体"/>
          <w:color w:val="auto"/>
          <w:kern w:val="0"/>
          <w:szCs w:val="21"/>
          <w:highlight w:val="none"/>
        </w:rPr>
        <w:t>其他合同文件包</w:t>
      </w:r>
      <w:r>
        <w:rPr>
          <w:rFonts w:hint="eastAsia" w:ascii="宋体" w:hAnsi="宋体" w:cs="宋体"/>
          <w:color w:val="auto"/>
          <w:kern w:val="0"/>
          <w:szCs w:val="21"/>
          <w:highlight w:val="none"/>
        </w:rPr>
        <w:t>括：</w:t>
      </w:r>
      <w:r>
        <w:rPr>
          <w:rFonts w:hint="eastAsia" w:ascii="宋体" w:hAnsi="宋体" w:cs="宋体"/>
          <w:color w:val="auto"/>
          <w:kern w:val="0"/>
          <w:szCs w:val="21"/>
          <w:highlight w:val="none"/>
          <w:u w:val="single"/>
        </w:rPr>
        <w:t>合同协议书、专用合同条款及其附件、通用合同条款、中标通知书、投标函及其附录、发包人要求、技术标准、</w:t>
      </w:r>
      <w:r>
        <w:rPr>
          <w:rFonts w:hint="eastAsia" w:ascii="宋体" w:hAnsi="宋体" w:cs="宋体"/>
          <w:color w:val="auto"/>
          <w:szCs w:val="21"/>
          <w:highlight w:val="none"/>
          <w:u w:val="single"/>
        </w:rPr>
        <w:t>设计人相关承诺及合同有关的协商文件</w:t>
      </w:r>
      <w:r>
        <w:rPr>
          <w:rFonts w:hint="eastAsia" w:ascii="宋体" w:hAnsi="宋体" w:cs="宋体"/>
          <w:color w:val="auto"/>
          <w:szCs w:val="21"/>
          <w:highlight w:val="none"/>
        </w:rPr>
        <w:t>。</w:t>
      </w:r>
    </w:p>
    <w:p w14:paraId="530344D9">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1.3 </w:t>
      </w:r>
      <w:r>
        <w:rPr>
          <w:rFonts w:hint="eastAsia" w:ascii="宋体" w:hAnsi="宋体" w:cs="黑体"/>
          <w:bCs/>
          <w:color w:val="auto"/>
          <w:szCs w:val="21"/>
          <w:highlight w:val="none"/>
        </w:rPr>
        <w:t>法律</w:t>
      </w:r>
    </w:p>
    <w:p w14:paraId="5F74FD33">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适用于合同的其他规范性文件：</w:t>
      </w:r>
      <w:r>
        <w:rPr>
          <w:rFonts w:hint="eastAsia" w:ascii="宋体" w:hAnsi="宋体" w:cs="宋体"/>
          <w:color w:val="auto"/>
          <w:szCs w:val="21"/>
          <w:highlight w:val="none"/>
          <w:u w:val="single"/>
        </w:rPr>
        <w:t>《中华人民共和国民法典》《中华人民共和国建筑法》和《建设工程勘察设计市场管理规定》；国家及地方建设工程勘察设计管理法规和规章；建设工程批准文件</w:t>
      </w:r>
      <w:r>
        <w:rPr>
          <w:rFonts w:hint="eastAsia" w:ascii="宋体" w:hAnsi="宋体" w:cs="宋体"/>
          <w:color w:val="auto"/>
          <w:szCs w:val="21"/>
          <w:highlight w:val="none"/>
        </w:rPr>
        <w:t>。</w:t>
      </w:r>
    </w:p>
    <w:p w14:paraId="64435B49">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1.4 </w:t>
      </w:r>
      <w:r>
        <w:rPr>
          <w:rFonts w:hint="eastAsia" w:ascii="宋体" w:hAnsi="宋体" w:cs="黑体"/>
          <w:bCs/>
          <w:color w:val="auto"/>
          <w:szCs w:val="21"/>
          <w:highlight w:val="none"/>
        </w:rPr>
        <w:t>技术标准</w:t>
      </w:r>
    </w:p>
    <w:p w14:paraId="012706F4">
      <w:pPr>
        <w:spacing w:line="360" w:lineRule="auto"/>
        <w:ind w:firstLine="420" w:firstLineChars="200"/>
        <w:rPr>
          <w:rFonts w:ascii="宋体" w:hAnsi="宋体"/>
          <w:color w:val="auto"/>
          <w:szCs w:val="21"/>
          <w:highlight w:val="none"/>
        </w:rPr>
      </w:pPr>
      <w:r>
        <w:rPr>
          <w:rFonts w:ascii="宋体" w:hAnsi="宋体"/>
          <w:color w:val="auto"/>
          <w:szCs w:val="21"/>
          <w:highlight w:val="none"/>
        </w:rPr>
        <w:t xml:space="preserve">1.4.1 </w:t>
      </w:r>
      <w:r>
        <w:rPr>
          <w:rFonts w:hint="eastAsia" w:ascii="宋体" w:hAnsi="宋体"/>
          <w:color w:val="auto"/>
          <w:szCs w:val="21"/>
          <w:highlight w:val="none"/>
        </w:rPr>
        <w:t>适用于工程的技术标准包括：</w:t>
      </w:r>
      <w:r>
        <w:rPr>
          <w:rFonts w:hint="eastAsia" w:ascii="宋体" w:hAnsi="宋体"/>
          <w:color w:val="auto"/>
          <w:szCs w:val="21"/>
          <w:highlight w:val="none"/>
          <w:u w:val="single"/>
        </w:rPr>
        <w:t>国家及地方建设工程勘察设计现行规范、规则、规程</w:t>
      </w:r>
      <w:r>
        <w:rPr>
          <w:rFonts w:hint="eastAsia" w:ascii="宋体" w:hAnsi="宋体"/>
          <w:color w:val="auto"/>
          <w:szCs w:val="21"/>
          <w:highlight w:val="none"/>
        </w:rPr>
        <w:t>。</w:t>
      </w:r>
    </w:p>
    <w:p w14:paraId="6A68EA59">
      <w:pPr>
        <w:spacing w:line="360" w:lineRule="auto"/>
        <w:ind w:firstLine="420" w:firstLineChars="200"/>
        <w:rPr>
          <w:rFonts w:ascii="宋体" w:hAnsi="宋体" w:cs="宋体"/>
          <w:color w:val="auto"/>
          <w:kern w:val="0"/>
          <w:szCs w:val="21"/>
          <w:highlight w:val="none"/>
        </w:rPr>
      </w:pPr>
      <w:r>
        <w:rPr>
          <w:rFonts w:ascii="宋体" w:hAnsi="宋体"/>
          <w:color w:val="auto"/>
          <w:kern w:val="0"/>
          <w:szCs w:val="21"/>
          <w:highlight w:val="none"/>
        </w:rPr>
        <w:t xml:space="preserve">1.4.2 </w:t>
      </w:r>
      <w:r>
        <w:rPr>
          <w:rFonts w:hint="eastAsia" w:ascii="宋体" w:hAnsi="宋体"/>
          <w:color w:val="auto"/>
          <w:kern w:val="0"/>
          <w:szCs w:val="21"/>
          <w:highlight w:val="none"/>
        </w:rPr>
        <w:t>国</w:t>
      </w:r>
      <w:r>
        <w:rPr>
          <w:rFonts w:hint="eastAsia" w:ascii="宋体" w:hAnsi="宋体" w:cs="宋体"/>
          <w:color w:val="auto"/>
          <w:kern w:val="0"/>
          <w:szCs w:val="21"/>
          <w:highlight w:val="none"/>
        </w:rPr>
        <w:t>外技术标准原文版本和中文译本的提供方：</w:t>
      </w:r>
      <w:r>
        <w:rPr>
          <w:rFonts w:ascii="宋体" w:hAnsi="宋体" w:cs="宋体"/>
          <w:color w:val="auto"/>
          <w:szCs w:val="21"/>
          <w:highlight w:val="none"/>
          <w:u w:val="single"/>
        </w:rPr>
        <w:t xml:space="preserve">    /    </w:t>
      </w:r>
      <w:r>
        <w:rPr>
          <w:rFonts w:hint="eastAsia" w:ascii="宋体" w:hAnsi="宋体" w:cs="宋体"/>
          <w:color w:val="auto"/>
          <w:szCs w:val="21"/>
          <w:highlight w:val="none"/>
        </w:rPr>
        <w:t>；</w:t>
      </w:r>
    </w:p>
    <w:p w14:paraId="6AD70DA7">
      <w:pPr>
        <w:spacing w:line="360" w:lineRule="auto"/>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rPr>
        <w:t>提供国外技术标准的名称：</w:t>
      </w:r>
      <w:r>
        <w:rPr>
          <w:rFonts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303E0FDE">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提供国外技术标准的份数：</w:t>
      </w:r>
      <w:r>
        <w:rPr>
          <w:rFonts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5414501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提供国外技术标准的时间：</w:t>
      </w:r>
      <w:r>
        <w:rPr>
          <w:rFonts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695EF961">
      <w:pPr>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提供国外技术标准的费用承担：</w:t>
      </w:r>
      <w:r>
        <w:rPr>
          <w:rFonts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1820C0F3">
      <w:pPr>
        <w:spacing w:line="360" w:lineRule="auto"/>
        <w:ind w:firstLine="420" w:firstLineChars="200"/>
        <w:rPr>
          <w:rFonts w:ascii="宋体" w:hAnsi="宋体" w:cs="宋体"/>
          <w:color w:val="auto"/>
          <w:szCs w:val="21"/>
          <w:highlight w:val="none"/>
        </w:rPr>
      </w:pPr>
      <w:r>
        <w:rPr>
          <w:rFonts w:ascii="宋体" w:hAnsi="宋体"/>
          <w:color w:val="auto"/>
          <w:szCs w:val="21"/>
          <w:highlight w:val="none"/>
        </w:rPr>
        <w:t xml:space="preserve">1.4.3 </w:t>
      </w:r>
      <w:r>
        <w:rPr>
          <w:rFonts w:hint="eastAsia" w:ascii="宋体" w:hAnsi="宋体"/>
          <w:color w:val="auto"/>
          <w:szCs w:val="21"/>
          <w:highlight w:val="none"/>
        </w:rPr>
        <w:t>发</w:t>
      </w:r>
      <w:r>
        <w:rPr>
          <w:rFonts w:hint="eastAsia" w:ascii="宋体" w:hAnsi="宋体" w:cs="宋体"/>
          <w:color w:val="auto"/>
          <w:szCs w:val="21"/>
          <w:highlight w:val="none"/>
        </w:rPr>
        <w:t>包人对工程的技术标准和功能要求的特殊要求：</w:t>
      </w:r>
      <w:r>
        <w:rPr>
          <w:rFonts w:hint="eastAsia" w:ascii="宋体" w:hAnsi="宋体" w:cs="宋体"/>
          <w:color w:val="auto"/>
          <w:szCs w:val="21"/>
          <w:highlight w:val="none"/>
          <w:u w:val="single"/>
        </w:rPr>
        <w:t>不得低于现行国家、行业或地方标准</w:t>
      </w:r>
      <w:r>
        <w:rPr>
          <w:rFonts w:hint="eastAsia" w:ascii="宋体" w:hAnsi="宋体" w:cs="宋体"/>
          <w:color w:val="auto"/>
          <w:szCs w:val="21"/>
          <w:highlight w:val="none"/>
        </w:rPr>
        <w:t>。</w:t>
      </w:r>
    </w:p>
    <w:p w14:paraId="5CCE0B8F">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1.5 </w:t>
      </w:r>
      <w:r>
        <w:rPr>
          <w:rFonts w:hint="eastAsia" w:ascii="宋体" w:hAnsi="宋体" w:cs="黑体"/>
          <w:bCs/>
          <w:color w:val="auto"/>
          <w:szCs w:val="21"/>
          <w:highlight w:val="none"/>
        </w:rPr>
        <w:t>合同文件的优先顺序</w:t>
      </w:r>
    </w:p>
    <w:p w14:paraId="28A50FA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合同文件组成及优先顺序为：</w:t>
      </w:r>
      <w:r>
        <w:rPr>
          <w:rFonts w:hint="eastAsia" w:ascii="宋体" w:hAnsi="宋体" w:cs="宋体"/>
          <w:color w:val="auto"/>
          <w:szCs w:val="21"/>
          <w:highlight w:val="none"/>
          <w:u w:val="single"/>
        </w:rPr>
        <w:t>（</w:t>
      </w:r>
      <w:r>
        <w:rPr>
          <w:rFonts w:ascii="宋体" w:hAnsi="宋体" w:cs="宋体"/>
          <w:color w:val="auto"/>
          <w:szCs w:val="21"/>
          <w:highlight w:val="none"/>
          <w:u w:val="single"/>
        </w:rPr>
        <w:t>1</w:t>
      </w:r>
      <w:r>
        <w:rPr>
          <w:rFonts w:hint="eastAsia" w:ascii="宋体" w:hAnsi="宋体" w:cs="宋体"/>
          <w:color w:val="auto"/>
          <w:szCs w:val="21"/>
          <w:highlight w:val="none"/>
          <w:u w:val="single"/>
        </w:rPr>
        <w:t>）合同协议书；（</w:t>
      </w:r>
      <w:r>
        <w:rPr>
          <w:rFonts w:ascii="宋体" w:hAnsi="宋体" w:cs="宋体"/>
          <w:color w:val="auto"/>
          <w:szCs w:val="21"/>
          <w:highlight w:val="none"/>
          <w:u w:val="single"/>
        </w:rPr>
        <w:t>2</w:t>
      </w:r>
      <w:r>
        <w:rPr>
          <w:rFonts w:hint="eastAsia" w:ascii="宋体" w:hAnsi="宋体" w:cs="宋体"/>
          <w:color w:val="auto"/>
          <w:szCs w:val="21"/>
          <w:highlight w:val="none"/>
          <w:u w:val="single"/>
        </w:rPr>
        <w:t>）中标通知书；（</w:t>
      </w:r>
      <w:r>
        <w:rPr>
          <w:rFonts w:ascii="宋体" w:hAnsi="宋体" w:cs="宋体"/>
          <w:color w:val="auto"/>
          <w:szCs w:val="21"/>
          <w:highlight w:val="none"/>
          <w:u w:val="single"/>
        </w:rPr>
        <w:t>3</w:t>
      </w:r>
      <w:r>
        <w:rPr>
          <w:rFonts w:hint="eastAsia" w:ascii="宋体" w:hAnsi="宋体" w:cs="宋体"/>
          <w:color w:val="auto"/>
          <w:szCs w:val="21"/>
          <w:highlight w:val="none"/>
          <w:u w:val="single"/>
        </w:rPr>
        <w:t>）投标函及其附录；（</w:t>
      </w:r>
      <w:r>
        <w:rPr>
          <w:rFonts w:ascii="宋体" w:hAnsi="宋体" w:cs="宋体"/>
          <w:color w:val="auto"/>
          <w:szCs w:val="21"/>
          <w:highlight w:val="none"/>
          <w:u w:val="single"/>
        </w:rPr>
        <w:t>4</w:t>
      </w:r>
      <w:r>
        <w:rPr>
          <w:rFonts w:hint="eastAsia" w:ascii="宋体" w:hAnsi="宋体" w:cs="宋体"/>
          <w:color w:val="auto"/>
          <w:szCs w:val="21"/>
          <w:highlight w:val="none"/>
          <w:u w:val="single"/>
        </w:rPr>
        <w:t>）专用合同条款及其附件；（</w:t>
      </w:r>
      <w:r>
        <w:rPr>
          <w:rFonts w:ascii="宋体" w:hAnsi="宋体" w:cs="宋体"/>
          <w:color w:val="auto"/>
          <w:szCs w:val="21"/>
          <w:highlight w:val="none"/>
          <w:u w:val="single"/>
        </w:rPr>
        <w:t>5</w:t>
      </w:r>
      <w:r>
        <w:rPr>
          <w:rFonts w:hint="eastAsia" w:ascii="宋体" w:hAnsi="宋体" w:cs="宋体"/>
          <w:color w:val="auto"/>
          <w:szCs w:val="21"/>
          <w:highlight w:val="none"/>
          <w:u w:val="single"/>
        </w:rPr>
        <w:t>）通用合同条款；（</w:t>
      </w:r>
      <w:r>
        <w:rPr>
          <w:rFonts w:ascii="宋体" w:hAnsi="宋体" w:cs="宋体"/>
          <w:color w:val="auto"/>
          <w:szCs w:val="21"/>
          <w:highlight w:val="none"/>
          <w:u w:val="single"/>
        </w:rPr>
        <w:t>6</w:t>
      </w:r>
      <w:r>
        <w:rPr>
          <w:rFonts w:hint="eastAsia" w:ascii="宋体" w:hAnsi="宋体" w:cs="宋体"/>
          <w:color w:val="auto"/>
          <w:szCs w:val="21"/>
          <w:highlight w:val="none"/>
          <w:u w:val="single"/>
        </w:rPr>
        <w:t>）发包人要求</w:t>
      </w:r>
      <w:r>
        <w:rPr>
          <w:rFonts w:ascii="宋体" w:hAnsi="宋体" w:cs="宋体"/>
          <w:color w:val="auto"/>
          <w:szCs w:val="21"/>
          <w:highlight w:val="none"/>
          <w:u w:val="single"/>
        </w:rPr>
        <w:t>;</w:t>
      </w:r>
      <w:r>
        <w:rPr>
          <w:rFonts w:hint="eastAsia" w:ascii="宋体" w:hAnsi="宋体" w:cs="宋体"/>
          <w:color w:val="auto"/>
          <w:szCs w:val="21"/>
          <w:highlight w:val="none"/>
          <w:u w:val="single"/>
        </w:rPr>
        <w:t>（</w:t>
      </w:r>
      <w:r>
        <w:rPr>
          <w:rFonts w:ascii="宋体" w:hAnsi="宋体" w:cs="宋体"/>
          <w:color w:val="auto"/>
          <w:szCs w:val="21"/>
          <w:highlight w:val="none"/>
          <w:u w:val="single"/>
        </w:rPr>
        <w:t>7</w:t>
      </w:r>
      <w:r>
        <w:rPr>
          <w:rFonts w:hint="eastAsia" w:ascii="宋体" w:hAnsi="宋体" w:cs="宋体"/>
          <w:color w:val="auto"/>
          <w:szCs w:val="21"/>
          <w:highlight w:val="none"/>
          <w:u w:val="single"/>
        </w:rPr>
        <w:t>）技术标准；（</w:t>
      </w:r>
      <w:r>
        <w:rPr>
          <w:rFonts w:ascii="宋体" w:hAnsi="宋体" w:cs="宋体"/>
          <w:color w:val="auto"/>
          <w:szCs w:val="21"/>
          <w:highlight w:val="none"/>
          <w:u w:val="single"/>
        </w:rPr>
        <w:t>8</w:t>
      </w:r>
      <w:r>
        <w:rPr>
          <w:rFonts w:hint="eastAsia" w:ascii="宋体" w:hAnsi="宋体" w:cs="宋体"/>
          <w:color w:val="auto"/>
          <w:szCs w:val="21"/>
          <w:highlight w:val="none"/>
          <w:u w:val="single"/>
        </w:rPr>
        <w:t>）发包人提供的上一阶段图纸（如果有）；（</w:t>
      </w:r>
      <w:r>
        <w:rPr>
          <w:rFonts w:ascii="宋体" w:hAnsi="宋体" w:cs="宋体"/>
          <w:color w:val="auto"/>
          <w:szCs w:val="21"/>
          <w:highlight w:val="none"/>
          <w:u w:val="single"/>
        </w:rPr>
        <w:t>9</w:t>
      </w:r>
      <w:r>
        <w:rPr>
          <w:rFonts w:hint="eastAsia" w:ascii="宋体" w:hAnsi="宋体" w:cs="宋体"/>
          <w:color w:val="auto"/>
          <w:szCs w:val="21"/>
          <w:highlight w:val="none"/>
          <w:u w:val="single"/>
        </w:rPr>
        <w:t>）其他合同文件</w:t>
      </w:r>
      <w:r>
        <w:rPr>
          <w:rFonts w:hint="eastAsia" w:ascii="宋体" w:hAnsi="宋体" w:cs="宋体"/>
          <w:color w:val="auto"/>
          <w:szCs w:val="21"/>
          <w:highlight w:val="none"/>
        </w:rPr>
        <w:t>。</w:t>
      </w:r>
    </w:p>
    <w:p w14:paraId="275A6BFA">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1.6 </w:t>
      </w:r>
      <w:r>
        <w:rPr>
          <w:rFonts w:hint="eastAsia" w:ascii="宋体" w:hAnsi="宋体" w:cs="黑体"/>
          <w:bCs/>
          <w:color w:val="auto"/>
          <w:szCs w:val="21"/>
          <w:highlight w:val="none"/>
        </w:rPr>
        <w:t>联络</w:t>
      </w:r>
    </w:p>
    <w:p w14:paraId="24ED2933">
      <w:pPr>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 xml:space="preserve">1.6.1 </w:t>
      </w:r>
      <w:r>
        <w:rPr>
          <w:rFonts w:hint="eastAsia" w:ascii="宋体" w:hAnsi="宋体"/>
          <w:color w:val="auto"/>
          <w:kern w:val="0"/>
          <w:szCs w:val="21"/>
          <w:highlight w:val="none"/>
        </w:rPr>
        <w:t>发包人和设计人应当在</w:t>
      </w:r>
      <w:r>
        <w:rPr>
          <w:rFonts w:ascii="宋体" w:hAnsi="宋体"/>
          <w:color w:val="auto"/>
          <w:szCs w:val="21"/>
          <w:highlight w:val="none"/>
          <w:u w:val="single"/>
        </w:rPr>
        <w:t>5</w:t>
      </w:r>
      <w:r>
        <w:rPr>
          <w:rFonts w:hint="eastAsia" w:ascii="宋体" w:hAnsi="宋体"/>
          <w:color w:val="auto"/>
          <w:szCs w:val="21"/>
          <w:highlight w:val="none"/>
        </w:rPr>
        <w:t>日历</w:t>
      </w:r>
      <w:r>
        <w:rPr>
          <w:rFonts w:hint="eastAsia" w:ascii="宋体" w:hAnsi="宋体"/>
          <w:color w:val="auto"/>
          <w:kern w:val="0"/>
          <w:szCs w:val="21"/>
          <w:highlight w:val="none"/>
        </w:rPr>
        <w:t>天内将与合同有关的通知、批准、证明、证书、指示、指令、要求、请求、同意、确定和决定等书面函件送达对方当事人。</w:t>
      </w:r>
    </w:p>
    <w:p w14:paraId="028A6EB7">
      <w:pPr>
        <w:spacing w:line="360" w:lineRule="auto"/>
        <w:ind w:firstLine="420" w:firstLineChars="200"/>
        <w:rPr>
          <w:rFonts w:ascii="宋体" w:hAnsi="宋体" w:cs="宋体"/>
          <w:color w:val="auto"/>
          <w:kern w:val="0"/>
          <w:szCs w:val="21"/>
          <w:highlight w:val="none"/>
        </w:rPr>
      </w:pPr>
      <w:r>
        <w:rPr>
          <w:rFonts w:ascii="宋体" w:hAnsi="宋体"/>
          <w:color w:val="auto"/>
          <w:kern w:val="0"/>
          <w:szCs w:val="21"/>
          <w:highlight w:val="none"/>
        </w:rPr>
        <w:t xml:space="preserve">1.6.2 </w:t>
      </w:r>
      <w:r>
        <w:rPr>
          <w:rFonts w:hint="eastAsia" w:ascii="宋体" w:hAnsi="宋体"/>
          <w:color w:val="auto"/>
          <w:kern w:val="0"/>
          <w:szCs w:val="21"/>
          <w:highlight w:val="none"/>
        </w:rPr>
        <w:t>发</w:t>
      </w:r>
      <w:r>
        <w:rPr>
          <w:rFonts w:hint="eastAsia" w:ascii="宋体" w:hAnsi="宋体" w:cs="宋体"/>
          <w:color w:val="auto"/>
          <w:kern w:val="0"/>
          <w:szCs w:val="21"/>
          <w:highlight w:val="none"/>
        </w:rPr>
        <w:t>包人与设计人联系信息</w:t>
      </w:r>
    </w:p>
    <w:p w14:paraId="4DD2F2E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发包人接收文件的地点：</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7CEEF5C4">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kern w:val="0"/>
          <w:szCs w:val="21"/>
          <w:highlight w:val="none"/>
        </w:rPr>
        <w:t>发包人指定的接收人为：</w:t>
      </w:r>
      <w:r>
        <w:rPr>
          <w:rFonts w:ascii="宋体" w:hAnsi="宋体" w:cs="宋体"/>
          <w:color w:val="auto"/>
          <w:szCs w:val="21"/>
          <w:highlight w:val="none"/>
          <w:u w:val="single"/>
        </w:rPr>
        <w:t></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ascii="宋体" w:hAnsi="宋体" w:cs="宋体"/>
          <w:color w:val="auto"/>
          <w:szCs w:val="21"/>
          <w:highlight w:val="none"/>
          <w:u w:val="single"/>
        </w:rPr>
        <w:t></w:t>
      </w:r>
      <w:r>
        <w:rPr>
          <w:rFonts w:hint="eastAsia" w:ascii="宋体" w:hAnsi="宋体" w:cs="宋体"/>
          <w:color w:val="auto"/>
          <w:szCs w:val="21"/>
          <w:highlight w:val="none"/>
        </w:rPr>
        <w:t>；</w:t>
      </w:r>
    </w:p>
    <w:p w14:paraId="1A5A57B5">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发包人指定的联系电话及传真号码：</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ascii="宋体" w:hAnsi="宋体" w:cs="宋体"/>
          <w:color w:val="auto"/>
          <w:szCs w:val="21"/>
          <w:highlight w:val="none"/>
          <w:u w:val="single"/>
        </w:rPr>
        <w:t></w:t>
      </w:r>
      <w:r>
        <w:rPr>
          <w:rFonts w:hint="eastAsia" w:ascii="宋体" w:hAnsi="宋体" w:cs="宋体"/>
          <w:color w:val="auto"/>
          <w:szCs w:val="21"/>
          <w:highlight w:val="none"/>
        </w:rPr>
        <w:t>；</w:t>
      </w:r>
    </w:p>
    <w:p w14:paraId="0BF195C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发包人指定的电子邮箱：</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p>
    <w:p w14:paraId="3D7FA78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设计人接收文件的地点：</w:t>
      </w:r>
      <w:r>
        <w:rPr>
          <w:rFonts w:ascii="宋体" w:hAnsi="宋体" w:cs="宋体"/>
          <w:color w:val="auto"/>
          <w:szCs w:val="21"/>
          <w:highlight w:val="none"/>
          <w:u w:val="single"/>
        </w:rPr>
        <w:t></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ascii="宋体" w:hAnsi="宋体" w:cs="宋体"/>
          <w:color w:val="auto"/>
          <w:szCs w:val="21"/>
          <w:highlight w:val="none"/>
          <w:u w:val="single"/>
        </w:rPr>
        <w:t>    </w:t>
      </w:r>
      <w:r>
        <w:rPr>
          <w:rFonts w:hint="eastAsia" w:ascii="宋体" w:hAnsi="宋体" w:cs="宋体"/>
          <w:color w:val="auto"/>
          <w:kern w:val="0"/>
          <w:szCs w:val="21"/>
          <w:highlight w:val="none"/>
        </w:rPr>
        <w:t>；</w:t>
      </w:r>
    </w:p>
    <w:p w14:paraId="6DFB5482">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kern w:val="0"/>
          <w:szCs w:val="21"/>
          <w:highlight w:val="none"/>
        </w:rPr>
        <w:t>设计人指定的接收人为：</w:t>
      </w:r>
      <w:r>
        <w:rPr>
          <w:rFonts w:ascii="宋体" w:hAnsi="宋体" w:cs="宋体"/>
          <w:color w:val="auto"/>
          <w:szCs w:val="21"/>
          <w:highlight w:val="none"/>
          <w:u w:val="single"/>
        </w:rPr>
        <w:t></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w:t>
      </w:r>
    </w:p>
    <w:p w14:paraId="204957C1">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设计人指定的联系电话及传真号码：</w:t>
      </w:r>
      <w:r>
        <w:rPr>
          <w:rFonts w:ascii="宋体" w:hAnsi="宋体" w:cs="宋体"/>
          <w:color w:val="auto"/>
          <w:szCs w:val="21"/>
          <w:highlight w:val="none"/>
          <w:u w:val="single"/>
        </w:rPr>
        <w:t></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ascii="宋体" w:hAnsi="宋体" w:cs="宋体"/>
          <w:color w:val="auto"/>
          <w:szCs w:val="21"/>
          <w:highlight w:val="none"/>
          <w:u w:val="single"/>
        </w:rPr>
        <w:t></w:t>
      </w:r>
      <w:r>
        <w:rPr>
          <w:rFonts w:hint="eastAsia" w:ascii="宋体" w:hAnsi="宋体" w:cs="宋体"/>
          <w:color w:val="auto"/>
          <w:szCs w:val="21"/>
          <w:highlight w:val="none"/>
        </w:rPr>
        <w:t>；</w:t>
      </w:r>
    </w:p>
    <w:p w14:paraId="08B071E3">
      <w:pPr>
        <w:spacing w:line="360" w:lineRule="auto"/>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设计人</w:t>
      </w:r>
      <w:r>
        <w:rPr>
          <w:rFonts w:hint="eastAsia" w:ascii="宋体" w:hAnsi="宋体" w:cs="宋体"/>
          <w:color w:val="auto"/>
          <w:kern w:val="0"/>
          <w:szCs w:val="21"/>
          <w:highlight w:val="none"/>
        </w:rPr>
        <w:t>指定的电子邮箱：</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338A7FD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双方确认本合同上述接收文件的地点作为文书送达地址,该地址适用于包括双方合同履行过程中的各类通知、补充协议等文件，以及因履行合同发生争议进入民事诉讼程序后的一审、二审、再审和执行程序等阶段法律文书的送达。地址需要变更时应当提前15个工作日书面通知对方。因提供或者确认的地址不准确、地址变更后未及时依程序告知对方或受送达方拒绝签收或拒绝接听快递员投递电话等原因，导致文书未能被实际接收的,邮寄文书被退回之日视为送达之日。</w:t>
      </w:r>
    </w:p>
    <w:p w14:paraId="538819AE">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1.8 </w:t>
      </w:r>
      <w:r>
        <w:rPr>
          <w:rFonts w:hint="eastAsia" w:ascii="宋体" w:hAnsi="宋体" w:cs="黑体"/>
          <w:bCs/>
          <w:color w:val="auto"/>
          <w:szCs w:val="21"/>
          <w:highlight w:val="none"/>
        </w:rPr>
        <w:t>保密</w:t>
      </w:r>
    </w:p>
    <w:p w14:paraId="1CBB01DB">
      <w:pPr>
        <w:keepNext/>
        <w:keepLines/>
        <w:spacing w:before="120" w:after="120" w:line="360" w:lineRule="auto"/>
        <w:ind w:firstLine="420" w:firstLineChars="200"/>
        <w:outlineLvl w:val="3"/>
        <w:rPr>
          <w:rFonts w:ascii="宋体" w:hAnsi="宋体" w:cs="宋体"/>
          <w:color w:val="auto"/>
          <w:kern w:val="0"/>
          <w:szCs w:val="21"/>
          <w:highlight w:val="none"/>
        </w:rPr>
      </w:pPr>
      <w:r>
        <w:rPr>
          <w:rFonts w:hint="eastAsia" w:ascii="宋体" w:hAnsi="宋体" w:cs="宋体"/>
          <w:color w:val="auto"/>
          <w:kern w:val="0"/>
          <w:szCs w:val="21"/>
          <w:highlight w:val="none"/>
        </w:rPr>
        <w:t>保密期限：除法律另有规定外，未经发包人同意，设计人不得将发包人提供的图纸、文件以及声明需要保密的资料、信息泄露给第三方 。</w:t>
      </w:r>
    </w:p>
    <w:p w14:paraId="37A94074">
      <w:pPr>
        <w:keepNext/>
        <w:keepLines/>
        <w:spacing w:before="120" w:after="120" w:line="360" w:lineRule="auto"/>
        <w:ind w:firstLine="241" w:firstLineChars="100"/>
        <w:outlineLvl w:val="3"/>
        <w:rPr>
          <w:rFonts w:ascii="宋体" w:hAnsi="宋体" w:cs="黑体"/>
          <w:b/>
          <w:color w:val="auto"/>
          <w:sz w:val="24"/>
          <w:highlight w:val="none"/>
        </w:rPr>
      </w:pPr>
      <w:r>
        <w:rPr>
          <w:rFonts w:ascii="宋体" w:hAnsi="宋体" w:cs="黑体"/>
          <w:b/>
          <w:color w:val="auto"/>
          <w:sz w:val="24"/>
          <w:highlight w:val="none"/>
        </w:rPr>
        <w:t xml:space="preserve">2. </w:t>
      </w:r>
      <w:r>
        <w:rPr>
          <w:rFonts w:hint="eastAsia" w:ascii="宋体" w:hAnsi="宋体" w:cs="黑体"/>
          <w:b/>
          <w:color w:val="auto"/>
          <w:sz w:val="24"/>
          <w:highlight w:val="none"/>
        </w:rPr>
        <w:t>发包人</w:t>
      </w:r>
    </w:p>
    <w:p w14:paraId="3EAD8A57">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2.1 </w:t>
      </w:r>
      <w:r>
        <w:rPr>
          <w:rFonts w:hint="eastAsia" w:ascii="宋体" w:hAnsi="宋体" w:cs="黑体"/>
          <w:bCs/>
          <w:color w:val="auto"/>
          <w:szCs w:val="21"/>
          <w:highlight w:val="none"/>
        </w:rPr>
        <w:t>发包人一般义务</w:t>
      </w:r>
    </w:p>
    <w:p w14:paraId="40900263">
      <w:pPr>
        <w:spacing w:line="360" w:lineRule="auto"/>
        <w:ind w:firstLine="420" w:firstLineChars="200"/>
        <w:rPr>
          <w:rFonts w:ascii="宋体" w:hAnsi="宋体" w:cs="宋体"/>
          <w:color w:val="auto"/>
          <w:szCs w:val="21"/>
          <w:highlight w:val="none"/>
        </w:rPr>
      </w:pPr>
      <w:r>
        <w:rPr>
          <w:rFonts w:ascii="宋体" w:hAnsi="宋体"/>
          <w:color w:val="auto"/>
          <w:szCs w:val="21"/>
          <w:highlight w:val="none"/>
        </w:rPr>
        <w:t xml:space="preserve">2.1.3 </w:t>
      </w:r>
      <w:r>
        <w:rPr>
          <w:rFonts w:hint="eastAsia" w:ascii="宋体" w:hAnsi="宋体" w:cs="宋体"/>
          <w:color w:val="auto"/>
          <w:szCs w:val="21"/>
          <w:highlight w:val="none"/>
        </w:rPr>
        <w:t>发包人其他义务：</w:t>
      </w:r>
      <w:r>
        <w:rPr>
          <w:rFonts w:hint="eastAsia" w:ascii="宋体" w:hAnsi="宋体" w:cs="宋体"/>
          <w:color w:val="auto"/>
          <w:szCs w:val="21"/>
          <w:highlight w:val="none"/>
          <w:u w:val="single"/>
        </w:rPr>
        <w:t>发包人应在规定的时间内向设计人提交基础资料及文件，并对其完整性、正确性及时限负责。发包人不得要求设计人违反国家有关标准进行设计。</w:t>
      </w:r>
    </w:p>
    <w:p w14:paraId="1D8C7D0D">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2.2 </w:t>
      </w:r>
      <w:r>
        <w:rPr>
          <w:rFonts w:hint="eastAsia" w:ascii="宋体" w:hAnsi="宋体" w:cs="黑体"/>
          <w:bCs/>
          <w:color w:val="auto"/>
          <w:szCs w:val="21"/>
          <w:highlight w:val="none"/>
        </w:rPr>
        <w:t>发包人代表</w:t>
      </w:r>
    </w:p>
    <w:p w14:paraId="172174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发包人代表：</w:t>
      </w:r>
    </w:p>
    <w:p w14:paraId="199F0C5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姓名：</w:t>
      </w:r>
      <w:r>
        <w:rPr>
          <w:rFonts w:ascii="宋体" w:hAnsi="宋体" w:cs="宋体"/>
          <w:color w:val="auto"/>
          <w:szCs w:val="21"/>
          <w:highlight w:val="none"/>
          <w:u w:val="single"/>
        </w:rPr>
        <w:t></w:t>
      </w:r>
      <w:r>
        <w:rPr>
          <w:rFonts w:hint="eastAsia" w:ascii="宋体" w:hAnsi="宋体"/>
          <w:color w:val="auto"/>
          <w:kern w:val="0"/>
          <w:szCs w:val="21"/>
          <w:highlight w:val="none"/>
          <w:u w:val="single"/>
          <w:lang w:eastAsia="zh-CN"/>
        </w:rPr>
        <w:t>（签约时填写）</w:t>
      </w:r>
      <w:r>
        <w:rPr>
          <w:rFonts w:ascii="宋体" w:hAnsi="宋体" w:cs="宋体"/>
          <w:color w:val="auto"/>
          <w:szCs w:val="21"/>
          <w:highlight w:val="none"/>
          <w:u w:val="single"/>
        </w:rPr>
        <w:t></w:t>
      </w:r>
      <w:r>
        <w:rPr>
          <w:rFonts w:hint="eastAsia" w:ascii="宋体" w:hAnsi="宋体" w:cs="宋体"/>
          <w:color w:val="auto"/>
          <w:szCs w:val="21"/>
          <w:highlight w:val="none"/>
        </w:rPr>
        <w:t>；</w:t>
      </w:r>
    </w:p>
    <w:p w14:paraId="4BA9A1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身份证号：</w:t>
      </w:r>
      <w:r>
        <w:rPr>
          <w:rFonts w:hint="eastAsia" w:ascii="宋体" w:hAnsi="宋体" w:cs="宋体"/>
          <w:color w:val="auto"/>
          <w:szCs w:val="21"/>
          <w:highlight w:val="none"/>
          <w:u w:val="single"/>
        </w:rPr>
        <w:t></w:t>
      </w:r>
      <w:r>
        <w:rPr>
          <w:rFonts w:hint="eastAsia" w:ascii="宋体" w:hAnsi="宋体"/>
          <w:color w:val="auto"/>
          <w:kern w:val="0"/>
          <w:szCs w:val="21"/>
          <w:highlight w:val="none"/>
          <w:u w:val="single"/>
          <w:lang w:eastAsia="zh-CN"/>
        </w:rPr>
        <w:t>（签约时填写）</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6D711F8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职务：</w:t>
      </w:r>
      <w:r>
        <w:rPr>
          <w:rFonts w:ascii="宋体" w:hAnsi="宋体" w:cs="宋体"/>
          <w:color w:val="auto"/>
          <w:szCs w:val="21"/>
          <w:highlight w:val="none"/>
          <w:u w:val="single"/>
        </w:rPr>
        <w:t></w:t>
      </w:r>
      <w:r>
        <w:rPr>
          <w:rFonts w:hint="eastAsia" w:ascii="宋体" w:hAnsi="宋体" w:cs="宋体"/>
          <w:color w:val="auto"/>
          <w:szCs w:val="21"/>
          <w:highlight w:val="none"/>
          <w:u w:val="single"/>
          <w:lang w:val="en-US" w:eastAsia="zh-CN"/>
        </w:rPr>
        <w:t xml:space="preserve">  </w:t>
      </w:r>
      <w:r>
        <w:rPr>
          <w:rFonts w:hint="eastAsia" w:ascii="宋体" w:hAnsi="宋体"/>
          <w:color w:val="auto"/>
          <w:kern w:val="0"/>
          <w:szCs w:val="21"/>
          <w:highlight w:val="none"/>
          <w:u w:val="single"/>
          <w:lang w:eastAsia="zh-CN"/>
        </w:rPr>
        <w:t>（签约时填写）</w:t>
      </w:r>
      <w:r>
        <w:rPr>
          <w:rFonts w:ascii="宋体" w:hAnsi="宋体" w:cs="宋体"/>
          <w:color w:val="auto"/>
          <w:szCs w:val="21"/>
          <w:highlight w:val="none"/>
          <w:u w:val="single"/>
        </w:rPr>
        <w:t></w:t>
      </w:r>
      <w:r>
        <w:rPr>
          <w:rFonts w:hint="eastAsia" w:ascii="宋体" w:hAnsi="宋体" w:cs="宋体"/>
          <w:color w:val="auto"/>
          <w:szCs w:val="21"/>
          <w:highlight w:val="none"/>
        </w:rPr>
        <w:t>；</w:t>
      </w:r>
    </w:p>
    <w:p w14:paraId="6574824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ascii="宋体" w:hAnsi="宋体" w:cs="宋体"/>
          <w:color w:val="auto"/>
          <w:szCs w:val="21"/>
          <w:highlight w:val="none"/>
          <w:u w:val="single"/>
        </w:rPr>
        <w:t></w:t>
      </w:r>
      <w:r>
        <w:rPr>
          <w:rFonts w:hint="eastAsia" w:ascii="宋体" w:hAnsi="宋体"/>
          <w:color w:val="auto"/>
          <w:kern w:val="0"/>
          <w:szCs w:val="21"/>
          <w:highlight w:val="none"/>
          <w:u w:val="single"/>
          <w:lang w:eastAsia="zh-CN"/>
        </w:rPr>
        <w:t>（签约时填写）</w:t>
      </w:r>
      <w:r>
        <w:rPr>
          <w:rFonts w:ascii="宋体" w:hAnsi="宋体" w:cs="宋体"/>
          <w:color w:val="auto"/>
          <w:szCs w:val="21"/>
          <w:highlight w:val="none"/>
          <w:u w:val="single"/>
        </w:rPr>
        <w:t></w:t>
      </w:r>
      <w:r>
        <w:rPr>
          <w:rFonts w:hint="eastAsia" w:ascii="宋体" w:hAnsi="宋体" w:cs="宋体"/>
          <w:color w:val="auto"/>
          <w:szCs w:val="21"/>
          <w:highlight w:val="none"/>
        </w:rPr>
        <w:t>；</w:t>
      </w:r>
    </w:p>
    <w:p w14:paraId="0564A35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ascii="宋体" w:hAnsi="宋体" w:cs="宋体"/>
          <w:color w:val="auto"/>
          <w:szCs w:val="21"/>
          <w:highlight w:val="none"/>
          <w:u w:val="single"/>
        </w:rPr>
        <w:t></w:t>
      </w:r>
      <w:r>
        <w:rPr>
          <w:rFonts w:hint="eastAsia" w:ascii="宋体" w:hAnsi="宋体"/>
          <w:color w:val="auto"/>
          <w:kern w:val="0"/>
          <w:szCs w:val="21"/>
          <w:highlight w:val="none"/>
          <w:u w:val="single"/>
          <w:lang w:eastAsia="zh-CN"/>
        </w:rPr>
        <w:t>（签约时填写）</w:t>
      </w:r>
      <w:r>
        <w:rPr>
          <w:rFonts w:ascii="宋体" w:hAnsi="宋体" w:cs="宋体"/>
          <w:color w:val="auto"/>
          <w:szCs w:val="21"/>
          <w:highlight w:val="none"/>
          <w:u w:val="single"/>
        </w:rPr>
        <w:t></w:t>
      </w:r>
      <w:r>
        <w:rPr>
          <w:rFonts w:hint="eastAsia" w:ascii="宋体" w:hAnsi="宋体" w:cs="宋体"/>
          <w:color w:val="auto"/>
          <w:szCs w:val="21"/>
          <w:highlight w:val="none"/>
        </w:rPr>
        <w:t>；</w:t>
      </w:r>
    </w:p>
    <w:p w14:paraId="32B0D32E">
      <w:pPr>
        <w:spacing w:line="360" w:lineRule="auto"/>
        <w:ind w:firstLine="420" w:firstLineChars="200"/>
        <w:rPr>
          <w:rFonts w:ascii="宋体" w:hAnsi="宋体"/>
          <w:color w:val="auto"/>
          <w:szCs w:val="22"/>
          <w:highlight w:val="none"/>
        </w:rPr>
      </w:pPr>
      <w:r>
        <w:rPr>
          <w:rFonts w:hint="eastAsia" w:ascii="宋体" w:hAnsi="宋体" w:cs="宋体"/>
          <w:color w:val="auto"/>
          <w:szCs w:val="21"/>
          <w:highlight w:val="none"/>
        </w:rPr>
        <w:t>发包人对发包人代表的授权范围如下：</w:t>
      </w:r>
      <w:r>
        <w:rPr>
          <w:rFonts w:hint="eastAsia" w:ascii="宋体" w:hAnsi="宋体"/>
          <w:color w:val="auto"/>
          <w:szCs w:val="22"/>
          <w:highlight w:val="none"/>
          <w:u w:val="single"/>
        </w:rPr>
        <w:t>（</w:t>
      </w:r>
      <w:r>
        <w:rPr>
          <w:rFonts w:ascii="宋体" w:hAnsi="宋体"/>
          <w:color w:val="auto"/>
          <w:szCs w:val="22"/>
          <w:highlight w:val="none"/>
          <w:u w:val="single"/>
        </w:rPr>
        <w:t>1</w:t>
      </w:r>
      <w:r>
        <w:rPr>
          <w:rFonts w:hint="eastAsia" w:ascii="宋体" w:hAnsi="宋体"/>
          <w:color w:val="auto"/>
          <w:szCs w:val="22"/>
          <w:highlight w:val="none"/>
          <w:u w:val="single"/>
        </w:rPr>
        <w:t>）对设计人的工作进行监督、检查；（</w:t>
      </w:r>
      <w:r>
        <w:rPr>
          <w:rFonts w:ascii="宋体" w:hAnsi="宋体"/>
          <w:color w:val="auto"/>
          <w:szCs w:val="22"/>
          <w:highlight w:val="none"/>
          <w:u w:val="single"/>
        </w:rPr>
        <w:t>2</w:t>
      </w:r>
      <w:r>
        <w:rPr>
          <w:rFonts w:hint="eastAsia" w:ascii="宋体" w:hAnsi="宋体"/>
          <w:color w:val="auto"/>
          <w:szCs w:val="22"/>
          <w:highlight w:val="none"/>
          <w:u w:val="single"/>
        </w:rPr>
        <w:t>）按照合同约定，代表发包人履行其权利和义务；（</w:t>
      </w:r>
      <w:r>
        <w:rPr>
          <w:rFonts w:ascii="宋体" w:hAnsi="宋体"/>
          <w:color w:val="auto"/>
          <w:szCs w:val="22"/>
          <w:highlight w:val="none"/>
          <w:u w:val="single"/>
        </w:rPr>
        <w:t>3</w:t>
      </w:r>
      <w:r>
        <w:rPr>
          <w:rFonts w:hint="eastAsia" w:ascii="宋体" w:hAnsi="宋体"/>
          <w:color w:val="auto"/>
          <w:szCs w:val="22"/>
          <w:highlight w:val="none"/>
          <w:u w:val="single"/>
        </w:rPr>
        <w:t>）协调有关政府主管部门。</w:t>
      </w:r>
    </w:p>
    <w:p w14:paraId="68C21F75">
      <w:pPr>
        <w:spacing w:after="12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发包人更换发包人代表的，应当提前</w:t>
      </w:r>
      <w:r>
        <w:rPr>
          <w:rFonts w:ascii="宋体" w:hAnsi="宋体" w:cs="宋体"/>
          <w:color w:val="auto"/>
          <w:szCs w:val="21"/>
          <w:highlight w:val="none"/>
          <w:u w:val="single"/>
        </w:rPr>
        <w:t xml:space="preserve">  5  </w:t>
      </w:r>
      <w:r>
        <w:rPr>
          <w:rFonts w:hint="eastAsia" w:ascii="宋体" w:hAnsi="宋体" w:cs="宋体"/>
          <w:color w:val="auto"/>
          <w:szCs w:val="21"/>
          <w:highlight w:val="none"/>
        </w:rPr>
        <w:t>日历天书面通知设计人。</w:t>
      </w:r>
    </w:p>
    <w:p w14:paraId="4C1D8904">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2.3 </w:t>
      </w:r>
      <w:r>
        <w:rPr>
          <w:rFonts w:hint="eastAsia" w:ascii="宋体" w:hAnsi="宋体" w:cs="黑体"/>
          <w:bCs/>
          <w:color w:val="auto"/>
          <w:szCs w:val="21"/>
          <w:highlight w:val="none"/>
        </w:rPr>
        <w:t>发包人决定</w:t>
      </w:r>
    </w:p>
    <w:p w14:paraId="304ED245">
      <w:pPr>
        <w:spacing w:line="360" w:lineRule="auto"/>
        <w:ind w:firstLine="420" w:firstLineChars="200"/>
        <w:jc w:val="left"/>
        <w:rPr>
          <w:rFonts w:ascii="宋体" w:hAnsi="宋体" w:cs="宋体"/>
          <w:color w:val="auto"/>
          <w:szCs w:val="21"/>
          <w:highlight w:val="none"/>
        </w:rPr>
      </w:pPr>
      <w:r>
        <w:rPr>
          <w:rFonts w:ascii="宋体" w:hAnsi="宋体"/>
          <w:color w:val="auto"/>
          <w:szCs w:val="21"/>
          <w:highlight w:val="none"/>
        </w:rPr>
        <w:t xml:space="preserve">2.3.2 </w:t>
      </w:r>
      <w:r>
        <w:rPr>
          <w:rFonts w:hint="eastAsia" w:ascii="宋体" w:hAnsi="宋体" w:cs="宋体"/>
          <w:color w:val="auto"/>
          <w:szCs w:val="21"/>
          <w:highlight w:val="none"/>
        </w:rPr>
        <w:t>发包人应在</w:t>
      </w:r>
      <w:r>
        <w:rPr>
          <w:rFonts w:ascii="宋体" w:hAnsi="宋体" w:cs="宋体"/>
          <w:color w:val="auto"/>
          <w:szCs w:val="21"/>
          <w:highlight w:val="none"/>
          <w:u w:val="single"/>
        </w:rPr>
        <w:t>5</w:t>
      </w:r>
      <w:r>
        <w:rPr>
          <w:rFonts w:hint="eastAsia" w:ascii="宋体" w:hAnsi="宋体" w:cs="宋体"/>
          <w:color w:val="auto"/>
          <w:szCs w:val="21"/>
          <w:highlight w:val="none"/>
        </w:rPr>
        <w:t>日历天内对设计人书面提出的事项作出书面决定。</w:t>
      </w:r>
    </w:p>
    <w:p w14:paraId="6AACC4F6">
      <w:pPr>
        <w:keepNext/>
        <w:keepLines/>
        <w:spacing w:before="120" w:after="120" w:line="360" w:lineRule="auto"/>
        <w:outlineLvl w:val="3"/>
        <w:rPr>
          <w:rFonts w:ascii="宋体" w:hAnsi="宋体" w:cs="黑体"/>
          <w:b/>
          <w:color w:val="auto"/>
          <w:sz w:val="24"/>
          <w:highlight w:val="none"/>
        </w:rPr>
      </w:pPr>
      <w:r>
        <w:rPr>
          <w:rFonts w:ascii="宋体" w:hAnsi="宋体" w:cs="黑体"/>
          <w:b/>
          <w:color w:val="auto"/>
          <w:sz w:val="24"/>
          <w:highlight w:val="none"/>
        </w:rPr>
        <w:t xml:space="preserve">3. </w:t>
      </w:r>
      <w:r>
        <w:rPr>
          <w:rFonts w:hint="eastAsia" w:ascii="宋体" w:hAnsi="宋体" w:cs="黑体"/>
          <w:b/>
          <w:color w:val="auto"/>
          <w:sz w:val="24"/>
          <w:highlight w:val="none"/>
        </w:rPr>
        <w:t>设计人</w:t>
      </w:r>
    </w:p>
    <w:p w14:paraId="0CD527D3">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3.1 </w:t>
      </w:r>
      <w:r>
        <w:rPr>
          <w:rFonts w:hint="eastAsia" w:ascii="宋体" w:hAnsi="宋体" w:cs="黑体"/>
          <w:bCs/>
          <w:color w:val="auto"/>
          <w:szCs w:val="21"/>
          <w:highlight w:val="none"/>
        </w:rPr>
        <w:t>设计人一般义务</w:t>
      </w:r>
    </w:p>
    <w:p w14:paraId="317F49F4">
      <w:pPr>
        <w:keepNext/>
        <w:spacing w:after="120" w:line="360" w:lineRule="auto"/>
        <w:ind w:firstLine="420" w:firstLineChars="200"/>
        <w:rPr>
          <w:rFonts w:ascii="宋体" w:hAnsi="宋体"/>
          <w:color w:val="auto"/>
          <w:szCs w:val="21"/>
          <w:highlight w:val="none"/>
        </w:rPr>
      </w:pPr>
      <w:r>
        <w:rPr>
          <w:rFonts w:ascii="宋体" w:hAnsi="宋体"/>
          <w:color w:val="auto"/>
          <w:szCs w:val="21"/>
          <w:highlight w:val="none"/>
        </w:rPr>
        <w:t xml:space="preserve">3.1.1 </w:t>
      </w:r>
      <w:r>
        <w:rPr>
          <w:rFonts w:hint="eastAsia" w:ascii="宋体" w:hAnsi="宋体"/>
          <w:color w:val="auto"/>
          <w:szCs w:val="21"/>
          <w:highlight w:val="none"/>
        </w:rPr>
        <w:t>设计人</w:t>
      </w:r>
      <w:r>
        <w:rPr>
          <w:rFonts w:hint="eastAsia" w:ascii="宋体" w:hAnsi="宋体"/>
          <w:color w:val="auto"/>
          <w:szCs w:val="21"/>
          <w:highlight w:val="none"/>
          <w:u w:val="single"/>
        </w:rPr>
        <w:t>需</w:t>
      </w:r>
      <w:r>
        <w:rPr>
          <w:rFonts w:hint="eastAsia" w:ascii="宋体" w:hAnsi="宋体"/>
          <w:color w:val="auto"/>
          <w:szCs w:val="21"/>
          <w:highlight w:val="none"/>
        </w:rPr>
        <w:t>（需</w:t>
      </w:r>
      <w:r>
        <w:rPr>
          <w:rFonts w:ascii="宋体" w:hAnsi="宋体"/>
          <w:color w:val="auto"/>
          <w:szCs w:val="21"/>
          <w:highlight w:val="none"/>
        </w:rPr>
        <w:t>/</w:t>
      </w:r>
      <w:r>
        <w:rPr>
          <w:rFonts w:hint="eastAsia" w:ascii="宋体" w:hAnsi="宋体"/>
          <w:color w:val="auto"/>
          <w:szCs w:val="21"/>
          <w:highlight w:val="none"/>
        </w:rPr>
        <w:t>不需）</w:t>
      </w:r>
      <w:r>
        <w:rPr>
          <w:rFonts w:hint="eastAsia" w:ascii="宋体" w:hAnsi="宋体"/>
          <w:color w:val="auto"/>
          <w:kern w:val="0"/>
          <w:szCs w:val="21"/>
          <w:highlight w:val="none"/>
        </w:rPr>
        <w:t>配合发包人办理有关许可、批准或备案手续。</w:t>
      </w:r>
    </w:p>
    <w:p w14:paraId="4435D104">
      <w:pPr>
        <w:spacing w:line="360" w:lineRule="auto"/>
        <w:ind w:firstLine="420" w:firstLineChars="200"/>
        <w:jc w:val="left"/>
        <w:rPr>
          <w:rFonts w:ascii="宋体" w:hAnsi="宋体"/>
          <w:color w:val="auto"/>
          <w:szCs w:val="21"/>
          <w:highlight w:val="none"/>
          <w:u w:val="single"/>
        </w:rPr>
      </w:pPr>
      <w:r>
        <w:rPr>
          <w:rFonts w:ascii="宋体" w:hAnsi="宋体"/>
          <w:color w:val="auto"/>
          <w:szCs w:val="21"/>
          <w:highlight w:val="none"/>
        </w:rPr>
        <w:t xml:space="preserve">3.1.3 </w:t>
      </w:r>
      <w:r>
        <w:rPr>
          <w:rFonts w:hint="eastAsia" w:ascii="宋体" w:hAnsi="宋体" w:cs="宋体"/>
          <w:color w:val="auto"/>
          <w:szCs w:val="21"/>
          <w:highlight w:val="none"/>
        </w:rPr>
        <w:t>设计人其他义务：</w:t>
      </w:r>
      <w:r>
        <w:rPr>
          <w:rFonts w:hint="eastAsia" w:ascii="宋体" w:hAnsi="宋体" w:cs="宋体"/>
          <w:color w:val="auto"/>
          <w:szCs w:val="21"/>
          <w:highlight w:val="none"/>
          <w:u w:val="single"/>
        </w:rPr>
        <w:t>（</w:t>
      </w:r>
      <w:r>
        <w:rPr>
          <w:rFonts w:ascii="宋体" w:hAnsi="宋体" w:cs="宋体"/>
          <w:color w:val="auto"/>
          <w:szCs w:val="21"/>
          <w:highlight w:val="none"/>
          <w:u w:val="single"/>
        </w:rPr>
        <w:t>1</w:t>
      </w:r>
      <w:r>
        <w:rPr>
          <w:rFonts w:hint="eastAsia" w:ascii="宋体" w:hAnsi="宋体" w:cs="宋体"/>
          <w:color w:val="auto"/>
          <w:szCs w:val="21"/>
          <w:highlight w:val="none"/>
          <w:u w:val="single"/>
        </w:rPr>
        <w:t>）</w:t>
      </w:r>
      <w:r>
        <w:rPr>
          <w:rFonts w:hint="eastAsia" w:ascii="宋体" w:hAnsi="宋体"/>
          <w:color w:val="auto"/>
          <w:szCs w:val="21"/>
          <w:highlight w:val="none"/>
          <w:u w:val="single"/>
        </w:rPr>
        <w:t>保证设计质量：设计人应依据可行性研究报告、勘察资料或发包人的要求，在满足国家规定的设计规范、规程、技术标准的基础上，按合同规定的标准完成各阶段的设计任务，并对提交的设计文件质量负责；负责设计的建（构）筑物需注明设计的合理使用年限；各设计阶段设计文件审查会提出的修改意见</w:t>
      </w:r>
      <w:r>
        <w:rPr>
          <w:rFonts w:hint="eastAsia" w:ascii="宋体" w:hAnsi="宋体" w:eastAsia="宋体" w:cs="宋体"/>
          <w:color w:val="auto"/>
          <w:kern w:val="2"/>
          <w:sz w:val="21"/>
          <w:szCs w:val="21"/>
          <w:highlight w:val="none"/>
          <w:u w:val="single"/>
          <w:lang w:val="en-US" w:eastAsia="zh-CN" w:bidi="ar"/>
        </w:rPr>
        <w:t>（不超过原有合同范围的）</w:t>
      </w:r>
      <w:r>
        <w:rPr>
          <w:rFonts w:hint="eastAsia" w:ascii="宋体" w:hAnsi="宋体"/>
          <w:color w:val="auto"/>
          <w:szCs w:val="21"/>
          <w:highlight w:val="none"/>
          <w:u w:val="single"/>
        </w:rPr>
        <w:t>，设计人应负责修正和完善；设计文件中选用的材料、构配件、设备等，应当注明规格、型号、性能等技术指标，其质量要求必须符合国家规定的标准。（</w:t>
      </w:r>
      <w:r>
        <w:rPr>
          <w:rFonts w:ascii="宋体" w:hAnsi="宋体"/>
          <w:color w:val="auto"/>
          <w:szCs w:val="21"/>
          <w:highlight w:val="none"/>
          <w:u w:val="single"/>
        </w:rPr>
        <w:t>2</w:t>
      </w:r>
      <w:r>
        <w:rPr>
          <w:rFonts w:hint="eastAsia" w:ascii="宋体" w:hAnsi="宋体"/>
          <w:color w:val="auto"/>
          <w:szCs w:val="21"/>
          <w:highlight w:val="none"/>
          <w:u w:val="single"/>
        </w:rPr>
        <w:t>）配合施工义务：解决施工中出现的设计问题，如完成设计变更或解决与设计有关的技术问题；参加工程验收工作，包括重要部位的隐蔽工程验收、竣工验收等。</w:t>
      </w:r>
    </w:p>
    <w:p w14:paraId="5AE04D33">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3.2 </w:t>
      </w:r>
      <w:r>
        <w:rPr>
          <w:rFonts w:hint="eastAsia" w:ascii="宋体" w:hAnsi="宋体" w:cs="黑体"/>
          <w:bCs/>
          <w:color w:val="auto"/>
          <w:szCs w:val="21"/>
          <w:highlight w:val="none"/>
        </w:rPr>
        <w:t>项目负责人</w:t>
      </w:r>
    </w:p>
    <w:p w14:paraId="1A29115A">
      <w:pPr>
        <w:spacing w:line="360" w:lineRule="auto"/>
        <w:ind w:firstLine="420" w:firstLineChars="200"/>
        <w:rPr>
          <w:rFonts w:ascii="宋体" w:hAnsi="宋体" w:cs="宋体"/>
          <w:color w:val="auto"/>
          <w:szCs w:val="21"/>
          <w:highlight w:val="none"/>
        </w:rPr>
      </w:pPr>
      <w:r>
        <w:rPr>
          <w:rFonts w:ascii="宋体" w:hAnsi="宋体"/>
          <w:color w:val="auto"/>
          <w:kern w:val="0"/>
          <w:szCs w:val="21"/>
          <w:highlight w:val="none"/>
        </w:rPr>
        <w:t xml:space="preserve">3.2.1 </w:t>
      </w:r>
      <w:r>
        <w:rPr>
          <w:rFonts w:hint="eastAsia" w:ascii="宋体" w:hAnsi="宋体" w:cs="宋体"/>
          <w:color w:val="auto"/>
          <w:szCs w:val="21"/>
          <w:highlight w:val="none"/>
        </w:rPr>
        <w:t>项目负责人</w:t>
      </w:r>
    </w:p>
    <w:p w14:paraId="59B37C2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姓名：</w:t>
      </w:r>
      <w:r>
        <w:rPr>
          <w:rFonts w:ascii="宋体" w:hAnsi="宋体" w:cs="宋体"/>
          <w:color w:val="auto"/>
          <w:szCs w:val="21"/>
          <w:highlight w:val="none"/>
          <w:u w:val="single"/>
        </w:rPr>
        <w:t></w:t>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u w:val="single"/>
        </w:rPr>
        <w:t></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ascii="宋体" w:hAnsi="宋体" w:cs="宋体"/>
          <w:color w:val="auto"/>
          <w:szCs w:val="21"/>
          <w:highlight w:val="none"/>
          <w:u w:val="single"/>
        </w:rPr>
        <w:t></w:t>
      </w:r>
      <w:r>
        <w:rPr>
          <w:rFonts w:hint="eastAsia" w:ascii="宋体" w:hAnsi="宋体" w:cs="宋体"/>
          <w:color w:val="auto"/>
          <w:szCs w:val="21"/>
          <w:highlight w:val="none"/>
        </w:rPr>
        <w:t>；</w:t>
      </w:r>
    </w:p>
    <w:p w14:paraId="0B57E54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执业资格及等级：</w:t>
      </w:r>
      <w:r>
        <w:rPr>
          <w:rFonts w:ascii="宋体" w:hAnsi="宋体" w:cs="宋体"/>
          <w:color w:val="auto"/>
          <w:szCs w:val="21"/>
          <w:highlight w:val="none"/>
          <w:u w:val="single"/>
        </w:rPr>
        <w:t></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ascii="宋体" w:hAnsi="宋体" w:cs="宋体"/>
          <w:color w:val="auto"/>
          <w:szCs w:val="21"/>
          <w:highlight w:val="none"/>
          <w:u w:val="single"/>
        </w:rPr>
        <w:t></w:t>
      </w:r>
      <w:r>
        <w:rPr>
          <w:rFonts w:hint="eastAsia" w:ascii="宋体" w:hAnsi="宋体" w:cs="宋体"/>
          <w:color w:val="auto"/>
          <w:szCs w:val="21"/>
          <w:highlight w:val="none"/>
        </w:rPr>
        <w:t>；</w:t>
      </w:r>
    </w:p>
    <w:p w14:paraId="6EF8B6E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注册证书号：</w:t>
      </w:r>
      <w:r>
        <w:rPr>
          <w:rFonts w:ascii="宋体" w:hAnsi="宋体" w:cs="宋体"/>
          <w:color w:val="auto"/>
          <w:szCs w:val="21"/>
          <w:highlight w:val="none"/>
          <w:u w:val="single"/>
        </w:rPr>
        <w:t></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ascii="宋体" w:hAnsi="宋体" w:cs="宋体"/>
          <w:color w:val="auto"/>
          <w:szCs w:val="21"/>
          <w:highlight w:val="none"/>
          <w:u w:val="single"/>
        </w:rPr>
        <w:t></w:t>
      </w:r>
      <w:r>
        <w:rPr>
          <w:rFonts w:hint="eastAsia" w:ascii="宋体" w:hAnsi="宋体" w:cs="宋体"/>
          <w:color w:val="auto"/>
          <w:szCs w:val="21"/>
          <w:highlight w:val="none"/>
        </w:rPr>
        <w:t>；</w:t>
      </w:r>
    </w:p>
    <w:p w14:paraId="43C199A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ascii="宋体" w:hAnsi="宋体" w:cs="宋体"/>
          <w:color w:val="auto"/>
          <w:szCs w:val="21"/>
          <w:highlight w:val="none"/>
          <w:u w:val="single"/>
        </w:rPr>
        <w:t></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ascii="宋体" w:hAnsi="宋体" w:cs="宋体"/>
          <w:color w:val="auto"/>
          <w:szCs w:val="21"/>
          <w:highlight w:val="none"/>
          <w:u w:val="single"/>
        </w:rPr>
        <w:t></w:t>
      </w:r>
      <w:r>
        <w:rPr>
          <w:rFonts w:hint="eastAsia" w:ascii="宋体" w:hAnsi="宋体" w:cs="宋体"/>
          <w:color w:val="auto"/>
          <w:szCs w:val="21"/>
          <w:highlight w:val="none"/>
        </w:rPr>
        <w:t>；</w:t>
      </w:r>
    </w:p>
    <w:p w14:paraId="3D4C034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ascii="宋体" w:hAnsi="宋体" w:cs="宋体"/>
          <w:color w:val="auto"/>
          <w:szCs w:val="21"/>
          <w:highlight w:val="none"/>
          <w:u w:val="single"/>
        </w:rPr>
        <w:t></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ascii="宋体" w:hAnsi="宋体" w:cs="宋体"/>
          <w:color w:val="auto"/>
          <w:szCs w:val="21"/>
          <w:highlight w:val="none"/>
          <w:u w:val="single"/>
        </w:rPr>
        <w:t></w:t>
      </w:r>
      <w:r>
        <w:rPr>
          <w:rFonts w:hint="eastAsia" w:ascii="宋体" w:hAnsi="宋体" w:cs="宋体"/>
          <w:color w:val="auto"/>
          <w:szCs w:val="21"/>
          <w:highlight w:val="none"/>
        </w:rPr>
        <w:t>；</w:t>
      </w:r>
    </w:p>
    <w:p w14:paraId="62384F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w:t>
      </w:r>
      <w:r>
        <w:rPr>
          <w:rFonts w:hint="eastAsia" w:ascii="宋体" w:hAnsi="宋体"/>
          <w:color w:val="auto"/>
          <w:kern w:val="0"/>
          <w:szCs w:val="21"/>
          <w:highlight w:val="none"/>
          <w:u w:val="single"/>
          <w:lang w:eastAsia="zh-CN"/>
        </w:rPr>
        <w:t>（签约时填写）</w:t>
      </w:r>
      <w:r>
        <w:rPr>
          <w:rFonts w:hint="eastAsia" w:ascii="宋体" w:hAnsi="宋体"/>
          <w:color w:val="auto"/>
          <w:kern w:val="0"/>
          <w:szCs w:val="21"/>
          <w:highlight w:val="none"/>
          <w:u w:val="single"/>
        </w:rPr>
        <w:t xml:space="preserve">  </w:t>
      </w:r>
      <w:r>
        <w:rPr>
          <w:rFonts w:hint="eastAsia" w:ascii="宋体" w:hAnsi="宋体" w:cs="宋体"/>
          <w:color w:val="auto"/>
          <w:szCs w:val="21"/>
          <w:highlight w:val="none"/>
          <w:u w:val="single"/>
        </w:rPr>
        <w:t>        </w:t>
      </w:r>
      <w:r>
        <w:rPr>
          <w:rFonts w:hint="eastAsia" w:ascii="宋体" w:hAnsi="宋体" w:cs="宋体"/>
          <w:color w:val="auto"/>
          <w:szCs w:val="21"/>
          <w:highlight w:val="none"/>
        </w:rPr>
        <w:t>；</w:t>
      </w:r>
    </w:p>
    <w:p w14:paraId="6CE92BBB">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设计人对项目负责人的授权范围如下：</w:t>
      </w:r>
      <w:r>
        <w:rPr>
          <w:rFonts w:hint="eastAsia" w:ascii="宋体" w:hAnsi="宋体" w:cs="宋体"/>
          <w:color w:val="auto"/>
          <w:szCs w:val="21"/>
          <w:highlight w:val="none"/>
          <w:u w:val="single"/>
        </w:rPr>
        <w:t>负责建筑工程项目全过程设计质量管理，对工程设计质量承担总体责任。</w:t>
      </w:r>
    </w:p>
    <w:p w14:paraId="6A9B7803">
      <w:pPr>
        <w:spacing w:line="360" w:lineRule="auto"/>
        <w:ind w:firstLine="420" w:firstLineChars="200"/>
        <w:rPr>
          <w:rFonts w:ascii="宋体" w:hAnsi="宋体"/>
          <w:color w:val="auto"/>
          <w:szCs w:val="22"/>
          <w:highlight w:val="none"/>
          <w:u w:val="single"/>
        </w:rPr>
      </w:pPr>
      <w:r>
        <w:rPr>
          <w:rFonts w:ascii="宋体" w:hAnsi="宋体"/>
          <w:color w:val="auto"/>
          <w:szCs w:val="21"/>
          <w:highlight w:val="none"/>
        </w:rPr>
        <w:t xml:space="preserve">3.2.2 </w:t>
      </w:r>
      <w:r>
        <w:rPr>
          <w:rFonts w:hint="eastAsia" w:ascii="宋体" w:hAnsi="宋体"/>
          <w:color w:val="auto"/>
          <w:szCs w:val="21"/>
          <w:highlight w:val="none"/>
        </w:rPr>
        <w:t>设计人擅自更换项目负责人的违约责任：</w:t>
      </w:r>
      <w:r>
        <w:rPr>
          <w:rFonts w:hint="eastAsia"/>
          <w:color w:val="auto"/>
          <w:highlight w:val="none"/>
          <w:u w:val="single"/>
        </w:rPr>
        <w:t>项目负责人必须与投标时所承诺的人员一致，在项目完工前，未经发包人书面同意，不得擅自更换，项目负责人并未实际参与设计工作的，仅冠名的，视为</w:t>
      </w:r>
      <w:r>
        <w:rPr>
          <w:rFonts w:hint="eastAsia" w:ascii="宋体" w:hAnsi="宋体" w:cs="宋体"/>
          <w:color w:val="auto"/>
          <w:szCs w:val="21"/>
          <w:highlight w:val="none"/>
          <w:u w:val="single"/>
        </w:rPr>
        <w:t>未经发包人同意，</w:t>
      </w:r>
      <w:r>
        <w:rPr>
          <w:rFonts w:hint="eastAsia"/>
          <w:color w:val="auto"/>
          <w:highlight w:val="none"/>
          <w:u w:val="single"/>
        </w:rPr>
        <w:t>擅自更换。设计人擅自更换项目负责人的视为违约，设计人应向发包人支付</w:t>
      </w:r>
      <w:r>
        <w:rPr>
          <w:rFonts w:hint="eastAsia" w:ascii="Times New Roman" w:eastAsia="宋体"/>
          <w:color w:val="auto"/>
          <w:highlight w:val="none"/>
          <w:u w:val="single"/>
          <w:lang w:val="en-US" w:eastAsia="zh-CN"/>
        </w:rPr>
        <w:t>2</w:t>
      </w:r>
      <w:r>
        <w:rPr>
          <w:rFonts w:hint="eastAsia"/>
          <w:color w:val="auto"/>
          <w:highlight w:val="none"/>
          <w:u w:val="single"/>
        </w:rPr>
        <w:t>万元/人·次(人民币)的违约金,由发包人从应支付设计费中扣除，发包人有权解除合同</w:t>
      </w:r>
      <w:r>
        <w:rPr>
          <w:rFonts w:hint="eastAsia" w:ascii="宋体" w:hAnsi="宋体"/>
          <w:color w:val="auto"/>
          <w:szCs w:val="22"/>
          <w:highlight w:val="none"/>
          <w:u w:val="single"/>
        </w:rPr>
        <w:t>。</w:t>
      </w:r>
    </w:p>
    <w:p w14:paraId="61A5B471">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w:t>
      </w:r>
      <w:r>
        <w:rPr>
          <w:rFonts w:ascii="宋体" w:hAnsi="宋体" w:cs="宋体"/>
          <w:color w:val="auto"/>
          <w:szCs w:val="21"/>
          <w:highlight w:val="none"/>
        </w:rPr>
        <w:t xml:space="preserve">3.2.3 </w:t>
      </w:r>
      <w:r>
        <w:rPr>
          <w:rFonts w:hint="eastAsia" w:ascii="宋体" w:hAnsi="宋体" w:cs="宋体"/>
          <w:color w:val="auto"/>
          <w:szCs w:val="21"/>
          <w:highlight w:val="none"/>
        </w:rPr>
        <w:t>设计人应在收到书面更换通知后</w:t>
      </w:r>
      <w:r>
        <w:rPr>
          <w:rFonts w:ascii="宋体" w:hAnsi="宋体" w:cs="宋体"/>
          <w:color w:val="auto"/>
          <w:szCs w:val="21"/>
          <w:highlight w:val="none"/>
          <w:u w:val="single"/>
        </w:rPr>
        <w:t xml:space="preserve">  5  </w:t>
      </w:r>
      <w:r>
        <w:rPr>
          <w:rFonts w:hint="eastAsia" w:ascii="宋体" w:hAnsi="宋体" w:cs="宋体"/>
          <w:color w:val="auto"/>
          <w:szCs w:val="21"/>
          <w:highlight w:val="none"/>
        </w:rPr>
        <w:t>日历天内更换项目负责人。</w:t>
      </w:r>
    </w:p>
    <w:p w14:paraId="182209D4">
      <w:pPr>
        <w:spacing w:line="360" w:lineRule="auto"/>
        <w:ind w:firstLine="420" w:firstLineChars="200"/>
        <w:rPr>
          <w:rFonts w:ascii="宋体" w:hAnsi="宋体"/>
          <w:color w:val="auto"/>
          <w:szCs w:val="22"/>
          <w:highlight w:val="none"/>
          <w:u w:val="single"/>
        </w:rPr>
      </w:pPr>
      <w:r>
        <w:rPr>
          <w:rFonts w:hint="eastAsia" w:ascii="宋体" w:hAnsi="宋体" w:cs="宋体"/>
          <w:color w:val="auto"/>
          <w:szCs w:val="21"/>
          <w:highlight w:val="none"/>
        </w:rPr>
        <w:t>设计人无正当理由拒绝更换项目负责人的违约责任：</w:t>
      </w:r>
      <w:r>
        <w:rPr>
          <w:rFonts w:hint="eastAsia" w:ascii="宋体" w:hAnsi="宋体"/>
          <w:color w:val="auto"/>
          <w:szCs w:val="22"/>
          <w:highlight w:val="none"/>
          <w:u w:val="single"/>
        </w:rPr>
        <w:t>设计人应向发包人支付</w:t>
      </w:r>
      <w:r>
        <w:rPr>
          <w:rFonts w:hint="eastAsia" w:ascii="宋体" w:hAnsi="宋体"/>
          <w:color w:val="auto"/>
          <w:szCs w:val="22"/>
          <w:highlight w:val="none"/>
          <w:u w:val="single"/>
          <w:lang w:val="en-US" w:eastAsia="zh-CN"/>
        </w:rPr>
        <w:t>2</w:t>
      </w:r>
      <w:r>
        <w:rPr>
          <w:rFonts w:hint="eastAsia" w:ascii="宋体" w:hAnsi="宋体"/>
          <w:color w:val="auto"/>
          <w:szCs w:val="22"/>
          <w:highlight w:val="none"/>
          <w:u w:val="single"/>
        </w:rPr>
        <w:t>万元</w:t>
      </w:r>
      <w:r>
        <w:rPr>
          <w:rFonts w:ascii="宋体" w:hAnsi="宋体"/>
          <w:color w:val="auto"/>
          <w:szCs w:val="22"/>
          <w:highlight w:val="none"/>
          <w:u w:val="single"/>
        </w:rPr>
        <w:t>/</w:t>
      </w:r>
      <w:r>
        <w:rPr>
          <w:rFonts w:hint="eastAsia" w:ascii="宋体" w:hAnsi="宋体"/>
          <w:color w:val="auto"/>
          <w:szCs w:val="22"/>
          <w:highlight w:val="none"/>
          <w:u w:val="single"/>
        </w:rPr>
        <w:t>人·次（人民币）的违约金，由发包人直接从应收设计费中扣除。</w:t>
      </w:r>
    </w:p>
    <w:p w14:paraId="52B8BB36">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w:t>
      </w:r>
      <w:r>
        <w:rPr>
          <w:rFonts w:ascii="宋体" w:hAnsi="宋体" w:cs="宋体"/>
          <w:bCs/>
          <w:color w:val="auto"/>
          <w:szCs w:val="21"/>
          <w:highlight w:val="none"/>
        </w:rPr>
        <w:t>.2.4</w:t>
      </w:r>
      <w:r>
        <w:rPr>
          <w:rFonts w:hint="eastAsia" w:ascii="宋体" w:hAnsi="宋体" w:cs="宋体"/>
          <w:bCs/>
          <w:color w:val="auto"/>
          <w:szCs w:val="21"/>
          <w:highlight w:val="none"/>
        </w:rPr>
        <w:t>设计人擅自更换或者无正当理由拒绝更换项目负责人，给发包人造成的损失超过3</w:t>
      </w:r>
      <w:r>
        <w:rPr>
          <w:rFonts w:ascii="宋体" w:hAnsi="宋体" w:cs="宋体"/>
          <w:bCs/>
          <w:color w:val="auto"/>
          <w:szCs w:val="21"/>
          <w:highlight w:val="none"/>
        </w:rPr>
        <w:t>.2.2</w:t>
      </w:r>
      <w:r>
        <w:rPr>
          <w:rFonts w:hint="eastAsia" w:ascii="宋体" w:hAnsi="宋体" w:cs="宋体"/>
          <w:bCs/>
          <w:color w:val="auto"/>
          <w:szCs w:val="21"/>
          <w:highlight w:val="none"/>
        </w:rPr>
        <w:t>条和3</w:t>
      </w:r>
      <w:r>
        <w:rPr>
          <w:rFonts w:ascii="宋体" w:hAnsi="宋体" w:cs="宋体"/>
          <w:bCs/>
          <w:color w:val="auto"/>
          <w:szCs w:val="21"/>
          <w:highlight w:val="none"/>
        </w:rPr>
        <w:t>.2.3</w:t>
      </w:r>
      <w:r>
        <w:rPr>
          <w:rFonts w:hint="eastAsia" w:ascii="宋体" w:hAnsi="宋体" w:cs="宋体"/>
          <w:bCs/>
          <w:color w:val="auto"/>
          <w:szCs w:val="21"/>
          <w:highlight w:val="none"/>
        </w:rPr>
        <w:t>条约定的，设计人应对超过部分继续承担赔偿责任。</w:t>
      </w:r>
    </w:p>
    <w:p w14:paraId="54CBBBB2">
      <w:pPr>
        <w:spacing w:line="360" w:lineRule="auto"/>
        <w:rPr>
          <w:rFonts w:ascii="宋体" w:hAnsi="宋体" w:cs="黑体"/>
          <w:b/>
          <w:color w:val="auto"/>
          <w:szCs w:val="21"/>
          <w:highlight w:val="none"/>
        </w:rPr>
      </w:pPr>
      <w:r>
        <w:rPr>
          <w:rFonts w:ascii="宋体" w:hAnsi="宋体" w:cs="黑体"/>
          <w:b/>
          <w:color w:val="auto"/>
          <w:szCs w:val="21"/>
          <w:highlight w:val="none"/>
        </w:rPr>
        <w:t xml:space="preserve">3.3 </w:t>
      </w:r>
      <w:r>
        <w:rPr>
          <w:rFonts w:hint="eastAsia" w:ascii="宋体" w:hAnsi="宋体" w:cs="黑体"/>
          <w:b/>
          <w:color w:val="auto"/>
          <w:szCs w:val="21"/>
          <w:highlight w:val="none"/>
        </w:rPr>
        <w:t>设计人人员</w:t>
      </w:r>
    </w:p>
    <w:p w14:paraId="262CED03">
      <w:pPr>
        <w:spacing w:line="360" w:lineRule="auto"/>
        <w:ind w:firstLine="420" w:firstLineChars="200"/>
        <w:rPr>
          <w:rFonts w:ascii="宋体" w:hAnsi="宋体"/>
          <w:color w:val="auto"/>
          <w:szCs w:val="21"/>
          <w:highlight w:val="none"/>
        </w:rPr>
      </w:pPr>
      <w:r>
        <w:rPr>
          <w:rFonts w:ascii="宋体" w:hAnsi="宋体"/>
          <w:color w:val="auto"/>
          <w:szCs w:val="21"/>
          <w:highlight w:val="none"/>
        </w:rPr>
        <w:t xml:space="preserve">3.3.1 </w:t>
      </w:r>
      <w:r>
        <w:rPr>
          <w:rFonts w:hint="eastAsia" w:ascii="宋体" w:hAnsi="宋体"/>
          <w:color w:val="auto"/>
          <w:szCs w:val="21"/>
          <w:highlight w:val="none"/>
        </w:rPr>
        <w:t>设计人提交项目管理机构及人员安排报告的期限：</w:t>
      </w:r>
      <w:r>
        <w:rPr>
          <w:rFonts w:hint="eastAsia" w:ascii="宋体" w:hAnsi="宋体"/>
          <w:color w:val="auto"/>
          <w:szCs w:val="21"/>
          <w:highlight w:val="none"/>
          <w:u w:val="single"/>
        </w:rPr>
        <w:t>中标通知书发出后5个日历天内</w:t>
      </w:r>
      <w:r>
        <w:rPr>
          <w:rFonts w:hint="eastAsia" w:ascii="宋体" w:hAnsi="宋体"/>
          <w:color w:val="auto"/>
          <w:szCs w:val="21"/>
          <w:highlight w:val="none"/>
        </w:rPr>
        <w:t>。</w:t>
      </w:r>
    </w:p>
    <w:p w14:paraId="099EBC3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 xml:space="preserve">3.3.2 </w:t>
      </w:r>
      <w:r>
        <w:rPr>
          <w:rFonts w:hint="eastAsia" w:ascii="宋体" w:hAnsi="宋体" w:cs="宋体"/>
          <w:color w:val="auto"/>
          <w:szCs w:val="21"/>
          <w:highlight w:val="none"/>
        </w:rPr>
        <w:t>本项目主要设计人员（除项目负责人外）必须与投标文件所列项目组成员一致，不得擅自更换，</w:t>
      </w:r>
      <w:r>
        <w:rPr>
          <w:rFonts w:hint="eastAsia"/>
          <w:color w:val="auto"/>
          <w:highlight w:val="none"/>
        </w:rPr>
        <w:t>设计人指派的各专业负责人并未实际参与设计工作的，仅冠名的，视为</w:t>
      </w:r>
      <w:r>
        <w:rPr>
          <w:rFonts w:hint="eastAsia" w:ascii="宋体" w:hAnsi="宋体" w:cs="宋体"/>
          <w:color w:val="auto"/>
          <w:szCs w:val="21"/>
          <w:highlight w:val="none"/>
        </w:rPr>
        <w:t>未经发包人同意，</w:t>
      </w:r>
      <w:r>
        <w:rPr>
          <w:rFonts w:hint="eastAsia"/>
          <w:color w:val="auto"/>
          <w:highlight w:val="none"/>
        </w:rPr>
        <w:t>擅自更换。</w:t>
      </w:r>
      <w:r>
        <w:rPr>
          <w:rFonts w:hint="eastAsia" w:ascii="宋体" w:hAnsi="宋体" w:cs="宋体"/>
          <w:color w:val="auto"/>
          <w:szCs w:val="21"/>
          <w:highlight w:val="none"/>
        </w:rPr>
        <w:t>若确需更换主要设计人员的，须经发包人书面同意认可。未经发包人同意，设计人自行更换设计人员的，设计人应向发包人支付违约金：</w:t>
      </w:r>
      <w:r>
        <w:rPr>
          <w:rFonts w:hint="eastAsia" w:ascii="宋体" w:hAnsi="宋体" w:cs="宋体"/>
          <w:color w:val="auto"/>
          <w:szCs w:val="21"/>
          <w:highlight w:val="none"/>
          <w:u w:val="single"/>
        </w:rPr>
        <w:t>专业负责人</w:t>
      </w:r>
      <w:r>
        <w:rPr>
          <w:rFonts w:hint="eastAsia" w:ascii="宋体" w:hAnsi="宋体"/>
          <w:color w:val="auto"/>
          <w:szCs w:val="22"/>
          <w:highlight w:val="none"/>
          <w:u w:val="single"/>
          <w:lang w:val="en-US" w:eastAsia="zh-CN"/>
        </w:rPr>
        <w:t>2</w:t>
      </w:r>
      <w:r>
        <w:rPr>
          <w:rFonts w:hint="eastAsia" w:ascii="宋体" w:hAnsi="宋体"/>
          <w:color w:val="auto"/>
          <w:szCs w:val="22"/>
          <w:highlight w:val="none"/>
          <w:u w:val="single"/>
        </w:rPr>
        <w:t>万元</w:t>
      </w:r>
      <w:r>
        <w:rPr>
          <w:rFonts w:ascii="宋体" w:hAnsi="宋体"/>
          <w:color w:val="auto"/>
          <w:szCs w:val="22"/>
          <w:highlight w:val="none"/>
          <w:u w:val="single"/>
        </w:rPr>
        <w:t>/</w:t>
      </w:r>
      <w:r>
        <w:rPr>
          <w:rFonts w:hint="eastAsia" w:ascii="宋体" w:hAnsi="宋体"/>
          <w:color w:val="auto"/>
          <w:szCs w:val="22"/>
          <w:highlight w:val="none"/>
          <w:u w:val="single"/>
        </w:rPr>
        <w:t>人·次（人民币）；其他设计人员</w:t>
      </w:r>
      <w:r>
        <w:rPr>
          <w:rFonts w:hint="eastAsia" w:ascii="宋体" w:hAnsi="宋体"/>
          <w:color w:val="auto"/>
          <w:szCs w:val="22"/>
          <w:highlight w:val="none"/>
          <w:u w:val="single"/>
          <w:lang w:val="en-US" w:eastAsia="zh-CN"/>
        </w:rPr>
        <w:t>1</w:t>
      </w:r>
      <w:r>
        <w:rPr>
          <w:rFonts w:hint="eastAsia" w:ascii="宋体" w:hAnsi="宋体"/>
          <w:color w:val="auto"/>
          <w:szCs w:val="22"/>
          <w:highlight w:val="none"/>
          <w:u w:val="single"/>
        </w:rPr>
        <w:t>万元</w:t>
      </w:r>
      <w:r>
        <w:rPr>
          <w:rFonts w:ascii="宋体" w:hAnsi="宋体"/>
          <w:color w:val="auto"/>
          <w:szCs w:val="22"/>
          <w:highlight w:val="none"/>
          <w:u w:val="single"/>
        </w:rPr>
        <w:t>/</w:t>
      </w:r>
      <w:r>
        <w:rPr>
          <w:rFonts w:hint="eastAsia" w:ascii="宋体" w:hAnsi="宋体"/>
          <w:color w:val="auto"/>
          <w:szCs w:val="22"/>
          <w:highlight w:val="none"/>
          <w:u w:val="single"/>
        </w:rPr>
        <w:t>人·次（人民币）</w:t>
      </w:r>
      <w:r>
        <w:rPr>
          <w:rFonts w:hint="eastAsia" w:ascii="宋体" w:hAnsi="宋体" w:cs="宋体"/>
          <w:color w:val="auto"/>
          <w:szCs w:val="21"/>
          <w:highlight w:val="none"/>
        </w:rPr>
        <w:t>。</w:t>
      </w:r>
    </w:p>
    <w:p w14:paraId="18F7E153">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设计人员在发包人发出的通知正式进场对接开始10个工作日不到场，发包人有权解除合同；此外，设计人还应向发包人支付违约金，违约金计付标准为合同价的</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w:t>
      </w:r>
    </w:p>
    <w:p w14:paraId="7B06A0E0">
      <w:pPr>
        <w:spacing w:line="360" w:lineRule="auto"/>
        <w:ind w:firstLine="420" w:firstLineChars="200"/>
        <w:rPr>
          <w:rFonts w:ascii="宋体" w:hAnsi="宋体" w:cs="宋体"/>
          <w:color w:val="auto"/>
          <w:szCs w:val="21"/>
          <w:highlight w:val="none"/>
        </w:rPr>
      </w:pPr>
      <w:r>
        <w:rPr>
          <w:rFonts w:ascii="宋体" w:hAnsi="宋体"/>
          <w:color w:val="auto"/>
          <w:szCs w:val="21"/>
          <w:highlight w:val="none"/>
        </w:rPr>
        <w:t xml:space="preserve">3.3.3 </w:t>
      </w:r>
      <w:r>
        <w:rPr>
          <w:rFonts w:hint="eastAsia" w:ascii="宋体" w:hAnsi="宋体"/>
          <w:color w:val="auto"/>
          <w:szCs w:val="21"/>
          <w:highlight w:val="none"/>
        </w:rPr>
        <w:t>设</w:t>
      </w:r>
      <w:r>
        <w:rPr>
          <w:rFonts w:hint="eastAsia" w:ascii="宋体" w:hAnsi="宋体" w:cs="宋体"/>
          <w:color w:val="auto"/>
          <w:szCs w:val="21"/>
          <w:highlight w:val="none"/>
        </w:rPr>
        <w:t>计人无正当理由拒绝撤换主要设计人员的违约责任：</w:t>
      </w:r>
      <w:r>
        <w:rPr>
          <w:rFonts w:hint="eastAsia" w:ascii="宋体" w:hAnsi="宋体" w:cs="宋体"/>
          <w:color w:val="auto"/>
          <w:szCs w:val="21"/>
          <w:highlight w:val="none"/>
          <w:u w:val="single"/>
        </w:rPr>
        <w:t>设计人在收到发包人要求更换主要设计人书面通知后</w:t>
      </w:r>
      <w:r>
        <w:rPr>
          <w:rFonts w:ascii="宋体" w:hAnsi="宋体" w:cs="宋体"/>
          <w:color w:val="auto"/>
          <w:szCs w:val="21"/>
          <w:highlight w:val="none"/>
          <w:u w:val="single"/>
        </w:rPr>
        <w:t>7</w:t>
      </w:r>
      <w:r>
        <w:rPr>
          <w:rFonts w:hint="eastAsia" w:ascii="宋体" w:hAnsi="宋体" w:cs="宋体"/>
          <w:color w:val="auto"/>
          <w:szCs w:val="21"/>
          <w:highlight w:val="none"/>
          <w:u w:val="single"/>
        </w:rPr>
        <w:t>天内，设计人无正当理由拒绝撤换主要设计人员的构成违约，设计人应向发包人支付违约金，违约金由发包人直接从应收设计费中扣除，计扣标准为：专业负责人</w:t>
      </w:r>
      <w:r>
        <w:rPr>
          <w:rFonts w:hint="eastAsia" w:ascii="宋体" w:hAnsi="宋体"/>
          <w:color w:val="auto"/>
          <w:szCs w:val="22"/>
          <w:highlight w:val="none"/>
          <w:u w:val="single"/>
          <w:lang w:val="en-US" w:eastAsia="zh-CN"/>
        </w:rPr>
        <w:t>2</w:t>
      </w:r>
      <w:r>
        <w:rPr>
          <w:rFonts w:hint="eastAsia" w:ascii="宋体" w:hAnsi="宋体"/>
          <w:color w:val="auto"/>
          <w:szCs w:val="22"/>
          <w:highlight w:val="none"/>
          <w:u w:val="single"/>
        </w:rPr>
        <w:t>万元</w:t>
      </w:r>
      <w:r>
        <w:rPr>
          <w:rFonts w:ascii="宋体" w:hAnsi="宋体"/>
          <w:color w:val="auto"/>
          <w:szCs w:val="22"/>
          <w:highlight w:val="none"/>
          <w:u w:val="single"/>
        </w:rPr>
        <w:t>/</w:t>
      </w:r>
      <w:r>
        <w:rPr>
          <w:rFonts w:hint="eastAsia" w:ascii="宋体" w:hAnsi="宋体"/>
          <w:color w:val="auto"/>
          <w:szCs w:val="22"/>
          <w:highlight w:val="none"/>
          <w:u w:val="single"/>
        </w:rPr>
        <w:t>人·次（人民币）；其他设计人员</w:t>
      </w:r>
      <w:r>
        <w:rPr>
          <w:rFonts w:hint="eastAsia" w:ascii="宋体" w:hAnsi="宋体"/>
          <w:color w:val="auto"/>
          <w:szCs w:val="22"/>
          <w:highlight w:val="none"/>
          <w:u w:val="single"/>
          <w:lang w:val="en-US" w:eastAsia="zh-CN"/>
        </w:rPr>
        <w:t>1</w:t>
      </w:r>
      <w:r>
        <w:rPr>
          <w:rFonts w:hint="eastAsia" w:ascii="宋体" w:hAnsi="宋体"/>
          <w:color w:val="auto"/>
          <w:szCs w:val="22"/>
          <w:highlight w:val="none"/>
          <w:u w:val="single"/>
        </w:rPr>
        <w:t>万元</w:t>
      </w:r>
      <w:r>
        <w:rPr>
          <w:rFonts w:ascii="宋体" w:hAnsi="宋体"/>
          <w:color w:val="auto"/>
          <w:szCs w:val="22"/>
          <w:highlight w:val="none"/>
          <w:u w:val="single"/>
        </w:rPr>
        <w:t>/</w:t>
      </w:r>
      <w:r>
        <w:rPr>
          <w:rFonts w:hint="eastAsia" w:ascii="宋体" w:hAnsi="宋体"/>
          <w:color w:val="auto"/>
          <w:szCs w:val="22"/>
          <w:highlight w:val="none"/>
          <w:u w:val="single"/>
        </w:rPr>
        <w:t>人·次（人民币）</w:t>
      </w:r>
      <w:r>
        <w:rPr>
          <w:rFonts w:hint="eastAsia" w:ascii="宋体" w:hAnsi="宋体" w:cs="宋体"/>
          <w:color w:val="auto"/>
          <w:szCs w:val="21"/>
          <w:highlight w:val="none"/>
        </w:rPr>
        <w:t>。</w:t>
      </w:r>
    </w:p>
    <w:p w14:paraId="3A833388">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设计人无正当理由拒绝撤换主要设计人员，给发包人造成的损失超过前述约定的，设计人应对超过部分继续承担赔偿责任。</w:t>
      </w:r>
    </w:p>
    <w:p w14:paraId="48E7011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3.3.4</w:t>
      </w:r>
      <w:r>
        <w:rPr>
          <w:rFonts w:hint="eastAsia"/>
          <w:color w:val="auto"/>
          <w:highlight w:val="none"/>
        </w:rPr>
        <w:t>服务期间如项目有需要，设计人需配合发包人进行驻场服务，驻场期间，发包人提供办公场所，但设计人员所需的办公用品以及涉及的交通</w:t>
      </w:r>
      <w:r>
        <w:rPr>
          <w:rFonts w:hint="eastAsia" w:eastAsia="宋体"/>
          <w:color w:val="auto"/>
          <w:highlight w:val="none"/>
          <w:lang w:eastAsia="zh-CN"/>
        </w:rPr>
        <w:t>、</w:t>
      </w:r>
      <w:r>
        <w:rPr>
          <w:rFonts w:hint="eastAsia"/>
          <w:color w:val="auto"/>
          <w:highlight w:val="none"/>
        </w:rPr>
        <w:t>食宿等费用由设计人自行承担。</w:t>
      </w:r>
    </w:p>
    <w:p w14:paraId="0DDF5D3A">
      <w:pPr>
        <w:spacing w:line="360" w:lineRule="auto"/>
        <w:ind w:firstLine="422" w:firstLineChars="200"/>
        <w:rPr>
          <w:rFonts w:ascii="宋体" w:hAnsi="宋体" w:cs="黑体"/>
          <w:b/>
          <w:color w:val="auto"/>
          <w:szCs w:val="21"/>
          <w:highlight w:val="none"/>
        </w:rPr>
      </w:pPr>
      <w:r>
        <w:rPr>
          <w:rFonts w:ascii="宋体" w:hAnsi="宋体" w:cs="黑体"/>
          <w:b/>
          <w:color w:val="auto"/>
          <w:szCs w:val="21"/>
          <w:highlight w:val="none"/>
        </w:rPr>
        <w:t xml:space="preserve">3.4 </w:t>
      </w:r>
      <w:r>
        <w:rPr>
          <w:rFonts w:hint="eastAsia" w:ascii="宋体" w:hAnsi="宋体" w:cs="黑体"/>
          <w:b/>
          <w:color w:val="auto"/>
          <w:szCs w:val="21"/>
          <w:highlight w:val="none"/>
        </w:rPr>
        <w:t>设计分包</w:t>
      </w:r>
    </w:p>
    <w:p w14:paraId="1777BF8B">
      <w:pPr>
        <w:keepNext/>
        <w:keepLines/>
        <w:spacing w:before="120" w:after="120" w:line="360" w:lineRule="auto"/>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3.4.1 设计分包的一般约定</w:t>
      </w:r>
    </w:p>
    <w:p w14:paraId="4B1A583D">
      <w:pPr>
        <w:keepNext/>
        <w:keepLines/>
        <w:spacing w:before="120" w:after="120" w:line="360" w:lineRule="auto"/>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禁止设计分包的工程包括:主体结构、关键性工作。</w:t>
      </w:r>
    </w:p>
    <w:p w14:paraId="08EFEF57">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3.6 </w:t>
      </w:r>
      <w:r>
        <w:rPr>
          <w:rFonts w:hint="eastAsia" w:ascii="宋体" w:hAnsi="宋体" w:cs="黑体"/>
          <w:bCs/>
          <w:color w:val="auto"/>
          <w:szCs w:val="21"/>
          <w:highlight w:val="none"/>
        </w:rPr>
        <w:t>履约担保</w:t>
      </w:r>
    </w:p>
    <w:p w14:paraId="67114F5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设计人在收到中标通知书后，须在</w:t>
      </w:r>
      <w:r>
        <w:rPr>
          <w:rFonts w:hint="eastAsia" w:ascii="宋体" w:hAnsi="宋体" w:cs="宋体"/>
          <w:color w:val="auto"/>
          <w:kern w:val="0"/>
          <w:szCs w:val="21"/>
          <w:highlight w:val="none"/>
          <w:u w:val="single"/>
        </w:rPr>
        <w:t>10日</w:t>
      </w:r>
      <w:r>
        <w:rPr>
          <w:rFonts w:hint="eastAsia" w:ascii="宋体" w:hAnsi="宋体" w:cs="宋体"/>
          <w:color w:val="auto"/>
          <w:kern w:val="0"/>
          <w:szCs w:val="21"/>
          <w:highlight w:val="none"/>
        </w:rPr>
        <w:t>内向发包人提交履约担保。发包人不提供设计费支付担保。</w:t>
      </w:r>
    </w:p>
    <w:p w14:paraId="2544E5DD">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设计人提供履约担保的形式、金额、期限及退回：</w:t>
      </w:r>
    </w:p>
    <w:p w14:paraId="3F30516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形式：</w:t>
      </w:r>
      <w:r>
        <w:rPr>
          <w:rFonts w:hint="eastAsia"/>
          <w:color w:val="auto"/>
          <w:highlight w:val="none"/>
          <w:u w:val="single"/>
        </w:rPr>
        <w:t>可以采用现金、银行保函、工程担保、电子</w:t>
      </w:r>
      <w:r>
        <w:rPr>
          <w:color w:val="auto"/>
          <w:highlight w:val="none"/>
          <w:u w:val="single"/>
        </w:rPr>
        <w:t>保函</w:t>
      </w:r>
      <w:r>
        <w:rPr>
          <w:rFonts w:hint="eastAsia"/>
          <w:color w:val="auto"/>
          <w:highlight w:val="none"/>
          <w:u w:val="single"/>
        </w:rPr>
        <w:t>或保证保险等形式</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435ED24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金额：</w:t>
      </w:r>
      <w:r>
        <w:rPr>
          <w:rFonts w:hint="eastAsia" w:ascii="宋体" w:hAnsi="宋体" w:cs="宋体"/>
          <w:color w:val="auto"/>
          <w:highlight w:val="none"/>
          <w:u w:val="single"/>
        </w:rPr>
        <w:t xml:space="preserve">设计估算费用的5% </w:t>
      </w:r>
      <w:r>
        <w:rPr>
          <w:color w:val="auto"/>
          <w:highlight w:val="none"/>
          <w:u w:val="single"/>
        </w:rPr>
        <w:t>（如</w:t>
      </w:r>
      <w:r>
        <w:rPr>
          <w:rFonts w:hint="eastAsia"/>
          <w:color w:val="auto"/>
          <w:highlight w:val="none"/>
          <w:u w:val="single"/>
          <w:lang w:val="en-US" w:eastAsia="zh-CN"/>
        </w:rPr>
        <w:t>中标人</w:t>
      </w:r>
      <w:r>
        <w:rPr>
          <w:color w:val="auto"/>
          <w:highlight w:val="none"/>
          <w:u w:val="single"/>
        </w:rPr>
        <w:t>为中小微企业的，按</w:t>
      </w:r>
      <w:r>
        <w:rPr>
          <w:rFonts w:hint="eastAsia" w:ascii="宋体" w:hAnsi="宋体" w:cs="宋体"/>
          <w:color w:val="auto"/>
          <w:highlight w:val="none"/>
          <w:u w:val="single"/>
        </w:rPr>
        <w:t>设计估算费用的</w:t>
      </w:r>
      <w:r>
        <w:rPr>
          <w:color w:val="auto"/>
          <w:highlight w:val="none"/>
          <w:u w:val="single"/>
        </w:rPr>
        <w:t>2%</w:t>
      </w:r>
      <w:r>
        <w:rPr>
          <w:rFonts w:hint="eastAsia"/>
          <w:color w:val="auto"/>
          <w:highlight w:val="none"/>
          <w:u w:val="single"/>
          <w:lang w:val="en-US" w:eastAsia="zh-CN"/>
        </w:rPr>
        <w:t>收取</w:t>
      </w:r>
      <w:r>
        <w:rPr>
          <w:color w:val="auto"/>
          <w:highlight w:val="none"/>
          <w:u w:val="single"/>
        </w:rPr>
        <w:t>）</w:t>
      </w:r>
      <w:r>
        <w:rPr>
          <w:rFonts w:hint="eastAsia" w:ascii="宋体" w:hAnsi="宋体" w:cs="宋体"/>
          <w:color w:val="auto"/>
          <w:kern w:val="0"/>
          <w:szCs w:val="21"/>
          <w:highlight w:val="none"/>
        </w:rPr>
        <w:t>。</w:t>
      </w:r>
    </w:p>
    <w:p w14:paraId="7DA4E20B">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期限：</w:t>
      </w:r>
      <w:r>
        <w:rPr>
          <w:rFonts w:hint="eastAsia" w:ascii="宋体" w:hAnsi="宋体" w:cs="宋体"/>
          <w:color w:val="auto"/>
          <w:szCs w:val="21"/>
          <w:highlight w:val="none"/>
        </w:rPr>
        <w:t>履约担保的有效期应当自本合同生效之日起至设计人设计阶段完成之日止。但采用履约保函时，如果设计人无法获得一份不带具体截止日期的担保，履约担保中应当有“变更设计阶段完成日期的，保证期间按照变更后的设计阶段完成日期做相应调整”或类似约定的条款。</w:t>
      </w:r>
    </w:p>
    <w:p w14:paraId="40B3AB5D">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退回：</w:t>
      </w:r>
      <w:r>
        <w:rPr>
          <w:rFonts w:hint="eastAsia" w:ascii="宋体" w:hAnsi="宋体" w:cs="宋体"/>
          <w:color w:val="auto"/>
          <w:szCs w:val="21"/>
          <w:highlight w:val="none"/>
        </w:rPr>
        <w:t>履约保证金在设计阶段完成7日后可向发包人提出退回履约保证金的申请，发包人应在收到申请之日起28个日历天内扣减设计人赔偿金和其他应从设计人扣回的款项后，将履约金的余额退还给设计人（无息）。</w:t>
      </w:r>
    </w:p>
    <w:p w14:paraId="7366DE6E">
      <w:pPr>
        <w:keepNext/>
        <w:keepLines/>
        <w:spacing w:before="120" w:after="120" w:line="360" w:lineRule="auto"/>
        <w:outlineLvl w:val="3"/>
        <w:rPr>
          <w:rFonts w:ascii="宋体" w:hAnsi="宋体" w:cs="黑体"/>
          <w:b/>
          <w:color w:val="auto"/>
          <w:sz w:val="24"/>
          <w:highlight w:val="none"/>
        </w:rPr>
      </w:pPr>
      <w:r>
        <w:rPr>
          <w:rFonts w:ascii="宋体" w:hAnsi="宋体" w:cs="黑体"/>
          <w:b/>
          <w:color w:val="auto"/>
          <w:sz w:val="24"/>
          <w:highlight w:val="none"/>
        </w:rPr>
        <w:t xml:space="preserve">5. </w:t>
      </w:r>
      <w:r>
        <w:rPr>
          <w:rFonts w:hint="eastAsia" w:ascii="宋体" w:hAnsi="宋体" w:cs="黑体"/>
          <w:b/>
          <w:color w:val="auto"/>
          <w:sz w:val="24"/>
          <w:highlight w:val="none"/>
        </w:rPr>
        <w:t>工程设计要求</w:t>
      </w:r>
    </w:p>
    <w:p w14:paraId="58421251">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5.1 </w:t>
      </w:r>
      <w:r>
        <w:rPr>
          <w:rFonts w:hint="eastAsia" w:ascii="宋体" w:hAnsi="宋体" w:cs="黑体"/>
          <w:bCs/>
          <w:color w:val="auto"/>
          <w:szCs w:val="21"/>
          <w:highlight w:val="none"/>
        </w:rPr>
        <w:t>工程设计一般要求</w:t>
      </w:r>
    </w:p>
    <w:p w14:paraId="31CF8AD4">
      <w:pPr>
        <w:spacing w:line="360" w:lineRule="auto"/>
        <w:ind w:firstLine="441" w:firstLineChars="210"/>
        <w:jc w:val="left"/>
        <w:rPr>
          <w:rFonts w:ascii="宋体" w:hAnsi="宋体"/>
          <w:color w:val="auto"/>
          <w:szCs w:val="21"/>
          <w:highlight w:val="none"/>
          <w:u w:val="single"/>
        </w:rPr>
      </w:pPr>
      <w:r>
        <w:rPr>
          <w:rFonts w:ascii="宋体" w:hAnsi="宋体"/>
          <w:color w:val="auto"/>
          <w:szCs w:val="21"/>
          <w:highlight w:val="none"/>
        </w:rPr>
        <w:t xml:space="preserve">5.1.2.1 </w:t>
      </w:r>
      <w:r>
        <w:rPr>
          <w:rFonts w:hint="eastAsia" w:ascii="宋体" w:hAnsi="宋体"/>
          <w:color w:val="auto"/>
          <w:szCs w:val="21"/>
          <w:highlight w:val="none"/>
        </w:rPr>
        <w:t>工程设计的特殊标准或要求：</w:t>
      </w:r>
      <w:r>
        <w:rPr>
          <w:rFonts w:hint="eastAsia" w:ascii="宋体" w:hAnsi="宋体"/>
          <w:color w:val="auto"/>
          <w:szCs w:val="21"/>
          <w:highlight w:val="none"/>
          <w:u w:val="single"/>
        </w:rPr>
        <w:t>无</w:t>
      </w:r>
      <w:r>
        <w:rPr>
          <w:rFonts w:hint="eastAsia" w:ascii="宋体" w:hAnsi="宋体"/>
          <w:color w:val="auto"/>
          <w:szCs w:val="21"/>
          <w:highlight w:val="none"/>
        </w:rPr>
        <w:t>。</w:t>
      </w:r>
    </w:p>
    <w:p w14:paraId="5900E429">
      <w:pPr>
        <w:spacing w:line="360" w:lineRule="auto"/>
        <w:ind w:firstLine="441" w:firstLineChars="210"/>
        <w:jc w:val="left"/>
        <w:rPr>
          <w:rFonts w:ascii="宋体" w:hAnsi="宋体"/>
          <w:color w:val="auto"/>
          <w:szCs w:val="21"/>
          <w:highlight w:val="none"/>
        </w:rPr>
      </w:pPr>
      <w:r>
        <w:rPr>
          <w:rFonts w:ascii="宋体" w:hAnsi="宋体"/>
          <w:color w:val="auto"/>
          <w:szCs w:val="21"/>
          <w:highlight w:val="none"/>
        </w:rPr>
        <w:t xml:space="preserve">5.1.2.2 </w:t>
      </w:r>
      <w:r>
        <w:rPr>
          <w:rFonts w:hint="eastAsia" w:ascii="宋体" w:hAnsi="宋体"/>
          <w:color w:val="auto"/>
          <w:szCs w:val="21"/>
          <w:highlight w:val="none"/>
        </w:rPr>
        <w:t>工程设计适用的技术标准：</w:t>
      </w:r>
      <w:r>
        <w:rPr>
          <w:rFonts w:hint="eastAsia" w:ascii="宋体" w:hAnsi="宋体"/>
          <w:color w:val="auto"/>
          <w:szCs w:val="21"/>
          <w:highlight w:val="none"/>
          <w:u w:val="single"/>
        </w:rPr>
        <w:t>适用于本项目设计范围的</w:t>
      </w:r>
      <w:r>
        <w:rPr>
          <w:rFonts w:hint="eastAsia" w:ascii="宋体" w:hAnsi="宋体" w:cs="宋体"/>
          <w:color w:val="auto"/>
          <w:szCs w:val="21"/>
          <w:highlight w:val="none"/>
          <w:u w:val="single"/>
        </w:rPr>
        <w:t>现行有效的国家标准、行业标准、工程所在地的地方性标准，以及其他相应的规范、规程等</w:t>
      </w:r>
      <w:r>
        <w:rPr>
          <w:rFonts w:hint="eastAsia" w:ascii="宋体" w:hAnsi="宋体" w:cs="宋体"/>
          <w:color w:val="auto"/>
          <w:szCs w:val="21"/>
          <w:highlight w:val="none"/>
        </w:rPr>
        <w:t>。</w:t>
      </w:r>
    </w:p>
    <w:p w14:paraId="4338E449">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 xml:space="preserve">5.1.2.4 </w:t>
      </w:r>
      <w:r>
        <w:rPr>
          <w:rFonts w:hint="eastAsia" w:ascii="宋体" w:hAnsi="宋体"/>
          <w:color w:val="auto"/>
          <w:szCs w:val="21"/>
          <w:highlight w:val="none"/>
        </w:rPr>
        <w:t>工程设计文件的</w:t>
      </w:r>
      <w:r>
        <w:rPr>
          <w:rFonts w:hint="eastAsia" w:ascii="宋体" w:hAnsi="宋体"/>
          <w:color w:val="auto"/>
          <w:kern w:val="0"/>
          <w:szCs w:val="21"/>
          <w:highlight w:val="none"/>
        </w:rPr>
        <w:t>主要技术指标控制值</w:t>
      </w:r>
      <w:r>
        <w:rPr>
          <w:rFonts w:hint="eastAsia" w:ascii="宋体" w:hAnsi="宋体"/>
          <w:color w:val="auto"/>
          <w:szCs w:val="21"/>
          <w:highlight w:val="none"/>
        </w:rPr>
        <w:t>及比例：</w:t>
      </w:r>
      <w:r>
        <w:rPr>
          <w:rFonts w:ascii="宋体" w:hAnsi="宋体"/>
          <w:color w:val="auto"/>
          <w:szCs w:val="21"/>
          <w:highlight w:val="none"/>
          <w:u w:val="single"/>
        </w:rPr>
        <w:t xml:space="preserve">    /   </w:t>
      </w:r>
      <w:r>
        <w:rPr>
          <w:rFonts w:hint="eastAsia" w:ascii="宋体" w:hAnsi="宋体"/>
          <w:color w:val="auto"/>
          <w:szCs w:val="21"/>
          <w:highlight w:val="none"/>
        </w:rPr>
        <w:t>。</w:t>
      </w:r>
    </w:p>
    <w:p w14:paraId="6EE1BABF">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5.3 </w:t>
      </w:r>
      <w:r>
        <w:rPr>
          <w:rFonts w:hint="eastAsia" w:ascii="宋体" w:hAnsi="宋体" w:cs="黑体"/>
          <w:bCs/>
          <w:color w:val="auto"/>
          <w:szCs w:val="21"/>
          <w:highlight w:val="none"/>
        </w:rPr>
        <w:t>工程设计文件的要求</w:t>
      </w:r>
    </w:p>
    <w:p w14:paraId="12FC5C57">
      <w:pPr>
        <w:spacing w:line="360" w:lineRule="auto"/>
        <w:ind w:firstLine="315" w:firstLineChars="150"/>
        <w:jc w:val="left"/>
        <w:rPr>
          <w:rFonts w:ascii="宋体" w:hAnsi="宋体"/>
          <w:color w:val="auto"/>
          <w:szCs w:val="21"/>
          <w:highlight w:val="none"/>
          <w:u w:val="single"/>
        </w:rPr>
      </w:pPr>
      <w:r>
        <w:rPr>
          <w:rFonts w:ascii="宋体" w:hAnsi="宋体"/>
          <w:color w:val="auto"/>
          <w:szCs w:val="21"/>
          <w:highlight w:val="none"/>
        </w:rPr>
        <w:t xml:space="preserve">5.3.3 </w:t>
      </w:r>
      <w:r>
        <w:rPr>
          <w:rFonts w:hint="eastAsia" w:ascii="宋体" w:hAnsi="宋体"/>
          <w:color w:val="auto"/>
          <w:szCs w:val="21"/>
          <w:highlight w:val="none"/>
        </w:rPr>
        <w:t>工程设计文件深度规定：</w:t>
      </w:r>
      <w:r>
        <w:rPr>
          <w:rFonts w:hint="eastAsia" w:ascii="宋体" w:hAnsi="宋体"/>
          <w:color w:val="auto"/>
          <w:szCs w:val="22"/>
          <w:highlight w:val="none"/>
          <w:u w:val="single"/>
        </w:rPr>
        <w:t>满足本合同相应设计阶段的规定要求，并符合国家和行业现行有效的相关规定及相关部门审批要求</w:t>
      </w:r>
      <w:r>
        <w:rPr>
          <w:rFonts w:hint="eastAsia" w:ascii="宋体" w:hAnsi="宋体"/>
          <w:color w:val="auto"/>
          <w:szCs w:val="21"/>
          <w:highlight w:val="none"/>
          <w:u w:val="single"/>
        </w:rPr>
        <w:t>。</w:t>
      </w:r>
    </w:p>
    <w:p w14:paraId="2352AB16">
      <w:pPr>
        <w:spacing w:line="360" w:lineRule="auto"/>
        <w:ind w:firstLine="420" w:firstLineChars="200"/>
        <w:jc w:val="left"/>
        <w:rPr>
          <w:rFonts w:ascii="宋体" w:hAnsi="宋体" w:cs="宋体"/>
          <w:color w:val="auto"/>
          <w:szCs w:val="21"/>
          <w:highlight w:val="none"/>
        </w:rPr>
      </w:pPr>
      <w:r>
        <w:rPr>
          <w:rFonts w:ascii="宋体" w:hAnsi="宋体"/>
          <w:color w:val="auto"/>
          <w:szCs w:val="21"/>
          <w:highlight w:val="none"/>
        </w:rPr>
        <w:t xml:space="preserve">5.3.5 </w:t>
      </w:r>
      <w:r>
        <w:rPr>
          <w:rFonts w:hint="eastAsia" w:ascii="宋体" w:hAnsi="宋体"/>
          <w:color w:val="auto"/>
          <w:szCs w:val="21"/>
          <w:highlight w:val="none"/>
        </w:rPr>
        <w:t>建筑物及其功能设施的合理使用寿命年限：</w:t>
      </w:r>
      <w:r>
        <w:rPr>
          <w:rFonts w:hint="eastAsia" w:ascii="宋体" w:hAnsi="宋体"/>
          <w:color w:val="auto"/>
          <w:szCs w:val="21"/>
          <w:highlight w:val="none"/>
          <w:u w:val="single"/>
        </w:rPr>
        <w:t>符合法律、法规、规章和技术标准要求</w:t>
      </w:r>
      <w:r>
        <w:rPr>
          <w:rFonts w:hint="eastAsia" w:ascii="宋体" w:hAnsi="宋体" w:cs="宋体"/>
          <w:color w:val="auto"/>
          <w:szCs w:val="22"/>
          <w:highlight w:val="none"/>
          <w:u w:val="single"/>
        </w:rPr>
        <w:t>。</w:t>
      </w:r>
    </w:p>
    <w:p w14:paraId="45D82511">
      <w:pPr>
        <w:keepNext/>
        <w:keepLines/>
        <w:spacing w:before="120" w:after="120" w:line="360" w:lineRule="auto"/>
        <w:outlineLvl w:val="3"/>
        <w:rPr>
          <w:rFonts w:ascii="宋体" w:hAnsi="宋体" w:cs="黑体"/>
          <w:b/>
          <w:color w:val="auto"/>
          <w:sz w:val="24"/>
          <w:highlight w:val="none"/>
        </w:rPr>
      </w:pPr>
      <w:r>
        <w:rPr>
          <w:rFonts w:ascii="宋体" w:hAnsi="宋体" w:cs="黑体"/>
          <w:b/>
          <w:color w:val="auto"/>
          <w:sz w:val="24"/>
          <w:highlight w:val="none"/>
        </w:rPr>
        <w:t xml:space="preserve">6. </w:t>
      </w:r>
      <w:r>
        <w:rPr>
          <w:rFonts w:hint="eastAsia" w:ascii="宋体" w:hAnsi="宋体" w:cs="黑体"/>
          <w:b/>
          <w:color w:val="auto"/>
          <w:sz w:val="24"/>
          <w:highlight w:val="none"/>
        </w:rPr>
        <w:t>工程设计进度与周期</w:t>
      </w:r>
    </w:p>
    <w:p w14:paraId="59DE8EDA">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6.1 </w:t>
      </w:r>
      <w:r>
        <w:rPr>
          <w:rFonts w:hint="eastAsia" w:ascii="宋体" w:hAnsi="宋体" w:cs="黑体"/>
          <w:bCs/>
          <w:color w:val="auto"/>
          <w:szCs w:val="21"/>
          <w:highlight w:val="none"/>
        </w:rPr>
        <w:t>工程设计进度计划</w:t>
      </w:r>
    </w:p>
    <w:p w14:paraId="1BE151B8">
      <w:pPr>
        <w:autoSpaceDE w:val="0"/>
        <w:autoSpaceDN w:val="0"/>
        <w:adjustRightInd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 xml:space="preserve">6.1.1 </w:t>
      </w:r>
      <w:r>
        <w:rPr>
          <w:rFonts w:hint="eastAsia" w:ascii="宋体" w:hAnsi="宋体"/>
          <w:color w:val="auto"/>
          <w:szCs w:val="21"/>
          <w:highlight w:val="none"/>
        </w:rPr>
        <w:t>工程设计进度计划的编制</w:t>
      </w:r>
    </w:p>
    <w:p w14:paraId="67BBD5B4">
      <w:pPr>
        <w:autoSpaceDE w:val="0"/>
        <w:autoSpaceDN w:val="0"/>
        <w:adjustRightInd w:val="0"/>
        <w:spacing w:line="360" w:lineRule="auto"/>
        <w:ind w:firstLine="420" w:firstLineChars="200"/>
        <w:jc w:val="left"/>
        <w:rPr>
          <w:rFonts w:ascii="宋体" w:hAnsi="宋体"/>
          <w:color w:val="auto"/>
          <w:kern w:val="0"/>
          <w:szCs w:val="21"/>
          <w:highlight w:val="none"/>
        </w:rPr>
      </w:pPr>
      <w:r>
        <w:rPr>
          <w:rFonts w:hint="eastAsia" w:ascii="宋体" w:hAnsi="宋体"/>
          <w:color w:val="auto"/>
          <w:szCs w:val="21"/>
          <w:highlight w:val="none"/>
        </w:rPr>
        <w:t>合</w:t>
      </w:r>
      <w:r>
        <w:rPr>
          <w:rFonts w:hint="eastAsia" w:ascii="宋体" w:hAnsi="宋体"/>
          <w:color w:val="auto"/>
          <w:kern w:val="0"/>
          <w:szCs w:val="21"/>
          <w:highlight w:val="none"/>
        </w:rPr>
        <w:t>同当事人约定的工程设计进度计划提交的时间：</w:t>
      </w:r>
      <w:r>
        <w:rPr>
          <w:rFonts w:hint="eastAsia" w:ascii="宋体" w:hAnsi="宋体"/>
          <w:color w:val="auto"/>
          <w:szCs w:val="22"/>
          <w:highlight w:val="none"/>
          <w:u w:val="single"/>
        </w:rPr>
        <w:t>签订合同后</w:t>
      </w:r>
      <w:r>
        <w:rPr>
          <w:rFonts w:ascii="宋体" w:hAnsi="宋体"/>
          <w:color w:val="auto"/>
          <w:szCs w:val="22"/>
          <w:highlight w:val="none"/>
          <w:u w:val="single"/>
        </w:rPr>
        <w:t>7</w:t>
      </w:r>
      <w:r>
        <w:rPr>
          <w:rFonts w:hint="eastAsia" w:ascii="宋体" w:hAnsi="宋体"/>
          <w:color w:val="auto"/>
          <w:szCs w:val="22"/>
          <w:highlight w:val="none"/>
          <w:u w:val="single"/>
        </w:rPr>
        <w:t>日历天内</w:t>
      </w:r>
      <w:r>
        <w:rPr>
          <w:rFonts w:hint="eastAsia" w:ascii="宋体" w:hAnsi="宋体"/>
          <w:color w:val="auto"/>
          <w:kern w:val="0"/>
          <w:szCs w:val="21"/>
          <w:highlight w:val="none"/>
        </w:rPr>
        <w:t>。</w:t>
      </w:r>
    </w:p>
    <w:p w14:paraId="6B547122">
      <w:pPr>
        <w:autoSpaceDE w:val="0"/>
        <w:autoSpaceDN w:val="0"/>
        <w:adjustRightInd w:val="0"/>
        <w:spacing w:line="360" w:lineRule="auto"/>
        <w:ind w:firstLine="420" w:firstLineChars="200"/>
        <w:jc w:val="left"/>
        <w:rPr>
          <w:rFonts w:ascii="宋体" w:hAnsi="宋体"/>
          <w:color w:val="auto"/>
          <w:szCs w:val="21"/>
          <w:highlight w:val="none"/>
          <w:u w:val="single"/>
        </w:rPr>
      </w:pPr>
      <w:r>
        <w:rPr>
          <w:rFonts w:hint="eastAsia" w:ascii="宋体" w:hAnsi="宋体"/>
          <w:color w:val="auto"/>
          <w:szCs w:val="21"/>
          <w:highlight w:val="none"/>
        </w:rPr>
        <w:t>合</w:t>
      </w:r>
      <w:r>
        <w:rPr>
          <w:rFonts w:hint="eastAsia" w:ascii="宋体" w:hAnsi="宋体"/>
          <w:color w:val="auto"/>
          <w:kern w:val="0"/>
          <w:szCs w:val="21"/>
          <w:highlight w:val="none"/>
        </w:rPr>
        <w:t>同当事人约定的工程设计进度计划应包括的内容：</w:t>
      </w:r>
      <w:r>
        <w:rPr>
          <w:rFonts w:hint="eastAsia" w:ascii="宋体" w:hAnsi="宋体"/>
          <w:color w:val="auto"/>
          <w:szCs w:val="21"/>
          <w:highlight w:val="none"/>
          <w:u w:val="single"/>
        </w:rPr>
        <w:t>详见专用合同条款附件</w:t>
      </w:r>
      <w:r>
        <w:rPr>
          <w:rFonts w:ascii="宋体" w:hAnsi="宋体"/>
          <w:color w:val="auto"/>
          <w:szCs w:val="21"/>
          <w:highlight w:val="none"/>
          <w:u w:val="single"/>
        </w:rPr>
        <w:t xml:space="preserve">5  </w:t>
      </w:r>
      <w:r>
        <w:rPr>
          <w:rFonts w:hint="eastAsia" w:ascii="宋体" w:hAnsi="宋体"/>
          <w:color w:val="auto"/>
          <w:szCs w:val="21"/>
          <w:highlight w:val="none"/>
        </w:rPr>
        <w:t>。</w:t>
      </w:r>
    </w:p>
    <w:p w14:paraId="714ED6A7">
      <w:pPr>
        <w:autoSpaceDE w:val="0"/>
        <w:autoSpaceDN w:val="0"/>
        <w:adjustRightInd w:val="0"/>
        <w:spacing w:line="360" w:lineRule="auto"/>
        <w:ind w:firstLine="420" w:firstLineChars="200"/>
        <w:jc w:val="left"/>
        <w:rPr>
          <w:rFonts w:ascii="宋体" w:hAnsi="宋体"/>
          <w:color w:val="auto"/>
          <w:kern w:val="0"/>
          <w:szCs w:val="21"/>
          <w:highlight w:val="none"/>
        </w:rPr>
      </w:pPr>
      <w:r>
        <w:rPr>
          <w:rFonts w:ascii="宋体" w:hAnsi="宋体"/>
          <w:color w:val="auto"/>
          <w:szCs w:val="21"/>
          <w:highlight w:val="none"/>
        </w:rPr>
        <w:t xml:space="preserve">6.1.2 </w:t>
      </w:r>
      <w:r>
        <w:rPr>
          <w:rFonts w:hint="eastAsia" w:ascii="宋体" w:hAnsi="宋体"/>
          <w:color w:val="auto"/>
          <w:kern w:val="0"/>
          <w:szCs w:val="21"/>
          <w:highlight w:val="none"/>
        </w:rPr>
        <w:t>工程设计进度计划的修订</w:t>
      </w:r>
    </w:p>
    <w:p w14:paraId="242E8FB1">
      <w:pPr>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发包人在收到工程设计进度计划后确认或提出修改意见的期限：</w:t>
      </w:r>
      <w:r>
        <w:rPr>
          <w:rFonts w:ascii="宋体" w:hAnsi="宋体"/>
          <w:color w:val="auto"/>
          <w:szCs w:val="22"/>
          <w:highlight w:val="none"/>
          <w:u w:val="single"/>
        </w:rPr>
        <w:t>5</w:t>
      </w:r>
      <w:r>
        <w:rPr>
          <w:rFonts w:hint="eastAsia" w:ascii="宋体" w:hAnsi="宋体"/>
          <w:color w:val="auto"/>
          <w:szCs w:val="22"/>
          <w:highlight w:val="none"/>
          <w:u w:val="single"/>
        </w:rPr>
        <w:t>日历天。</w:t>
      </w:r>
    </w:p>
    <w:p w14:paraId="60ED7845">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6.3 </w:t>
      </w:r>
      <w:r>
        <w:rPr>
          <w:rFonts w:hint="eastAsia" w:ascii="宋体" w:hAnsi="宋体" w:cs="黑体"/>
          <w:bCs/>
          <w:color w:val="auto"/>
          <w:szCs w:val="21"/>
          <w:highlight w:val="none"/>
        </w:rPr>
        <w:t>工程设计进度延误</w:t>
      </w:r>
    </w:p>
    <w:p w14:paraId="10ADA6AA">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 xml:space="preserve">6.3.1 </w:t>
      </w:r>
      <w:r>
        <w:rPr>
          <w:rFonts w:hint="eastAsia" w:ascii="宋体" w:hAnsi="宋体"/>
          <w:color w:val="auto"/>
          <w:kern w:val="0"/>
          <w:szCs w:val="21"/>
          <w:highlight w:val="none"/>
        </w:rPr>
        <w:t>因发包人原因导致工程设计进度延误</w:t>
      </w:r>
    </w:p>
    <w:p w14:paraId="394BAC79">
      <w:pPr>
        <w:spacing w:line="360" w:lineRule="auto"/>
        <w:ind w:firstLine="210" w:firstLineChars="1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）因发包人原因导致工程设计进度延误的其他情形：</w:t>
      </w:r>
      <w:r>
        <w:rPr>
          <w:rFonts w:hint="eastAsia" w:ascii="宋体" w:hAnsi="宋体"/>
          <w:color w:val="auto"/>
          <w:szCs w:val="21"/>
          <w:highlight w:val="none"/>
          <w:u w:val="single"/>
        </w:rPr>
        <w:t>无</w:t>
      </w:r>
      <w:r>
        <w:rPr>
          <w:rFonts w:hint="eastAsia" w:ascii="宋体" w:hAnsi="宋体"/>
          <w:color w:val="auto"/>
          <w:szCs w:val="21"/>
          <w:highlight w:val="none"/>
        </w:rPr>
        <w:t>。</w:t>
      </w:r>
    </w:p>
    <w:p w14:paraId="5ACD1C4F">
      <w:pPr>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设计人应在发生</w:t>
      </w:r>
      <w:r>
        <w:rPr>
          <w:rFonts w:hint="eastAsia" w:ascii="宋体" w:hAnsi="宋体"/>
          <w:color w:val="auto"/>
          <w:kern w:val="0"/>
          <w:szCs w:val="21"/>
          <w:highlight w:val="none"/>
        </w:rPr>
        <w:t>进度延误的情形</w:t>
      </w:r>
      <w:r>
        <w:rPr>
          <w:rFonts w:hint="eastAsia" w:ascii="宋体" w:hAnsi="宋体"/>
          <w:color w:val="auto"/>
          <w:szCs w:val="21"/>
          <w:highlight w:val="none"/>
        </w:rPr>
        <w:t>后</w:t>
      </w:r>
      <w:r>
        <w:rPr>
          <w:rFonts w:ascii="宋体" w:hAnsi="宋体"/>
          <w:color w:val="auto"/>
          <w:szCs w:val="21"/>
          <w:highlight w:val="none"/>
          <w:u w:val="single"/>
        </w:rPr>
        <w:t xml:space="preserve"> 5</w:t>
      </w:r>
      <w:r>
        <w:rPr>
          <w:rFonts w:hint="eastAsia" w:ascii="宋体" w:hAnsi="宋体"/>
          <w:color w:val="auto"/>
          <w:szCs w:val="21"/>
          <w:highlight w:val="none"/>
        </w:rPr>
        <w:t>日历天内向发包人发出要求延期的书面通知，在发生该情形后</w:t>
      </w:r>
      <w:r>
        <w:rPr>
          <w:rFonts w:ascii="宋体" w:hAnsi="宋体"/>
          <w:color w:val="auto"/>
          <w:szCs w:val="21"/>
          <w:highlight w:val="none"/>
          <w:u w:val="single"/>
        </w:rPr>
        <w:t xml:space="preserve"> 10 </w:t>
      </w:r>
      <w:r>
        <w:rPr>
          <w:rFonts w:ascii="宋体" w:hAnsi="宋体"/>
          <w:color w:val="auto"/>
          <w:szCs w:val="21"/>
          <w:highlight w:val="none"/>
        </w:rPr>
        <w:t>日历</w:t>
      </w:r>
      <w:r>
        <w:rPr>
          <w:rFonts w:hint="eastAsia" w:ascii="宋体" w:hAnsi="宋体"/>
          <w:color w:val="auto"/>
          <w:szCs w:val="21"/>
          <w:highlight w:val="none"/>
        </w:rPr>
        <w:t>天内提交要求延期</w:t>
      </w:r>
      <w:r>
        <w:rPr>
          <w:rFonts w:hint="eastAsia" w:ascii="宋体" w:hAnsi="宋体" w:cs="宋体"/>
          <w:color w:val="auto"/>
          <w:szCs w:val="21"/>
          <w:highlight w:val="none"/>
        </w:rPr>
        <w:t>的详细说明。</w:t>
      </w:r>
    </w:p>
    <w:p w14:paraId="7AE2AF0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发包人收到设计人要求延期的详细说明后，应在</w:t>
      </w:r>
      <w:r>
        <w:rPr>
          <w:rFonts w:ascii="宋体" w:hAnsi="宋体" w:cs="宋体"/>
          <w:color w:val="auto"/>
          <w:szCs w:val="21"/>
          <w:highlight w:val="none"/>
          <w:u w:val="single"/>
        </w:rPr>
        <w:t xml:space="preserve"> 5 </w:t>
      </w:r>
      <w:r>
        <w:rPr>
          <w:rFonts w:hint="eastAsia" w:ascii="宋体" w:hAnsi="宋体" w:cs="宋体"/>
          <w:color w:val="auto"/>
          <w:szCs w:val="21"/>
          <w:highlight w:val="none"/>
        </w:rPr>
        <w:t>日历天内进行审查并书面答复。</w:t>
      </w:r>
    </w:p>
    <w:p w14:paraId="3D67D809">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6.5 </w:t>
      </w:r>
      <w:r>
        <w:rPr>
          <w:rFonts w:hint="eastAsia" w:ascii="宋体" w:hAnsi="宋体" w:cs="黑体"/>
          <w:bCs/>
          <w:color w:val="auto"/>
          <w:szCs w:val="21"/>
          <w:highlight w:val="none"/>
        </w:rPr>
        <w:t>提前交付工程设计文件</w:t>
      </w:r>
    </w:p>
    <w:p w14:paraId="36883548">
      <w:pPr>
        <w:spacing w:line="360" w:lineRule="auto"/>
        <w:ind w:firstLine="420" w:firstLineChars="200"/>
        <w:jc w:val="left"/>
        <w:rPr>
          <w:rFonts w:ascii="宋体" w:hAnsi="宋体" w:cs="宋体"/>
          <w:color w:val="auto"/>
          <w:szCs w:val="21"/>
          <w:highlight w:val="none"/>
        </w:rPr>
      </w:pPr>
      <w:r>
        <w:rPr>
          <w:rFonts w:ascii="宋体" w:hAnsi="宋体"/>
          <w:color w:val="auto"/>
          <w:szCs w:val="21"/>
          <w:highlight w:val="none"/>
        </w:rPr>
        <w:t xml:space="preserve">6.5.2 </w:t>
      </w:r>
      <w:r>
        <w:rPr>
          <w:rFonts w:hint="eastAsia" w:ascii="宋体" w:hAnsi="宋体" w:cs="宋体"/>
          <w:color w:val="auto"/>
          <w:szCs w:val="21"/>
          <w:highlight w:val="none"/>
        </w:rPr>
        <w:t>提前交付工程设计文件的奖励：</w:t>
      </w:r>
      <w:r>
        <w:rPr>
          <w:rFonts w:hint="eastAsia" w:ascii="宋体" w:hAnsi="宋体" w:cs="宋体"/>
          <w:color w:val="auto"/>
          <w:szCs w:val="21"/>
          <w:highlight w:val="none"/>
          <w:u w:val="single"/>
        </w:rPr>
        <w:t>无</w:t>
      </w:r>
      <w:r>
        <w:rPr>
          <w:rFonts w:hint="eastAsia" w:ascii="宋体" w:hAnsi="宋体" w:cs="宋体"/>
          <w:color w:val="auto"/>
          <w:szCs w:val="21"/>
          <w:highlight w:val="none"/>
        </w:rPr>
        <w:t>。</w:t>
      </w:r>
    </w:p>
    <w:p w14:paraId="3B6926A1">
      <w:pPr>
        <w:keepNext/>
        <w:keepLines/>
        <w:spacing w:before="120" w:after="120" w:line="360" w:lineRule="auto"/>
        <w:outlineLvl w:val="3"/>
        <w:rPr>
          <w:rFonts w:ascii="宋体" w:hAnsi="宋体" w:cs="黑体"/>
          <w:b/>
          <w:color w:val="auto"/>
          <w:sz w:val="24"/>
          <w:highlight w:val="none"/>
        </w:rPr>
      </w:pPr>
      <w:r>
        <w:rPr>
          <w:rFonts w:ascii="宋体" w:hAnsi="宋体" w:cs="黑体"/>
          <w:b/>
          <w:color w:val="auto"/>
          <w:sz w:val="24"/>
          <w:highlight w:val="none"/>
        </w:rPr>
        <w:t xml:space="preserve">7. </w:t>
      </w:r>
      <w:r>
        <w:rPr>
          <w:rFonts w:hint="eastAsia" w:ascii="宋体" w:hAnsi="宋体" w:cs="黑体"/>
          <w:b/>
          <w:color w:val="auto"/>
          <w:sz w:val="24"/>
          <w:highlight w:val="none"/>
        </w:rPr>
        <w:t>工程设计文件交付</w:t>
      </w:r>
    </w:p>
    <w:p w14:paraId="2723ED17">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7.1 </w:t>
      </w:r>
      <w:r>
        <w:rPr>
          <w:rFonts w:hint="eastAsia" w:ascii="宋体" w:hAnsi="宋体" w:cs="黑体"/>
          <w:bCs/>
          <w:color w:val="auto"/>
          <w:szCs w:val="21"/>
          <w:highlight w:val="none"/>
        </w:rPr>
        <w:t>工程设计文件交付的内容</w:t>
      </w:r>
    </w:p>
    <w:p w14:paraId="67D843B7">
      <w:pPr>
        <w:spacing w:line="360" w:lineRule="auto"/>
        <w:ind w:firstLine="420" w:firstLineChars="200"/>
        <w:rPr>
          <w:rFonts w:ascii="宋体" w:hAnsi="宋体" w:cs="宋体"/>
          <w:color w:val="auto"/>
          <w:szCs w:val="21"/>
          <w:highlight w:val="none"/>
        </w:rPr>
      </w:pPr>
      <w:r>
        <w:rPr>
          <w:rFonts w:ascii="宋体" w:hAnsi="宋体"/>
          <w:color w:val="auto"/>
          <w:szCs w:val="21"/>
          <w:highlight w:val="none"/>
        </w:rPr>
        <w:t>7.1.2</w:t>
      </w:r>
      <w:r>
        <w:rPr>
          <w:rFonts w:hint="eastAsia" w:ascii="宋体" w:hAnsi="宋体" w:cs="宋体"/>
          <w:color w:val="auto"/>
          <w:szCs w:val="21"/>
          <w:highlight w:val="none"/>
        </w:rPr>
        <w:t>发包人要求设计人提交电子版设计文件的具体形式为：</w:t>
      </w:r>
      <w:r>
        <w:rPr>
          <w:rFonts w:hint="eastAsia" w:ascii="宋体" w:hAnsi="宋体" w:cs="宋体"/>
          <w:color w:val="auto"/>
          <w:szCs w:val="21"/>
          <w:highlight w:val="none"/>
          <w:u w:val="single"/>
        </w:rPr>
        <w:t>格式为</w:t>
      </w:r>
      <w:r>
        <w:rPr>
          <w:rFonts w:ascii="宋体" w:hAnsi="宋体" w:cs="宋体"/>
          <w:color w:val="auto"/>
          <w:szCs w:val="21"/>
          <w:highlight w:val="none"/>
          <w:u w:val="single"/>
        </w:rPr>
        <w:t>word</w:t>
      </w:r>
      <w:r>
        <w:rPr>
          <w:rFonts w:hint="eastAsia" w:ascii="宋体" w:hAnsi="宋体" w:cs="宋体"/>
          <w:color w:val="auto"/>
          <w:szCs w:val="21"/>
          <w:highlight w:val="none"/>
          <w:u w:val="single"/>
        </w:rPr>
        <w:t>、</w:t>
      </w:r>
      <w:r>
        <w:rPr>
          <w:rFonts w:ascii="宋体" w:hAnsi="宋体" w:cs="宋体"/>
          <w:color w:val="auto"/>
          <w:szCs w:val="21"/>
          <w:highlight w:val="none"/>
          <w:u w:val="single"/>
        </w:rPr>
        <w:t>PDF</w:t>
      </w:r>
      <w:r>
        <w:rPr>
          <w:rFonts w:hint="eastAsia" w:ascii="宋体" w:hAnsi="宋体" w:cs="宋体"/>
          <w:color w:val="auto"/>
          <w:szCs w:val="21"/>
          <w:highlight w:val="none"/>
          <w:u w:val="single"/>
        </w:rPr>
        <w:t>及</w:t>
      </w:r>
      <w:r>
        <w:rPr>
          <w:rFonts w:ascii="宋体" w:hAnsi="宋体" w:cs="宋体"/>
          <w:color w:val="auto"/>
          <w:szCs w:val="21"/>
          <w:highlight w:val="none"/>
          <w:u w:val="single"/>
        </w:rPr>
        <w:t xml:space="preserve"> CAD</w:t>
      </w:r>
      <w:r>
        <w:rPr>
          <w:rFonts w:hint="eastAsia" w:ascii="宋体" w:hAnsi="宋体" w:cs="宋体"/>
          <w:color w:val="auto"/>
          <w:szCs w:val="21"/>
          <w:highlight w:val="none"/>
          <w:u w:val="single"/>
        </w:rPr>
        <w:t>（</w:t>
      </w:r>
      <w:r>
        <w:rPr>
          <w:rFonts w:hint="eastAsia" w:ascii="宋体" w:hAnsi="宋体"/>
          <w:color w:val="auto"/>
          <w:szCs w:val="22"/>
          <w:highlight w:val="none"/>
          <w:u w:val="single"/>
        </w:rPr>
        <w:t>永久解密</w:t>
      </w:r>
      <w:r>
        <w:rPr>
          <w:rFonts w:hint="eastAsia" w:ascii="宋体" w:hAnsi="宋体" w:cs="宋体"/>
          <w:color w:val="auto"/>
          <w:szCs w:val="21"/>
          <w:highlight w:val="none"/>
          <w:u w:val="single"/>
        </w:rPr>
        <w:t>）的优盘，包括但不限于建筑三维模型（revit等）（如有）、结构计算模型（如有）、设备管综BIM模型（如有）等文件，并注明软件版本号，所载内容必须与纸质版一致</w:t>
      </w:r>
      <w:r>
        <w:rPr>
          <w:rFonts w:hint="eastAsia" w:ascii="宋体" w:hAnsi="宋体" w:cs="宋体"/>
          <w:color w:val="auto"/>
          <w:szCs w:val="21"/>
          <w:highlight w:val="none"/>
        </w:rPr>
        <w:t>。</w:t>
      </w:r>
    </w:p>
    <w:p w14:paraId="6D6B46A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7.3</w:t>
      </w:r>
      <w:r>
        <w:rPr>
          <w:rFonts w:hint="eastAsia" w:ascii="宋体" w:hAnsi="宋体" w:cs="宋体"/>
          <w:color w:val="auto"/>
          <w:szCs w:val="21"/>
          <w:highlight w:val="none"/>
        </w:rPr>
        <w:t>工程设计文件交付的名称、时间和份数：相应初步设计阶段成果文件</w:t>
      </w:r>
      <w:r>
        <w:rPr>
          <w:rFonts w:hint="eastAsia" w:ascii="宋体" w:hAnsi="宋体" w:cs="宋体"/>
          <w:color w:val="auto"/>
          <w:szCs w:val="21"/>
          <w:highlight w:val="none"/>
          <w:u w:val="single"/>
          <w:lang w:val="en-US" w:eastAsia="zh-CN"/>
        </w:rPr>
        <w:t xml:space="preserve"> 6</w:t>
      </w:r>
      <w:r>
        <w:rPr>
          <w:rFonts w:hint="eastAsia" w:ascii="宋体" w:hAnsi="宋体" w:cs="宋体"/>
          <w:color w:val="auto"/>
          <w:szCs w:val="21"/>
          <w:highlight w:val="none"/>
        </w:rPr>
        <w:t>份并提供初步设计概算（含），包括但不限于相应设计阶段成果文件</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份（包括但不限于（1）提供效果图、总平面图一式</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份；（2）方案设计一式</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份；（3）初步设计概算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份）；（具体专业由合同双方在合同签订时明确）。</w:t>
      </w:r>
    </w:p>
    <w:p w14:paraId="6E4DA0D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设计人完成设计成果文件并通过相关部门审查，且按</w:t>
      </w:r>
      <w:r>
        <w:rPr>
          <w:rFonts w:ascii="宋体" w:hAnsi="宋体" w:cs="宋体"/>
          <w:color w:val="auto"/>
          <w:szCs w:val="21"/>
          <w:highlight w:val="none"/>
        </w:rPr>
        <w:t>7.1</w:t>
      </w:r>
      <w:r>
        <w:rPr>
          <w:rFonts w:hint="eastAsia" w:ascii="宋体" w:hAnsi="宋体" w:cs="宋体"/>
          <w:color w:val="auto"/>
          <w:szCs w:val="21"/>
          <w:highlight w:val="none"/>
        </w:rPr>
        <w:t>、</w:t>
      </w:r>
      <w:r>
        <w:rPr>
          <w:rFonts w:ascii="宋体" w:hAnsi="宋体" w:cs="宋体"/>
          <w:color w:val="auto"/>
          <w:szCs w:val="21"/>
          <w:highlight w:val="none"/>
        </w:rPr>
        <w:t>7.2</w:t>
      </w:r>
      <w:r>
        <w:rPr>
          <w:rFonts w:hint="eastAsia" w:ascii="宋体" w:hAnsi="宋体" w:cs="宋体"/>
          <w:color w:val="auto"/>
          <w:szCs w:val="21"/>
          <w:highlight w:val="none"/>
        </w:rPr>
        <w:t>、</w:t>
      </w:r>
      <w:r>
        <w:rPr>
          <w:rFonts w:ascii="宋体" w:hAnsi="宋体" w:cs="宋体"/>
          <w:color w:val="auto"/>
          <w:szCs w:val="21"/>
          <w:highlight w:val="none"/>
        </w:rPr>
        <w:t>7.3</w:t>
      </w:r>
      <w:r>
        <w:rPr>
          <w:rFonts w:hint="eastAsia" w:ascii="宋体" w:hAnsi="宋体" w:cs="宋体"/>
          <w:color w:val="auto"/>
          <w:szCs w:val="21"/>
          <w:highlight w:val="none"/>
        </w:rPr>
        <w:t>款交付给发包人之日为设计阶段完成日。发包人签收设计文件后的</w:t>
      </w:r>
      <w:r>
        <w:rPr>
          <w:rFonts w:ascii="宋体" w:hAnsi="宋体" w:cs="宋体"/>
          <w:color w:val="auto"/>
          <w:szCs w:val="21"/>
          <w:highlight w:val="none"/>
        </w:rPr>
        <w:t>7</w:t>
      </w:r>
      <w:r>
        <w:rPr>
          <w:rFonts w:hint="eastAsia" w:ascii="宋体" w:hAnsi="宋体" w:cs="宋体"/>
          <w:color w:val="auto"/>
          <w:szCs w:val="21"/>
          <w:highlight w:val="none"/>
        </w:rPr>
        <w:t>日内，发包人应出具设计阶段完成证明。</w:t>
      </w:r>
    </w:p>
    <w:p w14:paraId="2748977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工程竣工验收日为设计服务完成日。工程竣工验收后的</w:t>
      </w:r>
      <w:r>
        <w:rPr>
          <w:rFonts w:ascii="宋体" w:hAnsi="宋体" w:cs="宋体"/>
          <w:color w:val="auto"/>
          <w:szCs w:val="21"/>
          <w:highlight w:val="none"/>
        </w:rPr>
        <w:t>7</w:t>
      </w:r>
      <w:r>
        <w:rPr>
          <w:rFonts w:hint="eastAsia" w:ascii="宋体" w:hAnsi="宋体" w:cs="宋体"/>
          <w:color w:val="auto"/>
          <w:szCs w:val="21"/>
          <w:highlight w:val="none"/>
        </w:rPr>
        <w:t>日内，发包人应出具设计服务完成证明。</w:t>
      </w:r>
    </w:p>
    <w:p w14:paraId="136951A0">
      <w:pPr>
        <w:keepNext/>
        <w:keepLines/>
        <w:spacing w:before="120" w:after="120" w:line="360" w:lineRule="auto"/>
        <w:outlineLvl w:val="3"/>
        <w:rPr>
          <w:rFonts w:ascii="宋体" w:hAnsi="宋体" w:cs="黑体"/>
          <w:b/>
          <w:color w:val="auto"/>
          <w:sz w:val="24"/>
          <w:highlight w:val="none"/>
        </w:rPr>
      </w:pPr>
      <w:r>
        <w:rPr>
          <w:rFonts w:ascii="宋体" w:hAnsi="宋体" w:cs="黑体"/>
          <w:b/>
          <w:color w:val="auto"/>
          <w:sz w:val="24"/>
          <w:highlight w:val="none"/>
        </w:rPr>
        <w:t xml:space="preserve">8. </w:t>
      </w:r>
      <w:r>
        <w:rPr>
          <w:rFonts w:hint="eastAsia" w:ascii="宋体" w:hAnsi="宋体" w:cs="黑体"/>
          <w:b/>
          <w:color w:val="auto"/>
          <w:sz w:val="24"/>
          <w:highlight w:val="none"/>
        </w:rPr>
        <w:t>工程设计文件审查</w:t>
      </w:r>
    </w:p>
    <w:p w14:paraId="1CB6A8C1">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 xml:space="preserve">8.1 </w:t>
      </w:r>
      <w:r>
        <w:rPr>
          <w:rFonts w:hint="eastAsia" w:ascii="宋体" w:hAnsi="宋体"/>
          <w:color w:val="auto"/>
          <w:szCs w:val="21"/>
          <w:highlight w:val="none"/>
        </w:rPr>
        <w:t>发包人对设计人的设计文件审查期限不超过</w:t>
      </w:r>
      <w:r>
        <w:rPr>
          <w:rFonts w:ascii="宋体" w:hAnsi="宋体"/>
          <w:color w:val="auto"/>
          <w:szCs w:val="21"/>
          <w:highlight w:val="none"/>
          <w:u w:val="single"/>
        </w:rPr>
        <w:t xml:space="preserve"> 15 </w:t>
      </w:r>
      <w:r>
        <w:rPr>
          <w:rFonts w:hint="eastAsia" w:ascii="宋体" w:hAnsi="宋体"/>
          <w:color w:val="auto"/>
          <w:szCs w:val="21"/>
          <w:highlight w:val="none"/>
        </w:rPr>
        <w:t>天。</w:t>
      </w:r>
    </w:p>
    <w:p w14:paraId="21E24A7F">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 xml:space="preserve">8.3 </w:t>
      </w:r>
      <w:r>
        <w:rPr>
          <w:rFonts w:hint="eastAsia" w:ascii="宋体" w:hAnsi="宋体"/>
          <w:color w:val="auto"/>
          <w:szCs w:val="21"/>
          <w:highlight w:val="none"/>
        </w:rPr>
        <w:t>发包人应在审查同意设计人的工程设计文件后在</w:t>
      </w:r>
      <w:r>
        <w:rPr>
          <w:rFonts w:ascii="宋体" w:hAnsi="宋体"/>
          <w:color w:val="auto"/>
          <w:szCs w:val="21"/>
          <w:highlight w:val="none"/>
          <w:u w:val="single"/>
        </w:rPr>
        <w:t xml:space="preserve"> 7 </w:t>
      </w:r>
      <w:r>
        <w:rPr>
          <w:rFonts w:hint="eastAsia" w:ascii="宋体" w:hAnsi="宋体"/>
          <w:color w:val="auto"/>
          <w:szCs w:val="21"/>
          <w:highlight w:val="none"/>
        </w:rPr>
        <w:t>天内，向政府有关部门报送工程设计文件。</w:t>
      </w:r>
    </w:p>
    <w:p w14:paraId="0B42E506">
      <w:pPr>
        <w:spacing w:line="360" w:lineRule="auto"/>
        <w:ind w:firstLine="420" w:firstLineChars="200"/>
        <w:jc w:val="left"/>
        <w:rPr>
          <w:rFonts w:ascii="宋体" w:hAnsi="宋体" w:cs="宋体"/>
          <w:color w:val="auto"/>
          <w:szCs w:val="21"/>
          <w:highlight w:val="none"/>
          <w:u w:val="single"/>
        </w:rPr>
      </w:pPr>
      <w:r>
        <w:rPr>
          <w:rFonts w:ascii="宋体" w:hAnsi="宋体"/>
          <w:color w:val="auto"/>
          <w:szCs w:val="21"/>
          <w:highlight w:val="none"/>
        </w:rPr>
        <w:t xml:space="preserve">8.4 </w:t>
      </w:r>
      <w:r>
        <w:rPr>
          <w:rFonts w:hint="eastAsia" w:ascii="宋体" w:hAnsi="宋体"/>
          <w:color w:val="auto"/>
          <w:szCs w:val="21"/>
          <w:highlight w:val="none"/>
        </w:rPr>
        <w:t>工程设计审查形式及时</w:t>
      </w:r>
      <w:r>
        <w:rPr>
          <w:rFonts w:hint="eastAsia" w:ascii="宋体" w:hAnsi="宋体" w:cs="宋体"/>
          <w:color w:val="auto"/>
          <w:szCs w:val="21"/>
          <w:highlight w:val="none"/>
        </w:rPr>
        <w:t>间安排：</w:t>
      </w:r>
      <w:r>
        <w:rPr>
          <w:rFonts w:hint="eastAsia" w:ascii="宋体" w:hAnsi="宋体" w:cs="宋体"/>
          <w:color w:val="auto"/>
          <w:szCs w:val="21"/>
          <w:highlight w:val="none"/>
          <w:u w:val="single"/>
        </w:rPr>
        <w:t>按政府有关部门要求执行。</w:t>
      </w:r>
    </w:p>
    <w:p w14:paraId="731BEE4F">
      <w:pPr>
        <w:keepNext/>
        <w:keepLines/>
        <w:spacing w:before="120" w:after="120" w:line="360" w:lineRule="auto"/>
        <w:outlineLvl w:val="3"/>
        <w:rPr>
          <w:rFonts w:ascii="宋体" w:hAnsi="宋体" w:cs="黑体"/>
          <w:b/>
          <w:color w:val="auto"/>
          <w:sz w:val="24"/>
          <w:highlight w:val="none"/>
        </w:rPr>
      </w:pPr>
      <w:r>
        <w:rPr>
          <w:rFonts w:ascii="宋体" w:hAnsi="宋体" w:cs="黑体"/>
          <w:b/>
          <w:color w:val="auto"/>
          <w:sz w:val="24"/>
          <w:highlight w:val="none"/>
        </w:rPr>
        <w:t xml:space="preserve">9. </w:t>
      </w:r>
      <w:r>
        <w:rPr>
          <w:rFonts w:hint="eastAsia" w:ascii="宋体" w:hAnsi="宋体" w:cs="黑体"/>
          <w:b/>
          <w:color w:val="auto"/>
          <w:sz w:val="24"/>
          <w:highlight w:val="none"/>
        </w:rPr>
        <w:t>施工现场配合服务</w:t>
      </w:r>
    </w:p>
    <w:p w14:paraId="7298FB27">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 xml:space="preserve">9.1 </w:t>
      </w:r>
      <w:r>
        <w:rPr>
          <w:rFonts w:hint="eastAsia" w:ascii="宋体" w:hAnsi="宋体"/>
          <w:color w:val="auto"/>
          <w:szCs w:val="21"/>
          <w:highlight w:val="none"/>
        </w:rPr>
        <w:t>发包人为设计人派赴现场的工作人员提供便利条件的内容包括：</w:t>
      </w:r>
      <w:r>
        <w:rPr>
          <w:rFonts w:hint="eastAsia" w:ascii="宋体" w:hAnsi="宋体"/>
          <w:color w:val="auto"/>
          <w:szCs w:val="21"/>
          <w:highlight w:val="none"/>
          <w:u w:val="single"/>
        </w:rPr>
        <w:t>无</w:t>
      </w:r>
      <w:r>
        <w:rPr>
          <w:rFonts w:hint="eastAsia" w:ascii="宋体" w:hAnsi="宋体"/>
          <w:color w:val="auto"/>
          <w:szCs w:val="21"/>
          <w:highlight w:val="none"/>
        </w:rPr>
        <w:t>。</w:t>
      </w:r>
    </w:p>
    <w:p w14:paraId="0165087D">
      <w:pPr>
        <w:spacing w:line="360" w:lineRule="auto"/>
        <w:ind w:firstLine="420" w:firstLineChars="200"/>
        <w:jc w:val="left"/>
        <w:rPr>
          <w:rFonts w:ascii="宋体" w:hAnsi="宋体"/>
          <w:color w:val="auto"/>
          <w:szCs w:val="21"/>
          <w:highlight w:val="none"/>
          <w:u w:val="single"/>
        </w:rPr>
      </w:pPr>
      <w:r>
        <w:rPr>
          <w:rFonts w:ascii="宋体" w:hAnsi="宋体"/>
          <w:color w:val="auto"/>
          <w:szCs w:val="21"/>
          <w:highlight w:val="none"/>
        </w:rPr>
        <w:t xml:space="preserve">9.2 </w:t>
      </w:r>
      <w:r>
        <w:rPr>
          <w:rFonts w:hint="eastAsia" w:ascii="宋体" w:hAnsi="宋体"/>
          <w:color w:val="auto"/>
          <w:szCs w:val="21"/>
          <w:highlight w:val="none"/>
        </w:rPr>
        <w:t>设计人应当在交付施工图设计文件并经审查合格后</w:t>
      </w:r>
      <w:r>
        <w:rPr>
          <w:rFonts w:ascii="宋体" w:hAnsi="宋体"/>
          <w:color w:val="auto"/>
          <w:szCs w:val="21"/>
          <w:highlight w:val="none"/>
          <w:u w:val="single"/>
        </w:rPr>
        <w:t xml:space="preserve">  / </w:t>
      </w:r>
      <w:r>
        <w:rPr>
          <w:rFonts w:hint="eastAsia" w:ascii="宋体" w:hAnsi="宋体"/>
          <w:color w:val="auto"/>
          <w:szCs w:val="21"/>
          <w:highlight w:val="none"/>
        </w:rPr>
        <w:t>时间内提供施工现场配合服务。</w:t>
      </w:r>
    </w:p>
    <w:p w14:paraId="22DBBACA">
      <w:pPr>
        <w:keepNext/>
        <w:keepLines/>
        <w:spacing w:before="120" w:after="120" w:line="360" w:lineRule="auto"/>
        <w:outlineLvl w:val="3"/>
        <w:rPr>
          <w:rFonts w:ascii="宋体" w:hAnsi="宋体" w:cs="黑体"/>
          <w:b/>
          <w:color w:val="auto"/>
          <w:sz w:val="24"/>
          <w:highlight w:val="none"/>
        </w:rPr>
      </w:pPr>
      <w:r>
        <w:rPr>
          <w:rFonts w:ascii="宋体" w:hAnsi="宋体" w:cs="黑体"/>
          <w:b/>
          <w:color w:val="auto"/>
          <w:sz w:val="24"/>
          <w:highlight w:val="none"/>
        </w:rPr>
        <w:t xml:space="preserve">10. </w:t>
      </w:r>
      <w:r>
        <w:rPr>
          <w:rFonts w:hint="eastAsia" w:ascii="宋体" w:hAnsi="宋体" w:cs="黑体"/>
          <w:b/>
          <w:color w:val="auto"/>
          <w:sz w:val="24"/>
          <w:highlight w:val="none"/>
        </w:rPr>
        <w:t>合同价款与支付</w:t>
      </w:r>
    </w:p>
    <w:p w14:paraId="5837CFFC">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10.2 </w:t>
      </w:r>
      <w:r>
        <w:rPr>
          <w:rFonts w:hint="eastAsia" w:ascii="宋体" w:hAnsi="宋体" w:cs="黑体"/>
          <w:bCs/>
          <w:color w:val="auto"/>
          <w:szCs w:val="21"/>
          <w:highlight w:val="none"/>
        </w:rPr>
        <w:t>合同价格形式</w:t>
      </w:r>
    </w:p>
    <w:p w14:paraId="4CB26E0D">
      <w:pPr>
        <w:spacing w:line="360" w:lineRule="auto"/>
        <w:ind w:firstLine="420" w:firstLineChars="200"/>
        <w:jc w:val="left"/>
        <w:rPr>
          <w:rFonts w:hint="eastAsia"/>
          <w:color w:val="auto"/>
          <w:szCs w:val="21"/>
          <w:highlight w:val="none"/>
          <w:u w:val="none"/>
        </w:rPr>
      </w:pPr>
      <w:r>
        <w:rPr>
          <w:color w:val="auto"/>
          <w:szCs w:val="21"/>
          <w:highlight w:val="none"/>
        </w:rPr>
        <w:t>其他价格形式：</w:t>
      </w:r>
      <w:r>
        <w:rPr>
          <w:rFonts w:hint="eastAsia"/>
          <w:color w:val="auto"/>
          <w:szCs w:val="21"/>
          <w:highlight w:val="none"/>
          <w:u w:val="single"/>
          <w:lang w:val="en-US" w:eastAsia="zh-CN"/>
        </w:rPr>
        <w:t xml:space="preserve">     </w:t>
      </w:r>
      <w:r>
        <w:rPr>
          <w:rFonts w:hint="eastAsia"/>
          <w:color w:val="auto"/>
          <w:szCs w:val="21"/>
          <w:highlight w:val="none"/>
          <w:u w:val="none"/>
          <w:lang w:val="en-US" w:eastAsia="zh-CN"/>
        </w:rPr>
        <w:t>%</w:t>
      </w:r>
      <w:r>
        <w:rPr>
          <w:rFonts w:hint="eastAsia"/>
          <w:color w:val="auto"/>
          <w:szCs w:val="21"/>
          <w:highlight w:val="none"/>
          <w:u w:val="none"/>
        </w:rPr>
        <w:t>；</w:t>
      </w:r>
    </w:p>
    <w:p w14:paraId="7DC804C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color w:val="auto"/>
          <w:szCs w:val="21"/>
          <w:highlight w:val="none"/>
          <w:u w:val="none"/>
        </w:rPr>
        <w:t>设计费以经评审的招标控制价作为计费</w:t>
      </w:r>
      <w:r>
        <w:rPr>
          <w:rFonts w:hint="eastAsia"/>
          <w:color w:val="auto"/>
          <w:szCs w:val="21"/>
          <w:highlight w:val="none"/>
          <w:u w:val="none"/>
          <w:lang w:val="en-US" w:eastAsia="zh-CN"/>
        </w:rPr>
        <w:t>额</w:t>
      </w:r>
      <w:r>
        <w:rPr>
          <w:rFonts w:hint="eastAsia"/>
          <w:color w:val="auto"/>
          <w:szCs w:val="21"/>
          <w:highlight w:val="none"/>
          <w:u w:val="none"/>
          <w:lang w:eastAsia="zh-CN"/>
        </w:rPr>
        <w:t>，</w:t>
      </w:r>
      <w:r>
        <w:rPr>
          <w:rFonts w:hint="eastAsia"/>
          <w:color w:val="auto"/>
          <w:szCs w:val="21"/>
          <w:highlight w:val="none"/>
          <w:u w:val="none"/>
          <w:lang w:val="en-US" w:eastAsia="zh-CN"/>
        </w:rPr>
        <w:t>参照</w:t>
      </w:r>
      <w:r>
        <w:rPr>
          <w:rFonts w:hint="eastAsia"/>
          <w:color w:val="auto"/>
          <w:szCs w:val="21"/>
          <w:highlight w:val="none"/>
          <w:u w:val="none"/>
        </w:rPr>
        <w:t>《工程勘察设计收费管理规定》（计价格</w:t>
      </w:r>
      <w:r>
        <w:rPr>
          <w:rFonts w:hint="eastAsia"/>
          <w:color w:val="auto"/>
          <w:szCs w:val="21"/>
          <w:highlight w:val="none"/>
          <w:u w:val="none"/>
          <w:lang w:eastAsia="zh-CN"/>
        </w:rPr>
        <w:t>【</w:t>
      </w:r>
      <w:r>
        <w:rPr>
          <w:rFonts w:hint="eastAsia"/>
          <w:color w:val="auto"/>
          <w:szCs w:val="21"/>
          <w:highlight w:val="none"/>
          <w:u w:val="none"/>
        </w:rPr>
        <w:t>2002</w:t>
      </w:r>
      <w:r>
        <w:rPr>
          <w:rFonts w:hint="eastAsia"/>
          <w:color w:val="auto"/>
          <w:szCs w:val="21"/>
          <w:highlight w:val="none"/>
          <w:u w:val="none"/>
          <w:lang w:eastAsia="zh-CN"/>
        </w:rPr>
        <w:t>】</w:t>
      </w:r>
      <w:r>
        <w:rPr>
          <w:rFonts w:hint="eastAsia"/>
          <w:color w:val="auto"/>
          <w:szCs w:val="21"/>
          <w:highlight w:val="none"/>
          <w:u w:val="none"/>
        </w:rPr>
        <w:t>10号）</w:t>
      </w:r>
      <w:r>
        <w:rPr>
          <w:rFonts w:hint="eastAsia"/>
          <w:color w:val="auto"/>
          <w:szCs w:val="21"/>
          <w:highlight w:val="none"/>
          <w:u w:val="none"/>
          <w:lang w:val="en-US" w:eastAsia="zh-CN"/>
        </w:rPr>
        <w:t>文的计算标准进行结算。</w:t>
      </w:r>
      <w:r>
        <w:rPr>
          <w:rFonts w:hint="eastAsia" w:ascii="Times New Roman" w:hAnsi="Times New Roman" w:eastAsia="宋体" w:cs="Times New Roman"/>
          <w:b w:val="0"/>
          <w:bCs/>
          <w:color w:val="auto"/>
          <w:highlight w:val="none"/>
        </w:rPr>
        <w:t>本项目</w:t>
      </w:r>
      <w:r>
        <w:rPr>
          <w:rFonts w:hint="eastAsia" w:ascii="Times New Roman" w:hAnsi="Times New Roman" w:eastAsia="宋体" w:cs="Times New Roman"/>
          <w:b w:val="0"/>
          <w:bCs/>
          <w:color w:val="auto"/>
          <w:highlight w:val="none"/>
          <w:lang w:val="en-US" w:eastAsia="zh-CN"/>
        </w:rPr>
        <w:t>招标</w:t>
      </w:r>
      <w:r>
        <w:rPr>
          <w:rFonts w:hint="eastAsia" w:ascii="Times New Roman" w:hAnsi="Times New Roman" w:eastAsia="宋体" w:cs="Times New Roman"/>
          <w:b w:val="0"/>
          <w:bCs/>
          <w:color w:val="auto"/>
          <w:highlight w:val="none"/>
        </w:rPr>
        <w:t>内容为本工程项目初步设计（含概算编制）、施工图设计及施工配合，不</w:t>
      </w:r>
      <w:r>
        <w:rPr>
          <w:rFonts w:hint="eastAsia" w:ascii="Times New Roman" w:hAnsi="Times New Roman" w:eastAsia="宋体" w:cs="Times New Roman"/>
          <w:b w:val="0"/>
          <w:bCs/>
          <w:color w:val="auto"/>
          <w:highlight w:val="none"/>
          <w:lang w:val="en-US" w:eastAsia="zh-CN"/>
        </w:rPr>
        <w:t>包</w:t>
      </w:r>
      <w:r>
        <w:rPr>
          <w:rFonts w:hint="eastAsia" w:ascii="Times New Roman" w:hAnsi="Times New Roman" w:eastAsia="宋体" w:cs="Times New Roman"/>
          <w:b w:val="0"/>
          <w:bCs/>
          <w:color w:val="auto"/>
          <w:highlight w:val="none"/>
        </w:rPr>
        <w:t>含方案设计，工作量</w:t>
      </w:r>
      <w:r>
        <w:rPr>
          <w:rFonts w:hint="eastAsia" w:ascii="Times New Roman" w:hAnsi="Times New Roman" w:eastAsia="宋体" w:cs="Times New Roman"/>
          <w:b w:val="0"/>
          <w:bCs/>
          <w:color w:val="auto"/>
          <w:highlight w:val="none"/>
          <w:lang w:val="en-US" w:eastAsia="zh-CN"/>
        </w:rPr>
        <w:t>比例</w:t>
      </w:r>
      <w:r>
        <w:rPr>
          <w:rFonts w:hint="eastAsia" w:ascii="Times New Roman" w:hAnsi="Times New Roman" w:eastAsia="宋体" w:cs="Times New Roman"/>
          <w:b w:val="0"/>
          <w:bCs/>
          <w:color w:val="auto"/>
          <w:highlight w:val="none"/>
        </w:rPr>
        <w:t>取</w:t>
      </w:r>
      <w:r>
        <w:rPr>
          <w:rFonts w:hint="eastAsia" w:ascii="Times New Roman" w:hAnsi="Times New Roman" w:eastAsia="宋体" w:cs="Times New Roman"/>
          <w:b w:val="0"/>
          <w:bCs/>
          <w:color w:val="auto"/>
          <w:highlight w:val="none"/>
          <w:lang w:val="en-US" w:eastAsia="zh-CN"/>
        </w:rPr>
        <w:t>85%</w:t>
      </w:r>
      <w:r>
        <w:rPr>
          <w:rFonts w:hint="eastAsia" w:ascii="Times New Roman" w:hAnsi="Times New Roman" w:eastAsia="宋体" w:cs="Times New Roman"/>
          <w:b w:val="0"/>
          <w:bCs/>
          <w:color w:val="auto"/>
          <w:highlight w:val="none"/>
        </w:rPr>
        <w:t>。</w:t>
      </w:r>
      <w:r>
        <w:rPr>
          <w:rFonts w:hint="eastAsia"/>
          <w:color w:val="auto"/>
          <w:szCs w:val="21"/>
          <w:highlight w:val="none"/>
          <w:u w:val="none"/>
          <w:lang w:val="en-US" w:eastAsia="zh-CN"/>
        </w:rPr>
        <w:t>具体计算公式如下：设计费=</w:t>
      </w:r>
      <w:r>
        <w:rPr>
          <w:rFonts w:hint="eastAsia"/>
          <w:color w:val="auto"/>
          <w:szCs w:val="21"/>
          <w:highlight w:val="none"/>
          <w:u w:val="none"/>
        </w:rPr>
        <w:t>《工程勘察设计收费管理规定》（计价格</w:t>
      </w:r>
      <w:r>
        <w:rPr>
          <w:rFonts w:hint="eastAsia"/>
          <w:color w:val="auto"/>
          <w:szCs w:val="21"/>
          <w:highlight w:val="none"/>
          <w:u w:val="none"/>
          <w:lang w:eastAsia="zh-CN"/>
        </w:rPr>
        <w:t>【</w:t>
      </w:r>
      <w:r>
        <w:rPr>
          <w:rFonts w:hint="eastAsia"/>
          <w:color w:val="auto"/>
          <w:szCs w:val="21"/>
          <w:highlight w:val="none"/>
          <w:u w:val="none"/>
        </w:rPr>
        <w:t>2002</w:t>
      </w:r>
      <w:r>
        <w:rPr>
          <w:rFonts w:hint="eastAsia"/>
          <w:color w:val="auto"/>
          <w:szCs w:val="21"/>
          <w:highlight w:val="none"/>
          <w:u w:val="none"/>
          <w:lang w:eastAsia="zh-CN"/>
        </w:rPr>
        <w:t>】</w:t>
      </w:r>
      <w:r>
        <w:rPr>
          <w:rFonts w:hint="eastAsia"/>
          <w:color w:val="auto"/>
          <w:szCs w:val="21"/>
          <w:highlight w:val="none"/>
          <w:u w:val="none"/>
        </w:rPr>
        <w:t>10号）</w:t>
      </w:r>
      <w:r>
        <w:rPr>
          <w:rFonts w:hint="eastAsia"/>
          <w:color w:val="auto"/>
          <w:szCs w:val="21"/>
          <w:highlight w:val="none"/>
          <w:u w:val="none"/>
          <w:lang w:val="en-US" w:eastAsia="zh-CN"/>
        </w:rPr>
        <w:t>工程设计收费基价×专业调整系数（1.0）×工程复杂程度调整系数（1.0）×附加调整系数（1.0）×工作量比例（85%）×中标折扣率</w:t>
      </w:r>
      <w:r>
        <w:rPr>
          <w:rFonts w:hint="eastAsia"/>
          <w:color w:val="auto"/>
          <w:szCs w:val="21"/>
          <w:highlight w:val="none"/>
          <w:u w:val="single"/>
          <w:lang w:val="en-US" w:eastAsia="zh-CN"/>
        </w:rPr>
        <w:t xml:space="preserve">     </w:t>
      </w:r>
      <w:r>
        <w:rPr>
          <w:rFonts w:hint="eastAsia"/>
          <w:color w:val="auto"/>
          <w:szCs w:val="21"/>
          <w:highlight w:val="none"/>
          <w:u w:val="none"/>
          <w:lang w:val="en-US" w:eastAsia="zh-CN"/>
        </w:rPr>
        <w:t>%</w:t>
      </w:r>
      <w:r>
        <w:rPr>
          <w:rFonts w:hint="eastAsia" w:ascii="宋体" w:hAnsi="宋体"/>
          <w:color w:val="auto"/>
          <w:kern w:val="0"/>
          <w:szCs w:val="21"/>
          <w:highlight w:val="none"/>
          <w:u w:val="none"/>
        </w:rPr>
        <w:t>。</w:t>
      </w:r>
    </w:p>
    <w:p w14:paraId="67E41202">
      <w:pPr>
        <w:tabs>
          <w:tab w:val="left" w:pos="7560"/>
        </w:tabs>
        <w:spacing w:line="360" w:lineRule="auto"/>
        <w:ind w:firstLine="420" w:firstLineChars="200"/>
        <w:rPr>
          <w:rFonts w:ascii="宋体" w:hAnsi="宋体" w:cs="宋体"/>
          <w:b/>
          <w:bCs/>
          <w:color w:val="auto"/>
          <w:szCs w:val="21"/>
          <w:highlight w:val="none"/>
        </w:rPr>
      </w:pPr>
      <w:r>
        <w:rPr>
          <w:rFonts w:hint="eastAsia" w:ascii="宋体" w:hAnsi="宋体" w:cs="宋体"/>
          <w:color w:val="auto"/>
          <w:szCs w:val="21"/>
          <w:highlight w:val="none"/>
        </w:rPr>
        <w:t>（2）合同金额暂定为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元整）。最终设计费以实际结算金额为准。</w:t>
      </w:r>
    </w:p>
    <w:p w14:paraId="5455CE0C">
      <w:pPr>
        <w:adjustRightInd w:val="0"/>
        <w:spacing w:line="400" w:lineRule="exact"/>
        <w:ind w:firstLine="422" w:firstLineChars="200"/>
        <w:rPr>
          <w:rFonts w:ascii="宋体" w:hAnsi="宋体" w:cs="黑体"/>
          <w:b/>
          <w:bCs/>
          <w:color w:val="auto"/>
          <w:szCs w:val="21"/>
          <w:highlight w:val="none"/>
        </w:rPr>
      </w:pPr>
      <w:r>
        <w:rPr>
          <w:rFonts w:ascii="宋体" w:hAnsi="宋体" w:cs="黑体"/>
          <w:b/>
          <w:bCs/>
          <w:color w:val="auto"/>
          <w:szCs w:val="21"/>
          <w:highlight w:val="none"/>
        </w:rPr>
        <w:t xml:space="preserve">10.3 </w:t>
      </w:r>
      <w:r>
        <w:rPr>
          <w:rFonts w:hint="eastAsia" w:ascii="宋体" w:hAnsi="宋体" w:cs="黑体"/>
          <w:b/>
          <w:bCs/>
          <w:color w:val="auto"/>
          <w:szCs w:val="21"/>
          <w:highlight w:val="none"/>
        </w:rPr>
        <w:t>定金或预付款</w:t>
      </w:r>
    </w:p>
    <w:p w14:paraId="5E38B52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10.3.1 定金或预付款的比例</w:t>
      </w:r>
    </w:p>
    <w:p w14:paraId="641204D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定金的比例 </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或预付款的比例</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B24DBFF">
      <w:pPr>
        <w:spacing w:line="360" w:lineRule="auto"/>
        <w:ind w:firstLine="420" w:firstLineChars="200"/>
        <w:jc w:val="left"/>
        <w:rPr>
          <w:rFonts w:ascii="宋体" w:hAnsi="宋体" w:cs="宋体"/>
          <w:color w:val="auto"/>
          <w:highlight w:val="none"/>
        </w:rPr>
      </w:pPr>
      <w:r>
        <w:rPr>
          <w:rFonts w:hint="eastAsia" w:ascii="宋体" w:hAnsi="宋体" w:cs="宋体"/>
          <w:color w:val="auto"/>
          <w:szCs w:val="21"/>
          <w:highlight w:val="none"/>
        </w:rPr>
        <w:t>10.</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合同价款的支付见下表：</w:t>
      </w:r>
    </w:p>
    <w:tbl>
      <w:tblPr>
        <w:tblStyle w:val="40"/>
        <w:tblW w:w="9014" w:type="dxa"/>
        <w:tblInd w:w="3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
      <w:tblGrid>
        <w:gridCol w:w="2095"/>
        <w:gridCol w:w="1342"/>
        <w:gridCol w:w="1392"/>
        <w:gridCol w:w="4185"/>
      </w:tblGrid>
      <w:tr w14:paraId="22FB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c>
          <w:tcPr>
            <w:tcW w:w="2095" w:type="dxa"/>
            <w:noWrap w:val="0"/>
            <w:vAlign w:val="center"/>
          </w:tcPr>
          <w:p w14:paraId="0E0B9B65">
            <w:pPr>
              <w:spacing w:line="360" w:lineRule="auto"/>
              <w:jc w:val="center"/>
              <w:rPr>
                <w:rFonts w:ascii="宋体" w:hAnsi="宋体"/>
                <w:color w:val="auto"/>
                <w:szCs w:val="21"/>
                <w:highlight w:val="none"/>
              </w:rPr>
            </w:pPr>
            <w:r>
              <w:rPr>
                <w:rFonts w:ascii="宋体" w:hAnsi="宋体"/>
                <w:color w:val="auto"/>
                <w:szCs w:val="21"/>
                <w:highlight w:val="none"/>
              </w:rPr>
              <w:t>付费次序</w:t>
            </w:r>
          </w:p>
        </w:tc>
        <w:tc>
          <w:tcPr>
            <w:tcW w:w="1342" w:type="dxa"/>
            <w:noWrap w:val="0"/>
            <w:vAlign w:val="center"/>
          </w:tcPr>
          <w:p w14:paraId="2722AF71">
            <w:pPr>
              <w:spacing w:line="360" w:lineRule="auto"/>
              <w:jc w:val="center"/>
              <w:rPr>
                <w:rFonts w:ascii="宋体" w:hAnsi="宋体"/>
                <w:color w:val="auto"/>
                <w:szCs w:val="21"/>
                <w:highlight w:val="none"/>
              </w:rPr>
            </w:pPr>
            <w:r>
              <w:rPr>
                <w:rFonts w:ascii="宋体" w:hAnsi="宋体"/>
                <w:color w:val="auto"/>
                <w:szCs w:val="21"/>
                <w:highlight w:val="none"/>
              </w:rPr>
              <w:t>占总设计费%</w:t>
            </w:r>
          </w:p>
        </w:tc>
        <w:tc>
          <w:tcPr>
            <w:tcW w:w="1392" w:type="dxa"/>
            <w:noWrap w:val="0"/>
            <w:vAlign w:val="center"/>
          </w:tcPr>
          <w:p w14:paraId="378B8343">
            <w:pPr>
              <w:spacing w:line="360" w:lineRule="auto"/>
              <w:jc w:val="center"/>
              <w:rPr>
                <w:rFonts w:ascii="宋体" w:hAnsi="宋体"/>
                <w:color w:val="auto"/>
                <w:szCs w:val="21"/>
                <w:highlight w:val="none"/>
              </w:rPr>
            </w:pPr>
            <w:r>
              <w:rPr>
                <w:rFonts w:ascii="宋体" w:hAnsi="宋体"/>
                <w:color w:val="auto"/>
                <w:szCs w:val="21"/>
                <w:highlight w:val="none"/>
              </w:rPr>
              <w:t>付费额</w:t>
            </w:r>
          </w:p>
          <w:p w14:paraId="5449218C">
            <w:pPr>
              <w:spacing w:line="360" w:lineRule="auto"/>
              <w:jc w:val="center"/>
              <w:rPr>
                <w:rFonts w:ascii="宋体" w:hAnsi="宋体"/>
                <w:color w:val="auto"/>
                <w:szCs w:val="21"/>
                <w:highlight w:val="none"/>
              </w:rPr>
            </w:pPr>
            <w:r>
              <w:rPr>
                <w:rFonts w:ascii="宋体" w:hAnsi="宋体"/>
                <w:color w:val="auto"/>
                <w:szCs w:val="21"/>
                <w:highlight w:val="none"/>
              </w:rPr>
              <w:t>（元）</w:t>
            </w:r>
          </w:p>
        </w:tc>
        <w:tc>
          <w:tcPr>
            <w:tcW w:w="4185" w:type="dxa"/>
            <w:noWrap w:val="0"/>
            <w:vAlign w:val="center"/>
          </w:tcPr>
          <w:p w14:paraId="5E995A4D">
            <w:pPr>
              <w:spacing w:line="360" w:lineRule="auto"/>
              <w:ind w:left="-16" w:leftChars="-25" w:hanging="37" w:hangingChars="18"/>
              <w:jc w:val="center"/>
              <w:rPr>
                <w:rFonts w:ascii="宋体" w:hAnsi="宋体"/>
                <w:color w:val="auto"/>
                <w:szCs w:val="21"/>
                <w:highlight w:val="none"/>
              </w:rPr>
            </w:pPr>
            <w:r>
              <w:rPr>
                <w:rFonts w:ascii="宋体" w:hAnsi="宋体"/>
                <w:color w:val="auto"/>
                <w:szCs w:val="21"/>
                <w:highlight w:val="none"/>
              </w:rPr>
              <w:t>付费时间（由交付设计文件所决定）</w:t>
            </w:r>
          </w:p>
        </w:tc>
      </w:tr>
      <w:tr w14:paraId="442B2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676" w:hRule="atLeast"/>
        </w:trPr>
        <w:tc>
          <w:tcPr>
            <w:tcW w:w="2095" w:type="dxa"/>
            <w:noWrap w:val="0"/>
            <w:vAlign w:val="center"/>
          </w:tcPr>
          <w:p w14:paraId="371D0BAC">
            <w:pPr>
              <w:tabs>
                <w:tab w:val="left" w:pos="3600"/>
                <w:tab w:val="left" w:pos="5040"/>
              </w:tabs>
              <w:spacing w:line="276" w:lineRule="auto"/>
              <w:jc w:val="center"/>
              <w:rPr>
                <w:color w:val="auto"/>
                <w:szCs w:val="21"/>
                <w:highlight w:val="none"/>
              </w:rPr>
            </w:pPr>
            <w:r>
              <w:rPr>
                <w:rFonts w:hint="eastAsia"/>
                <w:color w:val="auto"/>
                <w:szCs w:val="21"/>
                <w:highlight w:val="none"/>
              </w:rPr>
              <w:t>第一次付费</w:t>
            </w:r>
          </w:p>
        </w:tc>
        <w:tc>
          <w:tcPr>
            <w:tcW w:w="1342" w:type="dxa"/>
            <w:noWrap w:val="0"/>
            <w:vAlign w:val="center"/>
          </w:tcPr>
          <w:p w14:paraId="7C5AC05A">
            <w:pPr>
              <w:tabs>
                <w:tab w:val="left" w:pos="3600"/>
                <w:tab w:val="left" w:pos="5040"/>
              </w:tabs>
              <w:spacing w:line="276" w:lineRule="auto"/>
              <w:jc w:val="center"/>
              <w:rPr>
                <w:color w:val="auto"/>
                <w:szCs w:val="21"/>
                <w:highlight w:val="none"/>
              </w:rPr>
            </w:pPr>
            <w:r>
              <w:rPr>
                <w:rFonts w:hint="eastAsia" w:cs="Calibri"/>
                <w:color w:val="auto"/>
                <w:szCs w:val="21"/>
                <w:highlight w:val="none"/>
              </w:rPr>
              <w:t>20</w:t>
            </w:r>
            <w:r>
              <w:rPr>
                <w:rFonts w:cs="Calibri"/>
                <w:color w:val="auto"/>
                <w:szCs w:val="21"/>
                <w:highlight w:val="none"/>
              </w:rPr>
              <w:t>%</w:t>
            </w:r>
          </w:p>
        </w:tc>
        <w:tc>
          <w:tcPr>
            <w:tcW w:w="1392" w:type="dxa"/>
            <w:noWrap w:val="0"/>
            <w:vAlign w:val="center"/>
          </w:tcPr>
          <w:p w14:paraId="671CD70F">
            <w:pPr>
              <w:tabs>
                <w:tab w:val="left" w:pos="3600"/>
                <w:tab w:val="left" w:pos="5040"/>
              </w:tabs>
              <w:spacing w:line="276" w:lineRule="auto"/>
              <w:jc w:val="center"/>
              <w:rPr>
                <w:color w:val="auto"/>
                <w:szCs w:val="21"/>
                <w:highlight w:val="none"/>
              </w:rPr>
            </w:pPr>
          </w:p>
        </w:tc>
        <w:tc>
          <w:tcPr>
            <w:tcW w:w="4185" w:type="dxa"/>
            <w:noWrap w:val="0"/>
            <w:vAlign w:val="center"/>
          </w:tcPr>
          <w:p w14:paraId="25F4924A">
            <w:pPr>
              <w:widowControl/>
              <w:adjustRightInd w:val="0"/>
              <w:snapToGrid w:val="0"/>
              <w:spacing w:line="360" w:lineRule="exact"/>
              <w:jc w:val="center"/>
              <w:rPr>
                <w:rFonts w:hint="eastAsia" w:ascii="宋体" w:hAnsi="宋体"/>
                <w:color w:val="auto"/>
                <w:highlight w:val="none"/>
                <w:u w:val="single"/>
              </w:rPr>
            </w:pPr>
            <w:r>
              <w:rPr>
                <w:rFonts w:hint="eastAsia" w:ascii="宋体" w:hAnsi="宋体" w:cs="宋体"/>
                <w:color w:val="auto"/>
                <w:szCs w:val="21"/>
                <w:highlight w:val="none"/>
              </w:rPr>
              <w:t>合同签订后，设计人提供初步设计初稿后，并提供请款申请和相应发票后，支付至设计费的20%。</w:t>
            </w:r>
          </w:p>
        </w:tc>
      </w:tr>
      <w:tr w14:paraId="4B93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676" w:hRule="atLeast"/>
        </w:trPr>
        <w:tc>
          <w:tcPr>
            <w:tcW w:w="2095" w:type="dxa"/>
            <w:noWrap w:val="0"/>
            <w:vAlign w:val="center"/>
          </w:tcPr>
          <w:p w14:paraId="5EAB6C03">
            <w:pPr>
              <w:tabs>
                <w:tab w:val="left" w:pos="3600"/>
                <w:tab w:val="left" w:pos="5040"/>
              </w:tabs>
              <w:spacing w:line="276" w:lineRule="auto"/>
              <w:jc w:val="center"/>
              <w:rPr>
                <w:color w:val="auto"/>
                <w:szCs w:val="21"/>
                <w:highlight w:val="none"/>
              </w:rPr>
            </w:pPr>
            <w:r>
              <w:rPr>
                <w:rFonts w:hint="eastAsia"/>
                <w:color w:val="auto"/>
                <w:szCs w:val="21"/>
                <w:highlight w:val="none"/>
              </w:rPr>
              <w:t>第二次付费</w:t>
            </w:r>
          </w:p>
        </w:tc>
        <w:tc>
          <w:tcPr>
            <w:tcW w:w="1342" w:type="dxa"/>
            <w:noWrap w:val="0"/>
            <w:vAlign w:val="center"/>
          </w:tcPr>
          <w:p w14:paraId="183C9BE3">
            <w:pPr>
              <w:tabs>
                <w:tab w:val="left" w:pos="3600"/>
                <w:tab w:val="left" w:pos="5040"/>
              </w:tabs>
              <w:spacing w:line="276" w:lineRule="auto"/>
              <w:jc w:val="center"/>
              <w:rPr>
                <w:rFonts w:cs="Calibri"/>
                <w:color w:val="auto"/>
                <w:szCs w:val="21"/>
                <w:highlight w:val="none"/>
              </w:rPr>
            </w:pPr>
            <w:r>
              <w:rPr>
                <w:rFonts w:hint="eastAsia" w:cs="Calibri"/>
                <w:color w:val="auto"/>
                <w:szCs w:val="21"/>
                <w:highlight w:val="none"/>
              </w:rPr>
              <w:t>20%</w:t>
            </w:r>
          </w:p>
        </w:tc>
        <w:tc>
          <w:tcPr>
            <w:tcW w:w="1392" w:type="dxa"/>
            <w:noWrap w:val="0"/>
            <w:vAlign w:val="center"/>
          </w:tcPr>
          <w:p w14:paraId="62977211">
            <w:pPr>
              <w:tabs>
                <w:tab w:val="left" w:pos="3600"/>
                <w:tab w:val="left" w:pos="5040"/>
              </w:tabs>
              <w:spacing w:line="276" w:lineRule="auto"/>
              <w:jc w:val="center"/>
              <w:rPr>
                <w:color w:val="auto"/>
                <w:szCs w:val="21"/>
                <w:highlight w:val="none"/>
              </w:rPr>
            </w:pPr>
          </w:p>
        </w:tc>
        <w:tc>
          <w:tcPr>
            <w:tcW w:w="4185" w:type="dxa"/>
            <w:noWrap w:val="0"/>
            <w:vAlign w:val="center"/>
          </w:tcPr>
          <w:p w14:paraId="2125C884">
            <w:pPr>
              <w:widowControl/>
              <w:adjustRightInd w:val="0"/>
              <w:snapToGrid w:val="0"/>
              <w:spacing w:line="360" w:lineRule="exact"/>
              <w:jc w:val="center"/>
              <w:rPr>
                <w:rFonts w:hint="eastAsia" w:ascii="宋体" w:hAnsi="宋体"/>
                <w:color w:val="auto"/>
                <w:highlight w:val="none"/>
                <w:u w:val="single"/>
              </w:rPr>
            </w:pPr>
            <w:r>
              <w:rPr>
                <w:rFonts w:hint="eastAsia" w:ascii="宋体" w:hAnsi="宋体" w:cs="宋体"/>
                <w:color w:val="auto"/>
                <w:szCs w:val="21"/>
                <w:highlight w:val="none"/>
              </w:rPr>
              <w:t>初步设计通过政府相关部门审批后，设计人提供请款申请和相应发票后，支付至设计费的40%。</w:t>
            </w:r>
          </w:p>
        </w:tc>
      </w:tr>
      <w:tr w14:paraId="74AA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58" w:hRule="atLeast"/>
        </w:trPr>
        <w:tc>
          <w:tcPr>
            <w:tcW w:w="2095" w:type="dxa"/>
            <w:noWrap w:val="0"/>
            <w:vAlign w:val="center"/>
          </w:tcPr>
          <w:p w14:paraId="78E39CF9">
            <w:pPr>
              <w:tabs>
                <w:tab w:val="left" w:pos="3600"/>
                <w:tab w:val="left" w:pos="5040"/>
              </w:tabs>
              <w:spacing w:line="276" w:lineRule="auto"/>
              <w:jc w:val="center"/>
              <w:rPr>
                <w:color w:val="auto"/>
                <w:szCs w:val="21"/>
                <w:highlight w:val="none"/>
              </w:rPr>
            </w:pPr>
            <w:r>
              <w:rPr>
                <w:rFonts w:hint="eastAsia"/>
                <w:color w:val="auto"/>
                <w:szCs w:val="21"/>
                <w:highlight w:val="none"/>
              </w:rPr>
              <w:t>第三次付费</w:t>
            </w:r>
          </w:p>
        </w:tc>
        <w:tc>
          <w:tcPr>
            <w:tcW w:w="1342" w:type="dxa"/>
            <w:noWrap w:val="0"/>
            <w:vAlign w:val="center"/>
          </w:tcPr>
          <w:p w14:paraId="47DDC954">
            <w:pPr>
              <w:tabs>
                <w:tab w:val="left" w:pos="3600"/>
                <w:tab w:val="left" w:pos="5040"/>
              </w:tabs>
              <w:spacing w:line="276" w:lineRule="auto"/>
              <w:jc w:val="center"/>
              <w:rPr>
                <w:color w:val="auto"/>
                <w:szCs w:val="21"/>
                <w:highlight w:val="none"/>
              </w:rPr>
            </w:pPr>
            <w:r>
              <w:rPr>
                <w:rFonts w:hint="eastAsia" w:cs="Calibri"/>
                <w:color w:val="auto"/>
                <w:szCs w:val="21"/>
                <w:highlight w:val="none"/>
              </w:rPr>
              <w:t>40</w:t>
            </w:r>
            <w:r>
              <w:rPr>
                <w:rFonts w:cs="Calibri"/>
                <w:color w:val="auto"/>
                <w:szCs w:val="21"/>
                <w:highlight w:val="none"/>
              </w:rPr>
              <w:t>%</w:t>
            </w:r>
          </w:p>
        </w:tc>
        <w:tc>
          <w:tcPr>
            <w:tcW w:w="1392" w:type="dxa"/>
            <w:noWrap w:val="0"/>
            <w:vAlign w:val="center"/>
          </w:tcPr>
          <w:p w14:paraId="5C0F3F34">
            <w:pPr>
              <w:tabs>
                <w:tab w:val="left" w:pos="3600"/>
                <w:tab w:val="left" w:pos="5040"/>
              </w:tabs>
              <w:spacing w:line="276" w:lineRule="auto"/>
              <w:jc w:val="center"/>
              <w:rPr>
                <w:color w:val="auto"/>
                <w:szCs w:val="21"/>
                <w:highlight w:val="none"/>
              </w:rPr>
            </w:pPr>
          </w:p>
        </w:tc>
        <w:tc>
          <w:tcPr>
            <w:tcW w:w="4185" w:type="dxa"/>
            <w:noWrap w:val="0"/>
            <w:vAlign w:val="center"/>
          </w:tcPr>
          <w:p w14:paraId="2932AD9E">
            <w:pPr>
              <w:widowControl/>
              <w:adjustRightInd w:val="0"/>
              <w:snapToGrid w:val="0"/>
              <w:spacing w:line="360" w:lineRule="exact"/>
              <w:jc w:val="center"/>
              <w:rPr>
                <w:rFonts w:hint="eastAsia" w:ascii="宋体" w:hAnsi="宋体"/>
                <w:color w:val="auto"/>
                <w:highlight w:val="none"/>
                <w:u w:val="single"/>
              </w:rPr>
            </w:pPr>
            <w:r>
              <w:rPr>
                <w:rFonts w:hint="eastAsia" w:ascii="宋体" w:hAnsi="宋体" w:cs="宋体"/>
                <w:color w:val="auto"/>
                <w:szCs w:val="21"/>
                <w:highlight w:val="none"/>
              </w:rPr>
              <w:t>本工程施工招标完成，并按图纸交底会审完善相应设计后，设计人提供请款申请和相应发票后，支付至设计费的80%。</w:t>
            </w:r>
          </w:p>
        </w:tc>
      </w:tr>
      <w:tr w14:paraId="6655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1120" w:hRule="atLeast"/>
        </w:trPr>
        <w:tc>
          <w:tcPr>
            <w:tcW w:w="2095" w:type="dxa"/>
            <w:noWrap w:val="0"/>
            <w:vAlign w:val="center"/>
          </w:tcPr>
          <w:p w14:paraId="60888DAC">
            <w:pPr>
              <w:tabs>
                <w:tab w:val="left" w:pos="3600"/>
                <w:tab w:val="left" w:pos="5040"/>
              </w:tabs>
              <w:spacing w:line="276" w:lineRule="auto"/>
              <w:jc w:val="center"/>
              <w:rPr>
                <w:color w:val="auto"/>
                <w:szCs w:val="21"/>
                <w:highlight w:val="none"/>
              </w:rPr>
            </w:pPr>
            <w:r>
              <w:rPr>
                <w:rFonts w:hint="eastAsia"/>
                <w:color w:val="auto"/>
                <w:szCs w:val="21"/>
                <w:highlight w:val="none"/>
              </w:rPr>
              <w:t>第四次付费</w:t>
            </w:r>
          </w:p>
        </w:tc>
        <w:tc>
          <w:tcPr>
            <w:tcW w:w="1342" w:type="dxa"/>
            <w:noWrap w:val="0"/>
            <w:vAlign w:val="center"/>
          </w:tcPr>
          <w:p w14:paraId="3979E82F">
            <w:pPr>
              <w:tabs>
                <w:tab w:val="left" w:pos="3600"/>
                <w:tab w:val="left" w:pos="5040"/>
              </w:tabs>
              <w:spacing w:line="276" w:lineRule="auto"/>
              <w:jc w:val="center"/>
              <w:rPr>
                <w:rFonts w:cs="Calibri"/>
                <w:color w:val="auto"/>
                <w:szCs w:val="21"/>
                <w:highlight w:val="none"/>
              </w:rPr>
            </w:pPr>
            <w:r>
              <w:rPr>
                <w:rFonts w:hint="eastAsia" w:cs="Calibri"/>
                <w:color w:val="auto"/>
                <w:szCs w:val="21"/>
                <w:highlight w:val="none"/>
              </w:rPr>
              <w:t>20</w:t>
            </w:r>
            <w:r>
              <w:rPr>
                <w:rFonts w:cs="Calibri"/>
                <w:color w:val="auto"/>
                <w:szCs w:val="21"/>
                <w:highlight w:val="none"/>
              </w:rPr>
              <w:t>%</w:t>
            </w:r>
          </w:p>
        </w:tc>
        <w:tc>
          <w:tcPr>
            <w:tcW w:w="1392" w:type="dxa"/>
            <w:noWrap w:val="0"/>
            <w:vAlign w:val="center"/>
          </w:tcPr>
          <w:p w14:paraId="435E802C">
            <w:pPr>
              <w:tabs>
                <w:tab w:val="left" w:pos="3600"/>
                <w:tab w:val="left" w:pos="5040"/>
              </w:tabs>
              <w:spacing w:line="276" w:lineRule="auto"/>
              <w:jc w:val="center"/>
              <w:rPr>
                <w:rFonts w:ascii="宋体" w:cs="宋体"/>
                <w:color w:val="auto"/>
                <w:szCs w:val="21"/>
                <w:highlight w:val="none"/>
                <w:lang w:val="zh-CN"/>
              </w:rPr>
            </w:pPr>
          </w:p>
        </w:tc>
        <w:tc>
          <w:tcPr>
            <w:tcW w:w="4185" w:type="dxa"/>
            <w:noWrap w:val="0"/>
            <w:vAlign w:val="center"/>
          </w:tcPr>
          <w:p w14:paraId="384CCE28">
            <w:pPr>
              <w:widowControl/>
              <w:jc w:val="center"/>
              <w:rPr>
                <w:rFonts w:hint="eastAsia" w:ascii="宋体" w:hAnsi="宋体"/>
                <w:color w:val="auto"/>
                <w:highlight w:val="none"/>
                <w:u w:val="single"/>
              </w:rPr>
            </w:pPr>
            <w:r>
              <w:rPr>
                <w:rFonts w:hint="eastAsia" w:ascii="宋体" w:hAnsi="宋体" w:cs="宋体"/>
                <w:color w:val="auto"/>
                <w:szCs w:val="21"/>
                <w:highlight w:val="none"/>
              </w:rPr>
              <w:t>本工程竣工验收及各专项验收合格且提供相关资料并签章完善后，设计人提供请款申请和相应发票后，支付至设计费的100%。</w:t>
            </w:r>
          </w:p>
        </w:tc>
      </w:tr>
    </w:tbl>
    <w:p w14:paraId="04EF4BCF">
      <w:pPr>
        <w:spacing w:line="360" w:lineRule="auto"/>
        <w:ind w:firstLine="420" w:firstLineChars="200"/>
        <w:jc w:val="left"/>
        <w:rPr>
          <w:rFonts w:ascii="宋体" w:hAnsi="宋体" w:cs="宋体"/>
          <w:color w:val="auto"/>
          <w:highlight w:val="none"/>
        </w:rPr>
      </w:pPr>
      <w:r>
        <w:rPr>
          <w:rFonts w:hint="eastAsia" w:ascii="宋体" w:hAnsi="宋体" w:cs="宋体"/>
          <w:color w:val="auto"/>
          <w:szCs w:val="21"/>
          <w:highlight w:val="none"/>
        </w:rPr>
        <w:t>（注：第三次、第四次付费额按实际招标控制价进行调整，设计人应在竣工备案完成一个月内，提出最终请款申请，否则责任自付。）</w:t>
      </w:r>
    </w:p>
    <w:p w14:paraId="008EC0D4">
      <w:pPr>
        <w:keepNext/>
        <w:keepLines/>
        <w:spacing w:before="120" w:after="120" w:line="360" w:lineRule="auto"/>
        <w:outlineLvl w:val="3"/>
        <w:rPr>
          <w:rFonts w:ascii="宋体" w:hAnsi="宋体" w:cs="黑体"/>
          <w:b/>
          <w:color w:val="auto"/>
          <w:sz w:val="24"/>
          <w:highlight w:val="none"/>
        </w:rPr>
      </w:pPr>
      <w:r>
        <w:rPr>
          <w:rFonts w:ascii="宋体" w:hAnsi="宋体" w:cs="黑体"/>
          <w:b/>
          <w:color w:val="auto"/>
          <w:sz w:val="24"/>
          <w:highlight w:val="none"/>
        </w:rPr>
        <w:t xml:space="preserve">11. </w:t>
      </w:r>
      <w:r>
        <w:rPr>
          <w:rFonts w:hint="eastAsia" w:ascii="宋体" w:hAnsi="宋体" w:cs="黑体"/>
          <w:b/>
          <w:color w:val="auto"/>
          <w:sz w:val="24"/>
          <w:highlight w:val="none"/>
        </w:rPr>
        <w:t>工程设计变更与索赔</w:t>
      </w:r>
    </w:p>
    <w:p w14:paraId="6F791C68">
      <w:pPr>
        <w:spacing w:line="360" w:lineRule="auto"/>
        <w:ind w:firstLine="420" w:firstLineChars="200"/>
        <w:rPr>
          <w:rFonts w:ascii="宋体" w:hAnsi="宋体" w:cs="宋体"/>
          <w:color w:val="auto"/>
          <w:kern w:val="0"/>
          <w:szCs w:val="21"/>
          <w:highlight w:val="none"/>
        </w:rPr>
      </w:pPr>
      <w:r>
        <w:rPr>
          <w:rFonts w:ascii="宋体" w:hAnsi="宋体"/>
          <w:color w:val="auto"/>
          <w:kern w:val="0"/>
          <w:szCs w:val="21"/>
          <w:highlight w:val="none"/>
        </w:rPr>
        <w:t>11.5</w:t>
      </w:r>
      <w:r>
        <w:rPr>
          <w:rFonts w:hint="eastAsia" w:ascii="宋体" w:hAnsi="宋体" w:cs="宋体"/>
          <w:color w:val="auto"/>
          <w:kern w:val="0"/>
          <w:szCs w:val="21"/>
          <w:highlight w:val="none"/>
        </w:rPr>
        <w:t>设计人应于认为有理由提出增加合同价款或延长设计周期的要求事项发生后</w:t>
      </w:r>
      <w:r>
        <w:rPr>
          <w:rFonts w:ascii="宋体" w:hAnsi="宋体" w:cs="宋体"/>
          <w:color w:val="auto"/>
          <w:kern w:val="0"/>
          <w:szCs w:val="21"/>
          <w:highlight w:val="none"/>
          <w:u w:val="single"/>
        </w:rPr>
        <w:t xml:space="preserve">  5 </w:t>
      </w:r>
      <w:r>
        <w:rPr>
          <w:rFonts w:hint="eastAsia" w:ascii="宋体" w:hAnsi="宋体" w:cs="宋体"/>
          <w:color w:val="auto"/>
          <w:kern w:val="0"/>
          <w:szCs w:val="21"/>
          <w:highlight w:val="none"/>
        </w:rPr>
        <w:t>天内书面通知发包人</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逾期视为设计人放弃增加合同价款或延长设计周期的权利，设计人不得再向发包人主张</w:t>
      </w:r>
      <w:r>
        <w:rPr>
          <w:rFonts w:hint="eastAsia" w:ascii="宋体" w:hAnsi="宋体" w:cs="宋体"/>
          <w:color w:val="auto"/>
          <w:kern w:val="0"/>
          <w:szCs w:val="21"/>
          <w:highlight w:val="none"/>
        </w:rPr>
        <w:t>。</w:t>
      </w:r>
    </w:p>
    <w:p w14:paraId="2C896A6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设计人应在该事项发生后</w:t>
      </w:r>
      <w:r>
        <w:rPr>
          <w:rFonts w:ascii="宋体" w:hAnsi="宋体" w:cs="宋体"/>
          <w:color w:val="auto"/>
          <w:kern w:val="0"/>
          <w:szCs w:val="21"/>
          <w:highlight w:val="none"/>
          <w:u w:val="single"/>
        </w:rPr>
        <w:t xml:space="preserve"> 10 </w:t>
      </w:r>
      <w:r>
        <w:rPr>
          <w:rFonts w:hint="eastAsia" w:ascii="宋体" w:hAnsi="宋体" w:cs="宋体"/>
          <w:color w:val="auto"/>
          <w:kern w:val="0"/>
          <w:szCs w:val="21"/>
          <w:highlight w:val="none"/>
        </w:rPr>
        <w:t>日历天内向发包人提供证明设计人要求的书面声明。</w:t>
      </w:r>
    </w:p>
    <w:p w14:paraId="137D9BC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发包人应在接到设计人书面声明后的</w:t>
      </w:r>
      <w:r>
        <w:rPr>
          <w:rFonts w:ascii="宋体" w:hAnsi="宋体" w:cs="宋体"/>
          <w:color w:val="auto"/>
          <w:kern w:val="0"/>
          <w:szCs w:val="21"/>
          <w:highlight w:val="none"/>
          <w:u w:val="single"/>
        </w:rPr>
        <w:t xml:space="preserve"> 5 </w:t>
      </w:r>
      <w:r>
        <w:rPr>
          <w:rFonts w:hint="eastAsia" w:ascii="宋体" w:hAnsi="宋体" w:cs="宋体"/>
          <w:color w:val="auto"/>
          <w:kern w:val="0"/>
          <w:szCs w:val="21"/>
          <w:highlight w:val="none"/>
        </w:rPr>
        <w:t>日历天内，予以书面答复。</w:t>
      </w:r>
    </w:p>
    <w:p w14:paraId="24C72164">
      <w:pPr>
        <w:keepNext/>
        <w:keepLines/>
        <w:spacing w:before="120" w:after="120" w:line="360" w:lineRule="auto"/>
        <w:outlineLvl w:val="3"/>
        <w:rPr>
          <w:rFonts w:ascii="宋体" w:hAnsi="宋体" w:cs="黑体"/>
          <w:b/>
          <w:color w:val="auto"/>
          <w:sz w:val="24"/>
          <w:highlight w:val="none"/>
        </w:rPr>
      </w:pPr>
      <w:r>
        <w:rPr>
          <w:rFonts w:ascii="宋体" w:hAnsi="宋体" w:cs="黑体"/>
          <w:b/>
          <w:color w:val="auto"/>
          <w:sz w:val="24"/>
          <w:highlight w:val="none"/>
        </w:rPr>
        <w:t xml:space="preserve">12. </w:t>
      </w:r>
      <w:r>
        <w:rPr>
          <w:rFonts w:hint="eastAsia" w:ascii="宋体" w:hAnsi="宋体" w:cs="黑体"/>
          <w:b/>
          <w:color w:val="auto"/>
          <w:sz w:val="24"/>
          <w:highlight w:val="none"/>
        </w:rPr>
        <w:t>专业责任与保险</w:t>
      </w:r>
    </w:p>
    <w:p w14:paraId="4BB20ED9">
      <w:pPr>
        <w:spacing w:line="360" w:lineRule="auto"/>
        <w:ind w:firstLine="420" w:firstLineChars="200"/>
        <w:jc w:val="left"/>
        <w:rPr>
          <w:rFonts w:ascii="宋体" w:hAnsi="宋体" w:cs="宋体"/>
          <w:color w:val="auto"/>
          <w:szCs w:val="21"/>
          <w:highlight w:val="none"/>
        </w:rPr>
      </w:pPr>
      <w:r>
        <w:rPr>
          <w:rFonts w:ascii="宋体" w:hAnsi="宋体"/>
          <w:color w:val="auto"/>
          <w:szCs w:val="21"/>
          <w:highlight w:val="none"/>
        </w:rPr>
        <w:t xml:space="preserve">12.2 </w:t>
      </w:r>
      <w:r>
        <w:rPr>
          <w:rFonts w:hint="eastAsia" w:ascii="宋体" w:hAnsi="宋体"/>
          <w:color w:val="auto"/>
          <w:szCs w:val="21"/>
          <w:highlight w:val="none"/>
        </w:rPr>
        <w:t>设</w:t>
      </w:r>
      <w:r>
        <w:rPr>
          <w:rFonts w:hint="eastAsia" w:ascii="宋体" w:hAnsi="宋体" w:cs="宋体"/>
          <w:color w:val="auto"/>
          <w:szCs w:val="21"/>
          <w:highlight w:val="none"/>
        </w:rPr>
        <w:t>计人不需有发包人认可的工程设计责任保险。</w:t>
      </w:r>
    </w:p>
    <w:p w14:paraId="15A05639">
      <w:pPr>
        <w:keepNext/>
        <w:keepLines/>
        <w:spacing w:before="120" w:after="120" w:line="360" w:lineRule="auto"/>
        <w:outlineLvl w:val="3"/>
        <w:rPr>
          <w:rFonts w:ascii="宋体" w:hAnsi="宋体" w:cs="黑体"/>
          <w:b/>
          <w:color w:val="auto"/>
          <w:sz w:val="24"/>
          <w:highlight w:val="none"/>
        </w:rPr>
      </w:pPr>
      <w:r>
        <w:rPr>
          <w:rFonts w:ascii="宋体" w:hAnsi="宋体" w:cs="黑体"/>
          <w:b/>
          <w:color w:val="auto"/>
          <w:sz w:val="24"/>
          <w:highlight w:val="none"/>
        </w:rPr>
        <w:t xml:space="preserve">13. </w:t>
      </w:r>
      <w:r>
        <w:rPr>
          <w:rFonts w:hint="eastAsia" w:ascii="宋体" w:hAnsi="宋体" w:cs="黑体"/>
          <w:b/>
          <w:color w:val="auto"/>
          <w:sz w:val="24"/>
          <w:highlight w:val="none"/>
        </w:rPr>
        <w:t>知识产权</w:t>
      </w:r>
    </w:p>
    <w:p w14:paraId="0E6EA5FE">
      <w:pPr>
        <w:spacing w:line="360" w:lineRule="auto"/>
        <w:ind w:firstLine="420" w:firstLineChars="200"/>
        <w:rPr>
          <w:rFonts w:ascii="宋体" w:hAnsi="宋体"/>
          <w:color w:val="auto"/>
          <w:szCs w:val="21"/>
          <w:highlight w:val="none"/>
          <w:u w:val="single"/>
        </w:rPr>
      </w:pPr>
      <w:r>
        <w:rPr>
          <w:rFonts w:ascii="宋体" w:hAnsi="宋体"/>
          <w:color w:val="auto"/>
          <w:szCs w:val="21"/>
          <w:highlight w:val="none"/>
        </w:rPr>
        <w:t xml:space="preserve">13.1 </w:t>
      </w:r>
      <w:r>
        <w:rPr>
          <w:rFonts w:hint="eastAsia" w:ascii="宋体" w:hAnsi="宋体"/>
          <w:color w:val="auto"/>
          <w:szCs w:val="21"/>
          <w:highlight w:val="none"/>
        </w:rPr>
        <w:t>关于发包人提供给设计人的图纸、发包人为实施工程自行编制或委托编制的技术规格以及反映发包人关于合同要求或其他类似性质的文件的著作权的归属：</w:t>
      </w:r>
      <w:r>
        <w:rPr>
          <w:rFonts w:hint="eastAsia" w:ascii="宋体" w:hAnsi="宋体"/>
          <w:color w:val="auto"/>
          <w:szCs w:val="21"/>
          <w:highlight w:val="none"/>
          <w:u w:val="single"/>
        </w:rPr>
        <w:t>发包人</w:t>
      </w:r>
      <w:r>
        <w:rPr>
          <w:rFonts w:hint="eastAsia" w:ascii="宋体" w:hAnsi="宋体"/>
          <w:color w:val="auto"/>
          <w:szCs w:val="21"/>
          <w:highlight w:val="none"/>
        </w:rPr>
        <w:t>。</w:t>
      </w:r>
    </w:p>
    <w:p w14:paraId="2935F90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关于发包人提供的上述文件的使用限制的要求：</w:t>
      </w:r>
      <w:r>
        <w:rPr>
          <w:rFonts w:hint="eastAsia" w:ascii="宋体" w:hAnsi="宋体"/>
          <w:color w:val="auto"/>
          <w:szCs w:val="21"/>
          <w:highlight w:val="none"/>
          <w:u w:val="single"/>
        </w:rPr>
        <w:t>经过发包人书面同意</w:t>
      </w:r>
      <w:r>
        <w:rPr>
          <w:rFonts w:hint="eastAsia" w:ascii="宋体" w:hAnsi="宋体"/>
          <w:color w:val="auto"/>
          <w:szCs w:val="21"/>
          <w:highlight w:val="none"/>
        </w:rPr>
        <w:t>。</w:t>
      </w:r>
    </w:p>
    <w:p w14:paraId="75F6F30F">
      <w:pPr>
        <w:spacing w:line="360" w:lineRule="auto"/>
        <w:ind w:firstLine="420" w:firstLineChars="200"/>
        <w:rPr>
          <w:rFonts w:ascii="宋体" w:hAnsi="宋体"/>
          <w:color w:val="auto"/>
          <w:szCs w:val="21"/>
          <w:highlight w:val="none"/>
        </w:rPr>
      </w:pPr>
      <w:r>
        <w:rPr>
          <w:rFonts w:ascii="宋体" w:hAnsi="宋体"/>
          <w:color w:val="auto"/>
          <w:szCs w:val="21"/>
          <w:highlight w:val="none"/>
        </w:rPr>
        <w:t xml:space="preserve">13.2 </w:t>
      </w:r>
      <w:r>
        <w:rPr>
          <w:rFonts w:hint="eastAsia" w:ascii="宋体" w:hAnsi="宋体"/>
          <w:color w:val="auto"/>
          <w:szCs w:val="21"/>
          <w:highlight w:val="none"/>
        </w:rPr>
        <w:t>关于设计人为实施工程所编制文件的著作权的归属：</w:t>
      </w:r>
      <w:r>
        <w:rPr>
          <w:rFonts w:hint="eastAsia" w:ascii="宋体" w:hAnsi="宋体"/>
          <w:color w:val="auto"/>
          <w:szCs w:val="21"/>
          <w:highlight w:val="none"/>
          <w:u w:val="single"/>
        </w:rPr>
        <w:t>发包人</w:t>
      </w:r>
      <w:r>
        <w:rPr>
          <w:rFonts w:hint="eastAsia" w:ascii="宋体" w:hAnsi="宋体"/>
          <w:color w:val="auto"/>
          <w:szCs w:val="21"/>
          <w:highlight w:val="none"/>
        </w:rPr>
        <w:t>。</w:t>
      </w:r>
    </w:p>
    <w:p w14:paraId="42C9AC3C">
      <w:pPr>
        <w:spacing w:line="360" w:lineRule="auto"/>
        <w:rPr>
          <w:rFonts w:ascii="宋体" w:hAnsi="宋体"/>
          <w:color w:val="auto"/>
          <w:szCs w:val="21"/>
          <w:highlight w:val="none"/>
        </w:rPr>
      </w:pPr>
      <w:r>
        <w:rPr>
          <w:rFonts w:hint="eastAsia" w:ascii="宋体" w:hAnsi="宋体"/>
          <w:color w:val="auto"/>
          <w:szCs w:val="21"/>
          <w:highlight w:val="none"/>
        </w:rPr>
        <w:t>关于设计人提供的上述文件的使用限制的要求：</w:t>
      </w:r>
      <w:r>
        <w:rPr>
          <w:rFonts w:hint="eastAsia" w:ascii="宋体" w:hAnsi="宋体"/>
          <w:color w:val="auto"/>
          <w:szCs w:val="21"/>
          <w:highlight w:val="none"/>
          <w:u w:val="single"/>
        </w:rPr>
        <w:t>同通用条款</w:t>
      </w:r>
      <w:r>
        <w:rPr>
          <w:rFonts w:hint="eastAsia" w:ascii="宋体" w:hAnsi="宋体"/>
          <w:color w:val="auto"/>
          <w:szCs w:val="21"/>
          <w:highlight w:val="none"/>
        </w:rPr>
        <w:t>。</w:t>
      </w:r>
    </w:p>
    <w:p w14:paraId="5783E9AB">
      <w:pPr>
        <w:spacing w:line="360" w:lineRule="auto"/>
        <w:ind w:firstLine="420" w:firstLineChars="200"/>
        <w:rPr>
          <w:rFonts w:ascii="宋体" w:hAnsi="宋体" w:cs="宋体"/>
          <w:color w:val="auto"/>
          <w:szCs w:val="21"/>
          <w:highlight w:val="none"/>
        </w:rPr>
      </w:pPr>
      <w:r>
        <w:rPr>
          <w:rFonts w:ascii="宋体" w:hAnsi="宋体"/>
          <w:color w:val="auto"/>
          <w:szCs w:val="21"/>
          <w:highlight w:val="none"/>
        </w:rPr>
        <w:t xml:space="preserve">13.5 </w:t>
      </w:r>
      <w:r>
        <w:rPr>
          <w:rFonts w:hint="eastAsia" w:ascii="宋体" w:hAnsi="宋体"/>
          <w:color w:val="auto"/>
          <w:szCs w:val="21"/>
          <w:highlight w:val="none"/>
        </w:rPr>
        <w:t>设计人在设计过程中</w:t>
      </w:r>
      <w:r>
        <w:rPr>
          <w:rFonts w:hint="eastAsia" w:ascii="宋体" w:hAnsi="宋体" w:cs="宋体"/>
          <w:color w:val="auto"/>
          <w:szCs w:val="21"/>
          <w:highlight w:val="none"/>
        </w:rPr>
        <w:t>所采用的专利、专有技术的使用费的承担方式：</w:t>
      </w:r>
      <w:r>
        <w:rPr>
          <w:rFonts w:hint="eastAsia" w:ascii="宋体" w:hAnsi="宋体" w:cs="宋体"/>
          <w:color w:val="auto"/>
          <w:szCs w:val="21"/>
          <w:highlight w:val="none"/>
          <w:u w:val="single"/>
        </w:rPr>
        <w:t>由设计人承担</w:t>
      </w:r>
      <w:r>
        <w:rPr>
          <w:rFonts w:hint="eastAsia" w:ascii="宋体" w:hAnsi="宋体" w:cs="宋体"/>
          <w:color w:val="auto"/>
          <w:kern w:val="0"/>
          <w:szCs w:val="21"/>
          <w:highlight w:val="none"/>
        </w:rPr>
        <w:t>。</w:t>
      </w:r>
    </w:p>
    <w:p w14:paraId="768F4E11">
      <w:pPr>
        <w:keepNext/>
        <w:keepLines/>
        <w:spacing w:before="120" w:after="120" w:line="360" w:lineRule="auto"/>
        <w:outlineLvl w:val="3"/>
        <w:rPr>
          <w:rFonts w:ascii="宋体" w:hAnsi="宋体" w:cs="黑体"/>
          <w:b/>
          <w:color w:val="auto"/>
          <w:sz w:val="24"/>
          <w:highlight w:val="none"/>
        </w:rPr>
      </w:pPr>
      <w:r>
        <w:rPr>
          <w:rFonts w:ascii="宋体" w:hAnsi="宋体" w:cs="黑体"/>
          <w:b/>
          <w:color w:val="auto"/>
          <w:sz w:val="24"/>
          <w:highlight w:val="none"/>
        </w:rPr>
        <w:t xml:space="preserve">14. </w:t>
      </w:r>
      <w:r>
        <w:rPr>
          <w:rFonts w:hint="eastAsia" w:ascii="宋体" w:hAnsi="宋体" w:cs="黑体"/>
          <w:b/>
          <w:color w:val="auto"/>
          <w:sz w:val="24"/>
          <w:highlight w:val="none"/>
        </w:rPr>
        <w:t>违约责任</w:t>
      </w:r>
    </w:p>
    <w:p w14:paraId="703B30A3">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14.1 </w:t>
      </w:r>
      <w:r>
        <w:rPr>
          <w:rFonts w:hint="eastAsia" w:ascii="宋体" w:hAnsi="宋体" w:cs="黑体"/>
          <w:bCs/>
          <w:color w:val="auto"/>
          <w:szCs w:val="21"/>
          <w:highlight w:val="none"/>
        </w:rPr>
        <w:t>发包人违约责任</w:t>
      </w:r>
    </w:p>
    <w:p w14:paraId="061DAC03">
      <w:pPr>
        <w:spacing w:line="360" w:lineRule="auto"/>
        <w:ind w:firstLine="420" w:firstLineChars="200"/>
        <w:rPr>
          <w:rFonts w:ascii="宋体" w:hAnsi="宋体"/>
          <w:color w:val="auto"/>
          <w:szCs w:val="21"/>
          <w:highlight w:val="none"/>
        </w:rPr>
      </w:pPr>
      <w:r>
        <w:rPr>
          <w:rFonts w:ascii="宋体" w:hAnsi="宋体"/>
          <w:color w:val="auto"/>
          <w:szCs w:val="21"/>
          <w:highlight w:val="none"/>
        </w:rPr>
        <w:t xml:space="preserve">14.1.1 </w:t>
      </w:r>
      <w:r>
        <w:rPr>
          <w:rFonts w:hint="eastAsia" w:ascii="宋体" w:hAnsi="宋体"/>
          <w:color w:val="auto"/>
          <w:szCs w:val="21"/>
          <w:highlight w:val="none"/>
        </w:rPr>
        <w:t>发包人支付设计人的违约金：</w:t>
      </w:r>
      <w:r>
        <w:rPr>
          <w:rFonts w:ascii="宋体" w:hAnsi="宋体"/>
          <w:color w:val="auto"/>
          <w:szCs w:val="21"/>
          <w:highlight w:val="none"/>
          <w:u w:val="single"/>
        </w:rPr>
        <w:t>/</w:t>
      </w:r>
      <w:r>
        <w:rPr>
          <w:rFonts w:hint="eastAsia" w:ascii="宋体" w:hAnsi="宋体"/>
          <w:color w:val="auto"/>
          <w:szCs w:val="21"/>
          <w:highlight w:val="none"/>
          <w:u w:val="single"/>
        </w:rPr>
        <w:t>。</w:t>
      </w:r>
    </w:p>
    <w:p w14:paraId="2DB99F3B">
      <w:pPr>
        <w:spacing w:line="360" w:lineRule="auto"/>
        <w:ind w:firstLine="420" w:firstLineChars="200"/>
        <w:rPr>
          <w:rFonts w:hint="default" w:ascii="宋体" w:hAnsi="宋体" w:eastAsia="宋体" w:cs="宋体"/>
          <w:color w:val="auto"/>
          <w:szCs w:val="21"/>
          <w:highlight w:val="none"/>
          <w:u w:val="single"/>
          <w:lang w:val="en-US" w:eastAsia="zh-CN"/>
        </w:rPr>
      </w:pPr>
      <w:r>
        <w:rPr>
          <w:rFonts w:ascii="宋体" w:hAnsi="宋体"/>
          <w:color w:val="auto"/>
          <w:kern w:val="0"/>
          <w:szCs w:val="21"/>
          <w:highlight w:val="none"/>
        </w:rPr>
        <w:t xml:space="preserve">14.1.2 </w:t>
      </w:r>
      <w:r>
        <w:rPr>
          <w:rFonts w:hint="eastAsia" w:ascii="宋体" w:hAnsi="宋体"/>
          <w:color w:val="auto"/>
          <w:kern w:val="0"/>
          <w:szCs w:val="21"/>
          <w:highlight w:val="none"/>
        </w:rPr>
        <w:t>发包人逾期支付设计费的违约金：</w:t>
      </w:r>
      <w:r>
        <w:rPr>
          <w:rFonts w:hint="eastAsia" w:ascii="宋体" w:hAnsi="宋体" w:cs="宋体"/>
          <w:color w:val="auto"/>
          <w:szCs w:val="21"/>
          <w:highlight w:val="none"/>
          <w:u w:val="single"/>
          <w:lang w:val="en-US" w:eastAsia="zh-CN"/>
        </w:rPr>
        <w:t>经设计人书面催告，发包人无正当理由在合理期限内仍未支付的，每逾期一日，应按欠付设计费的万分之一向设计人支付逾期违约金，发包人支付的逾期违约金上限为合同总金额的1%。</w:t>
      </w:r>
    </w:p>
    <w:p w14:paraId="04BACB9A">
      <w:pPr>
        <w:keepNext/>
        <w:keepLines/>
        <w:spacing w:before="120" w:after="120" w:line="360" w:lineRule="auto"/>
        <w:ind w:firstLine="420" w:firstLineChars="200"/>
        <w:outlineLvl w:val="4"/>
        <w:rPr>
          <w:rFonts w:ascii="宋体" w:hAnsi="宋体"/>
          <w:bCs/>
          <w:color w:val="auto"/>
          <w:szCs w:val="21"/>
          <w:highlight w:val="none"/>
        </w:rPr>
      </w:pPr>
      <w:r>
        <w:rPr>
          <w:rFonts w:ascii="宋体" w:hAnsi="宋体"/>
          <w:bCs/>
          <w:color w:val="auto"/>
          <w:szCs w:val="21"/>
          <w:highlight w:val="none"/>
        </w:rPr>
        <w:t xml:space="preserve">14.2 </w:t>
      </w:r>
      <w:r>
        <w:rPr>
          <w:rFonts w:hint="eastAsia" w:ascii="宋体" w:hAnsi="宋体"/>
          <w:bCs/>
          <w:color w:val="auto"/>
          <w:szCs w:val="21"/>
          <w:highlight w:val="none"/>
        </w:rPr>
        <w:t>设计人违约责任</w:t>
      </w:r>
    </w:p>
    <w:p w14:paraId="0D5B0333">
      <w:pPr>
        <w:spacing w:line="360" w:lineRule="auto"/>
        <w:ind w:firstLine="420" w:firstLineChars="200"/>
        <w:rPr>
          <w:rFonts w:ascii="宋体" w:hAnsi="宋体"/>
          <w:color w:val="auto"/>
          <w:szCs w:val="21"/>
          <w:highlight w:val="none"/>
        </w:rPr>
      </w:pPr>
      <w:r>
        <w:rPr>
          <w:rFonts w:ascii="宋体" w:hAnsi="宋体"/>
          <w:color w:val="auto"/>
          <w:szCs w:val="21"/>
          <w:highlight w:val="none"/>
        </w:rPr>
        <w:t xml:space="preserve">14.2.1 </w:t>
      </w:r>
      <w:r>
        <w:rPr>
          <w:rFonts w:hint="eastAsia" w:ascii="宋体" w:hAnsi="宋体"/>
          <w:color w:val="auto"/>
          <w:szCs w:val="21"/>
          <w:highlight w:val="none"/>
        </w:rPr>
        <w:t>设计人支付发包人的违约金：</w:t>
      </w:r>
      <w:r>
        <w:rPr>
          <w:rFonts w:hint="eastAsia" w:ascii="宋体" w:hAnsi="宋体"/>
          <w:color w:val="auto"/>
          <w:szCs w:val="21"/>
          <w:highlight w:val="none"/>
          <w:u w:val="single"/>
        </w:rPr>
        <w:t>合同生效后，设计人因自身原因要求终止或导致解除合同，设计人应向发包人支付违约金，违约金为合同价款的30%，如果违约金不足以弥补发包人损失的，设计人还应另行赔偿发包人实际损失</w:t>
      </w:r>
      <w:r>
        <w:rPr>
          <w:rFonts w:hint="eastAsia" w:ascii="宋体" w:hAnsi="宋体" w:cs="宋体"/>
          <w:color w:val="auto"/>
          <w:szCs w:val="21"/>
          <w:highlight w:val="none"/>
          <w:u w:val="single"/>
        </w:rPr>
        <w:t>。</w:t>
      </w:r>
    </w:p>
    <w:p w14:paraId="0640AF12">
      <w:pPr>
        <w:tabs>
          <w:tab w:val="left" w:pos="1693"/>
        </w:tabs>
        <w:spacing w:line="360" w:lineRule="auto"/>
        <w:ind w:firstLine="420" w:firstLineChars="200"/>
        <w:rPr>
          <w:rFonts w:ascii="宋体" w:hAnsi="宋体" w:cs="宋体"/>
          <w:color w:val="auto"/>
          <w:szCs w:val="22"/>
          <w:highlight w:val="none"/>
          <w:u w:val="single"/>
        </w:rPr>
      </w:pPr>
      <w:r>
        <w:rPr>
          <w:rFonts w:ascii="宋体" w:hAnsi="宋体"/>
          <w:color w:val="auto"/>
          <w:kern w:val="0"/>
          <w:szCs w:val="21"/>
          <w:highlight w:val="none"/>
        </w:rPr>
        <w:t xml:space="preserve">14.2.2 </w:t>
      </w:r>
      <w:r>
        <w:rPr>
          <w:rFonts w:hint="eastAsia" w:ascii="宋体" w:hAnsi="宋体"/>
          <w:color w:val="auto"/>
          <w:kern w:val="0"/>
          <w:szCs w:val="21"/>
          <w:highlight w:val="none"/>
        </w:rPr>
        <w:t>设计人逾期交付工程设计文件的违约金：</w:t>
      </w:r>
      <w:r>
        <w:rPr>
          <w:rFonts w:hint="eastAsia"/>
          <w:color w:val="auto"/>
          <w:highlight w:val="none"/>
          <w:u w:val="single"/>
        </w:rPr>
        <w:t>由于设计人原因，每延误一天，每天应减收该项目合同价的</w:t>
      </w:r>
      <w:r>
        <w:rPr>
          <w:rFonts w:hint="eastAsia" w:eastAsia="宋体"/>
          <w:color w:val="auto"/>
          <w:highlight w:val="none"/>
          <w:u w:val="single"/>
          <w:lang w:eastAsia="zh-CN"/>
        </w:rPr>
        <w:t>万分之五</w:t>
      </w:r>
      <w:r>
        <w:rPr>
          <w:rFonts w:hint="eastAsia"/>
          <w:color w:val="auto"/>
          <w:highlight w:val="none"/>
          <w:u w:val="single"/>
        </w:rPr>
        <w:t>，并按发包人的实际损失支付违约金。逾期超过15天的，甲方有权单方解除合同，并视为设计人因自身原因导致的解除合同</w:t>
      </w:r>
      <w:r>
        <w:rPr>
          <w:rFonts w:hint="eastAsia" w:eastAsia="宋体"/>
          <w:color w:val="auto"/>
          <w:highlight w:val="none"/>
          <w:u w:val="single"/>
          <w:lang w:eastAsia="zh-CN"/>
        </w:rPr>
        <w:t>，</w:t>
      </w:r>
      <w:r>
        <w:rPr>
          <w:rFonts w:hint="eastAsia" w:ascii="Times New Roman" w:eastAsia="宋体"/>
          <w:color w:val="auto"/>
          <w:highlight w:val="none"/>
          <w:u w:val="single"/>
          <w:lang w:val="en-US" w:eastAsia="zh-CN"/>
        </w:rPr>
        <w:t>设计人应当按14.2.1的约定向发包人承担违约责任</w:t>
      </w:r>
      <w:r>
        <w:rPr>
          <w:rFonts w:hint="eastAsia"/>
          <w:color w:val="auto"/>
          <w:highlight w:val="none"/>
          <w:u w:val="single"/>
        </w:rPr>
        <w:t>。</w:t>
      </w:r>
    </w:p>
    <w:p w14:paraId="7B3E7F1B">
      <w:pPr>
        <w:tabs>
          <w:tab w:val="left" w:pos="1693"/>
        </w:tabs>
        <w:spacing w:line="360" w:lineRule="auto"/>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rPr>
        <w:t>设计人逾期交付工程设计文件的违约金上限：</w:t>
      </w:r>
      <w:r>
        <w:rPr>
          <w:rFonts w:hint="eastAsia" w:ascii="宋体" w:hAnsi="宋体"/>
          <w:color w:val="auto"/>
          <w:szCs w:val="22"/>
          <w:highlight w:val="none"/>
          <w:u w:val="single"/>
        </w:rPr>
        <w:t>合同价</w:t>
      </w:r>
      <w:r>
        <w:rPr>
          <w:rFonts w:hint="eastAsia" w:ascii="宋体" w:hAnsi="宋体"/>
          <w:color w:val="auto"/>
          <w:szCs w:val="21"/>
          <w:highlight w:val="none"/>
          <w:u w:val="single"/>
        </w:rPr>
        <w:t>的</w:t>
      </w:r>
      <w:r>
        <w:rPr>
          <w:rFonts w:ascii="宋体" w:hAnsi="宋体"/>
          <w:color w:val="auto"/>
          <w:szCs w:val="21"/>
          <w:highlight w:val="none"/>
          <w:u w:val="single"/>
        </w:rPr>
        <w:t>30%</w:t>
      </w:r>
      <w:r>
        <w:rPr>
          <w:rFonts w:hint="eastAsia" w:ascii="宋体" w:hAnsi="宋体"/>
          <w:color w:val="auto"/>
          <w:szCs w:val="21"/>
          <w:highlight w:val="none"/>
          <w:u w:val="single"/>
        </w:rPr>
        <w:t>，</w:t>
      </w:r>
      <w:r>
        <w:rPr>
          <w:rFonts w:hint="eastAsia" w:ascii="宋体" w:hAnsi="宋体"/>
          <w:bCs/>
          <w:color w:val="auto"/>
          <w:szCs w:val="21"/>
          <w:highlight w:val="none"/>
          <w:u w:val="single"/>
        </w:rPr>
        <w:t>发包人</w:t>
      </w:r>
      <w:r>
        <w:rPr>
          <w:rFonts w:hint="eastAsia" w:ascii="宋体" w:hAnsi="宋体"/>
          <w:bCs/>
          <w:color w:val="auto"/>
          <w:szCs w:val="21"/>
          <w:highlight w:val="none"/>
          <w:u w:val="single"/>
          <w:lang w:val="en-US" w:eastAsia="zh-CN"/>
        </w:rPr>
        <w:t>有权从</w:t>
      </w:r>
      <w:r>
        <w:rPr>
          <w:rFonts w:hint="eastAsia" w:ascii="宋体" w:hAnsi="宋体" w:cs="宋体"/>
          <w:color w:val="auto"/>
          <w:szCs w:val="21"/>
          <w:highlight w:val="none"/>
          <w:u w:val="single"/>
        </w:rPr>
        <w:t>应收设计费中</w:t>
      </w:r>
      <w:r>
        <w:rPr>
          <w:rFonts w:hint="eastAsia" w:ascii="宋体" w:hAnsi="宋体"/>
          <w:bCs/>
          <w:color w:val="auto"/>
          <w:szCs w:val="21"/>
          <w:highlight w:val="none"/>
          <w:u w:val="single"/>
        </w:rPr>
        <w:t>直接扣除</w:t>
      </w:r>
      <w:r>
        <w:rPr>
          <w:rFonts w:hint="eastAsia" w:ascii="宋体" w:hAnsi="宋体"/>
          <w:color w:val="auto"/>
          <w:szCs w:val="21"/>
          <w:highlight w:val="none"/>
          <w:u w:val="single"/>
        </w:rPr>
        <w:t>。</w:t>
      </w:r>
    </w:p>
    <w:p w14:paraId="5839BE5B">
      <w:pPr>
        <w:spacing w:line="360" w:lineRule="auto"/>
        <w:ind w:firstLine="420" w:firstLineChars="200"/>
        <w:rPr>
          <w:color w:val="auto"/>
          <w:highlight w:val="none"/>
        </w:rPr>
      </w:pPr>
      <w:r>
        <w:rPr>
          <w:rFonts w:ascii="宋体" w:hAnsi="宋体"/>
          <w:color w:val="auto"/>
          <w:szCs w:val="21"/>
          <w:highlight w:val="none"/>
        </w:rPr>
        <w:t xml:space="preserve">14.2.3 </w:t>
      </w:r>
      <w:r>
        <w:rPr>
          <w:rFonts w:hint="eastAsia" w:ascii="宋体" w:hAnsi="宋体"/>
          <w:color w:val="auto"/>
          <w:szCs w:val="21"/>
          <w:highlight w:val="none"/>
        </w:rPr>
        <w:t>设计人设计文件不合格的</w:t>
      </w:r>
      <w:r>
        <w:rPr>
          <w:rFonts w:hint="eastAsia" w:ascii="宋体" w:hAnsi="宋体"/>
          <w:bCs/>
          <w:color w:val="auto"/>
          <w:szCs w:val="21"/>
          <w:highlight w:val="none"/>
        </w:rPr>
        <w:t>违约金</w:t>
      </w:r>
      <w:r>
        <w:rPr>
          <w:rFonts w:hint="eastAsia" w:ascii="宋体" w:hAnsi="宋体"/>
          <w:color w:val="auto"/>
          <w:szCs w:val="21"/>
          <w:highlight w:val="none"/>
        </w:rPr>
        <w:t>上限：</w:t>
      </w:r>
    </w:p>
    <w:p w14:paraId="11D7D635">
      <w:pPr>
        <w:spacing w:line="360" w:lineRule="auto"/>
        <w:ind w:firstLine="420" w:firstLineChars="200"/>
        <w:rPr>
          <w:color w:val="auto"/>
          <w:highlight w:val="none"/>
          <w:u w:val="single"/>
        </w:rPr>
      </w:pPr>
      <w:r>
        <w:rPr>
          <w:rFonts w:hint="eastAsia"/>
          <w:color w:val="auto"/>
          <w:highlight w:val="none"/>
          <w:u w:val="single"/>
        </w:rPr>
        <w:t>（1）由于设计人原因导致图纸存在遗漏或错误等，设计人除负责按发包人要求采取补救措施外，还应免收不符或遗漏、错误部分工程的设计费，设计人除免收该部分工程的设计费用外还需承担相应的违约责任，向发包人支付违约金，违约金为该部分工程结算费用的5%，发包人</w:t>
      </w:r>
      <w:r>
        <w:rPr>
          <w:rFonts w:hint="eastAsia" w:ascii="Times New Roman" w:eastAsia="宋体"/>
          <w:color w:val="auto"/>
          <w:highlight w:val="none"/>
          <w:u w:val="single"/>
          <w:lang w:val="en-US" w:eastAsia="zh-CN"/>
        </w:rPr>
        <w:t>有权</w:t>
      </w:r>
      <w:r>
        <w:rPr>
          <w:rFonts w:hint="eastAsia"/>
          <w:color w:val="auto"/>
          <w:highlight w:val="none"/>
          <w:u w:val="single"/>
        </w:rPr>
        <w:t>从应收设计费中直接扣除上述免收的设计费用及违约金</w:t>
      </w:r>
      <w:r>
        <w:rPr>
          <w:rFonts w:hint="eastAsia" w:eastAsia="宋体"/>
          <w:color w:val="auto"/>
          <w:highlight w:val="none"/>
          <w:u w:val="single"/>
          <w:lang w:eastAsia="zh-CN"/>
        </w:rPr>
        <w:t>，</w:t>
      </w:r>
      <w:r>
        <w:rPr>
          <w:rFonts w:hint="eastAsia" w:ascii="Times New Roman" w:eastAsia="宋体"/>
          <w:color w:val="auto"/>
          <w:highlight w:val="none"/>
          <w:u w:val="single"/>
          <w:lang w:val="en-US" w:eastAsia="zh-CN"/>
        </w:rPr>
        <w:t>违约金不足以弥补发包人损失的，设计人应当继续赔偿</w:t>
      </w:r>
      <w:r>
        <w:rPr>
          <w:rFonts w:hint="eastAsia"/>
          <w:color w:val="auto"/>
          <w:highlight w:val="none"/>
          <w:u w:val="single"/>
        </w:rPr>
        <w:t>。</w:t>
      </w:r>
    </w:p>
    <w:p w14:paraId="07E19C76">
      <w:pPr>
        <w:spacing w:line="360" w:lineRule="auto"/>
        <w:ind w:firstLine="420" w:firstLineChars="200"/>
        <w:rPr>
          <w:color w:val="auto"/>
          <w:highlight w:val="none"/>
          <w:u w:val="single"/>
        </w:rPr>
      </w:pPr>
      <w:r>
        <w:rPr>
          <w:rFonts w:hint="eastAsia"/>
          <w:color w:val="auto"/>
          <w:highlight w:val="none"/>
          <w:u w:val="single"/>
        </w:rPr>
        <w:t>（2）由于设计人原因产生的设计问题造成工程质量事故或其他事故时，设计人除采取补救措施外，还应免收受损部分所对应的设计费并向发包人支付违约金，违约金为合同价的</w:t>
      </w:r>
      <w:r>
        <w:rPr>
          <w:rFonts w:hint="eastAsia" w:ascii="Times New Roman" w:eastAsia="宋体"/>
          <w:color w:val="auto"/>
          <w:highlight w:val="none"/>
          <w:u w:val="single"/>
          <w:lang w:val="en-US" w:eastAsia="zh-CN"/>
        </w:rPr>
        <w:t>5</w:t>
      </w:r>
      <w:r>
        <w:rPr>
          <w:rFonts w:hint="eastAsia"/>
          <w:color w:val="auto"/>
          <w:highlight w:val="none"/>
          <w:u w:val="single"/>
        </w:rPr>
        <w:t>% ，由发包人从应收设计费中直接扣除。如果违约金不足以弥补发包人损失的，设计人还应另行赔偿发包人实际损失。</w:t>
      </w:r>
    </w:p>
    <w:p w14:paraId="21061281">
      <w:pPr>
        <w:spacing w:line="360" w:lineRule="auto"/>
        <w:ind w:firstLine="420" w:firstLineChars="200"/>
        <w:rPr>
          <w:rFonts w:ascii="宋体" w:hAnsi="宋体"/>
          <w:color w:val="auto"/>
          <w:szCs w:val="21"/>
          <w:highlight w:val="none"/>
        </w:rPr>
      </w:pPr>
      <w:r>
        <w:rPr>
          <w:rFonts w:ascii="宋体" w:hAnsi="宋体"/>
          <w:color w:val="auto"/>
          <w:szCs w:val="21"/>
          <w:highlight w:val="none"/>
        </w:rPr>
        <w:t xml:space="preserve">14.2.4 </w:t>
      </w:r>
      <w:r>
        <w:rPr>
          <w:rFonts w:hint="eastAsia" w:ascii="宋体" w:hAnsi="宋体"/>
          <w:color w:val="auto"/>
          <w:szCs w:val="21"/>
          <w:highlight w:val="none"/>
        </w:rPr>
        <w:t>设计人工程设计文件超出</w:t>
      </w:r>
      <w:r>
        <w:rPr>
          <w:rFonts w:hint="eastAsia" w:ascii="宋体" w:hAnsi="宋体"/>
          <w:color w:val="auto"/>
          <w:kern w:val="0"/>
          <w:szCs w:val="21"/>
          <w:highlight w:val="none"/>
        </w:rPr>
        <w:t>主要技术指标控制值比例</w:t>
      </w:r>
      <w:r>
        <w:rPr>
          <w:rFonts w:hint="eastAsia" w:ascii="宋体" w:hAnsi="宋体"/>
          <w:color w:val="auto"/>
          <w:szCs w:val="21"/>
          <w:highlight w:val="none"/>
        </w:rPr>
        <w:t>的违约责任：</w:t>
      </w:r>
      <w:r>
        <w:rPr>
          <w:rFonts w:ascii="宋体" w:hAnsi="宋体"/>
          <w:color w:val="auto"/>
          <w:szCs w:val="21"/>
          <w:highlight w:val="none"/>
          <w:u w:val="single"/>
        </w:rPr>
        <w:t xml:space="preserve">  /</w:t>
      </w:r>
      <w:r>
        <w:rPr>
          <w:rFonts w:hint="eastAsia" w:ascii="宋体" w:hAnsi="宋体"/>
          <w:color w:val="auto"/>
          <w:szCs w:val="21"/>
          <w:highlight w:val="none"/>
        </w:rPr>
        <w:t>。</w:t>
      </w:r>
    </w:p>
    <w:p w14:paraId="58493963">
      <w:pPr>
        <w:spacing w:line="360" w:lineRule="auto"/>
        <w:ind w:firstLine="420" w:firstLineChars="200"/>
        <w:rPr>
          <w:rFonts w:ascii="宋体" w:hAnsi="宋体"/>
          <w:color w:val="auto"/>
          <w:szCs w:val="21"/>
          <w:highlight w:val="none"/>
          <w:u w:val="single"/>
        </w:rPr>
      </w:pPr>
      <w:r>
        <w:rPr>
          <w:rFonts w:ascii="宋体" w:hAnsi="宋体"/>
          <w:color w:val="auto"/>
          <w:kern w:val="0"/>
          <w:szCs w:val="21"/>
          <w:highlight w:val="none"/>
        </w:rPr>
        <w:t xml:space="preserve">14.2.5 </w:t>
      </w:r>
      <w:r>
        <w:rPr>
          <w:rFonts w:hint="eastAsia" w:ascii="宋体" w:hAnsi="宋体"/>
          <w:color w:val="auto"/>
          <w:kern w:val="0"/>
          <w:szCs w:val="21"/>
          <w:highlight w:val="none"/>
        </w:rPr>
        <w:t>设计人未经发包人同意擅自对工程设计进行分包的违约责任：</w:t>
      </w:r>
      <w:r>
        <w:rPr>
          <w:rFonts w:hint="eastAsia" w:ascii="宋体" w:hAnsi="宋体"/>
          <w:color w:val="auto"/>
          <w:kern w:val="0"/>
          <w:szCs w:val="21"/>
          <w:highlight w:val="none"/>
          <w:u w:val="single"/>
        </w:rPr>
        <w:t>发包人有权要求设计人解除未经发包人同意的设计分包合同，设计人应当向</w:t>
      </w:r>
      <w:r>
        <w:rPr>
          <w:rFonts w:hint="eastAsia" w:ascii="宋体" w:hAnsi="宋体"/>
          <w:color w:val="auto"/>
          <w:szCs w:val="21"/>
          <w:highlight w:val="none"/>
          <w:u w:val="single"/>
        </w:rPr>
        <w:t>发包人</w:t>
      </w:r>
      <w:r>
        <w:rPr>
          <w:rFonts w:hint="eastAsia" w:ascii="宋体" w:hAnsi="宋体"/>
          <w:bCs/>
          <w:color w:val="auto"/>
          <w:kern w:val="0"/>
          <w:sz w:val="20"/>
          <w:szCs w:val="20"/>
          <w:highlight w:val="none"/>
          <w:u w:val="single"/>
        </w:rPr>
        <w:t>支付</w:t>
      </w:r>
      <w:r>
        <w:rPr>
          <w:rFonts w:hint="eastAsia" w:ascii="宋体" w:hAnsi="宋体"/>
          <w:bCs/>
          <w:color w:val="auto"/>
          <w:szCs w:val="21"/>
          <w:highlight w:val="none"/>
          <w:u w:val="single"/>
        </w:rPr>
        <w:t>违约金</w:t>
      </w:r>
      <w:r>
        <w:rPr>
          <w:rFonts w:hint="eastAsia" w:ascii="宋体" w:hAnsi="宋体"/>
          <w:color w:val="auto"/>
          <w:szCs w:val="21"/>
          <w:highlight w:val="none"/>
          <w:u w:val="single"/>
        </w:rPr>
        <w:t>，</w:t>
      </w:r>
      <w:r>
        <w:rPr>
          <w:rFonts w:hint="eastAsia" w:ascii="宋体" w:hAnsi="宋体"/>
          <w:bCs/>
          <w:color w:val="auto"/>
          <w:szCs w:val="21"/>
          <w:highlight w:val="none"/>
          <w:u w:val="single"/>
        </w:rPr>
        <w:t>违约金</w:t>
      </w:r>
      <w:r>
        <w:rPr>
          <w:rFonts w:hint="eastAsia" w:ascii="宋体" w:hAnsi="宋体"/>
          <w:color w:val="auto"/>
          <w:szCs w:val="21"/>
          <w:highlight w:val="none"/>
          <w:u w:val="single"/>
        </w:rPr>
        <w:t>为</w:t>
      </w:r>
      <w:r>
        <w:rPr>
          <w:rFonts w:hint="eastAsia" w:ascii="宋体" w:hAnsi="宋体"/>
          <w:color w:val="auto"/>
          <w:szCs w:val="22"/>
          <w:highlight w:val="none"/>
          <w:u w:val="single"/>
        </w:rPr>
        <w:t>合同价</w:t>
      </w:r>
      <w:r>
        <w:rPr>
          <w:rFonts w:hint="eastAsia" w:ascii="宋体" w:hAnsi="宋体"/>
          <w:color w:val="auto"/>
          <w:szCs w:val="21"/>
          <w:highlight w:val="none"/>
          <w:u w:val="single"/>
        </w:rPr>
        <w:t>的</w:t>
      </w:r>
      <w:r>
        <w:rPr>
          <w:rFonts w:hint="eastAsia" w:ascii="宋体" w:hAnsi="宋体"/>
          <w:color w:val="auto"/>
          <w:szCs w:val="21"/>
          <w:highlight w:val="none"/>
          <w:u w:val="single"/>
          <w:lang w:val="en-US" w:eastAsia="zh-CN"/>
        </w:rPr>
        <w:t>2</w:t>
      </w:r>
      <w:r>
        <w:rPr>
          <w:rFonts w:ascii="宋体" w:hAnsi="宋体"/>
          <w:color w:val="auto"/>
          <w:szCs w:val="21"/>
          <w:highlight w:val="none"/>
          <w:u w:val="single"/>
        </w:rPr>
        <w:t xml:space="preserve">0% </w:t>
      </w:r>
      <w:r>
        <w:rPr>
          <w:rFonts w:hint="eastAsia" w:ascii="宋体" w:hAnsi="宋体"/>
          <w:color w:val="auto"/>
          <w:szCs w:val="21"/>
          <w:highlight w:val="none"/>
          <w:u w:val="single"/>
        </w:rPr>
        <w:t>，</w:t>
      </w:r>
      <w:r>
        <w:rPr>
          <w:rFonts w:hint="eastAsia" w:ascii="宋体" w:hAnsi="宋体"/>
          <w:bCs/>
          <w:color w:val="auto"/>
          <w:szCs w:val="21"/>
          <w:highlight w:val="none"/>
          <w:u w:val="single"/>
        </w:rPr>
        <w:t>发包人</w:t>
      </w:r>
      <w:r>
        <w:rPr>
          <w:rFonts w:hint="eastAsia" w:ascii="宋体" w:hAnsi="宋体"/>
          <w:bCs/>
          <w:color w:val="auto"/>
          <w:szCs w:val="21"/>
          <w:highlight w:val="none"/>
          <w:u w:val="single"/>
          <w:lang w:val="en-US" w:eastAsia="zh-CN"/>
        </w:rPr>
        <w:t>有权</w:t>
      </w:r>
      <w:r>
        <w:rPr>
          <w:rFonts w:hint="eastAsia" w:ascii="宋体" w:hAnsi="宋体" w:cs="宋体"/>
          <w:color w:val="auto"/>
          <w:szCs w:val="21"/>
          <w:highlight w:val="none"/>
          <w:u w:val="single"/>
        </w:rPr>
        <w:t>从应收设计费中</w:t>
      </w:r>
      <w:r>
        <w:rPr>
          <w:rFonts w:hint="eastAsia" w:ascii="宋体" w:hAnsi="宋体"/>
          <w:bCs/>
          <w:color w:val="auto"/>
          <w:szCs w:val="21"/>
          <w:highlight w:val="none"/>
          <w:u w:val="single"/>
        </w:rPr>
        <w:t>直接扣除</w:t>
      </w:r>
      <w:r>
        <w:rPr>
          <w:rFonts w:hint="eastAsia" w:ascii="宋体" w:hAnsi="宋体"/>
          <w:color w:val="auto"/>
          <w:szCs w:val="21"/>
          <w:highlight w:val="none"/>
          <w:u w:val="single"/>
        </w:rPr>
        <w:t>。</w:t>
      </w:r>
    </w:p>
    <w:p w14:paraId="58A6C95D">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 xml:space="preserve">14.2.6 </w:t>
      </w:r>
      <w:r>
        <w:rPr>
          <w:rFonts w:hint="eastAsia" w:ascii="宋体" w:hAnsi="宋体" w:cs="宋体"/>
          <w:color w:val="auto"/>
          <w:szCs w:val="21"/>
          <w:highlight w:val="none"/>
        </w:rPr>
        <w:t>因设计人受到</w:t>
      </w:r>
      <w:r>
        <w:rPr>
          <w:rFonts w:ascii="宋体" w:hAnsi="宋体"/>
          <w:color w:val="auto"/>
          <w:highlight w:val="none"/>
        </w:rPr>
        <w:t>责令停业整顿</w:t>
      </w:r>
      <w:r>
        <w:rPr>
          <w:rFonts w:hint="eastAsia" w:ascii="宋体" w:hAnsi="宋体"/>
          <w:color w:val="auto"/>
          <w:highlight w:val="none"/>
        </w:rPr>
        <w:t>、</w:t>
      </w:r>
      <w:r>
        <w:rPr>
          <w:rFonts w:ascii="宋体" w:hAnsi="宋体"/>
          <w:color w:val="auto"/>
          <w:highlight w:val="none"/>
        </w:rPr>
        <w:t>降低资质等级和吊销资质证书的行政处罚</w:t>
      </w:r>
      <w:r>
        <w:rPr>
          <w:rFonts w:hint="eastAsia" w:ascii="宋体" w:hAnsi="宋体"/>
          <w:color w:val="auto"/>
          <w:highlight w:val="none"/>
        </w:rPr>
        <w:t>等</w:t>
      </w:r>
      <w:r>
        <w:rPr>
          <w:rFonts w:hint="eastAsia" w:ascii="宋体" w:hAnsi="宋体" w:cs="宋体"/>
          <w:color w:val="auto"/>
          <w:szCs w:val="21"/>
          <w:highlight w:val="none"/>
        </w:rPr>
        <w:t>原因导致项目无法推进的，发包人有权单方终止合同，发包人不支付任何合同款，设计人应无条件返还发包人已支付的合同款。设计人还应向发包人支付违约金，违约金数额为</w:t>
      </w:r>
      <w:r>
        <w:rPr>
          <w:rFonts w:hint="eastAsia" w:ascii="宋体" w:hAnsi="宋体"/>
          <w:color w:val="auto"/>
          <w:szCs w:val="22"/>
          <w:highlight w:val="none"/>
        </w:rPr>
        <w:t>合同价</w:t>
      </w:r>
      <w:r>
        <w:rPr>
          <w:rFonts w:hint="eastAsia" w:ascii="宋体" w:hAnsi="宋体" w:cs="宋体"/>
          <w:color w:val="auto"/>
          <w:szCs w:val="21"/>
          <w:highlight w:val="none"/>
        </w:rPr>
        <w:t>的</w:t>
      </w:r>
      <w:r>
        <w:rPr>
          <w:rFonts w:hint="eastAsia" w:ascii="宋体" w:hAnsi="宋体" w:cs="宋体"/>
          <w:color w:val="auto"/>
          <w:szCs w:val="21"/>
          <w:highlight w:val="none"/>
          <w:lang w:val="en-US" w:eastAsia="zh-CN"/>
        </w:rPr>
        <w:t>2</w:t>
      </w:r>
      <w:r>
        <w:rPr>
          <w:rFonts w:ascii="宋体" w:hAnsi="宋体" w:cs="宋体"/>
          <w:color w:val="auto"/>
          <w:szCs w:val="21"/>
          <w:highlight w:val="none"/>
        </w:rPr>
        <w:t>0</w:t>
      </w:r>
      <w:r>
        <w:rPr>
          <w:rFonts w:hint="eastAsia" w:ascii="宋体" w:hAnsi="宋体" w:cs="宋体"/>
          <w:color w:val="auto"/>
          <w:szCs w:val="21"/>
          <w:highlight w:val="none"/>
        </w:rPr>
        <w:t>%。</w:t>
      </w:r>
    </w:p>
    <w:p w14:paraId="59CCFB0C">
      <w:pPr>
        <w:jc w:val="left"/>
        <w:rPr>
          <w:rFonts w:ascii="宋体" w:cs="宋体"/>
          <w:color w:val="auto"/>
          <w:highlight w:val="none"/>
        </w:rPr>
      </w:pPr>
      <w:r>
        <w:rPr>
          <w:rFonts w:hint="eastAsia"/>
          <w:color w:val="auto"/>
          <w:highlight w:val="none"/>
        </w:rPr>
        <w:t xml:space="preserve">  </w:t>
      </w:r>
      <w:r>
        <w:rPr>
          <w:rFonts w:hint="eastAsia" w:ascii="宋体" w:hAnsi="宋体" w:cs="宋体"/>
          <w:color w:val="auto"/>
          <w:szCs w:val="21"/>
          <w:highlight w:val="none"/>
        </w:rPr>
        <w:t>14.2.7</w:t>
      </w:r>
      <w:r>
        <w:rPr>
          <w:rFonts w:hint="eastAsia" w:ascii="宋体" w:cs="宋体"/>
          <w:color w:val="auto"/>
          <w:highlight w:val="none"/>
        </w:rPr>
        <w:t>设计人应付发包人的违约金、赔偿金等款项，承包人有权从应付未付设计费中直接扣</w:t>
      </w:r>
    </w:p>
    <w:p w14:paraId="658FAEDA">
      <w:pPr>
        <w:jc w:val="left"/>
        <w:rPr>
          <w:rFonts w:ascii="宋体" w:cs="宋体"/>
          <w:color w:val="auto"/>
          <w:highlight w:val="none"/>
        </w:rPr>
      </w:pPr>
      <w:r>
        <w:rPr>
          <w:rFonts w:hint="eastAsia" w:ascii="宋体" w:cs="宋体"/>
          <w:color w:val="auto"/>
          <w:highlight w:val="none"/>
        </w:rPr>
        <w:t>除。</w:t>
      </w:r>
    </w:p>
    <w:p w14:paraId="41396371">
      <w:pPr>
        <w:keepNext/>
        <w:keepLines/>
        <w:spacing w:before="120" w:after="120" w:line="360" w:lineRule="auto"/>
        <w:outlineLvl w:val="3"/>
        <w:rPr>
          <w:rFonts w:ascii="宋体" w:hAnsi="宋体" w:cs="宋体"/>
          <w:bCs/>
          <w:color w:val="auto"/>
          <w:szCs w:val="21"/>
          <w:highlight w:val="none"/>
        </w:rPr>
      </w:pPr>
      <w:r>
        <w:rPr>
          <w:rFonts w:ascii="宋体" w:hAnsi="宋体" w:cs="黑体"/>
          <w:b/>
          <w:color w:val="auto"/>
          <w:sz w:val="24"/>
          <w:highlight w:val="none"/>
        </w:rPr>
        <w:t xml:space="preserve">15. </w:t>
      </w:r>
      <w:r>
        <w:rPr>
          <w:rFonts w:hint="eastAsia" w:ascii="宋体" w:hAnsi="宋体" w:cs="黑体"/>
          <w:b/>
          <w:color w:val="auto"/>
          <w:sz w:val="24"/>
          <w:highlight w:val="none"/>
        </w:rPr>
        <w:t>不可抗力</w:t>
      </w:r>
    </w:p>
    <w:p w14:paraId="6C53F3F2">
      <w:pPr>
        <w:keepNext/>
        <w:keepLines/>
        <w:spacing w:before="120" w:after="120" w:line="360" w:lineRule="auto"/>
        <w:ind w:firstLine="420" w:firstLineChars="200"/>
        <w:outlineLvl w:val="4"/>
        <w:rPr>
          <w:rFonts w:ascii="宋体" w:hAnsi="宋体" w:cs="黑体"/>
          <w:bCs/>
          <w:color w:val="auto"/>
          <w:szCs w:val="21"/>
          <w:highlight w:val="none"/>
        </w:rPr>
      </w:pPr>
      <w:r>
        <w:rPr>
          <w:rFonts w:ascii="宋体" w:hAnsi="宋体" w:cs="黑体"/>
          <w:bCs/>
          <w:color w:val="auto"/>
          <w:szCs w:val="21"/>
          <w:highlight w:val="none"/>
        </w:rPr>
        <w:t xml:space="preserve">15.1 </w:t>
      </w:r>
      <w:r>
        <w:rPr>
          <w:rFonts w:hint="eastAsia" w:ascii="宋体" w:hAnsi="宋体" w:cs="黑体"/>
          <w:bCs/>
          <w:color w:val="auto"/>
          <w:szCs w:val="21"/>
          <w:highlight w:val="none"/>
        </w:rPr>
        <w:t>不可抗力的确认</w:t>
      </w:r>
    </w:p>
    <w:p w14:paraId="3AEA6347">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除通用合同条款约定的不可抗力事件之外，视为不可抗力的其他情形：</w:t>
      </w:r>
      <w:r>
        <w:rPr>
          <w:rFonts w:hint="eastAsia" w:ascii="宋体" w:hAnsi="宋体" w:cs="宋体"/>
          <w:color w:val="auto"/>
          <w:kern w:val="0"/>
          <w:szCs w:val="21"/>
          <w:highlight w:val="none"/>
          <w:u w:val="single"/>
        </w:rPr>
        <w:t>无</w:t>
      </w:r>
      <w:r>
        <w:rPr>
          <w:rFonts w:hint="eastAsia" w:ascii="宋体" w:hAnsi="宋体" w:cs="宋体"/>
          <w:color w:val="auto"/>
          <w:kern w:val="0"/>
          <w:szCs w:val="21"/>
          <w:highlight w:val="none"/>
        </w:rPr>
        <w:t>。</w:t>
      </w:r>
    </w:p>
    <w:p w14:paraId="2B5E5328">
      <w:pPr>
        <w:spacing w:before="120" w:after="120" w:line="360" w:lineRule="auto"/>
        <w:jc w:val="left"/>
        <w:rPr>
          <w:rFonts w:ascii="宋体" w:hAnsi="宋体" w:cs="宋体"/>
          <w:color w:val="auto"/>
          <w:kern w:val="0"/>
          <w:szCs w:val="21"/>
          <w:highlight w:val="none"/>
        </w:rPr>
      </w:pPr>
      <w:r>
        <w:rPr>
          <w:rFonts w:ascii="宋体" w:hAnsi="宋体" w:cs="黑体"/>
          <w:b/>
          <w:color w:val="auto"/>
          <w:sz w:val="24"/>
          <w:szCs w:val="22"/>
          <w:highlight w:val="none"/>
        </w:rPr>
        <w:t xml:space="preserve">16. </w:t>
      </w:r>
      <w:r>
        <w:rPr>
          <w:rFonts w:hint="eastAsia" w:ascii="宋体" w:hAnsi="宋体" w:cs="黑体"/>
          <w:b/>
          <w:color w:val="auto"/>
          <w:sz w:val="24"/>
          <w:szCs w:val="22"/>
          <w:highlight w:val="none"/>
        </w:rPr>
        <w:t>合同解除</w:t>
      </w:r>
    </w:p>
    <w:p w14:paraId="238C761A">
      <w:pPr>
        <w:spacing w:line="360" w:lineRule="auto"/>
        <w:ind w:firstLine="420" w:firstLineChars="200"/>
        <w:jc w:val="left"/>
        <w:rPr>
          <w:rFonts w:ascii="宋体" w:hAnsi="宋体"/>
          <w:color w:val="auto"/>
          <w:kern w:val="0"/>
          <w:szCs w:val="21"/>
          <w:highlight w:val="none"/>
        </w:rPr>
      </w:pPr>
      <w:r>
        <w:rPr>
          <w:rFonts w:ascii="宋体" w:hAnsi="宋体"/>
          <w:color w:val="auto"/>
          <w:kern w:val="0"/>
          <w:szCs w:val="21"/>
          <w:highlight w:val="none"/>
        </w:rPr>
        <w:t xml:space="preserve">16.2 </w:t>
      </w:r>
      <w:r>
        <w:rPr>
          <w:rFonts w:hint="eastAsia" w:ascii="宋体" w:hAnsi="宋体"/>
          <w:color w:val="auto"/>
          <w:szCs w:val="21"/>
          <w:highlight w:val="none"/>
        </w:rPr>
        <w:t>有下列情形之一的，可以解除合同：</w:t>
      </w:r>
    </w:p>
    <w:p w14:paraId="683B8E0A">
      <w:pPr>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7</w:t>
      </w:r>
      <w:r>
        <w:rPr>
          <w:rFonts w:hint="eastAsia" w:ascii="宋体" w:hAnsi="宋体"/>
          <w:color w:val="auto"/>
          <w:kern w:val="0"/>
          <w:szCs w:val="21"/>
          <w:highlight w:val="none"/>
        </w:rPr>
        <w:t>）设计人受到责令停业整顿、降低资质等级和吊销资质证书的行政处罚等原因导致项目无法推进的。</w:t>
      </w:r>
    </w:p>
    <w:p w14:paraId="59A7F1C1">
      <w:pPr>
        <w:keepNext/>
        <w:keepLines/>
        <w:spacing w:before="120" w:after="120" w:line="360" w:lineRule="auto"/>
        <w:outlineLvl w:val="3"/>
        <w:rPr>
          <w:rFonts w:ascii="黑体" w:hAnsi="黑体" w:eastAsia="黑体" w:cs="黑体"/>
          <w:b/>
          <w:color w:val="auto"/>
          <w:sz w:val="24"/>
          <w:highlight w:val="none"/>
        </w:rPr>
      </w:pPr>
      <w:r>
        <w:rPr>
          <w:rFonts w:ascii="黑体" w:hAnsi="黑体" w:eastAsia="黑体" w:cs="黑体"/>
          <w:b/>
          <w:color w:val="auto"/>
          <w:sz w:val="24"/>
          <w:highlight w:val="none"/>
        </w:rPr>
        <w:t xml:space="preserve">17. </w:t>
      </w:r>
      <w:r>
        <w:rPr>
          <w:rFonts w:hint="eastAsia" w:ascii="黑体" w:hAnsi="黑体" w:eastAsia="黑体" w:cs="黑体"/>
          <w:b/>
          <w:color w:val="auto"/>
          <w:sz w:val="24"/>
          <w:highlight w:val="none"/>
        </w:rPr>
        <w:t>争议解决</w:t>
      </w:r>
    </w:p>
    <w:p w14:paraId="30EF14EB">
      <w:pPr>
        <w:keepNext/>
        <w:keepLines/>
        <w:spacing w:before="120" w:after="120" w:line="360" w:lineRule="auto"/>
        <w:ind w:firstLine="420" w:firstLineChars="200"/>
        <w:outlineLvl w:val="4"/>
        <w:rPr>
          <w:rFonts w:ascii="黑体" w:hAnsi="黑体" w:eastAsia="黑体" w:cs="黑体"/>
          <w:bCs/>
          <w:color w:val="auto"/>
          <w:szCs w:val="21"/>
          <w:highlight w:val="none"/>
        </w:rPr>
      </w:pPr>
      <w:r>
        <w:rPr>
          <w:rFonts w:ascii="黑体" w:hAnsi="黑体" w:eastAsia="黑体" w:cs="黑体"/>
          <w:bCs/>
          <w:color w:val="auto"/>
          <w:szCs w:val="21"/>
          <w:highlight w:val="none"/>
        </w:rPr>
        <w:t xml:space="preserve">17.4 </w:t>
      </w:r>
      <w:r>
        <w:rPr>
          <w:rFonts w:hint="eastAsia" w:ascii="黑体" w:hAnsi="黑体" w:eastAsia="黑体" w:cs="黑体"/>
          <w:bCs/>
          <w:color w:val="auto"/>
          <w:szCs w:val="21"/>
          <w:highlight w:val="none"/>
        </w:rPr>
        <w:t>仲裁或诉讼</w:t>
      </w:r>
    </w:p>
    <w:p w14:paraId="75A2885D">
      <w:pPr>
        <w:spacing w:after="12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因合同及合同有关事项发生的争议，按下列第</w:t>
      </w:r>
      <w:r>
        <w:rPr>
          <w:rFonts w:hint="eastAsia" w:ascii="宋体" w:hAnsi="宋体"/>
          <w:color w:val="auto"/>
          <w:szCs w:val="21"/>
          <w:highlight w:val="none"/>
          <w:u w:val="single"/>
        </w:rPr>
        <w:t>（</w:t>
      </w:r>
      <w:r>
        <w:rPr>
          <w:rFonts w:ascii="宋体" w:hAnsi="宋体"/>
          <w:color w:val="auto"/>
          <w:szCs w:val="21"/>
          <w:highlight w:val="none"/>
          <w:u w:val="single"/>
        </w:rPr>
        <w:t>2</w:t>
      </w:r>
      <w:r>
        <w:rPr>
          <w:rFonts w:hint="eastAsia" w:ascii="宋体" w:hAnsi="宋体"/>
          <w:color w:val="auto"/>
          <w:szCs w:val="21"/>
          <w:highlight w:val="none"/>
          <w:u w:val="single"/>
        </w:rPr>
        <w:t>）</w:t>
      </w:r>
      <w:r>
        <w:rPr>
          <w:rFonts w:hint="eastAsia" w:ascii="宋体" w:hAnsi="宋体" w:cs="宋体"/>
          <w:color w:val="auto"/>
          <w:szCs w:val="21"/>
          <w:highlight w:val="none"/>
        </w:rPr>
        <w:t>种方式解决：</w:t>
      </w:r>
    </w:p>
    <w:p w14:paraId="5DC9FE5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）向</w:t>
      </w:r>
      <w:r>
        <w:rPr>
          <w:rFonts w:ascii="宋体" w:hAnsi="宋体"/>
          <w:color w:val="auto"/>
          <w:szCs w:val="21"/>
          <w:highlight w:val="none"/>
          <w:u w:val="single"/>
        </w:rPr>
        <w:t xml:space="preserve">   /   </w:t>
      </w:r>
      <w:r>
        <w:rPr>
          <w:rFonts w:hint="eastAsia" w:ascii="宋体" w:hAnsi="宋体"/>
          <w:color w:val="auto"/>
          <w:szCs w:val="21"/>
          <w:highlight w:val="none"/>
        </w:rPr>
        <w:t>仲裁委员会申请仲裁；</w:t>
      </w:r>
    </w:p>
    <w:p w14:paraId="344CF3DF">
      <w:pPr>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）向</w:t>
      </w:r>
      <w:r>
        <w:rPr>
          <w:rFonts w:hint="eastAsia" w:ascii="宋体" w:hAnsi="宋体"/>
          <w:color w:val="auto"/>
          <w:szCs w:val="21"/>
          <w:highlight w:val="none"/>
          <w:lang w:val="en-US" w:eastAsia="zh-CN"/>
        </w:rPr>
        <w:t>工程</w:t>
      </w:r>
      <w:r>
        <w:rPr>
          <w:rFonts w:hint="eastAsia" w:ascii="宋体" w:hAnsi="宋体"/>
          <w:color w:val="auto"/>
          <w:szCs w:val="21"/>
          <w:highlight w:val="none"/>
          <w:u w:val="single"/>
          <w:lang w:eastAsia="zh-CN"/>
        </w:rPr>
        <w:t>所在地具有管辖权的</w:t>
      </w:r>
      <w:r>
        <w:rPr>
          <w:rFonts w:hint="eastAsia" w:ascii="宋体" w:hAnsi="宋体"/>
          <w:color w:val="auto"/>
          <w:szCs w:val="21"/>
          <w:highlight w:val="none"/>
          <w:u w:val="none"/>
        </w:rPr>
        <w:t>人民法院提起诉讼</w:t>
      </w:r>
      <w:r>
        <w:rPr>
          <w:rFonts w:hint="eastAsia" w:ascii="宋体" w:hAnsi="宋体" w:cs="宋体"/>
          <w:color w:val="auto"/>
          <w:szCs w:val="21"/>
          <w:highlight w:val="none"/>
        </w:rPr>
        <w:t>。</w:t>
      </w:r>
    </w:p>
    <w:p w14:paraId="234F2929">
      <w:pPr>
        <w:spacing w:line="360" w:lineRule="auto"/>
        <w:jc w:val="left"/>
        <w:rPr>
          <w:rFonts w:ascii="宋体" w:hAnsi="Calibri" w:cs="宋体"/>
          <w:bCs/>
          <w:color w:val="auto"/>
          <w:szCs w:val="21"/>
          <w:highlight w:val="none"/>
        </w:rPr>
      </w:pPr>
      <w:r>
        <w:rPr>
          <w:rFonts w:ascii="黑体" w:hAnsi="黑体" w:eastAsia="黑体" w:cs="黑体"/>
          <w:b/>
          <w:color w:val="auto"/>
          <w:sz w:val="24"/>
          <w:highlight w:val="none"/>
        </w:rPr>
        <w:t xml:space="preserve">18. </w:t>
      </w:r>
      <w:r>
        <w:rPr>
          <w:rFonts w:hint="eastAsia" w:ascii="黑体" w:hAnsi="黑体" w:eastAsia="黑体" w:cs="黑体"/>
          <w:b/>
          <w:color w:val="auto"/>
          <w:sz w:val="24"/>
          <w:highlight w:val="none"/>
        </w:rPr>
        <w:t>其他</w:t>
      </w:r>
      <w:r>
        <w:rPr>
          <w:rFonts w:hint="eastAsia" w:ascii="宋体" w:hAnsi="Calibri" w:cs="宋体"/>
          <w:bCs/>
          <w:color w:val="auto"/>
          <w:szCs w:val="21"/>
          <w:highlight w:val="none"/>
        </w:rPr>
        <w:t xml:space="preserve"> </w:t>
      </w:r>
      <w:r>
        <w:rPr>
          <w:rFonts w:ascii="宋体" w:hAnsi="Calibri" w:cs="宋体"/>
          <w:bCs/>
          <w:color w:val="auto"/>
          <w:szCs w:val="21"/>
          <w:highlight w:val="none"/>
        </w:rPr>
        <w:t xml:space="preserve"> </w:t>
      </w:r>
    </w:p>
    <w:p w14:paraId="6577F5B6">
      <w:pPr>
        <w:spacing w:line="360" w:lineRule="auto"/>
        <w:ind w:firstLine="210" w:firstLineChars="100"/>
        <w:jc w:val="left"/>
        <w:rPr>
          <w:rFonts w:ascii="宋体" w:hAnsi="宋体" w:cs="宋体"/>
          <w:color w:val="auto"/>
          <w:szCs w:val="21"/>
          <w:highlight w:val="none"/>
        </w:rPr>
      </w:pPr>
      <w:r>
        <w:rPr>
          <w:rFonts w:hint="eastAsia" w:ascii="宋体" w:hAnsi="宋体" w:cs="宋体"/>
          <w:color w:val="auto"/>
          <w:szCs w:val="21"/>
          <w:highlight w:val="none"/>
          <w:u w:val="single"/>
        </w:rPr>
        <w:t xml:space="preserve">                  无                 </w:t>
      </w:r>
    </w:p>
    <w:p w14:paraId="6DADFF21">
      <w:pPr>
        <w:keepNext/>
        <w:keepLines/>
        <w:spacing w:before="120" w:after="120" w:line="360" w:lineRule="auto"/>
        <w:outlineLvl w:val="3"/>
        <w:rPr>
          <w:rFonts w:ascii="宋体" w:hAnsi="Calibri" w:cs="宋体"/>
          <w:bCs/>
          <w:color w:val="auto"/>
          <w:szCs w:val="21"/>
          <w:highlight w:val="none"/>
        </w:rPr>
      </w:pPr>
      <w:r>
        <w:rPr>
          <w:rFonts w:hint="eastAsia" w:ascii="宋体" w:hAnsi="宋体" w:cs="宋体"/>
          <w:b/>
          <w:color w:val="auto"/>
          <w:szCs w:val="21"/>
          <w:highlight w:val="none"/>
        </w:rPr>
        <w:t>附件</w:t>
      </w:r>
    </w:p>
    <w:p w14:paraId="514B72AF">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附件1：工程设计范围、阶段与服务内容</w:t>
      </w:r>
    </w:p>
    <w:p w14:paraId="161076B6">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附件2：发包人向设计人提交的有关资料及文件一览表</w:t>
      </w:r>
    </w:p>
    <w:p w14:paraId="43D2C78F">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附件3：设计人向发包人交付的工程设计文件目录</w:t>
      </w:r>
    </w:p>
    <w:p w14:paraId="2FA6C1A8">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附件4：设计人主要设计人员表</w:t>
      </w:r>
    </w:p>
    <w:p w14:paraId="22265B8A">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附件5: 设计进度表</w:t>
      </w:r>
    </w:p>
    <w:p w14:paraId="03A8BB15">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附件6: 设计费明细及支付方式</w:t>
      </w:r>
    </w:p>
    <w:p w14:paraId="05D85AD6">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附件7: 设计变更计费依据和方法</w:t>
      </w:r>
    </w:p>
    <w:p w14:paraId="75DD423E">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附件8：履约担保格式（独立保函、非独立保函）</w:t>
      </w:r>
    </w:p>
    <w:p w14:paraId="75D46529">
      <w:pPr>
        <w:spacing w:line="360" w:lineRule="auto"/>
        <w:jc w:val="left"/>
        <w:rPr>
          <w:rFonts w:ascii="宋体" w:hAnsi="宋体" w:cs="宋体"/>
          <w:color w:val="auto"/>
          <w:szCs w:val="21"/>
          <w:highlight w:val="none"/>
        </w:rPr>
      </w:pPr>
    </w:p>
    <w:p w14:paraId="53D61F7C">
      <w:pPr>
        <w:spacing w:line="360" w:lineRule="auto"/>
        <w:jc w:val="left"/>
        <w:rPr>
          <w:rFonts w:ascii="宋体" w:hAnsi="宋体" w:cs="宋体"/>
          <w:color w:val="auto"/>
          <w:szCs w:val="21"/>
          <w:highlight w:val="none"/>
        </w:rPr>
      </w:pPr>
    </w:p>
    <w:p w14:paraId="469654CF">
      <w:pPr>
        <w:spacing w:line="360" w:lineRule="auto"/>
        <w:jc w:val="left"/>
        <w:rPr>
          <w:rFonts w:ascii="宋体" w:hAnsi="宋体" w:cs="宋体"/>
          <w:color w:val="auto"/>
          <w:szCs w:val="21"/>
          <w:highlight w:val="none"/>
        </w:rPr>
      </w:pPr>
    </w:p>
    <w:p w14:paraId="6C8C4AAB">
      <w:pPr>
        <w:spacing w:line="360" w:lineRule="auto"/>
        <w:jc w:val="left"/>
        <w:rPr>
          <w:rFonts w:ascii="黑体" w:hAnsi="宋体" w:eastAsia="黑体"/>
          <w:b/>
          <w:color w:val="auto"/>
          <w:sz w:val="28"/>
          <w:szCs w:val="28"/>
          <w:highlight w:val="none"/>
        </w:rPr>
      </w:pPr>
      <w:bookmarkStart w:id="154" w:name="_Toc278309716"/>
      <w:bookmarkStart w:id="155" w:name="_Toc278231956"/>
      <w:r>
        <w:rPr>
          <w:rFonts w:hint="eastAsia" w:ascii="黑体" w:hAnsi="宋体" w:eastAsia="黑体"/>
          <w:b/>
          <w:color w:val="auto"/>
          <w:sz w:val="28"/>
          <w:szCs w:val="28"/>
          <w:highlight w:val="none"/>
        </w:rPr>
        <w:t>附件</w:t>
      </w:r>
      <w:r>
        <w:rPr>
          <w:rFonts w:ascii="黑体" w:hAnsi="宋体" w:eastAsia="黑体"/>
          <w:b/>
          <w:color w:val="auto"/>
          <w:sz w:val="28"/>
          <w:szCs w:val="28"/>
          <w:highlight w:val="none"/>
        </w:rPr>
        <w:t>1</w:t>
      </w:r>
      <w:r>
        <w:rPr>
          <w:rFonts w:hint="eastAsia" w:ascii="黑体" w:hAnsi="宋体" w:eastAsia="黑体"/>
          <w:b/>
          <w:color w:val="auto"/>
          <w:sz w:val="28"/>
          <w:szCs w:val="28"/>
          <w:highlight w:val="none"/>
        </w:rPr>
        <w:t>：</w:t>
      </w:r>
      <w:bookmarkEnd w:id="154"/>
      <w:bookmarkEnd w:id="155"/>
    </w:p>
    <w:p w14:paraId="79B26685">
      <w:pPr>
        <w:spacing w:line="360" w:lineRule="auto"/>
        <w:ind w:firstLine="200"/>
        <w:jc w:val="center"/>
        <w:rPr>
          <w:rFonts w:hint="eastAsia" w:ascii="宋体" w:hAnsi="宋体"/>
          <w:color w:val="auto"/>
          <w:szCs w:val="21"/>
          <w:highlight w:val="none"/>
        </w:rPr>
      </w:pPr>
      <w:r>
        <w:rPr>
          <w:rFonts w:hint="eastAsia" w:ascii="黑体" w:hAnsi="宋体" w:eastAsia="黑体"/>
          <w:color w:val="auto"/>
          <w:sz w:val="28"/>
          <w:szCs w:val="28"/>
          <w:highlight w:val="none"/>
        </w:rPr>
        <w:t>工程设计范围、阶段与服务内容（适用于房屋建筑工程）</w:t>
      </w:r>
    </w:p>
    <w:p w14:paraId="09B2AD3A">
      <w:pPr>
        <w:spacing w:line="360" w:lineRule="auto"/>
        <w:ind w:firstLine="394" w:firstLineChars="187"/>
        <w:rPr>
          <w:rFonts w:hint="eastAsia" w:ascii="宋体" w:hAnsi="宋体"/>
          <w:b/>
          <w:color w:val="auto"/>
          <w:szCs w:val="21"/>
          <w:highlight w:val="none"/>
        </w:rPr>
      </w:pPr>
    </w:p>
    <w:p w14:paraId="2DDEAA62">
      <w:pPr>
        <w:spacing w:line="360" w:lineRule="auto"/>
        <w:ind w:firstLine="422" w:firstLineChars="200"/>
        <w:rPr>
          <w:rFonts w:hint="eastAsia" w:ascii="宋体" w:hAnsi="宋体"/>
          <w:color w:val="auto"/>
          <w:szCs w:val="21"/>
          <w:highlight w:val="none"/>
        </w:rPr>
      </w:pPr>
      <w:r>
        <w:rPr>
          <w:rFonts w:hint="eastAsia" w:ascii="宋体" w:hAnsi="宋体"/>
          <w:b/>
          <w:color w:val="auto"/>
          <w:szCs w:val="21"/>
          <w:highlight w:val="none"/>
        </w:rPr>
        <w:t>一、本工程设计范围</w:t>
      </w:r>
    </w:p>
    <w:p w14:paraId="2F02227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新建一栋科研楼，总建筑面积19800平方米。主要建设内容包括建筑工程、装饰装修工程、给排水工程、电气工程、消防工程、智能化工程、通风工程及相关附属配套设施等。</w:t>
      </w:r>
    </w:p>
    <w:p w14:paraId="26AB0581">
      <w:pPr>
        <w:spacing w:line="360" w:lineRule="auto"/>
        <w:ind w:firstLine="422" w:firstLineChars="200"/>
        <w:rPr>
          <w:rFonts w:hint="eastAsia" w:ascii="宋体" w:hAnsi="宋体"/>
          <w:color w:val="auto"/>
          <w:szCs w:val="21"/>
          <w:highlight w:val="none"/>
        </w:rPr>
      </w:pPr>
      <w:r>
        <w:rPr>
          <w:rFonts w:hint="eastAsia" w:ascii="宋体" w:hAnsi="宋体"/>
          <w:b/>
          <w:color w:val="auto"/>
          <w:szCs w:val="21"/>
          <w:highlight w:val="none"/>
        </w:rPr>
        <w:t>二、本工程设计阶段划分</w:t>
      </w:r>
    </w:p>
    <w:p w14:paraId="6127F6E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初步设计</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含概算编制</w:t>
      </w:r>
      <w:r>
        <w:rPr>
          <w:rFonts w:hint="eastAsia" w:ascii="宋体" w:hAnsi="宋体"/>
          <w:color w:val="auto"/>
          <w:szCs w:val="21"/>
          <w:highlight w:val="none"/>
          <w:lang w:eastAsia="zh-CN"/>
        </w:rPr>
        <w:t>）</w:t>
      </w:r>
      <w:r>
        <w:rPr>
          <w:rFonts w:hint="eastAsia" w:ascii="宋体" w:hAnsi="宋体"/>
          <w:color w:val="auto"/>
          <w:szCs w:val="21"/>
          <w:highlight w:val="none"/>
        </w:rPr>
        <w:t>、施工图设计及施工配合</w:t>
      </w:r>
      <w:r>
        <w:rPr>
          <w:rFonts w:hint="eastAsia" w:ascii="宋体" w:hAnsi="宋体"/>
          <w:color w:val="auto"/>
          <w:szCs w:val="21"/>
          <w:highlight w:val="none"/>
          <w:lang w:val="en-US" w:eastAsia="zh-CN"/>
        </w:rPr>
        <w:t>三</w:t>
      </w:r>
      <w:r>
        <w:rPr>
          <w:rFonts w:hint="eastAsia" w:ascii="宋体" w:hAnsi="宋体"/>
          <w:color w:val="auto"/>
          <w:szCs w:val="21"/>
          <w:highlight w:val="none"/>
        </w:rPr>
        <w:t>个阶段。</w:t>
      </w:r>
    </w:p>
    <w:p w14:paraId="57F63D0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三、各阶段服务内容</w:t>
      </w:r>
    </w:p>
    <w:p w14:paraId="40035F45">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lang w:val="en-US" w:eastAsia="zh-CN"/>
        </w:rPr>
        <w:t>1</w:t>
      </w:r>
      <w:r>
        <w:rPr>
          <w:rFonts w:hint="eastAsia" w:ascii="宋体" w:hAnsi="宋体"/>
          <w:b/>
          <w:color w:val="auto"/>
          <w:szCs w:val="21"/>
          <w:highlight w:val="none"/>
        </w:rPr>
        <w:t>.初步设计阶段</w:t>
      </w:r>
    </w:p>
    <w:p w14:paraId="4E5D036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（1）负责完成并制作建筑、结构、给排水、暖通空调、电气、动力、室外管线综合等专业的初步设计文件，设计内容和深度应满足政府相关规定； </w:t>
      </w:r>
    </w:p>
    <w:p w14:paraId="020319B7">
      <w:pPr>
        <w:spacing w:line="360" w:lineRule="auto"/>
        <w:ind w:firstLine="420" w:firstLineChars="200"/>
        <w:rPr>
          <w:rFonts w:hint="eastAsia" w:ascii="宋体" w:hAnsi="宋体" w:eastAsia="宋体"/>
          <w:color w:val="auto"/>
          <w:szCs w:val="21"/>
          <w:highlight w:val="none"/>
        </w:rPr>
      </w:pPr>
      <w:r>
        <w:rPr>
          <w:rFonts w:hint="eastAsia" w:ascii="宋体" w:hAnsi="宋体" w:eastAsia="宋体"/>
          <w:color w:val="auto"/>
          <w:szCs w:val="21"/>
          <w:highlight w:val="none"/>
        </w:rPr>
        <w:t>（2）制作报政府相关部门进行初步设计审查的设计图纸，配合发包人进行交通、园林、人防、消防、供电、市政、气象等各部门的报审工作，提供相关的工程用量参数，并负责有关解释和修改。</w:t>
      </w:r>
    </w:p>
    <w:p w14:paraId="159E7786">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eastAsia="宋体"/>
          <w:color w:val="auto"/>
          <w:szCs w:val="21"/>
          <w:highlight w:val="none"/>
          <w:lang w:eastAsia="zh-CN"/>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lang w:val="en-US" w:eastAsia="zh-CN"/>
        </w:rPr>
        <w:t>提供概算编制。</w:t>
      </w:r>
    </w:p>
    <w:p w14:paraId="25401916">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lang w:val="en-US" w:eastAsia="zh-CN"/>
        </w:rPr>
        <w:t>2</w:t>
      </w:r>
      <w:r>
        <w:rPr>
          <w:rFonts w:hint="eastAsia" w:ascii="宋体" w:hAnsi="宋体"/>
          <w:b/>
          <w:color w:val="auto"/>
          <w:szCs w:val="21"/>
          <w:highlight w:val="none"/>
        </w:rPr>
        <w:t>.施工图设计阶段</w:t>
      </w:r>
    </w:p>
    <w:p w14:paraId="5A9E251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（1）负责完成并制作总图、建筑、结构、机电、室外管线综合等全部专业的施工图设计文件； </w:t>
      </w:r>
    </w:p>
    <w:p w14:paraId="5EB790F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（2）对发包人的审核修改意见进行修改、完善，保证其设计意图的最终实现； </w:t>
      </w:r>
    </w:p>
    <w:p w14:paraId="0879B9C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（3）根据项目开发进度要求及时提供各阶段报审图纸，协助发包人进行报审工作，根据审查结果在本合同约定的范围内进行修改调整，直至审查通过，并最终向发包人提交正式的施工图设计文件； </w:t>
      </w:r>
    </w:p>
    <w:p w14:paraId="0D9BD59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（4）协助发包人进行工程招标答疑。</w:t>
      </w:r>
    </w:p>
    <w:p w14:paraId="6E1C5CD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lang w:val="en-US" w:eastAsia="zh-CN"/>
        </w:rPr>
        <w:t>3</w:t>
      </w:r>
      <w:r>
        <w:rPr>
          <w:rFonts w:hint="eastAsia" w:ascii="宋体" w:hAnsi="宋体"/>
          <w:b/>
          <w:color w:val="auto"/>
          <w:szCs w:val="21"/>
          <w:highlight w:val="none"/>
        </w:rPr>
        <w:t>.施工配合阶段</w:t>
      </w:r>
    </w:p>
    <w:p w14:paraId="7DB28C2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（1）负责工程设计交底，解答施工过程中施工承包人有关施工图的问题，项目负责人及各专业设计负责人，及时对施工中与设计有关的问题做出回应，保证设计满足施工要求； </w:t>
      </w:r>
    </w:p>
    <w:p w14:paraId="1D85DF2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（2）根据发包人要求，及时参加与设计有关的专题会，现场解决技术问题； </w:t>
      </w:r>
    </w:p>
    <w:p w14:paraId="1E789BA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（3）协助发包人处理工程洽商和设计变更，负责有关设计修改，及时办理相关手续； </w:t>
      </w:r>
    </w:p>
    <w:p w14:paraId="61CDFF3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（4）参与与设计人相关的必要的验收以及项目竣工验收工作，并及时办理相关手续； </w:t>
      </w:r>
    </w:p>
    <w:p w14:paraId="5B4601E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（5）提供产品选型、设备加工订货、建筑材料选择以及分包商考察等技术咨询工作； </w:t>
      </w:r>
    </w:p>
    <w:p w14:paraId="59F7B56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（6）应发包人要求协助审核各分包商的设计文件是否满足接口条件并签署意见，以保证其与总体设计协调一致，并满足工程要求。</w:t>
      </w:r>
    </w:p>
    <w:p w14:paraId="20AF8C54">
      <w:pPr>
        <w:rPr>
          <w:rFonts w:ascii="黑体" w:hAnsi="宋体" w:eastAsia="黑体"/>
          <w:b/>
          <w:color w:val="auto"/>
          <w:sz w:val="28"/>
          <w:szCs w:val="28"/>
          <w:highlight w:val="none"/>
        </w:rPr>
      </w:pPr>
      <w:bookmarkStart w:id="156" w:name="_Toc278309718"/>
      <w:bookmarkStart w:id="157" w:name="_Toc278231958"/>
      <w:r>
        <w:rPr>
          <w:rFonts w:hint="eastAsia" w:ascii="黑体" w:hAnsi="宋体" w:eastAsia="黑体"/>
          <w:b/>
          <w:color w:val="auto"/>
          <w:sz w:val="28"/>
          <w:szCs w:val="28"/>
          <w:highlight w:val="none"/>
        </w:rPr>
        <w:t>附件</w:t>
      </w:r>
      <w:r>
        <w:rPr>
          <w:rFonts w:ascii="黑体" w:hAnsi="宋体" w:eastAsia="黑体"/>
          <w:b/>
          <w:color w:val="auto"/>
          <w:sz w:val="28"/>
          <w:szCs w:val="28"/>
          <w:highlight w:val="none"/>
        </w:rPr>
        <w:t>2</w:t>
      </w:r>
      <w:r>
        <w:rPr>
          <w:rFonts w:hint="eastAsia" w:ascii="黑体" w:hAnsi="宋体" w:eastAsia="黑体"/>
          <w:b/>
          <w:color w:val="auto"/>
          <w:sz w:val="28"/>
          <w:szCs w:val="28"/>
          <w:highlight w:val="none"/>
        </w:rPr>
        <w:t>：</w:t>
      </w:r>
    </w:p>
    <w:p w14:paraId="10C2B2B1">
      <w:pPr>
        <w:spacing w:line="360" w:lineRule="auto"/>
        <w:ind w:firstLine="200"/>
        <w:jc w:val="center"/>
        <w:rPr>
          <w:rFonts w:ascii="黑体" w:hAnsi="宋体" w:eastAsia="黑体"/>
          <w:color w:val="auto"/>
          <w:sz w:val="28"/>
          <w:szCs w:val="28"/>
          <w:highlight w:val="none"/>
        </w:rPr>
      </w:pPr>
      <w:r>
        <w:rPr>
          <w:rFonts w:hint="eastAsia" w:ascii="黑体" w:hAnsi="宋体" w:eastAsia="黑体"/>
          <w:color w:val="auto"/>
          <w:sz w:val="28"/>
          <w:szCs w:val="28"/>
          <w:highlight w:val="none"/>
        </w:rPr>
        <w:t>发包人向设计人提交有关资料及文件一览表（适用于房屋建筑工程）</w:t>
      </w:r>
    </w:p>
    <w:tbl>
      <w:tblPr>
        <w:tblStyle w:val="40"/>
        <w:tblW w:w="9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606"/>
        <w:gridCol w:w="905"/>
        <w:gridCol w:w="2700"/>
        <w:gridCol w:w="1087"/>
      </w:tblGrid>
      <w:tr w14:paraId="425F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817" w:type="dxa"/>
            <w:noWrap w:val="0"/>
            <w:vAlign w:val="center"/>
          </w:tcPr>
          <w:p w14:paraId="086F7F42">
            <w:pPr>
              <w:spacing w:line="360" w:lineRule="auto"/>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3606" w:type="dxa"/>
            <w:noWrap w:val="0"/>
            <w:vAlign w:val="center"/>
          </w:tcPr>
          <w:p w14:paraId="0873094E">
            <w:pPr>
              <w:spacing w:line="360" w:lineRule="auto"/>
              <w:ind w:firstLine="200"/>
              <w:jc w:val="center"/>
              <w:rPr>
                <w:rFonts w:hint="eastAsia" w:ascii="宋体" w:hAnsi="宋体"/>
                <w:b/>
                <w:bCs/>
                <w:color w:val="auto"/>
                <w:szCs w:val="21"/>
                <w:highlight w:val="none"/>
              </w:rPr>
            </w:pPr>
            <w:r>
              <w:rPr>
                <w:rFonts w:hint="eastAsia" w:ascii="宋体" w:hAnsi="宋体"/>
                <w:b/>
                <w:bCs/>
                <w:color w:val="auto"/>
                <w:szCs w:val="21"/>
                <w:highlight w:val="none"/>
              </w:rPr>
              <w:t>资料及文件名称</w:t>
            </w:r>
          </w:p>
        </w:tc>
        <w:tc>
          <w:tcPr>
            <w:tcW w:w="905" w:type="dxa"/>
            <w:noWrap w:val="0"/>
            <w:vAlign w:val="center"/>
          </w:tcPr>
          <w:p w14:paraId="3E5D12AA">
            <w:pPr>
              <w:spacing w:line="360" w:lineRule="auto"/>
              <w:ind w:firstLine="200"/>
              <w:jc w:val="center"/>
              <w:rPr>
                <w:rFonts w:hint="eastAsia" w:ascii="宋体" w:hAnsi="宋体"/>
                <w:b/>
                <w:bCs/>
                <w:color w:val="auto"/>
                <w:szCs w:val="21"/>
                <w:highlight w:val="none"/>
              </w:rPr>
            </w:pPr>
            <w:r>
              <w:rPr>
                <w:rFonts w:hint="eastAsia" w:ascii="宋体" w:hAnsi="宋体"/>
                <w:b/>
                <w:bCs/>
                <w:color w:val="auto"/>
                <w:szCs w:val="21"/>
                <w:highlight w:val="none"/>
              </w:rPr>
              <w:t>份数</w:t>
            </w:r>
          </w:p>
        </w:tc>
        <w:tc>
          <w:tcPr>
            <w:tcW w:w="2700" w:type="dxa"/>
            <w:noWrap w:val="0"/>
            <w:vAlign w:val="center"/>
          </w:tcPr>
          <w:p w14:paraId="74840C31">
            <w:pPr>
              <w:spacing w:line="360" w:lineRule="auto"/>
              <w:ind w:firstLine="200"/>
              <w:jc w:val="center"/>
              <w:rPr>
                <w:rFonts w:hint="eastAsia" w:ascii="宋体" w:hAnsi="宋体"/>
                <w:b/>
                <w:bCs/>
                <w:color w:val="auto"/>
                <w:szCs w:val="21"/>
                <w:highlight w:val="none"/>
              </w:rPr>
            </w:pPr>
            <w:r>
              <w:rPr>
                <w:rFonts w:hint="eastAsia" w:ascii="宋体" w:hAnsi="宋体"/>
                <w:b/>
                <w:bCs/>
                <w:color w:val="auto"/>
                <w:szCs w:val="21"/>
                <w:highlight w:val="none"/>
              </w:rPr>
              <w:t>提交日期</w:t>
            </w:r>
          </w:p>
        </w:tc>
        <w:tc>
          <w:tcPr>
            <w:tcW w:w="1087" w:type="dxa"/>
            <w:noWrap w:val="0"/>
            <w:vAlign w:val="center"/>
          </w:tcPr>
          <w:p w14:paraId="2E5E0507">
            <w:pPr>
              <w:spacing w:line="360" w:lineRule="auto"/>
              <w:jc w:val="center"/>
              <w:rPr>
                <w:rFonts w:hint="eastAsia" w:ascii="宋体" w:hAnsi="宋体"/>
                <w:b/>
                <w:bCs/>
                <w:color w:val="auto"/>
                <w:szCs w:val="21"/>
                <w:highlight w:val="none"/>
              </w:rPr>
            </w:pPr>
            <w:r>
              <w:rPr>
                <w:rFonts w:hint="eastAsia" w:ascii="宋体" w:hAnsi="宋体"/>
                <w:b/>
                <w:bCs/>
                <w:color w:val="auto"/>
                <w:szCs w:val="21"/>
                <w:highlight w:val="none"/>
              </w:rPr>
              <w:t>有关事宜</w:t>
            </w:r>
          </w:p>
        </w:tc>
      </w:tr>
      <w:tr w14:paraId="7936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817" w:type="dxa"/>
            <w:noWrap w:val="0"/>
            <w:vAlign w:val="center"/>
          </w:tcPr>
          <w:p w14:paraId="77657BAE">
            <w:pPr>
              <w:spacing w:line="360" w:lineRule="auto"/>
              <w:jc w:val="center"/>
              <w:rPr>
                <w:rFonts w:hint="eastAsia" w:ascii="宋体" w:hAnsi="宋体"/>
                <w:color w:val="auto"/>
                <w:szCs w:val="21"/>
                <w:highlight w:val="none"/>
              </w:rPr>
            </w:pPr>
            <w:r>
              <w:rPr>
                <w:rFonts w:hint="eastAsia" w:ascii="宋体" w:hAnsi="宋体"/>
                <w:color w:val="auto"/>
                <w:szCs w:val="21"/>
                <w:highlight w:val="none"/>
              </w:rPr>
              <w:t>1</w:t>
            </w:r>
          </w:p>
        </w:tc>
        <w:tc>
          <w:tcPr>
            <w:tcW w:w="3606" w:type="dxa"/>
            <w:shd w:val="clear" w:color="auto" w:fill="auto"/>
            <w:noWrap w:val="0"/>
            <w:vAlign w:val="center"/>
          </w:tcPr>
          <w:p w14:paraId="01F8834C">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各阶段主管部门的审批意见</w:t>
            </w:r>
          </w:p>
        </w:tc>
        <w:tc>
          <w:tcPr>
            <w:tcW w:w="905" w:type="dxa"/>
            <w:shd w:val="clear" w:color="auto" w:fill="auto"/>
            <w:noWrap w:val="0"/>
            <w:vAlign w:val="center"/>
          </w:tcPr>
          <w:p w14:paraId="2A69F2D5">
            <w:pPr>
              <w:spacing w:line="360" w:lineRule="auto"/>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1</w:t>
            </w:r>
          </w:p>
        </w:tc>
        <w:tc>
          <w:tcPr>
            <w:tcW w:w="2700" w:type="dxa"/>
            <w:shd w:val="clear" w:color="auto" w:fill="auto"/>
            <w:noWrap w:val="0"/>
            <w:vAlign w:val="center"/>
          </w:tcPr>
          <w:p w14:paraId="64F1B9AE">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下一个阶段设计开始3天前提供上一个阶段审批意见</w:t>
            </w:r>
          </w:p>
        </w:tc>
        <w:tc>
          <w:tcPr>
            <w:tcW w:w="1087" w:type="dxa"/>
            <w:vMerge w:val="restart"/>
            <w:noWrap w:val="0"/>
            <w:vAlign w:val="center"/>
          </w:tcPr>
          <w:p w14:paraId="52F09E14">
            <w:pPr>
              <w:spacing w:line="360" w:lineRule="auto"/>
              <w:ind w:firstLine="200"/>
              <w:jc w:val="center"/>
              <w:rPr>
                <w:rFonts w:hint="eastAsia" w:ascii="宋体" w:hAnsi="宋体"/>
                <w:color w:val="auto"/>
                <w:szCs w:val="21"/>
                <w:highlight w:val="none"/>
              </w:rPr>
            </w:pPr>
          </w:p>
        </w:tc>
      </w:tr>
      <w:tr w14:paraId="15F4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817" w:type="dxa"/>
            <w:noWrap w:val="0"/>
            <w:vAlign w:val="center"/>
          </w:tcPr>
          <w:p w14:paraId="074299AF">
            <w:pPr>
              <w:spacing w:line="360" w:lineRule="auto"/>
              <w:jc w:val="center"/>
              <w:rPr>
                <w:rFonts w:hint="eastAsia" w:ascii="宋体" w:hAnsi="宋体"/>
                <w:color w:val="auto"/>
                <w:szCs w:val="21"/>
                <w:highlight w:val="none"/>
              </w:rPr>
            </w:pPr>
            <w:r>
              <w:rPr>
                <w:rFonts w:hint="eastAsia" w:ascii="宋体" w:hAnsi="宋体"/>
                <w:color w:val="auto"/>
                <w:szCs w:val="21"/>
                <w:highlight w:val="none"/>
              </w:rPr>
              <w:t>2</w:t>
            </w:r>
          </w:p>
        </w:tc>
        <w:tc>
          <w:tcPr>
            <w:tcW w:w="3606" w:type="dxa"/>
            <w:shd w:val="clear" w:color="auto" w:fill="auto"/>
            <w:noWrap w:val="0"/>
            <w:vAlign w:val="center"/>
          </w:tcPr>
          <w:p w14:paraId="1C6EE8BD">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方案设计确认单（含初设开工令）</w:t>
            </w:r>
          </w:p>
        </w:tc>
        <w:tc>
          <w:tcPr>
            <w:tcW w:w="905" w:type="dxa"/>
            <w:shd w:val="clear" w:color="auto" w:fill="auto"/>
            <w:noWrap w:val="0"/>
            <w:vAlign w:val="center"/>
          </w:tcPr>
          <w:p w14:paraId="790C3A7C">
            <w:pPr>
              <w:spacing w:line="360" w:lineRule="auto"/>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1</w:t>
            </w:r>
          </w:p>
        </w:tc>
        <w:tc>
          <w:tcPr>
            <w:tcW w:w="2700" w:type="dxa"/>
            <w:shd w:val="clear" w:color="auto" w:fill="auto"/>
            <w:noWrap w:val="0"/>
            <w:vAlign w:val="center"/>
          </w:tcPr>
          <w:p w14:paraId="3C2AB202">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初步设计开始3天前</w:t>
            </w:r>
          </w:p>
        </w:tc>
        <w:tc>
          <w:tcPr>
            <w:tcW w:w="1087" w:type="dxa"/>
            <w:vMerge w:val="continue"/>
            <w:noWrap w:val="0"/>
            <w:vAlign w:val="center"/>
          </w:tcPr>
          <w:p w14:paraId="79B03731">
            <w:pPr>
              <w:spacing w:line="360" w:lineRule="auto"/>
              <w:ind w:firstLine="200"/>
              <w:jc w:val="center"/>
              <w:rPr>
                <w:rFonts w:hint="eastAsia" w:ascii="宋体" w:hAnsi="宋体"/>
                <w:color w:val="auto"/>
                <w:szCs w:val="21"/>
                <w:highlight w:val="none"/>
              </w:rPr>
            </w:pPr>
          </w:p>
        </w:tc>
      </w:tr>
      <w:tr w14:paraId="4393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817" w:type="dxa"/>
            <w:noWrap w:val="0"/>
            <w:vAlign w:val="center"/>
          </w:tcPr>
          <w:p w14:paraId="09035B6F">
            <w:pPr>
              <w:spacing w:line="360" w:lineRule="auto"/>
              <w:jc w:val="center"/>
              <w:rPr>
                <w:rFonts w:hint="eastAsia" w:ascii="宋体" w:hAnsi="宋体"/>
                <w:color w:val="auto"/>
                <w:szCs w:val="21"/>
                <w:highlight w:val="none"/>
              </w:rPr>
            </w:pPr>
            <w:r>
              <w:rPr>
                <w:rFonts w:hint="eastAsia" w:ascii="宋体" w:hAnsi="宋体"/>
                <w:color w:val="auto"/>
                <w:szCs w:val="21"/>
                <w:highlight w:val="none"/>
              </w:rPr>
              <w:t>3</w:t>
            </w:r>
          </w:p>
        </w:tc>
        <w:tc>
          <w:tcPr>
            <w:tcW w:w="3606" w:type="dxa"/>
            <w:shd w:val="clear" w:color="auto" w:fill="auto"/>
            <w:noWrap w:val="0"/>
            <w:vAlign w:val="center"/>
          </w:tcPr>
          <w:p w14:paraId="5198CFD0">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工程所在地地形图（1/500）电子版及区域位置图</w:t>
            </w:r>
          </w:p>
        </w:tc>
        <w:tc>
          <w:tcPr>
            <w:tcW w:w="905" w:type="dxa"/>
            <w:shd w:val="clear" w:color="auto" w:fill="auto"/>
            <w:noWrap w:val="0"/>
            <w:vAlign w:val="center"/>
          </w:tcPr>
          <w:p w14:paraId="045F9F2E">
            <w:pPr>
              <w:spacing w:line="360" w:lineRule="auto"/>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1</w:t>
            </w:r>
          </w:p>
        </w:tc>
        <w:tc>
          <w:tcPr>
            <w:tcW w:w="2700" w:type="dxa"/>
            <w:shd w:val="clear" w:color="auto" w:fill="auto"/>
            <w:noWrap w:val="0"/>
            <w:vAlign w:val="center"/>
          </w:tcPr>
          <w:p w14:paraId="026B6248">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初步设计开始3天前</w:t>
            </w:r>
          </w:p>
        </w:tc>
        <w:tc>
          <w:tcPr>
            <w:tcW w:w="1087" w:type="dxa"/>
            <w:vMerge w:val="continue"/>
            <w:noWrap w:val="0"/>
            <w:vAlign w:val="center"/>
          </w:tcPr>
          <w:p w14:paraId="33EC7459">
            <w:pPr>
              <w:spacing w:line="360" w:lineRule="auto"/>
              <w:ind w:firstLine="200"/>
              <w:jc w:val="center"/>
              <w:rPr>
                <w:rFonts w:hint="eastAsia" w:ascii="宋体" w:hAnsi="宋体"/>
                <w:color w:val="auto"/>
                <w:szCs w:val="21"/>
                <w:highlight w:val="none"/>
              </w:rPr>
            </w:pPr>
          </w:p>
        </w:tc>
      </w:tr>
      <w:tr w14:paraId="29F2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817" w:type="dxa"/>
            <w:noWrap w:val="0"/>
            <w:vAlign w:val="center"/>
          </w:tcPr>
          <w:p w14:paraId="27EF7A72">
            <w:pPr>
              <w:spacing w:line="360" w:lineRule="auto"/>
              <w:jc w:val="center"/>
              <w:rPr>
                <w:rFonts w:hint="eastAsia" w:ascii="宋体" w:hAnsi="宋体"/>
                <w:color w:val="auto"/>
                <w:szCs w:val="21"/>
                <w:highlight w:val="none"/>
              </w:rPr>
            </w:pPr>
            <w:r>
              <w:rPr>
                <w:rFonts w:hint="eastAsia" w:ascii="宋体" w:hAnsi="宋体"/>
                <w:color w:val="auto"/>
                <w:szCs w:val="21"/>
                <w:highlight w:val="none"/>
              </w:rPr>
              <w:t>4</w:t>
            </w:r>
          </w:p>
        </w:tc>
        <w:tc>
          <w:tcPr>
            <w:tcW w:w="3606" w:type="dxa"/>
            <w:shd w:val="clear" w:color="auto" w:fill="auto"/>
            <w:noWrap w:val="0"/>
            <w:vAlign w:val="center"/>
          </w:tcPr>
          <w:p w14:paraId="6E3EF9A4">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初步设计确认单（含施工图开工令）</w:t>
            </w:r>
          </w:p>
        </w:tc>
        <w:tc>
          <w:tcPr>
            <w:tcW w:w="905" w:type="dxa"/>
            <w:shd w:val="clear" w:color="auto" w:fill="auto"/>
            <w:noWrap w:val="0"/>
            <w:vAlign w:val="center"/>
          </w:tcPr>
          <w:p w14:paraId="08C89C97">
            <w:pPr>
              <w:spacing w:line="360" w:lineRule="auto"/>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1</w:t>
            </w:r>
          </w:p>
        </w:tc>
        <w:tc>
          <w:tcPr>
            <w:tcW w:w="2700" w:type="dxa"/>
            <w:shd w:val="clear" w:color="auto" w:fill="auto"/>
            <w:noWrap w:val="0"/>
            <w:vAlign w:val="center"/>
          </w:tcPr>
          <w:p w14:paraId="4906C98A">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施工图设计开始3天前</w:t>
            </w:r>
          </w:p>
        </w:tc>
        <w:tc>
          <w:tcPr>
            <w:tcW w:w="1087" w:type="dxa"/>
            <w:vMerge w:val="continue"/>
            <w:noWrap w:val="0"/>
            <w:vAlign w:val="center"/>
          </w:tcPr>
          <w:p w14:paraId="75EA2F56">
            <w:pPr>
              <w:spacing w:line="360" w:lineRule="auto"/>
              <w:ind w:firstLine="200"/>
              <w:jc w:val="center"/>
              <w:rPr>
                <w:rFonts w:hint="eastAsia" w:ascii="宋体" w:hAnsi="宋体"/>
                <w:color w:val="auto"/>
                <w:szCs w:val="21"/>
                <w:highlight w:val="none"/>
              </w:rPr>
            </w:pPr>
          </w:p>
        </w:tc>
      </w:tr>
      <w:tr w14:paraId="6EEB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817" w:type="dxa"/>
            <w:noWrap w:val="0"/>
            <w:vAlign w:val="center"/>
          </w:tcPr>
          <w:p w14:paraId="47385AE2">
            <w:pPr>
              <w:spacing w:line="360" w:lineRule="auto"/>
              <w:jc w:val="center"/>
              <w:rPr>
                <w:rFonts w:hint="eastAsia" w:ascii="宋体" w:hAnsi="宋体"/>
                <w:color w:val="auto"/>
                <w:szCs w:val="21"/>
                <w:highlight w:val="none"/>
              </w:rPr>
            </w:pPr>
            <w:r>
              <w:rPr>
                <w:rFonts w:hint="eastAsia" w:ascii="宋体" w:hAnsi="宋体"/>
                <w:color w:val="auto"/>
                <w:szCs w:val="21"/>
                <w:highlight w:val="none"/>
              </w:rPr>
              <w:t>5</w:t>
            </w:r>
          </w:p>
        </w:tc>
        <w:tc>
          <w:tcPr>
            <w:tcW w:w="3606" w:type="dxa"/>
            <w:shd w:val="clear" w:color="auto" w:fill="auto"/>
            <w:noWrap w:val="0"/>
            <w:vAlign w:val="center"/>
          </w:tcPr>
          <w:p w14:paraId="72BF8603">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施工图审查合格意见书</w:t>
            </w:r>
          </w:p>
        </w:tc>
        <w:tc>
          <w:tcPr>
            <w:tcW w:w="905" w:type="dxa"/>
            <w:shd w:val="clear" w:color="auto" w:fill="auto"/>
            <w:noWrap w:val="0"/>
            <w:vAlign w:val="center"/>
          </w:tcPr>
          <w:p w14:paraId="29D059A8">
            <w:pPr>
              <w:spacing w:line="360" w:lineRule="auto"/>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1</w:t>
            </w:r>
          </w:p>
        </w:tc>
        <w:tc>
          <w:tcPr>
            <w:tcW w:w="2700" w:type="dxa"/>
            <w:shd w:val="clear" w:color="auto" w:fill="auto"/>
            <w:noWrap w:val="0"/>
            <w:vAlign w:val="center"/>
          </w:tcPr>
          <w:p w14:paraId="09CADBAC">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施工图审查通过后5天内</w:t>
            </w:r>
          </w:p>
        </w:tc>
        <w:tc>
          <w:tcPr>
            <w:tcW w:w="1087" w:type="dxa"/>
            <w:vMerge w:val="continue"/>
            <w:noWrap w:val="0"/>
            <w:vAlign w:val="center"/>
          </w:tcPr>
          <w:p w14:paraId="7CA079DD">
            <w:pPr>
              <w:spacing w:line="360" w:lineRule="auto"/>
              <w:ind w:firstLine="200"/>
              <w:jc w:val="center"/>
              <w:rPr>
                <w:rFonts w:hint="eastAsia" w:ascii="宋体" w:hAnsi="宋体"/>
                <w:color w:val="auto"/>
                <w:szCs w:val="21"/>
                <w:highlight w:val="none"/>
              </w:rPr>
            </w:pPr>
          </w:p>
        </w:tc>
      </w:tr>
      <w:tr w14:paraId="38B9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817" w:type="dxa"/>
            <w:noWrap w:val="0"/>
            <w:vAlign w:val="center"/>
          </w:tcPr>
          <w:p w14:paraId="4B1A6205">
            <w:pPr>
              <w:spacing w:line="360" w:lineRule="auto"/>
              <w:jc w:val="center"/>
              <w:rPr>
                <w:rFonts w:hint="eastAsia" w:ascii="宋体" w:hAnsi="宋体"/>
                <w:color w:val="auto"/>
                <w:szCs w:val="21"/>
                <w:highlight w:val="none"/>
              </w:rPr>
            </w:pPr>
            <w:r>
              <w:rPr>
                <w:rFonts w:hint="eastAsia" w:ascii="宋体" w:hAnsi="宋体"/>
                <w:color w:val="auto"/>
                <w:szCs w:val="21"/>
                <w:highlight w:val="none"/>
              </w:rPr>
              <w:t>6</w:t>
            </w:r>
          </w:p>
        </w:tc>
        <w:tc>
          <w:tcPr>
            <w:tcW w:w="3606" w:type="dxa"/>
            <w:shd w:val="clear" w:color="auto" w:fill="auto"/>
            <w:noWrap w:val="0"/>
            <w:vAlign w:val="center"/>
          </w:tcPr>
          <w:p w14:paraId="3B6AC37A">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市政条件（包括给排水、暖通、电力、道路、热力、通讯等）</w:t>
            </w:r>
          </w:p>
        </w:tc>
        <w:tc>
          <w:tcPr>
            <w:tcW w:w="905" w:type="dxa"/>
            <w:shd w:val="clear" w:color="auto" w:fill="auto"/>
            <w:noWrap w:val="0"/>
            <w:vAlign w:val="center"/>
          </w:tcPr>
          <w:p w14:paraId="76CB4612">
            <w:pPr>
              <w:spacing w:line="360" w:lineRule="auto"/>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1</w:t>
            </w:r>
          </w:p>
        </w:tc>
        <w:tc>
          <w:tcPr>
            <w:tcW w:w="2700" w:type="dxa"/>
            <w:shd w:val="clear" w:color="auto" w:fill="auto"/>
            <w:noWrap w:val="0"/>
            <w:vAlign w:val="center"/>
          </w:tcPr>
          <w:p w14:paraId="56734050">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方案设计开始3天前</w:t>
            </w:r>
          </w:p>
        </w:tc>
        <w:tc>
          <w:tcPr>
            <w:tcW w:w="1087" w:type="dxa"/>
            <w:vMerge w:val="continue"/>
            <w:noWrap w:val="0"/>
            <w:vAlign w:val="center"/>
          </w:tcPr>
          <w:p w14:paraId="55D979CF">
            <w:pPr>
              <w:spacing w:line="360" w:lineRule="auto"/>
              <w:ind w:firstLine="200"/>
              <w:jc w:val="center"/>
              <w:rPr>
                <w:rFonts w:hint="eastAsia" w:ascii="宋体" w:hAnsi="宋体"/>
                <w:color w:val="auto"/>
                <w:szCs w:val="21"/>
                <w:highlight w:val="none"/>
              </w:rPr>
            </w:pPr>
          </w:p>
        </w:tc>
      </w:tr>
      <w:tr w14:paraId="6437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817" w:type="dxa"/>
            <w:noWrap w:val="0"/>
            <w:vAlign w:val="center"/>
          </w:tcPr>
          <w:p w14:paraId="63077D50">
            <w:pPr>
              <w:spacing w:line="360" w:lineRule="auto"/>
              <w:jc w:val="center"/>
              <w:rPr>
                <w:rFonts w:hint="eastAsia" w:ascii="宋体" w:hAnsi="宋体"/>
                <w:color w:val="auto"/>
                <w:szCs w:val="21"/>
                <w:highlight w:val="none"/>
              </w:rPr>
            </w:pPr>
            <w:r>
              <w:rPr>
                <w:rFonts w:hint="eastAsia" w:ascii="宋体" w:hAnsi="宋体"/>
                <w:color w:val="auto"/>
                <w:szCs w:val="21"/>
                <w:highlight w:val="none"/>
              </w:rPr>
              <w:t>7</w:t>
            </w:r>
          </w:p>
        </w:tc>
        <w:tc>
          <w:tcPr>
            <w:tcW w:w="3606" w:type="dxa"/>
            <w:shd w:val="clear" w:color="auto" w:fill="auto"/>
            <w:noWrap w:val="0"/>
            <w:vAlign w:val="center"/>
          </w:tcPr>
          <w:p w14:paraId="77547C72">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其它设计资料</w:t>
            </w:r>
          </w:p>
        </w:tc>
        <w:tc>
          <w:tcPr>
            <w:tcW w:w="905" w:type="dxa"/>
            <w:shd w:val="clear" w:color="auto" w:fill="auto"/>
            <w:noWrap w:val="0"/>
            <w:vAlign w:val="center"/>
          </w:tcPr>
          <w:p w14:paraId="36056660">
            <w:pPr>
              <w:spacing w:line="360" w:lineRule="auto"/>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1</w:t>
            </w:r>
          </w:p>
        </w:tc>
        <w:tc>
          <w:tcPr>
            <w:tcW w:w="2700" w:type="dxa"/>
            <w:shd w:val="clear" w:color="auto" w:fill="auto"/>
            <w:noWrap w:val="0"/>
            <w:vAlign w:val="center"/>
          </w:tcPr>
          <w:p w14:paraId="79B0E7FF">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各设计阶段设计开始3天前</w:t>
            </w:r>
          </w:p>
        </w:tc>
        <w:tc>
          <w:tcPr>
            <w:tcW w:w="1087" w:type="dxa"/>
            <w:vMerge w:val="continue"/>
            <w:noWrap w:val="0"/>
            <w:vAlign w:val="center"/>
          </w:tcPr>
          <w:p w14:paraId="6C8FFF06">
            <w:pPr>
              <w:spacing w:line="360" w:lineRule="auto"/>
              <w:ind w:firstLine="200"/>
              <w:jc w:val="center"/>
              <w:rPr>
                <w:rFonts w:hint="eastAsia" w:ascii="宋体" w:hAnsi="宋体"/>
                <w:color w:val="auto"/>
                <w:szCs w:val="21"/>
                <w:highlight w:val="none"/>
              </w:rPr>
            </w:pPr>
          </w:p>
        </w:tc>
      </w:tr>
      <w:tr w14:paraId="4657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817" w:type="dxa"/>
            <w:noWrap w:val="0"/>
            <w:vAlign w:val="center"/>
          </w:tcPr>
          <w:p w14:paraId="6EAFEE34">
            <w:pPr>
              <w:spacing w:line="360" w:lineRule="auto"/>
              <w:jc w:val="center"/>
              <w:rPr>
                <w:rFonts w:hint="eastAsia" w:ascii="宋体" w:hAnsi="宋体"/>
                <w:color w:val="auto"/>
                <w:szCs w:val="21"/>
                <w:highlight w:val="none"/>
              </w:rPr>
            </w:pPr>
            <w:r>
              <w:rPr>
                <w:rFonts w:hint="eastAsia" w:ascii="宋体" w:hAnsi="宋体"/>
                <w:color w:val="auto"/>
                <w:szCs w:val="21"/>
                <w:highlight w:val="none"/>
              </w:rPr>
              <w:t>8</w:t>
            </w:r>
          </w:p>
        </w:tc>
        <w:tc>
          <w:tcPr>
            <w:tcW w:w="3606" w:type="dxa"/>
            <w:shd w:val="clear" w:color="auto" w:fill="auto"/>
            <w:noWrap w:val="0"/>
            <w:vAlign w:val="center"/>
          </w:tcPr>
          <w:p w14:paraId="1438E551">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竣工验收报告</w:t>
            </w:r>
          </w:p>
        </w:tc>
        <w:tc>
          <w:tcPr>
            <w:tcW w:w="905" w:type="dxa"/>
            <w:shd w:val="clear" w:color="auto" w:fill="auto"/>
            <w:noWrap w:val="0"/>
            <w:vAlign w:val="center"/>
          </w:tcPr>
          <w:p w14:paraId="5A111BD5">
            <w:pPr>
              <w:spacing w:line="360" w:lineRule="auto"/>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1</w:t>
            </w:r>
          </w:p>
        </w:tc>
        <w:tc>
          <w:tcPr>
            <w:tcW w:w="2700" w:type="dxa"/>
            <w:shd w:val="clear" w:color="auto" w:fill="auto"/>
            <w:noWrap w:val="0"/>
            <w:vAlign w:val="center"/>
          </w:tcPr>
          <w:p w14:paraId="1006CDAB">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工程竣工验收通过后5天内</w:t>
            </w:r>
          </w:p>
        </w:tc>
        <w:tc>
          <w:tcPr>
            <w:tcW w:w="1087" w:type="dxa"/>
            <w:vMerge w:val="continue"/>
            <w:noWrap w:val="0"/>
            <w:vAlign w:val="center"/>
          </w:tcPr>
          <w:p w14:paraId="3E333C4D">
            <w:pPr>
              <w:spacing w:line="360" w:lineRule="auto"/>
              <w:ind w:firstLine="200"/>
              <w:jc w:val="center"/>
              <w:rPr>
                <w:rFonts w:hint="eastAsia" w:ascii="宋体" w:hAnsi="宋体"/>
                <w:color w:val="auto"/>
                <w:szCs w:val="21"/>
                <w:highlight w:val="none"/>
              </w:rPr>
            </w:pPr>
          </w:p>
        </w:tc>
      </w:tr>
    </w:tbl>
    <w:p w14:paraId="1619F5C7">
      <w:pPr>
        <w:spacing w:line="360" w:lineRule="auto"/>
        <w:ind w:firstLine="200"/>
        <w:rPr>
          <w:rFonts w:ascii="宋体" w:hAnsi="宋体" w:cs="Courier New"/>
          <w:color w:val="auto"/>
          <w:szCs w:val="21"/>
          <w:highlight w:val="none"/>
        </w:rPr>
      </w:pPr>
    </w:p>
    <w:p w14:paraId="7D21BA49">
      <w:pPr>
        <w:spacing w:line="360" w:lineRule="auto"/>
        <w:ind w:firstLine="200"/>
        <w:rPr>
          <w:rFonts w:hint="eastAsia" w:ascii="宋体" w:hAnsi="宋体" w:cs="Courier New"/>
          <w:color w:val="auto"/>
          <w:kern w:val="0"/>
          <w:szCs w:val="21"/>
          <w:highlight w:val="none"/>
        </w:rPr>
      </w:pPr>
    </w:p>
    <w:p w14:paraId="0192A8D8">
      <w:pPr>
        <w:spacing w:line="360" w:lineRule="auto"/>
        <w:ind w:firstLine="200"/>
        <w:rPr>
          <w:rFonts w:hint="eastAsia" w:ascii="宋体" w:hAnsi="宋体" w:cs="Courier New"/>
          <w:color w:val="auto"/>
          <w:kern w:val="0"/>
          <w:szCs w:val="21"/>
          <w:highlight w:val="none"/>
        </w:rPr>
      </w:pPr>
    </w:p>
    <w:p w14:paraId="65FA36BB">
      <w:pPr>
        <w:spacing w:line="360" w:lineRule="auto"/>
        <w:ind w:firstLine="200"/>
        <w:rPr>
          <w:rFonts w:ascii="宋体" w:hAnsi="宋体"/>
          <w:bCs/>
          <w:color w:val="auto"/>
          <w:kern w:val="0"/>
          <w:szCs w:val="21"/>
          <w:highlight w:val="none"/>
        </w:rPr>
      </w:pPr>
      <w:r>
        <w:rPr>
          <w:rFonts w:hint="eastAsia" w:ascii="宋体" w:hAnsi="宋体" w:cs="Courier New"/>
          <w:color w:val="auto"/>
          <w:kern w:val="0"/>
          <w:szCs w:val="21"/>
          <w:highlight w:val="none"/>
        </w:rPr>
        <w:t>（上表内容仅供参考，发包人和设计人应当根据项目具体情况详细列举）</w:t>
      </w:r>
    </w:p>
    <w:bookmarkEnd w:id="156"/>
    <w:bookmarkEnd w:id="157"/>
    <w:p w14:paraId="1189AAEC">
      <w:pPr>
        <w:spacing w:line="360" w:lineRule="auto"/>
        <w:ind w:firstLine="200"/>
        <w:jc w:val="left"/>
        <w:rPr>
          <w:rFonts w:ascii="宋体" w:hAnsi="宋体"/>
          <w:b/>
          <w:color w:val="auto"/>
          <w:szCs w:val="21"/>
          <w:highlight w:val="none"/>
        </w:rPr>
        <w:sectPr>
          <w:pgSz w:w="11907" w:h="16840"/>
          <w:pgMar w:top="1440" w:right="1440" w:bottom="1440" w:left="1797" w:header="851" w:footer="851" w:gutter="0"/>
          <w:cols w:space="720" w:num="1"/>
          <w:docGrid w:linePitch="312" w:charSpace="0"/>
        </w:sectPr>
      </w:pPr>
    </w:p>
    <w:p w14:paraId="304098F3">
      <w:pPr>
        <w:spacing w:line="360" w:lineRule="auto"/>
        <w:ind w:firstLine="200"/>
        <w:jc w:val="left"/>
        <w:rPr>
          <w:rFonts w:ascii="黑体" w:hAnsi="宋体" w:eastAsia="黑体"/>
          <w:b/>
          <w:color w:val="auto"/>
          <w:sz w:val="28"/>
          <w:szCs w:val="28"/>
          <w:highlight w:val="none"/>
        </w:rPr>
      </w:pPr>
      <w:bookmarkStart w:id="158" w:name="_Toc278231959"/>
      <w:bookmarkStart w:id="159" w:name="_Toc278309719"/>
      <w:r>
        <w:rPr>
          <w:rFonts w:hint="eastAsia" w:ascii="黑体" w:hAnsi="宋体" w:eastAsia="黑体"/>
          <w:b/>
          <w:color w:val="auto"/>
          <w:sz w:val="28"/>
          <w:szCs w:val="28"/>
          <w:highlight w:val="none"/>
        </w:rPr>
        <w:t>附件</w:t>
      </w:r>
      <w:r>
        <w:rPr>
          <w:rFonts w:ascii="黑体" w:hAnsi="宋体" w:eastAsia="黑体"/>
          <w:b/>
          <w:color w:val="auto"/>
          <w:sz w:val="28"/>
          <w:szCs w:val="28"/>
          <w:highlight w:val="none"/>
        </w:rPr>
        <w:t xml:space="preserve">3 </w:t>
      </w:r>
      <w:r>
        <w:rPr>
          <w:rFonts w:hint="eastAsia" w:ascii="黑体" w:hAnsi="宋体" w:eastAsia="黑体"/>
          <w:b/>
          <w:color w:val="auto"/>
          <w:sz w:val="28"/>
          <w:szCs w:val="28"/>
          <w:highlight w:val="none"/>
        </w:rPr>
        <w:t>：</w:t>
      </w:r>
    </w:p>
    <w:p w14:paraId="4B9D8292">
      <w:pPr>
        <w:spacing w:line="360" w:lineRule="auto"/>
        <w:ind w:firstLine="200"/>
        <w:jc w:val="center"/>
        <w:rPr>
          <w:rFonts w:ascii="宋体" w:hAnsi="Calibri"/>
          <w:color w:val="auto"/>
          <w:szCs w:val="21"/>
          <w:highlight w:val="none"/>
        </w:rPr>
      </w:pPr>
      <w:r>
        <w:rPr>
          <w:rFonts w:hint="eastAsia" w:ascii="黑体" w:hAnsi="宋体" w:eastAsia="黑体"/>
          <w:color w:val="auto"/>
          <w:sz w:val="28"/>
          <w:szCs w:val="28"/>
          <w:highlight w:val="none"/>
        </w:rPr>
        <w:t>设计人向发包人交付的工程设计文件目录（适用于房屋建筑工程）</w:t>
      </w:r>
    </w:p>
    <w:p w14:paraId="26633634">
      <w:pPr>
        <w:spacing w:line="360" w:lineRule="auto"/>
        <w:ind w:firstLine="358" w:firstLineChars="170"/>
        <w:rPr>
          <w:rFonts w:ascii="宋体" w:hAnsi="Calibri" w:cs="Courier New"/>
          <w:b/>
          <w:color w:val="auto"/>
          <w:kern w:val="0"/>
          <w:szCs w:val="21"/>
          <w:highlight w:val="none"/>
        </w:rPr>
      </w:pPr>
    </w:p>
    <w:tbl>
      <w:tblPr>
        <w:tblStyle w:val="40"/>
        <w:tblW w:w="9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738"/>
        <w:gridCol w:w="753"/>
        <w:gridCol w:w="2828"/>
        <w:gridCol w:w="3158"/>
      </w:tblGrid>
      <w:tr w14:paraId="0BA8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638" w:type="dxa"/>
            <w:vAlign w:val="center"/>
          </w:tcPr>
          <w:p w14:paraId="15B0E808">
            <w:pPr>
              <w:spacing w:line="360" w:lineRule="auto"/>
              <w:jc w:val="center"/>
              <w:rPr>
                <w:rFonts w:ascii="宋体" w:hAnsi="Calibri"/>
                <w:b/>
                <w:color w:val="auto"/>
                <w:szCs w:val="21"/>
                <w:highlight w:val="none"/>
              </w:rPr>
            </w:pPr>
            <w:r>
              <w:rPr>
                <w:rFonts w:hint="eastAsia" w:ascii="宋体" w:hAnsi="宋体"/>
                <w:b/>
                <w:bCs/>
                <w:color w:val="auto"/>
                <w:szCs w:val="21"/>
                <w:highlight w:val="none"/>
              </w:rPr>
              <w:t>序号</w:t>
            </w:r>
          </w:p>
        </w:tc>
        <w:tc>
          <w:tcPr>
            <w:tcW w:w="1738" w:type="dxa"/>
            <w:vAlign w:val="center"/>
          </w:tcPr>
          <w:p w14:paraId="044F13A9">
            <w:pPr>
              <w:spacing w:line="360" w:lineRule="auto"/>
              <w:jc w:val="center"/>
              <w:rPr>
                <w:rFonts w:ascii="宋体" w:hAnsi="Calibri"/>
                <w:b/>
                <w:color w:val="auto"/>
                <w:szCs w:val="21"/>
                <w:highlight w:val="none"/>
              </w:rPr>
            </w:pPr>
            <w:r>
              <w:rPr>
                <w:rFonts w:hint="eastAsia" w:ascii="宋体" w:hAnsi="宋体"/>
                <w:b/>
                <w:bCs/>
                <w:color w:val="auto"/>
                <w:szCs w:val="21"/>
                <w:highlight w:val="none"/>
              </w:rPr>
              <w:t>资料及文件名称</w:t>
            </w:r>
          </w:p>
        </w:tc>
        <w:tc>
          <w:tcPr>
            <w:tcW w:w="753" w:type="dxa"/>
            <w:vAlign w:val="center"/>
          </w:tcPr>
          <w:p w14:paraId="1CE4952A">
            <w:pPr>
              <w:spacing w:line="360" w:lineRule="auto"/>
              <w:jc w:val="center"/>
              <w:rPr>
                <w:rFonts w:ascii="宋体" w:hAnsi="Calibri"/>
                <w:b/>
                <w:color w:val="auto"/>
                <w:szCs w:val="21"/>
                <w:highlight w:val="none"/>
              </w:rPr>
            </w:pPr>
            <w:r>
              <w:rPr>
                <w:rFonts w:hint="eastAsia" w:ascii="宋体" w:hAnsi="宋体"/>
                <w:b/>
                <w:bCs/>
                <w:color w:val="auto"/>
                <w:szCs w:val="21"/>
                <w:highlight w:val="none"/>
              </w:rPr>
              <w:t>份数</w:t>
            </w:r>
          </w:p>
        </w:tc>
        <w:tc>
          <w:tcPr>
            <w:tcW w:w="2828" w:type="dxa"/>
            <w:vAlign w:val="center"/>
          </w:tcPr>
          <w:p w14:paraId="327961AC">
            <w:pPr>
              <w:spacing w:line="360" w:lineRule="auto"/>
              <w:ind w:firstLine="200"/>
              <w:jc w:val="center"/>
              <w:rPr>
                <w:rFonts w:ascii="宋体" w:hAnsi="Calibri"/>
                <w:b/>
                <w:color w:val="auto"/>
                <w:szCs w:val="21"/>
                <w:highlight w:val="none"/>
              </w:rPr>
            </w:pPr>
            <w:r>
              <w:rPr>
                <w:rFonts w:hint="eastAsia" w:ascii="宋体" w:hAnsi="宋体"/>
                <w:b/>
                <w:bCs/>
                <w:color w:val="auto"/>
                <w:szCs w:val="21"/>
                <w:highlight w:val="none"/>
              </w:rPr>
              <w:t>提交日期</w:t>
            </w:r>
          </w:p>
        </w:tc>
        <w:tc>
          <w:tcPr>
            <w:tcW w:w="3158" w:type="dxa"/>
            <w:vAlign w:val="center"/>
          </w:tcPr>
          <w:p w14:paraId="78B5A53B">
            <w:pPr>
              <w:spacing w:line="360" w:lineRule="auto"/>
              <w:jc w:val="center"/>
              <w:rPr>
                <w:rFonts w:ascii="宋体" w:hAnsi="Calibri"/>
                <w:b/>
                <w:color w:val="auto"/>
                <w:szCs w:val="21"/>
                <w:highlight w:val="none"/>
              </w:rPr>
            </w:pPr>
            <w:r>
              <w:rPr>
                <w:rFonts w:hint="eastAsia" w:ascii="宋体" w:hAnsi="宋体"/>
                <w:b/>
                <w:bCs/>
                <w:color w:val="auto"/>
                <w:szCs w:val="21"/>
                <w:highlight w:val="none"/>
              </w:rPr>
              <w:t>有关事宜</w:t>
            </w:r>
          </w:p>
        </w:tc>
      </w:tr>
      <w:tr w14:paraId="231D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638" w:type="dxa"/>
            <w:vAlign w:val="center"/>
          </w:tcPr>
          <w:p w14:paraId="1ACE5BE6">
            <w:pPr>
              <w:spacing w:line="360" w:lineRule="auto"/>
              <w:jc w:val="center"/>
              <w:rPr>
                <w:rFonts w:ascii="宋体" w:hAnsi="宋体"/>
                <w:color w:val="auto"/>
                <w:szCs w:val="21"/>
                <w:highlight w:val="none"/>
              </w:rPr>
            </w:pPr>
            <w:r>
              <w:rPr>
                <w:rFonts w:hint="eastAsia" w:ascii="宋体" w:hAnsi="宋体"/>
                <w:color w:val="auto"/>
                <w:szCs w:val="21"/>
                <w:highlight w:val="none"/>
              </w:rPr>
              <w:t>1</w:t>
            </w:r>
          </w:p>
        </w:tc>
        <w:tc>
          <w:tcPr>
            <w:tcW w:w="1738" w:type="dxa"/>
            <w:shd w:val="clear" w:color="auto" w:fill="auto"/>
            <w:vAlign w:val="center"/>
          </w:tcPr>
          <w:p w14:paraId="1C2F6865">
            <w:pPr>
              <w:spacing w:line="360" w:lineRule="auto"/>
              <w:jc w:val="cente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初步设计（含工程概算编制）</w:t>
            </w:r>
          </w:p>
        </w:tc>
        <w:tc>
          <w:tcPr>
            <w:tcW w:w="753" w:type="dxa"/>
            <w:shd w:val="clear" w:color="auto" w:fill="auto"/>
            <w:vAlign w:val="center"/>
          </w:tcPr>
          <w:p w14:paraId="3AC47259">
            <w:pPr>
              <w:spacing w:line="360" w:lineRule="auto"/>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lang w:val="en-US" w:eastAsia="zh-CN"/>
              </w:rPr>
              <w:t>6</w:t>
            </w:r>
          </w:p>
        </w:tc>
        <w:tc>
          <w:tcPr>
            <w:tcW w:w="2828" w:type="dxa"/>
            <w:shd w:val="clear" w:color="auto" w:fill="auto"/>
            <w:vAlign w:val="center"/>
          </w:tcPr>
          <w:p w14:paraId="249DC11C">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ascii="宋体" w:hAnsi="宋体" w:eastAsia="宋体" w:cs="Times New Roman"/>
                <w:color w:val="auto"/>
                <w:kern w:val="2"/>
                <w:sz w:val="21"/>
                <w:szCs w:val="21"/>
                <w:highlight w:val="none"/>
                <w:lang w:val="en-US" w:eastAsia="zh-CN" w:bidi="ar-SA"/>
              </w:rPr>
            </w:pPr>
            <w:r>
              <w:rPr>
                <w:color w:val="auto"/>
                <w:szCs w:val="21"/>
                <w:highlight w:val="none"/>
              </w:rPr>
              <w:t>设计</w:t>
            </w:r>
            <w:r>
              <w:rPr>
                <w:rFonts w:hint="eastAsia"/>
                <w:color w:val="auto"/>
                <w:szCs w:val="21"/>
                <w:highlight w:val="none"/>
              </w:rPr>
              <w:t>方案经相关部门批准</w:t>
            </w:r>
            <w:r>
              <w:rPr>
                <w:color w:val="auto"/>
                <w:szCs w:val="21"/>
                <w:highlight w:val="none"/>
              </w:rPr>
              <w:t>后</w:t>
            </w:r>
            <w:r>
              <w:rPr>
                <w:rFonts w:hint="eastAsia"/>
                <w:color w:val="auto"/>
                <w:szCs w:val="21"/>
                <w:highlight w:val="none"/>
                <w:u w:val="single"/>
              </w:rPr>
              <w:t xml:space="preserve"> </w:t>
            </w:r>
            <w:r>
              <w:rPr>
                <w:rFonts w:hint="eastAsia"/>
                <w:color w:val="auto"/>
                <w:szCs w:val="21"/>
                <w:highlight w:val="none"/>
                <w:u w:val="single"/>
                <w:lang w:val="en-US" w:eastAsia="zh-CN"/>
              </w:rPr>
              <w:t>25</w:t>
            </w:r>
            <w:r>
              <w:rPr>
                <w:rFonts w:hint="eastAsia"/>
                <w:color w:val="auto"/>
                <w:szCs w:val="21"/>
                <w:highlight w:val="none"/>
                <w:u w:val="single"/>
              </w:rPr>
              <w:t xml:space="preserve">  </w:t>
            </w:r>
            <w:r>
              <w:rPr>
                <w:rFonts w:hint="eastAsia"/>
                <w:color w:val="auto"/>
                <w:szCs w:val="21"/>
                <w:highlight w:val="none"/>
              </w:rPr>
              <w:t>日历天</w:t>
            </w:r>
            <w:r>
              <w:rPr>
                <w:color w:val="auto"/>
                <w:szCs w:val="21"/>
                <w:highlight w:val="none"/>
              </w:rPr>
              <w:t>内完成初步设</w:t>
            </w:r>
            <w:r>
              <w:rPr>
                <w:rFonts w:hint="eastAsia" w:eastAsia="宋体"/>
                <w:color w:val="auto"/>
                <w:szCs w:val="21"/>
                <w:highlight w:val="none"/>
              </w:rPr>
              <w:t>计</w:t>
            </w:r>
            <w:r>
              <w:rPr>
                <w:rFonts w:hint="eastAsia" w:eastAsia="宋体"/>
                <w:color w:val="auto"/>
                <w:szCs w:val="21"/>
                <w:highlight w:val="none"/>
                <w:lang w:eastAsia="zh-CN"/>
              </w:rPr>
              <w:t>（</w:t>
            </w:r>
            <w:r>
              <w:rPr>
                <w:rFonts w:hint="eastAsia" w:eastAsia="宋体"/>
                <w:color w:val="auto"/>
                <w:szCs w:val="21"/>
                <w:highlight w:val="none"/>
                <w:lang w:val="en-US" w:eastAsia="zh-CN"/>
              </w:rPr>
              <w:t>含概算编制</w:t>
            </w:r>
            <w:r>
              <w:rPr>
                <w:rFonts w:hint="eastAsia" w:eastAsia="宋体"/>
                <w:color w:val="auto"/>
                <w:szCs w:val="21"/>
                <w:highlight w:val="none"/>
                <w:lang w:eastAsia="zh-CN"/>
              </w:rPr>
              <w:t>）</w:t>
            </w:r>
            <w:r>
              <w:rPr>
                <w:rFonts w:hint="eastAsia" w:eastAsia="宋体"/>
                <w:color w:val="auto"/>
                <w:szCs w:val="21"/>
                <w:highlight w:val="none"/>
              </w:rPr>
              <w:t>；</w:t>
            </w:r>
          </w:p>
        </w:tc>
        <w:tc>
          <w:tcPr>
            <w:tcW w:w="3158" w:type="dxa"/>
            <w:vMerge w:val="restart"/>
            <w:vAlign w:val="center"/>
          </w:tcPr>
          <w:p w14:paraId="25DD9DCB">
            <w:pPr>
              <w:spacing w:line="360" w:lineRule="auto"/>
              <w:jc w:val="left"/>
              <w:rPr>
                <w:rFonts w:hint="eastAsia" w:ascii="宋体" w:hAnsi="宋体"/>
                <w:bCs/>
                <w:color w:val="auto"/>
                <w:szCs w:val="21"/>
                <w:highlight w:val="none"/>
              </w:rPr>
            </w:pPr>
            <w:r>
              <w:rPr>
                <w:rFonts w:ascii="宋体" w:hAnsi="宋体"/>
                <w:bCs/>
                <w:color w:val="auto"/>
                <w:szCs w:val="21"/>
                <w:highlight w:val="none"/>
              </w:rPr>
              <w:t>1</w:t>
            </w:r>
            <w:r>
              <w:rPr>
                <w:rFonts w:hint="eastAsia" w:ascii="宋体" w:hAnsi="宋体"/>
                <w:bCs/>
                <w:color w:val="auto"/>
                <w:szCs w:val="21"/>
                <w:highlight w:val="none"/>
                <w:lang w:val="en-US" w:eastAsia="zh-CN"/>
              </w:rPr>
              <w:t>.</w:t>
            </w:r>
            <w:r>
              <w:rPr>
                <w:rFonts w:hint="eastAsia" w:ascii="宋体" w:hAnsi="宋体"/>
                <w:bCs/>
                <w:color w:val="auto"/>
                <w:szCs w:val="21"/>
                <w:highlight w:val="none"/>
              </w:rPr>
              <w:t>加盖设计人单位公章的纸质版。</w:t>
            </w:r>
          </w:p>
          <w:p w14:paraId="13BEC3D0">
            <w:pPr>
              <w:spacing w:line="360" w:lineRule="auto"/>
              <w:jc w:val="left"/>
              <w:rPr>
                <w:rFonts w:hint="eastAsia" w:ascii="宋体" w:hAnsi="宋体" w:cs="宋体"/>
                <w:color w:val="auto"/>
                <w:szCs w:val="21"/>
                <w:highlight w:val="none"/>
              </w:rPr>
            </w:pPr>
            <w:r>
              <w:rPr>
                <w:rFonts w:ascii="宋体" w:hAnsi="宋体"/>
                <w:bCs/>
                <w:color w:val="auto"/>
                <w:szCs w:val="21"/>
                <w:highlight w:val="none"/>
              </w:rPr>
              <w:t>2</w:t>
            </w:r>
            <w:r>
              <w:rPr>
                <w:rFonts w:hint="eastAsia" w:ascii="宋体" w:hAnsi="宋体"/>
                <w:bCs/>
                <w:color w:val="auto"/>
                <w:szCs w:val="21"/>
                <w:highlight w:val="none"/>
                <w:lang w:val="en-US" w:eastAsia="zh-CN"/>
              </w:rPr>
              <w:t>.</w:t>
            </w:r>
            <w:r>
              <w:rPr>
                <w:rFonts w:hint="eastAsia" w:ascii="宋体" w:hAnsi="宋体" w:cs="宋体"/>
                <w:color w:val="auto"/>
                <w:szCs w:val="21"/>
                <w:highlight w:val="none"/>
              </w:rPr>
              <w:t>格式为</w:t>
            </w:r>
            <w:r>
              <w:rPr>
                <w:rFonts w:ascii="宋体" w:hAnsi="宋体" w:cs="宋体"/>
                <w:color w:val="auto"/>
                <w:szCs w:val="21"/>
                <w:highlight w:val="none"/>
              </w:rPr>
              <w:t>word</w:t>
            </w:r>
            <w:r>
              <w:rPr>
                <w:rFonts w:hint="eastAsia" w:ascii="宋体" w:hAnsi="宋体" w:cs="宋体"/>
                <w:color w:val="auto"/>
                <w:szCs w:val="21"/>
                <w:highlight w:val="none"/>
              </w:rPr>
              <w:t>、</w:t>
            </w:r>
            <w:r>
              <w:rPr>
                <w:rFonts w:ascii="宋体" w:hAnsi="宋体" w:cs="宋体"/>
                <w:color w:val="auto"/>
                <w:szCs w:val="21"/>
                <w:highlight w:val="none"/>
              </w:rPr>
              <w:t>PDF</w:t>
            </w:r>
            <w:r>
              <w:rPr>
                <w:rFonts w:hint="eastAsia" w:ascii="宋体" w:hAnsi="宋体" w:cs="宋体"/>
                <w:color w:val="auto"/>
                <w:szCs w:val="21"/>
                <w:highlight w:val="none"/>
              </w:rPr>
              <w:t>及</w:t>
            </w:r>
            <w:r>
              <w:rPr>
                <w:rFonts w:ascii="宋体" w:hAnsi="宋体" w:cs="宋体"/>
                <w:color w:val="auto"/>
                <w:szCs w:val="21"/>
                <w:highlight w:val="none"/>
              </w:rPr>
              <w:t xml:space="preserve"> CAD</w:t>
            </w:r>
            <w:r>
              <w:rPr>
                <w:rFonts w:hint="eastAsia" w:ascii="宋体" w:hAnsi="宋体" w:cs="宋体"/>
                <w:color w:val="auto"/>
                <w:szCs w:val="21"/>
                <w:highlight w:val="none"/>
              </w:rPr>
              <w:t>（</w:t>
            </w:r>
            <w:r>
              <w:rPr>
                <w:rFonts w:hint="eastAsia" w:ascii="宋体" w:hAnsi="宋体"/>
                <w:color w:val="auto"/>
                <w:szCs w:val="21"/>
                <w:highlight w:val="none"/>
              </w:rPr>
              <w:t>永久解密</w:t>
            </w:r>
            <w:r>
              <w:rPr>
                <w:rFonts w:hint="eastAsia" w:ascii="宋体" w:hAnsi="宋体" w:cs="宋体"/>
                <w:color w:val="auto"/>
                <w:szCs w:val="21"/>
                <w:highlight w:val="none"/>
              </w:rPr>
              <w:t>）的优盘，所载内容必须与纸质版一致。</w:t>
            </w:r>
          </w:p>
          <w:p w14:paraId="2FEC29BC">
            <w:pPr>
              <w:spacing w:line="360" w:lineRule="auto"/>
              <w:jc w:val="left"/>
              <w:rPr>
                <w:rFonts w:hint="eastAsia" w:ascii="宋体" w:hAnsi="宋体" w:cs="宋体"/>
                <w:color w:val="auto"/>
                <w:szCs w:val="21"/>
                <w:highlight w:val="none"/>
                <w:u w:val="none"/>
              </w:rPr>
            </w:pPr>
            <w:r>
              <w:rPr>
                <w:rFonts w:hint="eastAsia"/>
                <w:color w:val="auto"/>
                <w:highlight w:val="none"/>
                <w:u w:val="none"/>
              </w:rPr>
              <w:t>3</w:t>
            </w:r>
            <w:r>
              <w:rPr>
                <w:rFonts w:hint="eastAsia" w:ascii="Times New Roman" w:eastAsia="宋体"/>
                <w:color w:val="auto"/>
                <w:highlight w:val="none"/>
                <w:u w:val="none"/>
                <w:lang w:val="en-US" w:eastAsia="zh-CN"/>
              </w:rPr>
              <w:t>.</w:t>
            </w:r>
            <w:r>
              <w:rPr>
                <w:rFonts w:hint="eastAsia" w:ascii="宋体" w:hAnsi="宋体" w:cs="宋体"/>
                <w:color w:val="auto"/>
                <w:szCs w:val="21"/>
                <w:highlight w:val="none"/>
              </w:rPr>
              <w:t>包括但不限于建筑三维模型（revit等）</w:t>
            </w:r>
            <w:bookmarkStart w:id="160" w:name="OLE_LINK1"/>
            <w:bookmarkStart w:id="161" w:name="OLE_LINK2"/>
            <w:r>
              <w:rPr>
                <w:rFonts w:hint="eastAsia" w:ascii="宋体" w:hAnsi="宋体" w:cs="宋体"/>
                <w:color w:val="auto"/>
                <w:szCs w:val="21"/>
                <w:highlight w:val="none"/>
              </w:rPr>
              <w:t>（如有）</w:t>
            </w:r>
            <w:bookmarkEnd w:id="160"/>
            <w:bookmarkEnd w:id="161"/>
            <w:r>
              <w:rPr>
                <w:rFonts w:hint="eastAsia" w:ascii="宋体" w:hAnsi="宋体" w:cs="宋体"/>
                <w:color w:val="auto"/>
                <w:szCs w:val="21"/>
                <w:highlight w:val="none"/>
              </w:rPr>
              <w:t>、结构计算模型（如有）、设备管综BIM模型（如有）等文件</w:t>
            </w:r>
            <w:r>
              <w:rPr>
                <w:rFonts w:hint="eastAsia" w:ascii="宋体" w:hAnsi="宋体" w:cs="宋体"/>
                <w:color w:val="auto"/>
                <w:szCs w:val="21"/>
                <w:highlight w:val="none"/>
                <w:u w:val="none"/>
              </w:rPr>
              <w:t>，并注明软件版本号。</w:t>
            </w:r>
          </w:p>
          <w:p w14:paraId="7D90A19E">
            <w:pPr>
              <w:spacing w:line="360" w:lineRule="auto"/>
              <w:jc w:val="left"/>
              <w:rPr>
                <w:rFonts w:ascii="宋体" w:hAnsi="Calibri"/>
                <w:color w:val="auto"/>
                <w:szCs w:val="21"/>
                <w:highlight w:val="none"/>
              </w:rPr>
            </w:pPr>
            <w:r>
              <w:rPr>
                <w:rFonts w:hint="eastAsia" w:ascii="宋体" w:hAnsi="宋体" w:cs="宋体"/>
                <w:color w:val="auto"/>
                <w:szCs w:val="21"/>
                <w:highlight w:val="none"/>
                <w:u w:val="none"/>
              </w:rPr>
              <w:t>4</w:t>
            </w:r>
            <w:r>
              <w:rPr>
                <w:rFonts w:hint="eastAsia" w:ascii="宋体" w:hAnsi="宋体" w:cs="宋体"/>
                <w:color w:val="auto"/>
                <w:szCs w:val="21"/>
                <w:highlight w:val="none"/>
                <w:u w:val="none"/>
                <w:lang w:val="en-US" w:eastAsia="zh-CN"/>
              </w:rPr>
              <w:t>.</w:t>
            </w:r>
            <w:r>
              <w:rPr>
                <w:rFonts w:hint="eastAsia" w:ascii="宋体" w:hAnsi="宋体"/>
                <w:color w:val="auto"/>
                <w:szCs w:val="21"/>
                <w:highlight w:val="none"/>
                <w:u w:val="none"/>
              </w:rPr>
              <w:t>设计进度计划根据发包人要求</w:t>
            </w:r>
            <w:r>
              <w:rPr>
                <w:rFonts w:hint="eastAsia" w:ascii="宋体" w:hAnsi="宋体"/>
                <w:color w:val="auto"/>
                <w:szCs w:val="21"/>
                <w:highlight w:val="none"/>
                <w:u w:val="none"/>
                <w:lang w:eastAsia="zh-CN"/>
              </w:rPr>
              <w:t>在</w:t>
            </w:r>
            <w:r>
              <w:rPr>
                <w:rFonts w:hint="eastAsia" w:ascii="宋体" w:hAnsi="宋体"/>
                <w:color w:val="auto"/>
                <w:szCs w:val="21"/>
                <w:highlight w:val="none"/>
                <w:u w:val="none"/>
              </w:rPr>
              <w:t>发包人</w:t>
            </w:r>
            <w:r>
              <w:rPr>
                <w:rFonts w:hint="eastAsia" w:ascii="宋体" w:hAnsi="宋体"/>
                <w:color w:val="auto"/>
                <w:szCs w:val="21"/>
                <w:highlight w:val="none"/>
                <w:u w:val="none"/>
                <w:lang w:eastAsia="zh-CN"/>
              </w:rPr>
              <w:t>确认</w:t>
            </w:r>
            <w:r>
              <w:rPr>
                <w:rFonts w:hint="eastAsia" w:ascii="宋体" w:hAnsi="宋体"/>
                <w:color w:val="auto"/>
                <w:szCs w:val="21"/>
                <w:highlight w:val="none"/>
                <w:u w:val="none"/>
              </w:rPr>
              <w:t>工程设计进度计划后3天内提供</w:t>
            </w:r>
            <w:r>
              <w:rPr>
                <w:rFonts w:hint="eastAsia" w:ascii="宋体" w:hAnsi="宋体"/>
                <w:color w:val="auto"/>
                <w:szCs w:val="21"/>
                <w:highlight w:val="none"/>
              </w:rPr>
              <w:t>。加盖设计人单位公章的纸质版。</w:t>
            </w:r>
          </w:p>
        </w:tc>
      </w:tr>
      <w:tr w14:paraId="2EF9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638" w:type="dxa"/>
            <w:vAlign w:val="center"/>
          </w:tcPr>
          <w:p w14:paraId="37333AF5">
            <w:pPr>
              <w:spacing w:line="360" w:lineRule="auto"/>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2</w:t>
            </w:r>
          </w:p>
        </w:tc>
        <w:tc>
          <w:tcPr>
            <w:tcW w:w="1738" w:type="dxa"/>
            <w:shd w:val="clear" w:color="auto" w:fill="auto"/>
            <w:vAlign w:val="center"/>
          </w:tcPr>
          <w:p w14:paraId="34AB84DE">
            <w:pPr>
              <w:spacing w:line="360" w:lineRule="auto"/>
              <w:jc w:val="center"/>
              <w:rPr>
                <w:rFonts w:hint="eastAsia" w:ascii="宋体" w:hAnsi="宋体"/>
                <w:color w:val="auto"/>
                <w:szCs w:val="21"/>
                <w:highlight w:val="none"/>
              </w:rPr>
            </w:pPr>
            <w:r>
              <w:rPr>
                <w:color w:val="auto"/>
                <w:szCs w:val="21"/>
                <w:highlight w:val="none"/>
              </w:rPr>
              <w:t>施工图设计</w:t>
            </w:r>
          </w:p>
        </w:tc>
        <w:tc>
          <w:tcPr>
            <w:tcW w:w="753" w:type="dxa"/>
            <w:shd w:val="clear" w:color="auto" w:fill="auto"/>
            <w:vAlign w:val="center"/>
          </w:tcPr>
          <w:p w14:paraId="362E37E0">
            <w:pPr>
              <w:spacing w:line="360" w:lineRule="auto"/>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6</w:t>
            </w:r>
          </w:p>
        </w:tc>
        <w:tc>
          <w:tcPr>
            <w:tcW w:w="2828" w:type="dxa"/>
            <w:shd w:val="clear" w:color="auto" w:fill="auto"/>
            <w:vAlign w:val="center"/>
          </w:tcPr>
          <w:p w14:paraId="6225DEEC">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color w:val="auto"/>
                <w:szCs w:val="21"/>
                <w:highlight w:val="none"/>
                <w:lang w:eastAsia="zh-CN"/>
              </w:rPr>
            </w:pPr>
            <w:r>
              <w:rPr>
                <w:color w:val="auto"/>
                <w:szCs w:val="21"/>
                <w:highlight w:val="none"/>
              </w:rPr>
              <w:t>初步设计审查批准后</w:t>
            </w:r>
            <w:r>
              <w:rPr>
                <w:rFonts w:hint="eastAsia"/>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u w:val="single"/>
                <w:lang w:val="en-US" w:eastAsia="zh-CN"/>
              </w:rPr>
              <w:t>30</w:t>
            </w:r>
            <w:r>
              <w:rPr>
                <w:rFonts w:hint="eastAsia"/>
                <w:color w:val="auto"/>
                <w:szCs w:val="21"/>
                <w:highlight w:val="none"/>
                <w:u w:val="single"/>
              </w:rPr>
              <w:t xml:space="preserve"> </w:t>
            </w:r>
            <w:r>
              <w:rPr>
                <w:rFonts w:hint="eastAsia"/>
                <w:color w:val="auto"/>
                <w:szCs w:val="21"/>
                <w:highlight w:val="none"/>
              </w:rPr>
              <w:t>日历</w:t>
            </w:r>
            <w:r>
              <w:rPr>
                <w:rFonts w:hint="eastAsia"/>
                <w:color w:val="auto"/>
                <w:szCs w:val="21"/>
                <w:highlight w:val="none"/>
              </w:rPr>
              <w:t>天</w:t>
            </w:r>
            <w:r>
              <w:rPr>
                <w:color w:val="auto"/>
                <w:szCs w:val="21"/>
                <w:highlight w:val="none"/>
              </w:rPr>
              <w:t>内完成所有施工图设计施工图设计经审查后</w:t>
            </w:r>
            <w:r>
              <w:rPr>
                <w:rFonts w:hint="eastAsia"/>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u w:val="single"/>
                <w:lang w:val="en-US" w:eastAsia="zh-CN"/>
              </w:rPr>
              <w:t>5</w:t>
            </w:r>
            <w:r>
              <w:rPr>
                <w:rFonts w:hint="eastAsia"/>
                <w:color w:val="auto"/>
                <w:szCs w:val="21"/>
                <w:highlight w:val="none"/>
                <w:u w:val="single"/>
              </w:rPr>
              <w:t xml:space="preserve"> </w:t>
            </w:r>
            <w:r>
              <w:rPr>
                <w:rFonts w:hint="eastAsia"/>
                <w:color w:val="auto"/>
                <w:szCs w:val="21"/>
                <w:highlight w:val="none"/>
              </w:rPr>
              <w:t>日历天</w:t>
            </w:r>
            <w:r>
              <w:rPr>
                <w:color w:val="auto"/>
                <w:szCs w:val="21"/>
                <w:highlight w:val="none"/>
              </w:rPr>
              <w:t>内完成补充、修改</w:t>
            </w:r>
            <w:r>
              <w:rPr>
                <w:rFonts w:hint="eastAsia"/>
                <w:color w:val="auto"/>
                <w:szCs w:val="21"/>
                <w:highlight w:val="none"/>
                <w:lang w:eastAsia="zh-CN"/>
              </w:rPr>
              <w:t>。</w:t>
            </w:r>
          </w:p>
        </w:tc>
        <w:tc>
          <w:tcPr>
            <w:tcW w:w="3158" w:type="dxa"/>
            <w:vMerge w:val="continue"/>
            <w:vAlign w:val="center"/>
          </w:tcPr>
          <w:p w14:paraId="57755BA2">
            <w:pPr>
              <w:spacing w:line="360" w:lineRule="auto"/>
              <w:jc w:val="left"/>
              <w:rPr>
                <w:rFonts w:hint="eastAsia" w:ascii="宋体" w:hAnsi="宋体" w:cs="宋体"/>
                <w:color w:val="auto"/>
                <w:szCs w:val="21"/>
                <w:highlight w:val="none"/>
                <w:u w:val="none"/>
              </w:rPr>
            </w:pPr>
          </w:p>
        </w:tc>
      </w:tr>
      <w:bookmarkEnd w:id="158"/>
      <w:bookmarkEnd w:id="159"/>
    </w:tbl>
    <w:p w14:paraId="1F93C472">
      <w:pPr>
        <w:autoSpaceDE w:val="0"/>
        <w:autoSpaceDN w:val="0"/>
        <w:adjustRightInd w:val="0"/>
        <w:spacing w:line="360" w:lineRule="auto"/>
        <w:jc w:val="left"/>
        <w:rPr>
          <w:rFonts w:ascii="宋体" w:hAnsi="宋体" w:cs="Courier New"/>
          <w:b/>
          <w:color w:val="auto"/>
          <w:szCs w:val="21"/>
          <w:highlight w:val="none"/>
        </w:rPr>
      </w:pPr>
    </w:p>
    <w:p w14:paraId="2A132E5E">
      <w:pPr>
        <w:autoSpaceDE w:val="0"/>
        <w:autoSpaceDN w:val="0"/>
        <w:adjustRightInd w:val="0"/>
        <w:spacing w:line="360" w:lineRule="auto"/>
        <w:jc w:val="left"/>
        <w:rPr>
          <w:rFonts w:ascii="宋体" w:hAnsi="宋体" w:cs="Courier New"/>
          <w:b/>
          <w:color w:val="auto"/>
          <w:szCs w:val="21"/>
          <w:highlight w:val="none"/>
        </w:rPr>
      </w:pPr>
    </w:p>
    <w:p w14:paraId="1A0A2D23">
      <w:pPr>
        <w:autoSpaceDE w:val="0"/>
        <w:autoSpaceDN w:val="0"/>
        <w:adjustRightInd w:val="0"/>
        <w:spacing w:line="360" w:lineRule="auto"/>
        <w:ind w:left="-105" w:leftChars="-50" w:firstLine="78" w:firstLineChars="37"/>
        <w:jc w:val="left"/>
        <w:rPr>
          <w:rFonts w:hint="eastAsia" w:ascii="宋体" w:hAnsi="宋体" w:cs="Courier New"/>
          <w:b/>
          <w:color w:val="auto"/>
          <w:szCs w:val="21"/>
          <w:highlight w:val="none"/>
        </w:rPr>
      </w:pPr>
      <w:r>
        <w:rPr>
          <w:rFonts w:hint="eastAsia" w:ascii="宋体" w:hAnsi="宋体" w:cs="Courier New"/>
          <w:b/>
          <w:color w:val="auto"/>
          <w:szCs w:val="21"/>
          <w:highlight w:val="none"/>
        </w:rPr>
        <w:t>特别约定：</w:t>
      </w:r>
    </w:p>
    <w:p w14:paraId="527FE72F">
      <w:pPr>
        <w:autoSpaceDE w:val="0"/>
        <w:autoSpaceDN w:val="0"/>
        <w:adjustRightInd w:val="0"/>
        <w:spacing w:line="360" w:lineRule="auto"/>
        <w:ind w:firstLine="420" w:firstLineChars="200"/>
        <w:jc w:val="left"/>
        <w:rPr>
          <w:rFonts w:hint="eastAsia" w:ascii="宋体" w:hAnsi="宋体" w:cs="Courier New"/>
          <w:color w:val="auto"/>
          <w:szCs w:val="21"/>
          <w:highlight w:val="none"/>
        </w:rPr>
      </w:pPr>
      <w:r>
        <w:rPr>
          <w:rFonts w:hint="eastAsia" w:ascii="宋体" w:hAnsi="宋体" w:cs="Courier New"/>
          <w:color w:val="auto"/>
          <w:szCs w:val="21"/>
          <w:highlight w:val="none"/>
        </w:rPr>
        <w:t>1.在发包人所提供的设计资料（含设计确认单、规划部门批文、政府各部门批文等）能满足设计人进行各阶段设计的前提下开始计算各阶段的设计时间。</w:t>
      </w:r>
    </w:p>
    <w:p w14:paraId="1657D55B">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2.上述设计时间不包括法定的节假日。</w:t>
      </w:r>
    </w:p>
    <w:p w14:paraId="167CDB19">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3.图纸交付地点：设计人工作地（或发包人指定地）。发包人要求设计人提供电子版设计文件时，设计人有权对电子版设计文件采取加密、设置访问权限、限期使用等保护措施。</w:t>
      </w:r>
    </w:p>
    <w:p w14:paraId="0C4BE296">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4.如发包人要求提供超过合同约定份数的工程设计文件，则设计人仍应按发包人的要求提供，但发包人应向设计人支付工本费。</w:t>
      </w:r>
    </w:p>
    <w:p w14:paraId="6562ED71">
      <w:pPr>
        <w:spacing w:line="360" w:lineRule="auto"/>
        <w:ind w:firstLine="200"/>
        <w:jc w:val="left"/>
        <w:rPr>
          <w:rFonts w:ascii="宋体" w:hAnsi="Calibri"/>
          <w:color w:val="auto"/>
          <w:szCs w:val="21"/>
          <w:highlight w:val="none"/>
        </w:rPr>
      </w:pPr>
    </w:p>
    <w:p w14:paraId="1C933819">
      <w:pPr>
        <w:spacing w:line="360" w:lineRule="auto"/>
        <w:ind w:firstLine="200"/>
        <w:jc w:val="left"/>
        <w:rPr>
          <w:rFonts w:ascii="宋体" w:hAnsi="Calibri"/>
          <w:color w:val="auto"/>
          <w:szCs w:val="21"/>
          <w:highlight w:val="none"/>
        </w:rPr>
      </w:pPr>
    </w:p>
    <w:p w14:paraId="2E0CB1A2">
      <w:pPr>
        <w:spacing w:line="360" w:lineRule="auto"/>
        <w:ind w:firstLine="200"/>
        <w:jc w:val="left"/>
        <w:rPr>
          <w:rFonts w:ascii="宋体" w:hAnsi="Calibri"/>
          <w:color w:val="auto"/>
          <w:szCs w:val="21"/>
          <w:highlight w:val="none"/>
        </w:rPr>
      </w:pPr>
    </w:p>
    <w:p w14:paraId="529F1F87">
      <w:pPr>
        <w:rPr>
          <w:rFonts w:ascii="黑体" w:hAnsi="宋体" w:eastAsia="黑体"/>
          <w:b/>
          <w:color w:val="auto"/>
          <w:sz w:val="28"/>
          <w:szCs w:val="28"/>
          <w:highlight w:val="none"/>
        </w:rPr>
      </w:pPr>
    </w:p>
    <w:p w14:paraId="633E03BA">
      <w:pPr>
        <w:rPr>
          <w:rFonts w:ascii="黑体" w:hAnsi="宋体" w:eastAsia="黑体"/>
          <w:b/>
          <w:color w:val="auto"/>
          <w:sz w:val="28"/>
          <w:szCs w:val="28"/>
          <w:highlight w:val="none"/>
        </w:rPr>
      </w:pPr>
    </w:p>
    <w:p w14:paraId="567C9B2D">
      <w:pPr>
        <w:spacing w:line="360" w:lineRule="auto"/>
        <w:ind w:firstLine="200"/>
        <w:rPr>
          <w:rFonts w:ascii="黑体" w:hAnsi="宋体" w:eastAsia="黑体"/>
          <w:b/>
          <w:color w:val="auto"/>
          <w:sz w:val="28"/>
          <w:szCs w:val="28"/>
          <w:highlight w:val="none"/>
        </w:rPr>
      </w:pPr>
      <w:r>
        <w:rPr>
          <w:rFonts w:hint="eastAsia" w:ascii="黑体" w:hAnsi="宋体" w:eastAsia="黑体"/>
          <w:b/>
          <w:color w:val="auto"/>
          <w:sz w:val="28"/>
          <w:szCs w:val="28"/>
          <w:highlight w:val="none"/>
        </w:rPr>
        <w:t>附件</w:t>
      </w:r>
      <w:r>
        <w:rPr>
          <w:rFonts w:ascii="黑体" w:hAnsi="宋体" w:eastAsia="黑体"/>
          <w:b/>
          <w:color w:val="auto"/>
          <w:sz w:val="28"/>
          <w:szCs w:val="28"/>
          <w:highlight w:val="none"/>
        </w:rPr>
        <w:t xml:space="preserve">4 </w:t>
      </w:r>
      <w:r>
        <w:rPr>
          <w:rFonts w:hint="eastAsia" w:ascii="黑体" w:hAnsi="宋体" w:eastAsia="黑体"/>
          <w:b/>
          <w:color w:val="auto"/>
          <w:sz w:val="28"/>
          <w:szCs w:val="28"/>
          <w:highlight w:val="none"/>
        </w:rPr>
        <w:t>：</w:t>
      </w:r>
    </w:p>
    <w:p w14:paraId="352D4E91">
      <w:pPr>
        <w:spacing w:line="360" w:lineRule="auto"/>
        <w:ind w:firstLine="200"/>
        <w:jc w:val="center"/>
        <w:rPr>
          <w:rFonts w:ascii="黑体" w:hAnsi="宋体" w:eastAsia="黑体"/>
          <w:color w:val="auto"/>
          <w:sz w:val="28"/>
          <w:szCs w:val="28"/>
          <w:highlight w:val="none"/>
        </w:rPr>
      </w:pPr>
      <w:r>
        <w:rPr>
          <w:rFonts w:hint="eastAsia" w:ascii="黑体" w:hAnsi="宋体" w:eastAsia="黑体"/>
          <w:color w:val="auto"/>
          <w:sz w:val="28"/>
          <w:szCs w:val="28"/>
          <w:highlight w:val="none"/>
        </w:rPr>
        <w:t>设计人主要设计人员表（适用于房屋建筑工程）</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427"/>
        <w:gridCol w:w="2676"/>
      </w:tblGrid>
      <w:tr w14:paraId="306AC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single" w:color="auto" w:sz="6" w:space="0"/>
            </w:tcBorders>
            <w:vAlign w:val="center"/>
          </w:tcPr>
          <w:p w14:paraId="60105D67">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名    称</w:t>
            </w:r>
          </w:p>
        </w:tc>
        <w:tc>
          <w:tcPr>
            <w:tcW w:w="1418" w:type="dxa"/>
            <w:tcBorders>
              <w:top w:val="single" w:color="auto" w:sz="12" w:space="0"/>
              <w:bottom w:val="single" w:color="auto" w:sz="6" w:space="0"/>
            </w:tcBorders>
            <w:vAlign w:val="center"/>
          </w:tcPr>
          <w:p w14:paraId="5F12A3C8">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姓名</w:t>
            </w:r>
          </w:p>
        </w:tc>
        <w:tc>
          <w:tcPr>
            <w:tcW w:w="1134" w:type="dxa"/>
            <w:tcBorders>
              <w:top w:val="single" w:color="auto" w:sz="12" w:space="0"/>
              <w:bottom w:val="single" w:color="auto" w:sz="6" w:space="0"/>
            </w:tcBorders>
            <w:vAlign w:val="center"/>
          </w:tcPr>
          <w:p w14:paraId="36A0B2F7">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职务</w:t>
            </w:r>
          </w:p>
        </w:tc>
        <w:tc>
          <w:tcPr>
            <w:tcW w:w="1427" w:type="dxa"/>
            <w:tcBorders>
              <w:top w:val="single" w:color="auto" w:sz="12" w:space="0"/>
              <w:bottom w:val="single" w:color="auto" w:sz="6" w:space="0"/>
            </w:tcBorders>
            <w:vAlign w:val="center"/>
          </w:tcPr>
          <w:p w14:paraId="301ED408">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注册执业资格</w:t>
            </w:r>
          </w:p>
        </w:tc>
        <w:tc>
          <w:tcPr>
            <w:tcW w:w="2676" w:type="dxa"/>
            <w:tcBorders>
              <w:top w:val="single" w:color="auto" w:sz="12" w:space="0"/>
              <w:bottom w:val="single" w:color="auto" w:sz="6" w:space="0"/>
            </w:tcBorders>
            <w:vAlign w:val="center"/>
          </w:tcPr>
          <w:p w14:paraId="47D28B7C">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承担过的主要项目</w:t>
            </w:r>
          </w:p>
        </w:tc>
      </w:tr>
      <w:tr w14:paraId="738160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26" w:type="dxa"/>
            <w:gridSpan w:val="5"/>
            <w:tcBorders>
              <w:top w:val="single" w:color="auto" w:sz="6" w:space="0"/>
              <w:bottom w:val="single" w:color="auto" w:sz="6" w:space="0"/>
            </w:tcBorders>
            <w:vAlign w:val="center"/>
          </w:tcPr>
          <w:p w14:paraId="0BA5408B">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一、总部人员</w:t>
            </w:r>
          </w:p>
        </w:tc>
      </w:tr>
      <w:tr w14:paraId="1C83F5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single" w:color="auto" w:sz="4" w:space="0"/>
            </w:tcBorders>
            <w:vAlign w:val="center"/>
          </w:tcPr>
          <w:p w14:paraId="1C898004">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项目主管</w:t>
            </w:r>
          </w:p>
        </w:tc>
        <w:tc>
          <w:tcPr>
            <w:tcW w:w="1418" w:type="dxa"/>
            <w:tcBorders>
              <w:top w:val="nil"/>
            </w:tcBorders>
            <w:vAlign w:val="center"/>
          </w:tcPr>
          <w:p w14:paraId="04DE912F">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134" w:type="dxa"/>
            <w:tcBorders>
              <w:top w:val="nil"/>
            </w:tcBorders>
            <w:vAlign w:val="center"/>
          </w:tcPr>
          <w:p w14:paraId="4A8FFD51">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427" w:type="dxa"/>
            <w:tcBorders>
              <w:top w:val="nil"/>
            </w:tcBorders>
            <w:vAlign w:val="center"/>
          </w:tcPr>
          <w:p w14:paraId="41BC4FE2">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2676" w:type="dxa"/>
            <w:tcBorders>
              <w:top w:val="nil"/>
            </w:tcBorders>
            <w:vAlign w:val="center"/>
          </w:tcPr>
          <w:p w14:paraId="6B828C5B">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r>
      <w:tr w14:paraId="464325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4" w:space="0"/>
              <w:bottom w:val="nil"/>
            </w:tcBorders>
            <w:vAlign w:val="center"/>
          </w:tcPr>
          <w:p w14:paraId="4DCF3941">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其他人员</w:t>
            </w:r>
          </w:p>
        </w:tc>
        <w:tc>
          <w:tcPr>
            <w:tcW w:w="1418" w:type="dxa"/>
            <w:vAlign w:val="center"/>
          </w:tcPr>
          <w:p w14:paraId="40DCAC44">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134" w:type="dxa"/>
            <w:vAlign w:val="center"/>
          </w:tcPr>
          <w:p w14:paraId="6310AD4E">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427" w:type="dxa"/>
            <w:vAlign w:val="center"/>
          </w:tcPr>
          <w:p w14:paraId="7DA18CE5">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2676" w:type="dxa"/>
            <w:vAlign w:val="center"/>
          </w:tcPr>
          <w:p w14:paraId="0309B1ED">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r>
      <w:tr w14:paraId="426649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26" w:type="dxa"/>
            <w:gridSpan w:val="5"/>
            <w:tcBorders>
              <w:top w:val="single" w:color="auto" w:sz="6" w:space="0"/>
              <w:bottom w:val="single" w:color="auto" w:sz="6" w:space="0"/>
            </w:tcBorders>
            <w:vAlign w:val="center"/>
          </w:tcPr>
          <w:p w14:paraId="065AF59A">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二、项目组成员</w:t>
            </w:r>
          </w:p>
        </w:tc>
      </w:tr>
      <w:tr w14:paraId="093ED6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7516403">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项目负责人</w:t>
            </w:r>
          </w:p>
        </w:tc>
        <w:tc>
          <w:tcPr>
            <w:tcW w:w="1418" w:type="dxa"/>
            <w:vAlign w:val="center"/>
          </w:tcPr>
          <w:p w14:paraId="30897B7F">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134" w:type="dxa"/>
            <w:vAlign w:val="center"/>
          </w:tcPr>
          <w:p w14:paraId="50C0E624">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427" w:type="dxa"/>
            <w:vAlign w:val="center"/>
          </w:tcPr>
          <w:p w14:paraId="7BDCECF8">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2676" w:type="dxa"/>
            <w:vAlign w:val="center"/>
          </w:tcPr>
          <w:p w14:paraId="4B425527">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r>
      <w:tr w14:paraId="66770D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68BE0076">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项目</w:t>
            </w:r>
          </w:p>
          <w:p w14:paraId="22D81319">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副负责人</w:t>
            </w:r>
          </w:p>
        </w:tc>
        <w:tc>
          <w:tcPr>
            <w:tcW w:w="1418" w:type="dxa"/>
            <w:vAlign w:val="center"/>
          </w:tcPr>
          <w:p w14:paraId="621F1A05">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134" w:type="dxa"/>
            <w:vAlign w:val="center"/>
          </w:tcPr>
          <w:p w14:paraId="4B7E6088">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427" w:type="dxa"/>
            <w:vAlign w:val="center"/>
          </w:tcPr>
          <w:p w14:paraId="3F5A9BD1">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2676" w:type="dxa"/>
            <w:vAlign w:val="center"/>
          </w:tcPr>
          <w:p w14:paraId="71CD348A">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r>
      <w:tr w14:paraId="066960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DB7B744">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建筑专业</w:t>
            </w:r>
          </w:p>
          <w:p w14:paraId="50B29D8A">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负责人</w:t>
            </w:r>
          </w:p>
        </w:tc>
        <w:tc>
          <w:tcPr>
            <w:tcW w:w="1418" w:type="dxa"/>
            <w:vAlign w:val="center"/>
          </w:tcPr>
          <w:p w14:paraId="437286FF">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134" w:type="dxa"/>
            <w:vAlign w:val="center"/>
          </w:tcPr>
          <w:p w14:paraId="00236470">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427" w:type="dxa"/>
            <w:vAlign w:val="center"/>
          </w:tcPr>
          <w:p w14:paraId="12F04F8B">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2676" w:type="dxa"/>
            <w:vAlign w:val="center"/>
          </w:tcPr>
          <w:p w14:paraId="3EA44F5B">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r>
      <w:tr w14:paraId="7E9433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5C69FD2">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结构专业</w:t>
            </w:r>
          </w:p>
          <w:p w14:paraId="15B1E5AD">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负责人</w:t>
            </w:r>
          </w:p>
        </w:tc>
        <w:tc>
          <w:tcPr>
            <w:tcW w:w="1418" w:type="dxa"/>
            <w:vAlign w:val="center"/>
          </w:tcPr>
          <w:p w14:paraId="36BD12AD">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134" w:type="dxa"/>
            <w:vAlign w:val="center"/>
          </w:tcPr>
          <w:p w14:paraId="4ACC453B">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427" w:type="dxa"/>
            <w:vAlign w:val="center"/>
          </w:tcPr>
          <w:p w14:paraId="1D6C4DF9">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2676" w:type="dxa"/>
            <w:vAlign w:val="center"/>
          </w:tcPr>
          <w:p w14:paraId="46B72544">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r>
      <w:tr w14:paraId="78469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1BE2DB76">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给水排水</w:t>
            </w:r>
          </w:p>
          <w:p w14:paraId="26D10A20">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专业负责人</w:t>
            </w:r>
          </w:p>
        </w:tc>
        <w:tc>
          <w:tcPr>
            <w:tcW w:w="1418" w:type="dxa"/>
            <w:vAlign w:val="center"/>
          </w:tcPr>
          <w:p w14:paraId="20CC2555">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134" w:type="dxa"/>
            <w:vAlign w:val="center"/>
          </w:tcPr>
          <w:p w14:paraId="002195EA">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427" w:type="dxa"/>
            <w:vAlign w:val="center"/>
          </w:tcPr>
          <w:p w14:paraId="35655ABF">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2676" w:type="dxa"/>
            <w:vAlign w:val="center"/>
          </w:tcPr>
          <w:p w14:paraId="7B1795C7">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r>
      <w:tr w14:paraId="0E7191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08E6DD1">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暖通空调</w:t>
            </w:r>
          </w:p>
          <w:p w14:paraId="01559902">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专业负责人</w:t>
            </w:r>
          </w:p>
        </w:tc>
        <w:tc>
          <w:tcPr>
            <w:tcW w:w="1418" w:type="dxa"/>
            <w:vAlign w:val="center"/>
          </w:tcPr>
          <w:p w14:paraId="659E0722">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134" w:type="dxa"/>
            <w:vAlign w:val="center"/>
          </w:tcPr>
          <w:p w14:paraId="08357B6A">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427" w:type="dxa"/>
            <w:vAlign w:val="center"/>
          </w:tcPr>
          <w:p w14:paraId="5B90A336">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2676" w:type="dxa"/>
            <w:vAlign w:val="center"/>
          </w:tcPr>
          <w:p w14:paraId="690698CF">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r>
      <w:tr w14:paraId="12C46E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tcBorders>
            <w:vAlign w:val="center"/>
          </w:tcPr>
          <w:p w14:paraId="7B8DEFEC">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建筑电气</w:t>
            </w:r>
          </w:p>
          <w:p w14:paraId="1F33BB7D">
            <w:pPr>
              <w:keepNext/>
              <w:adjustRightInd w:val="0"/>
              <w:spacing w:line="360" w:lineRule="auto"/>
              <w:ind w:left="63" w:leftChars="30" w:right="63" w:rightChars="30" w:firstLine="200"/>
              <w:jc w:val="center"/>
              <w:textAlignment w:val="baseline"/>
              <w:rPr>
                <w:rFonts w:ascii="宋体" w:hAnsi="宋体"/>
                <w:color w:val="auto"/>
                <w:szCs w:val="21"/>
                <w:highlight w:val="none"/>
              </w:rPr>
            </w:pPr>
            <w:r>
              <w:rPr>
                <w:rFonts w:hint="eastAsia" w:ascii="宋体" w:hAnsi="宋体"/>
                <w:color w:val="auto"/>
                <w:szCs w:val="21"/>
                <w:highlight w:val="none"/>
              </w:rPr>
              <w:t>专业负责人</w:t>
            </w:r>
          </w:p>
        </w:tc>
        <w:tc>
          <w:tcPr>
            <w:tcW w:w="1418" w:type="dxa"/>
            <w:vAlign w:val="center"/>
          </w:tcPr>
          <w:p w14:paraId="556A368F">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134" w:type="dxa"/>
            <w:vAlign w:val="center"/>
          </w:tcPr>
          <w:p w14:paraId="6AFC5E4B">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1427" w:type="dxa"/>
            <w:vAlign w:val="center"/>
          </w:tcPr>
          <w:p w14:paraId="48018E06">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c>
          <w:tcPr>
            <w:tcW w:w="2676" w:type="dxa"/>
            <w:vAlign w:val="center"/>
          </w:tcPr>
          <w:p w14:paraId="44446B89">
            <w:pPr>
              <w:keepNext/>
              <w:adjustRightInd w:val="0"/>
              <w:spacing w:line="360" w:lineRule="auto"/>
              <w:ind w:left="63" w:leftChars="30" w:right="63" w:rightChars="30" w:firstLine="200"/>
              <w:jc w:val="center"/>
              <w:textAlignment w:val="baseline"/>
              <w:rPr>
                <w:rFonts w:ascii="宋体" w:hAnsi="宋体"/>
                <w:color w:val="auto"/>
                <w:szCs w:val="21"/>
                <w:highlight w:val="none"/>
              </w:rPr>
            </w:pPr>
          </w:p>
        </w:tc>
      </w:tr>
    </w:tbl>
    <w:p w14:paraId="5A917B3B">
      <w:pPr>
        <w:spacing w:line="360" w:lineRule="auto"/>
        <w:ind w:firstLine="200"/>
        <w:jc w:val="center"/>
        <w:rPr>
          <w:rFonts w:ascii="黑体" w:hAnsi="宋体" w:eastAsia="黑体"/>
          <w:color w:val="auto"/>
          <w:sz w:val="28"/>
          <w:szCs w:val="28"/>
          <w:highlight w:val="none"/>
        </w:rPr>
      </w:pPr>
    </w:p>
    <w:p w14:paraId="4642BA8F">
      <w:pPr>
        <w:spacing w:line="360" w:lineRule="auto"/>
        <w:rPr>
          <w:rFonts w:ascii="黑体" w:hAnsi="宋体" w:eastAsia="黑体"/>
          <w:b/>
          <w:color w:val="auto"/>
          <w:sz w:val="28"/>
          <w:szCs w:val="28"/>
          <w:highlight w:val="none"/>
        </w:rPr>
      </w:pPr>
      <w:r>
        <w:rPr>
          <w:rFonts w:hint="eastAsia" w:ascii="黑体" w:hAnsi="宋体" w:eastAsia="黑体"/>
          <w:b/>
          <w:color w:val="auto"/>
          <w:sz w:val="28"/>
          <w:szCs w:val="28"/>
          <w:highlight w:val="none"/>
        </w:rPr>
        <w:t>附件</w:t>
      </w:r>
      <w:r>
        <w:rPr>
          <w:rFonts w:ascii="黑体" w:hAnsi="宋体" w:eastAsia="黑体"/>
          <w:b/>
          <w:color w:val="auto"/>
          <w:sz w:val="28"/>
          <w:szCs w:val="28"/>
          <w:highlight w:val="none"/>
        </w:rPr>
        <w:t>5</w:t>
      </w:r>
      <w:r>
        <w:rPr>
          <w:rFonts w:hint="eastAsia" w:ascii="黑体" w:hAnsi="宋体" w:eastAsia="黑体"/>
          <w:b/>
          <w:color w:val="auto"/>
          <w:sz w:val="28"/>
          <w:szCs w:val="28"/>
          <w:highlight w:val="none"/>
        </w:rPr>
        <w:t>：</w:t>
      </w:r>
    </w:p>
    <w:p w14:paraId="26868773">
      <w:pPr>
        <w:spacing w:line="360" w:lineRule="auto"/>
        <w:ind w:firstLine="200"/>
        <w:jc w:val="center"/>
        <w:rPr>
          <w:rFonts w:ascii="宋体" w:hAnsi="Calibri"/>
          <w:color w:val="auto"/>
          <w:szCs w:val="21"/>
          <w:highlight w:val="none"/>
        </w:rPr>
      </w:pPr>
      <w:r>
        <w:rPr>
          <w:rFonts w:hint="eastAsia" w:ascii="黑体" w:hAnsi="宋体" w:eastAsia="黑体"/>
          <w:color w:val="auto"/>
          <w:sz w:val="28"/>
          <w:szCs w:val="28"/>
          <w:highlight w:val="none"/>
        </w:rPr>
        <w:t>设计进度表</w:t>
      </w:r>
    </w:p>
    <w:p w14:paraId="04EF6030">
      <w:pPr>
        <w:spacing w:line="360" w:lineRule="auto"/>
        <w:rPr>
          <w:rFonts w:ascii="黑体" w:hAnsi="宋体" w:eastAsia="黑体"/>
          <w:b/>
          <w:color w:val="auto"/>
          <w:sz w:val="28"/>
          <w:szCs w:val="28"/>
          <w:highlight w:val="none"/>
        </w:rPr>
      </w:pPr>
      <w:r>
        <w:rPr>
          <w:rFonts w:hint="eastAsia" w:ascii="黑体" w:hAnsi="宋体" w:eastAsia="黑体"/>
          <w:b/>
          <w:color w:val="auto"/>
          <w:sz w:val="28"/>
          <w:szCs w:val="28"/>
          <w:highlight w:val="none"/>
        </w:rPr>
        <w:br w:type="page"/>
      </w:r>
      <w:r>
        <w:rPr>
          <w:rFonts w:hint="eastAsia" w:ascii="黑体" w:hAnsi="宋体" w:eastAsia="黑体"/>
          <w:b/>
          <w:color w:val="auto"/>
          <w:sz w:val="28"/>
          <w:szCs w:val="28"/>
          <w:highlight w:val="none"/>
        </w:rPr>
        <w:t>附件</w:t>
      </w:r>
      <w:r>
        <w:rPr>
          <w:rFonts w:ascii="黑体" w:hAnsi="宋体" w:eastAsia="黑体"/>
          <w:b/>
          <w:color w:val="auto"/>
          <w:sz w:val="28"/>
          <w:szCs w:val="28"/>
          <w:highlight w:val="none"/>
        </w:rPr>
        <w:t>6</w:t>
      </w:r>
      <w:r>
        <w:rPr>
          <w:rFonts w:hint="eastAsia" w:ascii="黑体" w:hAnsi="宋体" w:eastAsia="黑体"/>
          <w:b/>
          <w:color w:val="auto"/>
          <w:sz w:val="28"/>
          <w:szCs w:val="28"/>
          <w:highlight w:val="none"/>
        </w:rPr>
        <w:t>：</w:t>
      </w:r>
    </w:p>
    <w:p w14:paraId="3A363BB0">
      <w:pPr>
        <w:spacing w:line="360" w:lineRule="auto"/>
        <w:ind w:left="63" w:right="63" w:firstLine="200"/>
        <w:jc w:val="center"/>
        <w:rPr>
          <w:rFonts w:ascii="宋体" w:hAnsi="Calibri"/>
          <w:color w:val="auto"/>
          <w:szCs w:val="22"/>
          <w:highlight w:val="none"/>
        </w:rPr>
      </w:pPr>
      <w:r>
        <w:rPr>
          <w:rFonts w:hint="eastAsia" w:ascii="黑体" w:hAnsi="宋体"/>
          <w:color w:val="auto"/>
          <w:sz w:val="28"/>
          <w:szCs w:val="22"/>
          <w:highlight w:val="none"/>
        </w:rPr>
        <w:t>设计费明细及支付方式（适用于房屋建筑工程）</w:t>
      </w:r>
    </w:p>
    <w:p w14:paraId="09B90693">
      <w:pPr>
        <w:spacing w:line="360" w:lineRule="auto"/>
        <w:ind w:left="63" w:right="63" w:firstLine="392" w:firstLineChars="187"/>
        <w:rPr>
          <w:rFonts w:ascii="宋体" w:hAnsi="宋体"/>
          <w:color w:val="auto"/>
          <w:szCs w:val="22"/>
          <w:highlight w:val="none"/>
        </w:rPr>
      </w:pPr>
    </w:p>
    <w:p w14:paraId="541114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一、设计费总额：</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w:t>
      </w:r>
      <w:r>
        <w:rPr>
          <w:rFonts w:hint="eastAsia" w:ascii="宋体" w:hAnsi="宋体"/>
          <w:color w:val="auto"/>
          <w:szCs w:val="21"/>
          <w:highlight w:val="none"/>
          <w:u w:val="single"/>
        </w:rPr>
        <w:t xml:space="preserve">                    </w:t>
      </w:r>
    </w:p>
    <w:p w14:paraId="0049594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二、设计费总额构成：</w:t>
      </w:r>
    </w:p>
    <w:p w14:paraId="3F6C4B3F">
      <w:pPr>
        <w:spacing w:line="360" w:lineRule="auto"/>
        <w:ind w:firstLine="420" w:firstLineChars="200"/>
        <w:rPr>
          <w:rFonts w:hint="eastAsia" w:ascii="宋体" w:hAnsi="宋体" w:cs="Courier New"/>
          <w:color w:val="auto"/>
          <w:szCs w:val="21"/>
          <w:highlight w:val="none"/>
        </w:rPr>
      </w:pPr>
      <w:r>
        <w:rPr>
          <w:rFonts w:hint="eastAsia" w:ascii="宋体" w:hAnsi="宋体"/>
          <w:color w:val="auto"/>
          <w:szCs w:val="21"/>
          <w:highlight w:val="none"/>
        </w:rPr>
        <w:t>1.工程设计基本服务费用：</w:t>
      </w:r>
      <w:r>
        <w:rPr>
          <w:rFonts w:hint="eastAsia" w:ascii="宋体" w:hAnsi="宋体"/>
          <w:color w:val="auto"/>
          <w:szCs w:val="21"/>
          <w:highlight w:val="none"/>
          <w:u w:val="single"/>
        </w:rPr>
        <w:t xml:space="preserve">                              </w:t>
      </w:r>
    </w:p>
    <w:p w14:paraId="5DCC76EF">
      <w:pPr>
        <w:spacing w:line="360" w:lineRule="auto"/>
        <w:ind w:firstLine="420" w:firstLineChars="200"/>
        <w:rPr>
          <w:rFonts w:hint="eastAsia" w:ascii="宋体" w:hAnsi="宋体"/>
          <w:color w:val="auto"/>
          <w:szCs w:val="21"/>
          <w:highlight w:val="none"/>
          <w:u w:val="single"/>
        </w:rPr>
      </w:pPr>
      <w:r>
        <w:rPr>
          <w:rFonts w:hint="eastAsia" w:ascii="宋体" w:hAnsi="宋体"/>
          <w:color w:val="auto"/>
          <w:szCs w:val="21"/>
          <w:highlight w:val="none"/>
        </w:rPr>
        <w:t>2.工程设计其他服务费用：</w:t>
      </w:r>
      <w:r>
        <w:rPr>
          <w:rFonts w:hint="eastAsia" w:ascii="宋体" w:hAnsi="宋体"/>
          <w:color w:val="auto"/>
          <w:szCs w:val="21"/>
          <w:highlight w:val="none"/>
          <w:u w:val="single"/>
        </w:rPr>
        <w:t xml:space="preserve">                              </w:t>
      </w:r>
    </w:p>
    <w:p w14:paraId="628E7C5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3.合同签订前设计人已完成工作的费用：</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58BEF0C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4.特别约定：</w:t>
      </w:r>
    </w:p>
    <w:p w14:paraId="0294BFE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（1）工程设计基本服务费用包含设计人员赴工地现场的旅差费</w:t>
      </w:r>
      <w:r>
        <w:rPr>
          <w:rFonts w:hint="eastAsia" w:ascii="宋体" w:hAnsi="宋体"/>
          <w:color w:val="auto"/>
          <w:szCs w:val="21"/>
          <w:highlight w:val="none"/>
          <w:u w:val="single"/>
        </w:rPr>
        <w:t xml:space="preserve">   </w:t>
      </w:r>
      <w:r>
        <w:rPr>
          <w:rFonts w:hint="eastAsia" w:ascii="宋体" w:hAnsi="宋体"/>
          <w:color w:val="auto"/>
          <w:szCs w:val="21"/>
          <w:highlight w:val="none"/>
        </w:rPr>
        <w:t>人次日，每人每次不超2天；不含长期驻现场的设计工地代表和现场服务费。</w:t>
      </w:r>
    </w:p>
    <w:p w14:paraId="28DEF5E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（2）采用固定单价形式的设计费，实际设计费按初步设计批准（或通过审查的施工图设计）的建筑面积（或投资额）和本合同约定的单价（或费率）核定，多退少补。</w:t>
      </w:r>
    </w:p>
    <w:p w14:paraId="144FF52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（3）超过上述约定人次日赴项目现场所发生的费用（包括往返机票费、机场建设费、交通费、食宿费、保险费等）和人工费由发包人另行支付。其中人工费支付标准为</w:t>
      </w:r>
      <w:r>
        <w:rPr>
          <w:rFonts w:hint="eastAsia" w:ascii="宋体" w:hAnsi="宋体"/>
          <w:color w:val="auto"/>
          <w:szCs w:val="21"/>
          <w:highlight w:val="none"/>
          <w:u w:val="single"/>
        </w:rPr>
        <w:t xml:space="preserve">             </w:t>
      </w:r>
      <w:r>
        <w:rPr>
          <w:rFonts w:hint="eastAsia" w:ascii="宋体" w:hAnsi="宋体"/>
          <w:color w:val="auto"/>
          <w:szCs w:val="21"/>
          <w:highlight w:val="none"/>
        </w:rPr>
        <w:t>。（建议参照本单位年人均产值确定人工费标准）</w:t>
      </w:r>
    </w:p>
    <w:p w14:paraId="304F162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（4）其它：</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6962780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三、设计费明细计算表</w:t>
      </w:r>
    </w:p>
    <w:p w14:paraId="7175AB0D">
      <w:pPr>
        <w:spacing w:line="360" w:lineRule="auto"/>
        <w:ind w:firstLine="420" w:firstLineChars="200"/>
        <w:rPr>
          <w:rFonts w:hint="eastAsia" w:ascii="宋体" w:hAnsi="宋体"/>
          <w:color w:val="auto"/>
          <w:szCs w:val="21"/>
          <w:highlight w:val="none"/>
        </w:rPr>
      </w:pPr>
    </w:p>
    <w:p w14:paraId="12C0389D">
      <w:pPr>
        <w:spacing w:line="360" w:lineRule="auto"/>
        <w:ind w:firstLine="420" w:firstLineChars="200"/>
        <w:rPr>
          <w:rFonts w:hint="eastAsia" w:ascii="宋体" w:hAnsi="宋体"/>
          <w:color w:val="auto"/>
          <w:szCs w:val="21"/>
          <w:highlight w:val="none"/>
        </w:rPr>
      </w:pPr>
    </w:p>
    <w:p w14:paraId="0438757A">
      <w:pPr>
        <w:spacing w:line="360" w:lineRule="auto"/>
        <w:ind w:firstLine="420" w:firstLineChars="200"/>
        <w:rPr>
          <w:rFonts w:hint="eastAsia" w:ascii="宋体" w:hAnsi="宋体"/>
          <w:color w:val="auto"/>
          <w:szCs w:val="21"/>
          <w:highlight w:val="none"/>
        </w:rPr>
      </w:pPr>
    </w:p>
    <w:p w14:paraId="20594F2E">
      <w:pPr>
        <w:spacing w:line="360" w:lineRule="auto"/>
        <w:ind w:firstLine="420" w:firstLineChars="200"/>
        <w:rPr>
          <w:rFonts w:hint="eastAsia" w:ascii="宋体" w:hAnsi="宋体"/>
          <w:color w:val="auto"/>
          <w:szCs w:val="21"/>
          <w:highlight w:val="none"/>
        </w:rPr>
      </w:pPr>
    </w:p>
    <w:p w14:paraId="063E0B17">
      <w:pPr>
        <w:spacing w:line="360" w:lineRule="auto"/>
        <w:ind w:firstLine="392" w:firstLineChars="187"/>
        <w:rPr>
          <w:rFonts w:hint="eastAsia" w:ascii="宋体" w:hAnsi="宋体"/>
          <w:color w:val="auto"/>
          <w:szCs w:val="21"/>
          <w:highlight w:val="none"/>
        </w:rPr>
      </w:pPr>
      <w:r>
        <w:rPr>
          <w:rFonts w:hint="eastAsia" w:ascii="宋体" w:hAnsi="宋体"/>
          <w:color w:val="auto"/>
          <w:szCs w:val="21"/>
          <w:highlight w:val="none"/>
        </w:rPr>
        <w:t>四、设计费支付方式</w:t>
      </w:r>
    </w:p>
    <w:p w14:paraId="5923D836">
      <w:pPr>
        <w:spacing w:line="360" w:lineRule="auto"/>
        <w:ind w:firstLine="420" w:firstLineChars="200"/>
        <w:jc w:val="left"/>
        <w:rPr>
          <w:rFonts w:ascii="宋体" w:hAnsi="宋体" w:cs="宋体"/>
          <w:color w:val="auto"/>
          <w:highlight w:val="none"/>
        </w:rPr>
      </w:pPr>
    </w:p>
    <w:tbl>
      <w:tblPr>
        <w:tblStyle w:val="40"/>
        <w:tblW w:w="9014" w:type="dxa"/>
        <w:tblInd w:w="3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
      <w:tblGrid>
        <w:gridCol w:w="2095"/>
        <w:gridCol w:w="1342"/>
        <w:gridCol w:w="1392"/>
        <w:gridCol w:w="4185"/>
      </w:tblGrid>
      <w:tr w14:paraId="76D6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c>
          <w:tcPr>
            <w:tcW w:w="2095" w:type="dxa"/>
            <w:noWrap w:val="0"/>
            <w:vAlign w:val="center"/>
          </w:tcPr>
          <w:p w14:paraId="35131E29">
            <w:pPr>
              <w:spacing w:line="360" w:lineRule="auto"/>
              <w:jc w:val="center"/>
              <w:rPr>
                <w:rFonts w:ascii="宋体" w:hAnsi="宋体"/>
                <w:color w:val="auto"/>
                <w:szCs w:val="21"/>
                <w:highlight w:val="none"/>
              </w:rPr>
            </w:pPr>
            <w:r>
              <w:rPr>
                <w:rFonts w:ascii="宋体" w:hAnsi="宋体"/>
                <w:color w:val="auto"/>
                <w:szCs w:val="21"/>
                <w:highlight w:val="none"/>
              </w:rPr>
              <w:t>付费次序</w:t>
            </w:r>
          </w:p>
        </w:tc>
        <w:tc>
          <w:tcPr>
            <w:tcW w:w="1342" w:type="dxa"/>
            <w:noWrap w:val="0"/>
            <w:vAlign w:val="center"/>
          </w:tcPr>
          <w:p w14:paraId="7B32CEF6">
            <w:pPr>
              <w:spacing w:line="360" w:lineRule="auto"/>
              <w:jc w:val="center"/>
              <w:rPr>
                <w:rFonts w:ascii="宋体" w:hAnsi="宋体"/>
                <w:color w:val="auto"/>
                <w:szCs w:val="21"/>
                <w:highlight w:val="none"/>
              </w:rPr>
            </w:pPr>
            <w:r>
              <w:rPr>
                <w:rFonts w:ascii="宋体" w:hAnsi="宋体"/>
                <w:color w:val="auto"/>
                <w:szCs w:val="21"/>
                <w:highlight w:val="none"/>
              </w:rPr>
              <w:t>占总设计费%</w:t>
            </w:r>
          </w:p>
        </w:tc>
        <w:tc>
          <w:tcPr>
            <w:tcW w:w="1392" w:type="dxa"/>
            <w:noWrap w:val="0"/>
            <w:vAlign w:val="center"/>
          </w:tcPr>
          <w:p w14:paraId="24DFD9AB">
            <w:pPr>
              <w:spacing w:line="360" w:lineRule="auto"/>
              <w:jc w:val="center"/>
              <w:rPr>
                <w:rFonts w:ascii="宋体" w:hAnsi="宋体"/>
                <w:color w:val="auto"/>
                <w:szCs w:val="21"/>
                <w:highlight w:val="none"/>
              </w:rPr>
            </w:pPr>
            <w:r>
              <w:rPr>
                <w:rFonts w:ascii="宋体" w:hAnsi="宋体"/>
                <w:color w:val="auto"/>
                <w:szCs w:val="21"/>
                <w:highlight w:val="none"/>
              </w:rPr>
              <w:t>付费额</w:t>
            </w:r>
          </w:p>
          <w:p w14:paraId="2D5990BC">
            <w:pPr>
              <w:spacing w:line="360" w:lineRule="auto"/>
              <w:jc w:val="center"/>
              <w:rPr>
                <w:rFonts w:ascii="宋体" w:hAnsi="宋体"/>
                <w:color w:val="auto"/>
                <w:szCs w:val="21"/>
                <w:highlight w:val="none"/>
              </w:rPr>
            </w:pPr>
            <w:r>
              <w:rPr>
                <w:rFonts w:ascii="宋体" w:hAnsi="宋体"/>
                <w:color w:val="auto"/>
                <w:szCs w:val="21"/>
                <w:highlight w:val="none"/>
              </w:rPr>
              <w:t>（元）</w:t>
            </w:r>
          </w:p>
        </w:tc>
        <w:tc>
          <w:tcPr>
            <w:tcW w:w="4185" w:type="dxa"/>
            <w:noWrap w:val="0"/>
            <w:vAlign w:val="center"/>
          </w:tcPr>
          <w:p w14:paraId="01560E79">
            <w:pPr>
              <w:spacing w:line="360" w:lineRule="auto"/>
              <w:ind w:left="-16" w:leftChars="-25" w:hanging="37" w:hangingChars="18"/>
              <w:jc w:val="center"/>
              <w:rPr>
                <w:rFonts w:ascii="宋体" w:hAnsi="宋体"/>
                <w:color w:val="auto"/>
                <w:szCs w:val="21"/>
                <w:highlight w:val="none"/>
              </w:rPr>
            </w:pPr>
            <w:r>
              <w:rPr>
                <w:rFonts w:ascii="宋体" w:hAnsi="宋体"/>
                <w:color w:val="auto"/>
                <w:szCs w:val="21"/>
                <w:highlight w:val="none"/>
              </w:rPr>
              <w:t>付费时间（由交付设计文件所决定）</w:t>
            </w:r>
          </w:p>
        </w:tc>
      </w:tr>
      <w:tr w14:paraId="39D2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676" w:hRule="atLeast"/>
        </w:trPr>
        <w:tc>
          <w:tcPr>
            <w:tcW w:w="2095" w:type="dxa"/>
            <w:noWrap w:val="0"/>
            <w:vAlign w:val="center"/>
          </w:tcPr>
          <w:p w14:paraId="2D9A6996">
            <w:pPr>
              <w:tabs>
                <w:tab w:val="left" w:pos="3600"/>
                <w:tab w:val="left" w:pos="5040"/>
              </w:tabs>
              <w:spacing w:line="276" w:lineRule="auto"/>
              <w:jc w:val="center"/>
              <w:rPr>
                <w:color w:val="auto"/>
                <w:szCs w:val="21"/>
                <w:highlight w:val="none"/>
              </w:rPr>
            </w:pPr>
            <w:r>
              <w:rPr>
                <w:rFonts w:hint="eastAsia"/>
                <w:color w:val="auto"/>
                <w:szCs w:val="21"/>
                <w:highlight w:val="none"/>
              </w:rPr>
              <w:t>第一次付费</w:t>
            </w:r>
          </w:p>
        </w:tc>
        <w:tc>
          <w:tcPr>
            <w:tcW w:w="1342" w:type="dxa"/>
            <w:noWrap w:val="0"/>
            <w:vAlign w:val="center"/>
          </w:tcPr>
          <w:p w14:paraId="458FA3AA">
            <w:pPr>
              <w:tabs>
                <w:tab w:val="left" w:pos="3600"/>
                <w:tab w:val="left" w:pos="5040"/>
              </w:tabs>
              <w:spacing w:line="276" w:lineRule="auto"/>
              <w:jc w:val="center"/>
              <w:rPr>
                <w:color w:val="auto"/>
                <w:szCs w:val="21"/>
                <w:highlight w:val="none"/>
              </w:rPr>
            </w:pPr>
            <w:r>
              <w:rPr>
                <w:rFonts w:hint="eastAsia" w:cs="Calibri"/>
                <w:color w:val="auto"/>
                <w:szCs w:val="21"/>
                <w:highlight w:val="none"/>
              </w:rPr>
              <w:t>20</w:t>
            </w:r>
            <w:r>
              <w:rPr>
                <w:rFonts w:cs="Calibri"/>
                <w:color w:val="auto"/>
                <w:szCs w:val="21"/>
                <w:highlight w:val="none"/>
              </w:rPr>
              <w:t>%</w:t>
            </w:r>
          </w:p>
        </w:tc>
        <w:tc>
          <w:tcPr>
            <w:tcW w:w="1392" w:type="dxa"/>
            <w:noWrap w:val="0"/>
            <w:vAlign w:val="center"/>
          </w:tcPr>
          <w:p w14:paraId="6EADF493">
            <w:pPr>
              <w:tabs>
                <w:tab w:val="left" w:pos="3600"/>
                <w:tab w:val="left" w:pos="5040"/>
              </w:tabs>
              <w:spacing w:line="276" w:lineRule="auto"/>
              <w:jc w:val="center"/>
              <w:rPr>
                <w:color w:val="auto"/>
                <w:szCs w:val="21"/>
                <w:highlight w:val="none"/>
              </w:rPr>
            </w:pPr>
          </w:p>
        </w:tc>
        <w:tc>
          <w:tcPr>
            <w:tcW w:w="4185" w:type="dxa"/>
            <w:noWrap w:val="0"/>
            <w:vAlign w:val="top"/>
          </w:tcPr>
          <w:p w14:paraId="14834ABF">
            <w:pPr>
              <w:widowControl/>
              <w:adjustRightInd w:val="0"/>
              <w:snapToGrid w:val="0"/>
              <w:spacing w:line="360" w:lineRule="exact"/>
              <w:rPr>
                <w:rFonts w:hint="eastAsia" w:ascii="宋体" w:hAnsi="宋体"/>
                <w:color w:val="auto"/>
                <w:highlight w:val="none"/>
                <w:u w:val="single"/>
              </w:rPr>
            </w:pPr>
            <w:r>
              <w:rPr>
                <w:rFonts w:hint="eastAsia" w:ascii="宋体" w:hAnsi="宋体" w:cs="宋体"/>
                <w:color w:val="auto"/>
                <w:szCs w:val="21"/>
                <w:highlight w:val="none"/>
              </w:rPr>
              <w:t>合同签订后，设计人提供初步设计初稿后，并提供请款申请和相应发票后，支付至设计费的20%。</w:t>
            </w:r>
          </w:p>
        </w:tc>
      </w:tr>
      <w:tr w14:paraId="42EF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676" w:hRule="atLeast"/>
        </w:trPr>
        <w:tc>
          <w:tcPr>
            <w:tcW w:w="2095" w:type="dxa"/>
            <w:noWrap w:val="0"/>
            <w:vAlign w:val="center"/>
          </w:tcPr>
          <w:p w14:paraId="39DA6F25">
            <w:pPr>
              <w:tabs>
                <w:tab w:val="left" w:pos="3600"/>
                <w:tab w:val="left" w:pos="5040"/>
              </w:tabs>
              <w:spacing w:line="276" w:lineRule="auto"/>
              <w:jc w:val="center"/>
              <w:rPr>
                <w:color w:val="auto"/>
                <w:szCs w:val="21"/>
                <w:highlight w:val="none"/>
              </w:rPr>
            </w:pPr>
            <w:r>
              <w:rPr>
                <w:rFonts w:hint="eastAsia"/>
                <w:color w:val="auto"/>
                <w:szCs w:val="21"/>
                <w:highlight w:val="none"/>
              </w:rPr>
              <w:t>第二次付费</w:t>
            </w:r>
          </w:p>
        </w:tc>
        <w:tc>
          <w:tcPr>
            <w:tcW w:w="1342" w:type="dxa"/>
            <w:noWrap w:val="0"/>
            <w:vAlign w:val="center"/>
          </w:tcPr>
          <w:p w14:paraId="650D10D6">
            <w:pPr>
              <w:tabs>
                <w:tab w:val="left" w:pos="3600"/>
                <w:tab w:val="left" w:pos="5040"/>
              </w:tabs>
              <w:spacing w:line="276" w:lineRule="auto"/>
              <w:jc w:val="center"/>
              <w:rPr>
                <w:rFonts w:cs="Calibri"/>
                <w:color w:val="auto"/>
                <w:szCs w:val="21"/>
                <w:highlight w:val="none"/>
              </w:rPr>
            </w:pPr>
            <w:r>
              <w:rPr>
                <w:rFonts w:hint="eastAsia" w:cs="Calibri"/>
                <w:color w:val="auto"/>
                <w:szCs w:val="21"/>
                <w:highlight w:val="none"/>
              </w:rPr>
              <w:t>20%</w:t>
            </w:r>
          </w:p>
        </w:tc>
        <w:tc>
          <w:tcPr>
            <w:tcW w:w="1392" w:type="dxa"/>
            <w:noWrap w:val="0"/>
            <w:vAlign w:val="center"/>
          </w:tcPr>
          <w:p w14:paraId="6095D933">
            <w:pPr>
              <w:tabs>
                <w:tab w:val="left" w:pos="3600"/>
                <w:tab w:val="left" w:pos="5040"/>
              </w:tabs>
              <w:spacing w:line="276" w:lineRule="auto"/>
              <w:jc w:val="center"/>
              <w:rPr>
                <w:color w:val="auto"/>
                <w:szCs w:val="21"/>
                <w:highlight w:val="none"/>
              </w:rPr>
            </w:pPr>
          </w:p>
        </w:tc>
        <w:tc>
          <w:tcPr>
            <w:tcW w:w="4185" w:type="dxa"/>
            <w:noWrap w:val="0"/>
            <w:vAlign w:val="top"/>
          </w:tcPr>
          <w:p w14:paraId="505DA2C5">
            <w:pPr>
              <w:widowControl/>
              <w:adjustRightInd w:val="0"/>
              <w:snapToGrid w:val="0"/>
              <w:spacing w:line="360" w:lineRule="exact"/>
              <w:rPr>
                <w:rFonts w:hint="eastAsia" w:ascii="宋体" w:hAnsi="宋体"/>
                <w:color w:val="auto"/>
                <w:highlight w:val="none"/>
                <w:u w:val="single"/>
              </w:rPr>
            </w:pPr>
            <w:r>
              <w:rPr>
                <w:rFonts w:hint="eastAsia" w:ascii="宋体" w:hAnsi="宋体" w:cs="宋体"/>
                <w:color w:val="auto"/>
                <w:szCs w:val="21"/>
                <w:highlight w:val="none"/>
              </w:rPr>
              <w:t>初步设计通过政府相关部门审批后，设计人提供请款申请和相应发票后，支付至设计费的40%。</w:t>
            </w:r>
          </w:p>
        </w:tc>
      </w:tr>
      <w:tr w14:paraId="4D9F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58" w:hRule="atLeast"/>
        </w:trPr>
        <w:tc>
          <w:tcPr>
            <w:tcW w:w="2095" w:type="dxa"/>
            <w:noWrap w:val="0"/>
            <w:vAlign w:val="center"/>
          </w:tcPr>
          <w:p w14:paraId="59A98040">
            <w:pPr>
              <w:tabs>
                <w:tab w:val="left" w:pos="3600"/>
                <w:tab w:val="left" w:pos="5040"/>
              </w:tabs>
              <w:spacing w:line="276" w:lineRule="auto"/>
              <w:jc w:val="center"/>
              <w:rPr>
                <w:color w:val="auto"/>
                <w:szCs w:val="21"/>
                <w:highlight w:val="none"/>
              </w:rPr>
            </w:pPr>
            <w:r>
              <w:rPr>
                <w:rFonts w:hint="eastAsia"/>
                <w:color w:val="auto"/>
                <w:szCs w:val="21"/>
                <w:highlight w:val="none"/>
              </w:rPr>
              <w:t>第三次付费</w:t>
            </w:r>
          </w:p>
        </w:tc>
        <w:tc>
          <w:tcPr>
            <w:tcW w:w="1342" w:type="dxa"/>
            <w:noWrap w:val="0"/>
            <w:vAlign w:val="center"/>
          </w:tcPr>
          <w:p w14:paraId="2ED18C30">
            <w:pPr>
              <w:tabs>
                <w:tab w:val="left" w:pos="3600"/>
                <w:tab w:val="left" w:pos="5040"/>
              </w:tabs>
              <w:spacing w:line="276" w:lineRule="auto"/>
              <w:jc w:val="center"/>
              <w:rPr>
                <w:color w:val="auto"/>
                <w:szCs w:val="21"/>
                <w:highlight w:val="none"/>
              </w:rPr>
            </w:pPr>
            <w:r>
              <w:rPr>
                <w:rFonts w:hint="eastAsia" w:cs="Calibri"/>
                <w:color w:val="auto"/>
                <w:szCs w:val="21"/>
                <w:highlight w:val="none"/>
              </w:rPr>
              <w:t>40</w:t>
            </w:r>
            <w:r>
              <w:rPr>
                <w:rFonts w:cs="Calibri"/>
                <w:color w:val="auto"/>
                <w:szCs w:val="21"/>
                <w:highlight w:val="none"/>
              </w:rPr>
              <w:t>%</w:t>
            </w:r>
          </w:p>
        </w:tc>
        <w:tc>
          <w:tcPr>
            <w:tcW w:w="1392" w:type="dxa"/>
            <w:noWrap w:val="0"/>
            <w:vAlign w:val="center"/>
          </w:tcPr>
          <w:p w14:paraId="7754F3DA">
            <w:pPr>
              <w:tabs>
                <w:tab w:val="left" w:pos="3600"/>
                <w:tab w:val="left" w:pos="5040"/>
              </w:tabs>
              <w:spacing w:line="276" w:lineRule="auto"/>
              <w:jc w:val="center"/>
              <w:rPr>
                <w:color w:val="auto"/>
                <w:szCs w:val="21"/>
                <w:highlight w:val="none"/>
              </w:rPr>
            </w:pPr>
          </w:p>
        </w:tc>
        <w:tc>
          <w:tcPr>
            <w:tcW w:w="4185" w:type="dxa"/>
            <w:noWrap w:val="0"/>
            <w:vAlign w:val="top"/>
          </w:tcPr>
          <w:p w14:paraId="641C43A8">
            <w:pPr>
              <w:widowControl/>
              <w:adjustRightInd w:val="0"/>
              <w:snapToGrid w:val="0"/>
              <w:spacing w:line="360" w:lineRule="exact"/>
              <w:rPr>
                <w:rFonts w:hint="eastAsia" w:ascii="宋体" w:hAnsi="宋体"/>
                <w:color w:val="auto"/>
                <w:highlight w:val="none"/>
                <w:u w:val="single"/>
              </w:rPr>
            </w:pPr>
            <w:r>
              <w:rPr>
                <w:rFonts w:hint="eastAsia" w:ascii="宋体" w:hAnsi="宋体" w:cs="宋体"/>
                <w:color w:val="auto"/>
                <w:szCs w:val="21"/>
                <w:highlight w:val="none"/>
              </w:rPr>
              <w:t>本工程施工招标完成，并按图纸交底会审完善相应设计后，设计人提供请款申请和相应发票后，支付至设计费的80%。</w:t>
            </w:r>
          </w:p>
        </w:tc>
      </w:tr>
      <w:tr w14:paraId="668D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742" w:hRule="atLeast"/>
        </w:trPr>
        <w:tc>
          <w:tcPr>
            <w:tcW w:w="2095" w:type="dxa"/>
            <w:noWrap w:val="0"/>
            <w:vAlign w:val="center"/>
          </w:tcPr>
          <w:p w14:paraId="3639B1A0">
            <w:pPr>
              <w:tabs>
                <w:tab w:val="left" w:pos="3600"/>
                <w:tab w:val="left" w:pos="5040"/>
              </w:tabs>
              <w:spacing w:line="276" w:lineRule="auto"/>
              <w:jc w:val="center"/>
              <w:rPr>
                <w:color w:val="auto"/>
                <w:szCs w:val="21"/>
                <w:highlight w:val="none"/>
              </w:rPr>
            </w:pPr>
            <w:r>
              <w:rPr>
                <w:rFonts w:hint="eastAsia"/>
                <w:color w:val="auto"/>
                <w:szCs w:val="21"/>
                <w:highlight w:val="none"/>
              </w:rPr>
              <w:t>第四次付费</w:t>
            </w:r>
          </w:p>
        </w:tc>
        <w:tc>
          <w:tcPr>
            <w:tcW w:w="1342" w:type="dxa"/>
            <w:noWrap w:val="0"/>
            <w:vAlign w:val="center"/>
          </w:tcPr>
          <w:p w14:paraId="22E03243">
            <w:pPr>
              <w:tabs>
                <w:tab w:val="left" w:pos="3600"/>
                <w:tab w:val="left" w:pos="5040"/>
              </w:tabs>
              <w:spacing w:line="276" w:lineRule="auto"/>
              <w:jc w:val="center"/>
              <w:rPr>
                <w:rFonts w:cs="Calibri"/>
                <w:color w:val="auto"/>
                <w:szCs w:val="21"/>
                <w:highlight w:val="none"/>
              </w:rPr>
            </w:pPr>
            <w:r>
              <w:rPr>
                <w:rFonts w:hint="eastAsia" w:cs="Calibri"/>
                <w:color w:val="auto"/>
                <w:szCs w:val="21"/>
                <w:highlight w:val="none"/>
              </w:rPr>
              <w:t>20</w:t>
            </w:r>
            <w:r>
              <w:rPr>
                <w:rFonts w:cs="Calibri"/>
                <w:color w:val="auto"/>
                <w:szCs w:val="21"/>
                <w:highlight w:val="none"/>
              </w:rPr>
              <w:t>%</w:t>
            </w:r>
          </w:p>
        </w:tc>
        <w:tc>
          <w:tcPr>
            <w:tcW w:w="1392" w:type="dxa"/>
            <w:noWrap w:val="0"/>
            <w:vAlign w:val="center"/>
          </w:tcPr>
          <w:p w14:paraId="09BDF892">
            <w:pPr>
              <w:tabs>
                <w:tab w:val="left" w:pos="3600"/>
                <w:tab w:val="left" w:pos="5040"/>
              </w:tabs>
              <w:spacing w:line="276" w:lineRule="auto"/>
              <w:jc w:val="center"/>
              <w:rPr>
                <w:rFonts w:ascii="宋体" w:cs="宋体"/>
                <w:color w:val="auto"/>
                <w:szCs w:val="21"/>
                <w:highlight w:val="none"/>
                <w:lang w:val="zh-CN"/>
              </w:rPr>
            </w:pPr>
          </w:p>
        </w:tc>
        <w:tc>
          <w:tcPr>
            <w:tcW w:w="4185" w:type="dxa"/>
            <w:noWrap w:val="0"/>
            <w:vAlign w:val="top"/>
          </w:tcPr>
          <w:p w14:paraId="26435593">
            <w:pPr>
              <w:widowControl/>
              <w:jc w:val="left"/>
              <w:rPr>
                <w:rFonts w:hint="eastAsia" w:ascii="宋体" w:hAnsi="宋体"/>
                <w:color w:val="auto"/>
                <w:highlight w:val="none"/>
                <w:u w:val="single"/>
              </w:rPr>
            </w:pPr>
            <w:r>
              <w:rPr>
                <w:rFonts w:hint="eastAsia" w:ascii="宋体" w:hAnsi="宋体" w:cs="宋体"/>
                <w:color w:val="auto"/>
                <w:szCs w:val="21"/>
                <w:highlight w:val="none"/>
              </w:rPr>
              <w:t>本工程竣工验收及各专项验收合格且提供相关资料并签章完善后，设计人提供请款申请和相应发票后，支付至设计费的100%。</w:t>
            </w:r>
          </w:p>
        </w:tc>
      </w:tr>
    </w:tbl>
    <w:p w14:paraId="5ABDEA11">
      <w:pPr>
        <w:spacing w:line="360" w:lineRule="auto"/>
        <w:ind w:firstLine="420" w:firstLineChars="200"/>
        <w:jc w:val="left"/>
        <w:rPr>
          <w:rFonts w:ascii="宋体" w:hAnsi="宋体" w:cs="宋体"/>
          <w:color w:val="auto"/>
          <w:highlight w:val="none"/>
        </w:rPr>
      </w:pPr>
      <w:r>
        <w:rPr>
          <w:rFonts w:hint="eastAsia" w:ascii="宋体" w:hAnsi="宋体" w:cs="宋体"/>
          <w:color w:val="auto"/>
          <w:szCs w:val="21"/>
          <w:highlight w:val="none"/>
        </w:rPr>
        <w:t>（注：第三次、第四次付费额按实际招标控制价进行调整，设计人应在竣工备案完成一个月内，提出最终请款申请，否则责任自付。）</w:t>
      </w:r>
    </w:p>
    <w:p w14:paraId="78A610A6">
      <w:pPr>
        <w:keepNext w:val="0"/>
        <w:keepLines w:val="0"/>
        <w:pageBreakBefore w:val="0"/>
        <w:widowControl w:val="0"/>
        <w:kinsoku/>
        <w:wordWrap/>
        <w:overflowPunct/>
        <w:topLinePunct w:val="0"/>
        <w:autoSpaceDE/>
        <w:autoSpaceDN/>
        <w:bidi w:val="0"/>
        <w:snapToGrid/>
        <w:spacing w:line="360" w:lineRule="exact"/>
        <w:ind w:firstLine="200"/>
        <w:textAlignment w:val="auto"/>
        <w:rPr>
          <w:rFonts w:ascii="宋体" w:hAnsi="宋体"/>
          <w:color w:val="auto"/>
          <w:szCs w:val="21"/>
          <w:highlight w:val="none"/>
        </w:rPr>
      </w:pPr>
    </w:p>
    <w:p w14:paraId="64C878EB">
      <w:pPr>
        <w:spacing w:line="360" w:lineRule="auto"/>
        <w:ind w:firstLine="200"/>
        <w:rPr>
          <w:rFonts w:hint="eastAsia" w:ascii="黑体" w:hAnsi="宋体" w:eastAsia="黑体"/>
          <w:b/>
          <w:color w:val="auto"/>
          <w:sz w:val="28"/>
          <w:szCs w:val="28"/>
          <w:highlight w:val="none"/>
        </w:rPr>
      </w:pPr>
    </w:p>
    <w:p w14:paraId="20EE235D">
      <w:pPr>
        <w:spacing w:line="360" w:lineRule="auto"/>
        <w:ind w:firstLine="200"/>
        <w:rPr>
          <w:rFonts w:hint="eastAsia" w:ascii="黑体" w:hAnsi="宋体" w:eastAsia="黑体"/>
          <w:b/>
          <w:color w:val="auto"/>
          <w:sz w:val="28"/>
          <w:szCs w:val="28"/>
          <w:highlight w:val="none"/>
        </w:rPr>
      </w:pPr>
    </w:p>
    <w:p w14:paraId="42A7CF01">
      <w:pPr>
        <w:spacing w:line="360" w:lineRule="auto"/>
        <w:ind w:firstLine="200"/>
        <w:rPr>
          <w:rFonts w:hint="eastAsia" w:ascii="黑体" w:hAnsi="宋体" w:eastAsia="黑体"/>
          <w:b/>
          <w:color w:val="auto"/>
          <w:sz w:val="28"/>
          <w:szCs w:val="28"/>
          <w:highlight w:val="none"/>
        </w:rPr>
      </w:pPr>
    </w:p>
    <w:p w14:paraId="2BF20584">
      <w:pPr>
        <w:spacing w:line="360" w:lineRule="auto"/>
        <w:ind w:firstLine="200"/>
        <w:rPr>
          <w:rFonts w:hint="eastAsia" w:ascii="黑体" w:hAnsi="宋体" w:eastAsia="黑体"/>
          <w:b/>
          <w:color w:val="auto"/>
          <w:sz w:val="28"/>
          <w:szCs w:val="28"/>
          <w:highlight w:val="none"/>
        </w:rPr>
      </w:pPr>
    </w:p>
    <w:p w14:paraId="689A1ADA">
      <w:pPr>
        <w:spacing w:line="360" w:lineRule="auto"/>
        <w:ind w:firstLine="200"/>
        <w:rPr>
          <w:rFonts w:hint="eastAsia" w:ascii="黑体" w:hAnsi="宋体" w:eastAsia="黑体"/>
          <w:b/>
          <w:color w:val="auto"/>
          <w:sz w:val="28"/>
          <w:szCs w:val="28"/>
          <w:highlight w:val="none"/>
        </w:rPr>
      </w:pPr>
    </w:p>
    <w:p w14:paraId="4D31EC72">
      <w:pPr>
        <w:spacing w:line="360" w:lineRule="auto"/>
        <w:ind w:firstLine="200"/>
        <w:rPr>
          <w:rFonts w:hint="eastAsia" w:ascii="黑体" w:hAnsi="宋体" w:eastAsia="黑体"/>
          <w:b/>
          <w:color w:val="auto"/>
          <w:sz w:val="28"/>
          <w:szCs w:val="28"/>
          <w:highlight w:val="none"/>
        </w:rPr>
      </w:pPr>
    </w:p>
    <w:p w14:paraId="4219C7E7">
      <w:pPr>
        <w:spacing w:line="360" w:lineRule="auto"/>
        <w:ind w:firstLine="200"/>
        <w:rPr>
          <w:rFonts w:hint="eastAsia" w:ascii="黑体" w:hAnsi="宋体" w:eastAsia="黑体"/>
          <w:b/>
          <w:color w:val="auto"/>
          <w:sz w:val="28"/>
          <w:szCs w:val="28"/>
          <w:highlight w:val="none"/>
        </w:rPr>
      </w:pPr>
    </w:p>
    <w:p w14:paraId="1DCDB582">
      <w:pPr>
        <w:spacing w:line="360" w:lineRule="auto"/>
        <w:ind w:firstLine="200"/>
        <w:rPr>
          <w:rFonts w:hint="eastAsia" w:ascii="黑体" w:hAnsi="宋体" w:eastAsia="黑体"/>
          <w:b/>
          <w:color w:val="auto"/>
          <w:sz w:val="28"/>
          <w:szCs w:val="28"/>
          <w:highlight w:val="none"/>
        </w:rPr>
      </w:pPr>
    </w:p>
    <w:p w14:paraId="0B96309D">
      <w:pPr>
        <w:spacing w:line="360" w:lineRule="auto"/>
        <w:ind w:firstLine="200"/>
        <w:rPr>
          <w:rFonts w:hint="eastAsia" w:ascii="黑体" w:hAnsi="宋体" w:eastAsia="黑体"/>
          <w:b/>
          <w:color w:val="auto"/>
          <w:sz w:val="28"/>
          <w:szCs w:val="28"/>
          <w:highlight w:val="none"/>
        </w:rPr>
      </w:pPr>
    </w:p>
    <w:p w14:paraId="05ECAA5F">
      <w:pPr>
        <w:spacing w:line="360" w:lineRule="auto"/>
        <w:ind w:firstLine="200"/>
        <w:rPr>
          <w:rFonts w:hint="eastAsia" w:ascii="黑体" w:hAnsi="宋体" w:eastAsia="黑体"/>
          <w:b/>
          <w:color w:val="auto"/>
          <w:sz w:val="28"/>
          <w:szCs w:val="28"/>
          <w:highlight w:val="none"/>
        </w:rPr>
      </w:pPr>
    </w:p>
    <w:p w14:paraId="354F23F9">
      <w:pPr>
        <w:spacing w:line="360" w:lineRule="auto"/>
        <w:ind w:firstLine="200"/>
        <w:rPr>
          <w:rFonts w:hint="eastAsia" w:ascii="黑体" w:hAnsi="宋体" w:eastAsia="黑体"/>
          <w:b/>
          <w:color w:val="auto"/>
          <w:sz w:val="28"/>
          <w:szCs w:val="28"/>
          <w:highlight w:val="none"/>
        </w:rPr>
      </w:pPr>
    </w:p>
    <w:p w14:paraId="77D49BFC">
      <w:pPr>
        <w:spacing w:line="360" w:lineRule="auto"/>
        <w:ind w:firstLine="200"/>
        <w:rPr>
          <w:rFonts w:hint="eastAsia" w:ascii="黑体" w:hAnsi="宋体" w:eastAsia="黑体"/>
          <w:b/>
          <w:color w:val="auto"/>
          <w:sz w:val="28"/>
          <w:szCs w:val="28"/>
          <w:highlight w:val="none"/>
        </w:rPr>
      </w:pPr>
    </w:p>
    <w:p w14:paraId="6CB510C2">
      <w:pPr>
        <w:spacing w:line="360" w:lineRule="auto"/>
        <w:ind w:firstLine="200"/>
        <w:rPr>
          <w:rFonts w:hint="eastAsia" w:ascii="黑体" w:hAnsi="宋体" w:eastAsia="黑体"/>
          <w:b/>
          <w:color w:val="auto"/>
          <w:sz w:val="28"/>
          <w:szCs w:val="28"/>
          <w:highlight w:val="none"/>
        </w:rPr>
      </w:pPr>
    </w:p>
    <w:p w14:paraId="376BC634">
      <w:pPr>
        <w:spacing w:line="360" w:lineRule="auto"/>
        <w:ind w:firstLine="200"/>
        <w:rPr>
          <w:rFonts w:hint="eastAsia" w:ascii="黑体" w:hAnsi="宋体" w:eastAsia="黑体"/>
          <w:b/>
          <w:color w:val="auto"/>
          <w:sz w:val="28"/>
          <w:szCs w:val="28"/>
          <w:highlight w:val="none"/>
        </w:rPr>
      </w:pPr>
    </w:p>
    <w:p w14:paraId="541F11BC">
      <w:pPr>
        <w:spacing w:line="360" w:lineRule="auto"/>
        <w:ind w:firstLine="200"/>
        <w:rPr>
          <w:rFonts w:hint="eastAsia" w:ascii="黑体" w:hAnsi="宋体" w:eastAsia="黑体"/>
          <w:b/>
          <w:color w:val="auto"/>
          <w:sz w:val="28"/>
          <w:szCs w:val="28"/>
          <w:highlight w:val="none"/>
        </w:rPr>
      </w:pPr>
    </w:p>
    <w:p w14:paraId="12A11A04">
      <w:pPr>
        <w:spacing w:line="360" w:lineRule="auto"/>
        <w:ind w:firstLine="200"/>
        <w:rPr>
          <w:rFonts w:hint="eastAsia" w:ascii="黑体" w:hAnsi="宋体" w:eastAsia="黑体"/>
          <w:b/>
          <w:color w:val="auto"/>
          <w:sz w:val="28"/>
          <w:szCs w:val="28"/>
          <w:highlight w:val="none"/>
        </w:rPr>
      </w:pPr>
    </w:p>
    <w:p w14:paraId="234B827C">
      <w:pPr>
        <w:spacing w:line="360" w:lineRule="auto"/>
        <w:ind w:firstLine="200"/>
        <w:rPr>
          <w:rFonts w:hint="eastAsia" w:ascii="黑体" w:hAnsi="宋体" w:eastAsia="黑体"/>
          <w:b/>
          <w:color w:val="auto"/>
          <w:sz w:val="28"/>
          <w:szCs w:val="28"/>
          <w:highlight w:val="none"/>
        </w:rPr>
      </w:pPr>
    </w:p>
    <w:p w14:paraId="5B4838E5">
      <w:pPr>
        <w:spacing w:line="360" w:lineRule="auto"/>
        <w:ind w:firstLine="200"/>
        <w:rPr>
          <w:rFonts w:hint="eastAsia" w:ascii="黑体" w:hAnsi="宋体" w:eastAsia="黑体"/>
          <w:b/>
          <w:color w:val="auto"/>
          <w:sz w:val="28"/>
          <w:szCs w:val="28"/>
          <w:highlight w:val="none"/>
        </w:rPr>
      </w:pPr>
    </w:p>
    <w:p w14:paraId="373A0CF0">
      <w:pPr>
        <w:spacing w:line="360" w:lineRule="auto"/>
        <w:ind w:firstLine="200"/>
        <w:rPr>
          <w:rFonts w:hint="eastAsia" w:ascii="黑体" w:hAnsi="宋体" w:eastAsia="黑体"/>
          <w:b/>
          <w:color w:val="auto"/>
          <w:sz w:val="28"/>
          <w:szCs w:val="28"/>
          <w:highlight w:val="none"/>
        </w:rPr>
      </w:pPr>
    </w:p>
    <w:p w14:paraId="44ADE662">
      <w:pPr>
        <w:spacing w:line="360" w:lineRule="auto"/>
        <w:ind w:firstLine="200"/>
        <w:rPr>
          <w:rFonts w:hint="eastAsia" w:ascii="黑体" w:hAnsi="宋体" w:eastAsia="黑体"/>
          <w:b/>
          <w:color w:val="auto"/>
          <w:sz w:val="28"/>
          <w:szCs w:val="28"/>
          <w:highlight w:val="none"/>
        </w:rPr>
      </w:pPr>
    </w:p>
    <w:p w14:paraId="0F1655DC">
      <w:pPr>
        <w:spacing w:line="360" w:lineRule="auto"/>
        <w:ind w:firstLine="200"/>
        <w:rPr>
          <w:rFonts w:hint="eastAsia" w:ascii="黑体" w:hAnsi="宋体" w:eastAsia="黑体"/>
          <w:b/>
          <w:color w:val="auto"/>
          <w:sz w:val="28"/>
          <w:szCs w:val="28"/>
          <w:highlight w:val="none"/>
        </w:rPr>
      </w:pPr>
    </w:p>
    <w:p w14:paraId="5E7588CD">
      <w:pPr>
        <w:spacing w:line="360" w:lineRule="auto"/>
        <w:ind w:firstLine="200"/>
        <w:rPr>
          <w:rFonts w:ascii="黑体" w:hAnsi="宋体" w:eastAsia="黑体"/>
          <w:b/>
          <w:color w:val="auto"/>
          <w:sz w:val="28"/>
          <w:szCs w:val="28"/>
          <w:highlight w:val="none"/>
        </w:rPr>
      </w:pPr>
      <w:r>
        <w:rPr>
          <w:rFonts w:hint="eastAsia" w:ascii="黑体" w:hAnsi="宋体" w:eastAsia="黑体"/>
          <w:b/>
          <w:color w:val="auto"/>
          <w:sz w:val="28"/>
          <w:szCs w:val="28"/>
          <w:highlight w:val="none"/>
        </w:rPr>
        <w:t>附件</w:t>
      </w:r>
      <w:r>
        <w:rPr>
          <w:rFonts w:ascii="黑体" w:hAnsi="宋体" w:eastAsia="黑体"/>
          <w:b/>
          <w:color w:val="auto"/>
          <w:sz w:val="28"/>
          <w:szCs w:val="28"/>
          <w:highlight w:val="none"/>
        </w:rPr>
        <w:t>7</w:t>
      </w:r>
      <w:r>
        <w:rPr>
          <w:rFonts w:hint="eastAsia" w:ascii="黑体" w:hAnsi="宋体" w:eastAsia="黑体"/>
          <w:b/>
          <w:color w:val="auto"/>
          <w:sz w:val="28"/>
          <w:szCs w:val="28"/>
          <w:highlight w:val="none"/>
        </w:rPr>
        <w:t>：</w:t>
      </w:r>
    </w:p>
    <w:p w14:paraId="7FCA187A">
      <w:pPr>
        <w:spacing w:line="360" w:lineRule="auto"/>
        <w:ind w:firstLine="200"/>
        <w:jc w:val="center"/>
        <w:rPr>
          <w:rFonts w:ascii="黑体" w:hAnsi="宋体" w:eastAsia="黑体"/>
          <w:color w:val="auto"/>
          <w:sz w:val="28"/>
          <w:szCs w:val="28"/>
          <w:highlight w:val="none"/>
        </w:rPr>
      </w:pPr>
      <w:r>
        <w:rPr>
          <w:rFonts w:hint="eastAsia" w:ascii="黑体" w:hAnsi="宋体" w:eastAsia="黑体"/>
          <w:color w:val="auto"/>
          <w:sz w:val="28"/>
          <w:szCs w:val="28"/>
          <w:highlight w:val="none"/>
        </w:rPr>
        <w:t>设计变更计费依据和方法</w:t>
      </w:r>
    </w:p>
    <w:p w14:paraId="0624DF28">
      <w:pPr>
        <w:spacing w:line="360" w:lineRule="auto"/>
        <w:ind w:firstLine="200"/>
        <w:rPr>
          <w:rFonts w:ascii="宋体" w:hAnsi="Calibri"/>
          <w:color w:val="auto"/>
          <w:szCs w:val="21"/>
          <w:highlight w:val="none"/>
        </w:rPr>
      </w:pPr>
    </w:p>
    <w:p w14:paraId="5B211909">
      <w:pPr>
        <w:spacing w:line="360" w:lineRule="auto"/>
        <w:ind w:firstLine="200"/>
        <w:rPr>
          <w:rFonts w:ascii="宋体" w:hAnsi="Calibri"/>
          <w:color w:val="auto"/>
          <w:szCs w:val="21"/>
          <w:highlight w:val="none"/>
        </w:rPr>
      </w:pPr>
      <w:r>
        <w:rPr>
          <w:rFonts w:ascii="宋体" w:hAnsi="宋体"/>
          <w:color w:val="auto"/>
          <w:szCs w:val="21"/>
          <w:highlight w:val="none"/>
        </w:rPr>
        <w:t>1.</w:t>
      </w:r>
      <w:r>
        <w:rPr>
          <w:rFonts w:hint="eastAsia" w:ascii="宋体" w:hAnsi="宋体"/>
          <w:color w:val="auto"/>
          <w:szCs w:val="21"/>
          <w:highlight w:val="none"/>
        </w:rPr>
        <w:t>设计文件未通过审批前的修改不计付设计费用；</w:t>
      </w:r>
    </w:p>
    <w:p w14:paraId="19A20C3E">
      <w:pPr>
        <w:spacing w:line="360" w:lineRule="auto"/>
        <w:ind w:firstLine="200"/>
        <w:rPr>
          <w:rFonts w:ascii="宋体" w:hAnsi="Calibri"/>
          <w:color w:val="auto"/>
          <w:szCs w:val="21"/>
          <w:highlight w:val="none"/>
        </w:rPr>
      </w:pPr>
      <w:r>
        <w:rPr>
          <w:rFonts w:ascii="宋体" w:hAnsi="宋体"/>
          <w:color w:val="auto"/>
          <w:szCs w:val="21"/>
          <w:highlight w:val="none"/>
        </w:rPr>
        <w:t>2.</w:t>
      </w:r>
      <w:r>
        <w:rPr>
          <w:rFonts w:hint="eastAsia" w:ascii="宋体" w:hAnsi="宋体"/>
          <w:color w:val="auto"/>
          <w:szCs w:val="21"/>
          <w:highlight w:val="none"/>
        </w:rPr>
        <w:t>工程变更不计付设计费用；</w:t>
      </w:r>
    </w:p>
    <w:p w14:paraId="0FB5F05E">
      <w:pPr>
        <w:spacing w:line="360" w:lineRule="auto"/>
        <w:ind w:firstLine="200"/>
        <w:rPr>
          <w:rFonts w:ascii="宋体" w:hAnsi="Calibri"/>
          <w:color w:val="auto"/>
          <w:szCs w:val="21"/>
          <w:highlight w:val="none"/>
        </w:rPr>
      </w:pPr>
    </w:p>
    <w:p w14:paraId="76D9C354">
      <w:pPr>
        <w:spacing w:line="360" w:lineRule="auto"/>
        <w:ind w:firstLine="200"/>
        <w:rPr>
          <w:rFonts w:ascii="宋体" w:hAnsi="Calibri"/>
          <w:color w:val="auto"/>
          <w:szCs w:val="21"/>
          <w:highlight w:val="none"/>
        </w:rPr>
      </w:pPr>
    </w:p>
    <w:p w14:paraId="0DD900B6">
      <w:pPr>
        <w:spacing w:line="360" w:lineRule="auto"/>
        <w:ind w:firstLine="200"/>
        <w:rPr>
          <w:rFonts w:ascii="宋体" w:hAnsi="Calibri"/>
          <w:color w:val="auto"/>
          <w:szCs w:val="21"/>
          <w:highlight w:val="none"/>
        </w:rPr>
      </w:pPr>
    </w:p>
    <w:p w14:paraId="29276114">
      <w:pPr>
        <w:spacing w:line="360" w:lineRule="auto"/>
        <w:ind w:firstLine="200"/>
        <w:rPr>
          <w:rFonts w:ascii="宋体" w:hAnsi="Calibri"/>
          <w:color w:val="auto"/>
          <w:szCs w:val="21"/>
          <w:highlight w:val="none"/>
        </w:rPr>
      </w:pPr>
    </w:p>
    <w:p w14:paraId="0CA50CBD">
      <w:pPr>
        <w:spacing w:line="360" w:lineRule="auto"/>
        <w:ind w:firstLine="200"/>
        <w:rPr>
          <w:rFonts w:ascii="宋体" w:hAnsi="Calibri"/>
          <w:color w:val="auto"/>
          <w:szCs w:val="21"/>
          <w:highlight w:val="none"/>
        </w:rPr>
      </w:pPr>
    </w:p>
    <w:p w14:paraId="4E47FD30">
      <w:pPr>
        <w:spacing w:line="360" w:lineRule="auto"/>
        <w:ind w:firstLine="200"/>
        <w:rPr>
          <w:rFonts w:ascii="宋体" w:hAnsi="Calibri"/>
          <w:color w:val="auto"/>
          <w:szCs w:val="21"/>
          <w:highlight w:val="none"/>
        </w:rPr>
      </w:pPr>
    </w:p>
    <w:p w14:paraId="42FBD277">
      <w:pPr>
        <w:spacing w:line="360" w:lineRule="auto"/>
        <w:ind w:firstLine="200"/>
        <w:rPr>
          <w:rFonts w:ascii="宋体" w:hAnsi="Calibri"/>
          <w:color w:val="auto"/>
          <w:szCs w:val="21"/>
          <w:highlight w:val="none"/>
        </w:rPr>
      </w:pPr>
    </w:p>
    <w:p w14:paraId="7B64C9A8">
      <w:pPr>
        <w:spacing w:line="360" w:lineRule="auto"/>
        <w:ind w:firstLine="200"/>
        <w:rPr>
          <w:rFonts w:ascii="宋体" w:hAnsi="Calibri"/>
          <w:color w:val="auto"/>
          <w:szCs w:val="21"/>
          <w:highlight w:val="none"/>
        </w:rPr>
      </w:pPr>
    </w:p>
    <w:p w14:paraId="7B63AA2A">
      <w:pPr>
        <w:spacing w:line="360" w:lineRule="auto"/>
        <w:ind w:firstLine="200"/>
        <w:rPr>
          <w:rFonts w:ascii="宋体" w:hAnsi="Calibri"/>
          <w:color w:val="auto"/>
          <w:szCs w:val="21"/>
          <w:highlight w:val="none"/>
        </w:rPr>
      </w:pPr>
    </w:p>
    <w:p w14:paraId="4724E059">
      <w:pPr>
        <w:spacing w:line="360" w:lineRule="auto"/>
        <w:ind w:firstLine="200"/>
        <w:rPr>
          <w:rFonts w:ascii="宋体" w:hAnsi="Calibri"/>
          <w:color w:val="auto"/>
          <w:szCs w:val="21"/>
          <w:highlight w:val="none"/>
        </w:rPr>
      </w:pPr>
    </w:p>
    <w:p w14:paraId="66C6576C">
      <w:pPr>
        <w:spacing w:line="360" w:lineRule="auto"/>
        <w:ind w:firstLine="200"/>
        <w:rPr>
          <w:rFonts w:ascii="宋体" w:hAnsi="Calibri"/>
          <w:color w:val="auto"/>
          <w:szCs w:val="21"/>
          <w:highlight w:val="none"/>
        </w:rPr>
      </w:pPr>
    </w:p>
    <w:p w14:paraId="4AFBEB02">
      <w:pPr>
        <w:spacing w:line="360" w:lineRule="auto"/>
        <w:ind w:firstLine="200"/>
        <w:rPr>
          <w:rFonts w:ascii="宋体" w:hAnsi="Calibri"/>
          <w:color w:val="auto"/>
          <w:szCs w:val="21"/>
          <w:highlight w:val="none"/>
        </w:rPr>
      </w:pPr>
    </w:p>
    <w:p w14:paraId="2327BE6F">
      <w:pPr>
        <w:spacing w:line="360" w:lineRule="auto"/>
        <w:ind w:firstLine="200"/>
        <w:rPr>
          <w:rFonts w:ascii="宋体" w:hAnsi="Calibri"/>
          <w:color w:val="auto"/>
          <w:szCs w:val="21"/>
          <w:highlight w:val="none"/>
        </w:rPr>
      </w:pPr>
    </w:p>
    <w:p w14:paraId="0474E0FA">
      <w:pPr>
        <w:rPr>
          <w:rFonts w:ascii="Calibri" w:hAnsi="Calibri" w:eastAsia="黑体"/>
          <w:b/>
          <w:color w:val="auto"/>
          <w:sz w:val="28"/>
          <w:szCs w:val="28"/>
          <w:highlight w:val="none"/>
        </w:rPr>
      </w:pPr>
      <w:bookmarkStart w:id="162" w:name="_Toc351203652"/>
      <w:r>
        <w:rPr>
          <w:rFonts w:hint="eastAsia" w:ascii="Calibri" w:hAnsi="Calibri" w:eastAsia="黑体"/>
          <w:b/>
          <w:color w:val="auto"/>
          <w:sz w:val="28"/>
          <w:szCs w:val="28"/>
          <w:highlight w:val="none"/>
        </w:rPr>
        <w:br w:type="page"/>
      </w:r>
    </w:p>
    <w:p w14:paraId="0DBABAE1">
      <w:pPr>
        <w:spacing w:line="360" w:lineRule="auto"/>
        <w:jc w:val="left"/>
        <w:rPr>
          <w:rFonts w:ascii="Calibri" w:hAnsi="Calibri" w:eastAsia="黑体"/>
          <w:b/>
          <w:color w:val="auto"/>
          <w:sz w:val="28"/>
          <w:szCs w:val="28"/>
          <w:highlight w:val="none"/>
        </w:rPr>
      </w:pPr>
      <w:r>
        <w:rPr>
          <w:rFonts w:hint="eastAsia" w:ascii="Calibri" w:hAnsi="Calibri" w:eastAsia="黑体"/>
          <w:b/>
          <w:color w:val="auto"/>
          <w:sz w:val="28"/>
          <w:szCs w:val="28"/>
          <w:highlight w:val="none"/>
        </w:rPr>
        <w:t>附件</w:t>
      </w:r>
      <w:bookmarkEnd w:id="162"/>
      <w:r>
        <w:rPr>
          <w:rFonts w:ascii="Calibri" w:hAnsi="Calibri" w:eastAsia="黑体"/>
          <w:b/>
          <w:color w:val="auto"/>
          <w:sz w:val="28"/>
          <w:szCs w:val="28"/>
          <w:highlight w:val="none"/>
        </w:rPr>
        <w:t>8</w:t>
      </w:r>
      <w:r>
        <w:rPr>
          <w:rFonts w:hint="eastAsia" w:ascii="Calibri" w:hAnsi="Calibri" w:eastAsia="黑体"/>
          <w:b/>
          <w:color w:val="auto"/>
          <w:sz w:val="28"/>
          <w:szCs w:val="28"/>
          <w:highlight w:val="none"/>
        </w:rPr>
        <w:t>：履约保函示范文本</w:t>
      </w:r>
    </w:p>
    <w:p w14:paraId="0773DC3C">
      <w:pPr>
        <w:spacing w:before="156" w:beforeLines="50" w:after="156" w:afterLines="50" w:line="440" w:lineRule="exact"/>
        <w:jc w:val="center"/>
        <w:rPr>
          <w:rFonts w:ascii="Calibri" w:hAnsi="Calibri" w:eastAsia="黑体"/>
          <w:color w:val="auto"/>
          <w:sz w:val="30"/>
          <w:szCs w:val="30"/>
          <w:highlight w:val="none"/>
        </w:rPr>
      </w:pPr>
    </w:p>
    <w:p w14:paraId="226934F2">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7CAE1BE1">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2D5742A7">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50D10A03">
      <w:pPr>
        <w:spacing w:line="360" w:lineRule="auto"/>
        <w:rPr>
          <w:rFonts w:ascii="宋体" w:hAnsi="宋体"/>
          <w:color w:val="auto"/>
          <w:sz w:val="24"/>
          <w:highlight w:val="none"/>
        </w:rPr>
      </w:pPr>
      <w:r>
        <w:rPr>
          <w:rFonts w:hint="eastAsia" w:ascii="宋体" w:hAnsi="宋体"/>
          <w:color w:val="auto"/>
          <w:sz w:val="24"/>
          <w:highlight w:val="none"/>
        </w:rPr>
        <w:t>申请人：</w:t>
      </w:r>
    </w:p>
    <w:p w14:paraId="5B7934DE">
      <w:pPr>
        <w:spacing w:line="360" w:lineRule="auto"/>
        <w:rPr>
          <w:rFonts w:ascii="宋体" w:hAnsi="宋体"/>
          <w:color w:val="auto"/>
          <w:sz w:val="24"/>
          <w:highlight w:val="none"/>
        </w:rPr>
      </w:pPr>
      <w:r>
        <w:rPr>
          <w:rFonts w:hint="eastAsia" w:ascii="宋体" w:hAnsi="宋体"/>
          <w:color w:val="auto"/>
          <w:sz w:val="24"/>
          <w:highlight w:val="none"/>
        </w:rPr>
        <w:t xml:space="preserve">  地址</w:t>
      </w:r>
      <w:r>
        <w:rPr>
          <w:rFonts w:ascii="宋体" w:hAnsi="宋体"/>
          <w:color w:val="auto"/>
          <w:sz w:val="24"/>
          <w:highlight w:val="none"/>
        </w:rPr>
        <w:t>：</w:t>
      </w:r>
    </w:p>
    <w:p w14:paraId="10C29F1F">
      <w:pPr>
        <w:spacing w:line="360" w:lineRule="auto"/>
        <w:rPr>
          <w:rFonts w:ascii="宋体" w:hAnsi="宋体"/>
          <w:color w:val="auto"/>
          <w:sz w:val="24"/>
          <w:highlight w:val="none"/>
        </w:rPr>
      </w:pPr>
      <w:r>
        <w:rPr>
          <w:rFonts w:hint="eastAsia" w:ascii="宋体" w:hAnsi="宋体"/>
          <w:color w:val="auto"/>
          <w:sz w:val="24"/>
          <w:highlight w:val="none"/>
        </w:rPr>
        <w:t>受益人：</w:t>
      </w:r>
    </w:p>
    <w:p w14:paraId="744E6BC0">
      <w:pPr>
        <w:spacing w:line="360" w:lineRule="auto"/>
        <w:rPr>
          <w:rFonts w:ascii="宋体" w:hAnsi="宋体"/>
          <w:color w:val="auto"/>
          <w:sz w:val="24"/>
          <w:highlight w:val="none"/>
        </w:rPr>
      </w:pPr>
      <w:r>
        <w:rPr>
          <w:rFonts w:hint="eastAsia" w:ascii="宋体" w:hAnsi="宋体"/>
          <w:color w:val="auto"/>
          <w:sz w:val="24"/>
          <w:highlight w:val="none"/>
        </w:rPr>
        <w:t xml:space="preserve">  地址：</w:t>
      </w:r>
    </w:p>
    <w:p w14:paraId="722081E0">
      <w:pPr>
        <w:spacing w:line="360" w:lineRule="auto"/>
        <w:rPr>
          <w:rFonts w:ascii="宋体" w:hAnsi="宋体"/>
          <w:color w:val="auto"/>
          <w:sz w:val="24"/>
          <w:highlight w:val="none"/>
        </w:rPr>
      </w:pPr>
      <w:r>
        <w:rPr>
          <w:rFonts w:hint="eastAsia" w:ascii="宋体" w:hAnsi="宋体"/>
          <w:color w:val="auto"/>
          <w:sz w:val="24"/>
          <w:highlight w:val="none"/>
        </w:rPr>
        <w:t>开立人：</w:t>
      </w:r>
    </w:p>
    <w:p w14:paraId="2B364639">
      <w:pPr>
        <w:spacing w:line="360" w:lineRule="auto"/>
        <w:rPr>
          <w:rFonts w:ascii="宋体" w:hAnsi="宋体"/>
          <w:color w:val="auto"/>
          <w:sz w:val="24"/>
          <w:highlight w:val="non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地址：</w:t>
      </w:r>
    </w:p>
    <w:p w14:paraId="18A1B57F">
      <w:pPr>
        <w:spacing w:line="360" w:lineRule="auto"/>
        <w:rPr>
          <w:rFonts w:ascii="宋体" w:hAnsi="宋体"/>
          <w:color w:val="auto"/>
          <w:sz w:val="24"/>
          <w:highlight w:val="none"/>
        </w:rPr>
      </w:pPr>
      <w:r>
        <w:rPr>
          <w:rFonts w:ascii="宋体" w:hAnsi="宋体"/>
          <w:color w:val="auto"/>
          <w:sz w:val="24"/>
          <w:highlight w:val="none"/>
        </w:rPr>
        <w:t xml:space="preserve"> </w:t>
      </w:r>
    </w:p>
    <w:p w14:paraId="4AD5B043">
      <w:pPr>
        <w:spacing w:line="360" w:lineRule="auto"/>
        <w:rPr>
          <w:rFonts w:ascii="宋体" w:hAnsi="宋体"/>
          <w:color w:val="auto"/>
          <w:sz w:val="24"/>
          <w:highlight w:val="none"/>
        </w:rPr>
      </w:pPr>
      <w:r>
        <w:rPr>
          <w:rFonts w:ascii="宋体" w:hAnsi="宋体"/>
          <w:color w:val="auto"/>
          <w:sz w:val="24"/>
          <w:highlight w:val="none"/>
          <w:u w:val="single"/>
        </w:rPr>
        <w:t xml:space="preserve">              </w:t>
      </w:r>
      <w:r>
        <w:rPr>
          <w:rFonts w:ascii="宋体" w:hAnsi="宋体"/>
          <w:color w:val="auto"/>
          <w:sz w:val="24"/>
          <w:highlight w:val="none"/>
        </w:rPr>
        <w:t>（</w:t>
      </w:r>
      <w:r>
        <w:rPr>
          <w:rFonts w:hint="eastAsia" w:ascii="宋体" w:hAnsi="宋体"/>
          <w:color w:val="auto"/>
          <w:sz w:val="24"/>
          <w:highlight w:val="none"/>
        </w:rPr>
        <w:t>受益人</w:t>
      </w:r>
      <w:r>
        <w:rPr>
          <w:rFonts w:ascii="宋体" w:hAnsi="宋体"/>
          <w:color w:val="auto"/>
          <w:sz w:val="24"/>
          <w:highlight w:val="none"/>
        </w:rPr>
        <w:t xml:space="preserve">名称）： </w:t>
      </w:r>
    </w:p>
    <w:p w14:paraId="38264A8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鉴于</w:t>
      </w:r>
      <w:r>
        <w:rPr>
          <w:rFonts w:ascii="宋体" w:hAnsi="宋体"/>
          <w:color w:val="auto"/>
          <w:sz w:val="24"/>
          <w:highlight w:val="none"/>
          <w:u w:val="single"/>
        </w:rPr>
        <w:t xml:space="preserve">        </w:t>
      </w:r>
      <w:r>
        <w:rPr>
          <w:rFonts w:ascii="宋体" w:hAnsi="宋体"/>
          <w:color w:val="auto"/>
          <w:sz w:val="24"/>
          <w:highlight w:val="none"/>
        </w:rPr>
        <w:t>（以下简称“</w:t>
      </w:r>
      <w:r>
        <w:rPr>
          <w:rFonts w:hint="eastAsia" w:ascii="宋体" w:hAnsi="宋体"/>
          <w:color w:val="auto"/>
          <w:sz w:val="24"/>
          <w:highlight w:val="none"/>
        </w:rPr>
        <w:t>受益人</w:t>
      </w:r>
      <w:r>
        <w:rPr>
          <w:rFonts w:ascii="宋体" w:hAnsi="宋体"/>
          <w:color w:val="auto"/>
          <w:sz w:val="24"/>
          <w:highlight w:val="none"/>
        </w:rPr>
        <w:t>”）</w:t>
      </w:r>
      <w:r>
        <w:rPr>
          <w:rFonts w:hint="eastAsia" w:ascii="宋体" w:hAnsi="宋体"/>
          <w:color w:val="auto"/>
          <w:sz w:val="24"/>
          <w:highlight w:val="none"/>
        </w:rPr>
        <w:t>与</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（以下简称“</w:t>
      </w:r>
      <w:r>
        <w:rPr>
          <w:rFonts w:hint="eastAsia" w:ascii="宋体" w:hAnsi="宋体"/>
          <w:color w:val="auto"/>
          <w:sz w:val="24"/>
          <w:highlight w:val="none"/>
        </w:rPr>
        <w:t>申请人</w:t>
      </w:r>
      <w:r>
        <w:rPr>
          <w:rFonts w:ascii="宋体" w:hAnsi="宋体"/>
          <w:color w:val="auto"/>
          <w:sz w:val="24"/>
          <w:highlight w:val="none"/>
        </w:rPr>
        <w:t>”）</w:t>
      </w:r>
      <w:r>
        <w:rPr>
          <w:rFonts w:hint="eastAsia" w:ascii="宋体" w:hAnsi="宋体"/>
          <w:color w:val="auto"/>
          <w:sz w:val="24"/>
          <w:highlight w:val="none"/>
        </w:rPr>
        <w:t>于</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日就</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工程（以下简称“本工程”）设计和有关事项协商一致共同签订</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w:t>
      </w:r>
      <w:r>
        <w:rPr>
          <w:rFonts w:hint="eastAsia" w:ascii="宋体" w:hAnsi="宋体"/>
          <w:color w:val="auto"/>
          <w:sz w:val="24"/>
          <w:highlight w:val="none"/>
        </w:rPr>
        <w:t>（以下简称“基础合同”），我方（即“开立人”）根据基础合同了解到申请人为基础合同项下之承包人，受益人为基础合同项下之发包人，基于申请人</w:t>
      </w:r>
      <w:r>
        <w:rPr>
          <w:rFonts w:ascii="宋体" w:hAnsi="宋体"/>
          <w:color w:val="auto"/>
          <w:sz w:val="24"/>
          <w:highlight w:val="none"/>
        </w:rPr>
        <w:t>的请求，我方同意就</w:t>
      </w:r>
      <w:r>
        <w:rPr>
          <w:rFonts w:hint="eastAsia" w:ascii="宋体" w:hAnsi="宋体"/>
          <w:color w:val="auto"/>
          <w:sz w:val="24"/>
          <w:highlight w:val="none"/>
        </w:rPr>
        <w:t>申请人</w:t>
      </w:r>
      <w:r>
        <w:rPr>
          <w:rFonts w:ascii="宋体" w:hAnsi="宋体"/>
          <w:color w:val="auto"/>
          <w:sz w:val="24"/>
          <w:highlight w:val="none"/>
        </w:rPr>
        <w:t>履行</w:t>
      </w:r>
      <w:r>
        <w:rPr>
          <w:rFonts w:hint="eastAsia" w:ascii="宋体" w:hAnsi="宋体"/>
          <w:color w:val="auto"/>
          <w:sz w:val="24"/>
          <w:highlight w:val="none"/>
        </w:rPr>
        <w:t>与贵方签订的基础合同</w:t>
      </w:r>
      <w:r>
        <w:rPr>
          <w:rFonts w:ascii="宋体" w:hAnsi="宋体"/>
          <w:color w:val="auto"/>
          <w:sz w:val="24"/>
          <w:highlight w:val="none"/>
        </w:rPr>
        <w:t>项下的义务</w:t>
      </w:r>
      <w:r>
        <w:rPr>
          <w:rFonts w:hint="eastAsia" w:ascii="宋体" w:hAnsi="宋体"/>
          <w:color w:val="auto"/>
          <w:sz w:val="24"/>
          <w:highlight w:val="none"/>
        </w:rPr>
        <w:t>，</w:t>
      </w:r>
      <w:r>
        <w:rPr>
          <w:rFonts w:ascii="宋体" w:hAnsi="宋体"/>
          <w:color w:val="auto"/>
          <w:sz w:val="24"/>
          <w:highlight w:val="none"/>
        </w:rPr>
        <w:t>向贵方提供不可撤销、</w:t>
      </w:r>
      <w:r>
        <w:rPr>
          <w:rFonts w:hint="eastAsia" w:ascii="宋体" w:hAnsi="宋体"/>
          <w:color w:val="auto"/>
          <w:sz w:val="24"/>
          <w:highlight w:val="none"/>
        </w:rPr>
        <w:t>不可转让的见索即付</w:t>
      </w:r>
      <w:r>
        <w:rPr>
          <w:rFonts w:ascii="宋体" w:hAnsi="宋体"/>
          <w:color w:val="auto"/>
          <w:sz w:val="24"/>
          <w:highlight w:val="none"/>
        </w:rPr>
        <w:t>独立</w:t>
      </w:r>
      <w:r>
        <w:rPr>
          <w:rFonts w:hint="eastAsia" w:ascii="宋体" w:hAnsi="宋体"/>
          <w:color w:val="auto"/>
          <w:sz w:val="24"/>
          <w:highlight w:val="none"/>
        </w:rPr>
        <w:t>保函（以下简称“本保函”）</w:t>
      </w:r>
      <w:r>
        <w:rPr>
          <w:rFonts w:ascii="宋体" w:hAnsi="宋体"/>
          <w:color w:val="auto"/>
          <w:sz w:val="24"/>
          <w:highlight w:val="none"/>
        </w:rPr>
        <w:t xml:space="preserve">。 </w:t>
      </w:r>
    </w:p>
    <w:p w14:paraId="715A897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一、本保函担保范围：承包人未按照基础合同的约定履行义务，应当向贵方承担的违约责任和赔偿因此造成的损失、利息、律师费、诉讼费用等实现债权的费用。</w:t>
      </w:r>
    </w:p>
    <w:p w14:paraId="664C136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二、本保函担保金额最高不超过</w:t>
      </w:r>
      <w:r>
        <w:rPr>
          <w:rFonts w:ascii="宋体" w:hAnsi="宋体"/>
          <w:color w:val="auto"/>
          <w:sz w:val="24"/>
          <w:highlight w:val="none"/>
        </w:rPr>
        <w:t>人民币（大写）</w:t>
      </w:r>
      <w:r>
        <w:rPr>
          <w:rFonts w:ascii="宋体" w:hAnsi="宋体"/>
          <w:color w:val="auto"/>
          <w:sz w:val="24"/>
          <w:highlight w:val="none"/>
          <w:u w:val="single"/>
        </w:rPr>
        <w:t xml:space="preserve">          </w:t>
      </w:r>
      <w:r>
        <w:rPr>
          <w:rFonts w:ascii="宋体" w:hAnsi="宋体"/>
          <w:color w:val="auto"/>
          <w:sz w:val="24"/>
          <w:highlight w:val="none"/>
        </w:rPr>
        <w:t>元（¥</w:t>
      </w:r>
      <w:r>
        <w:rPr>
          <w:rFonts w:ascii="宋体" w:hAnsi="宋体"/>
          <w:color w:val="auto"/>
          <w:sz w:val="24"/>
          <w:highlight w:val="none"/>
          <w:u w:val="single"/>
        </w:rPr>
        <w:t xml:space="preserve">       </w:t>
      </w:r>
      <w:r>
        <w:rPr>
          <w:rFonts w:ascii="宋体" w:hAnsi="宋体"/>
          <w:color w:val="auto"/>
          <w:sz w:val="24"/>
          <w:highlight w:val="none"/>
        </w:rPr>
        <w:t xml:space="preserve">）。 </w:t>
      </w:r>
    </w:p>
    <w:p w14:paraId="67DC09B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三、本保函</w:t>
      </w:r>
      <w:r>
        <w:rPr>
          <w:rFonts w:ascii="宋体" w:hAnsi="宋体"/>
          <w:color w:val="auto"/>
          <w:sz w:val="24"/>
          <w:highlight w:val="none"/>
        </w:rPr>
        <w:t>有效期自</w:t>
      </w:r>
      <w:r>
        <w:rPr>
          <w:rFonts w:hint="eastAsia" w:ascii="宋体" w:hAnsi="宋体"/>
          <w:color w:val="auto"/>
          <w:sz w:val="24"/>
          <w:highlight w:val="none"/>
        </w:rPr>
        <w:t>开立之日起</w:t>
      </w:r>
      <w:r>
        <w:rPr>
          <w:rFonts w:ascii="宋体" w:hAnsi="宋体"/>
          <w:color w:val="auto"/>
          <w:sz w:val="24"/>
          <w:highlight w:val="none"/>
        </w:rPr>
        <w:t>至</w:t>
      </w:r>
      <w:r>
        <w:rPr>
          <w:rFonts w:hint="eastAsia" w:ascii="宋体" w:hAnsi="宋体"/>
          <w:color w:val="auto"/>
          <w:sz w:val="24"/>
          <w:highlight w:val="none"/>
        </w:rPr>
        <w:t>基础合同约定设计服务期限</w:t>
      </w:r>
      <w:r>
        <w:rPr>
          <w:rFonts w:ascii="宋体" w:hAnsi="宋体"/>
          <w:color w:val="auto"/>
          <w:sz w:val="24"/>
          <w:highlight w:val="none"/>
          <w:u w:val="single"/>
        </w:rPr>
        <w:t xml:space="preserve">   </w:t>
      </w:r>
      <w:r>
        <w:rPr>
          <w:rFonts w:hint="eastAsia" w:ascii="宋体" w:hAnsi="宋体"/>
          <w:color w:val="auto"/>
          <w:sz w:val="24"/>
          <w:highlight w:val="none"/>
        </w:rPr>
        <w:t>日止，最迟不超过</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日</w:t>
      </w:r>
      <w:r>
        <w:rPr>
          <w:rFonts w:ascii="宋体" w:hAnsi="宋体"/>
          <w:color w:val="auto"/>
          <w:sz w:val="24"/>
          <w:highlight w:val="none"/>
        </w:rPr>
        <w:t xml:space="preserve">。 </w:t>
      </w:r>
    </w:p>
    <w:p w14:paraId="002490F7">
      <w:pPr>
        <w:spacing w:line="360" w:lineRule="auto"/>
        <w:ind w:firstLine="480"/>
        <w:rPr>
          <w:rFonts w:ascii="宋体" w:hAnsi="宋体"/>
          <w:color w:val="auto"/>
          <w:sz w:val="24"/>
          <w:highlight w:val="none"/>
        </w:rPr>
      </w:pPr>
      <w:r>
        <w:rPr>
          <w:rFonts w:hint="eastAsia" w:ascii="宋体" w:hAnsi="宋体"/>
          <w:color w:val="auto"/>
          <w:sz w:val="24"/>
          <w:highlight w:val="none"/>
        </w:rPr>
        <w:t>四、我方承诺，在收到受益人发来的书面付款通知后的</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日内无条件支付，前述书面付款通知即为付款要求之单据，且应满足以下要求：</w:t>
      </w:r>
    </w:p>
    <w:p w14:paraId="440E710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（1）付款通知到达的日期在本保函的有效期内；</w:t>
      </w:r>
    </w:p>
    <w:p w14:paraId="561FFF0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（2）载明要求支付的金额；</w:t>
      </w:r>
    </w:p>
    <w:p w14:paraId="7948567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（3）载明申请人违反合同义务的条款和内容；</w:t>
      </w:r>
    </w:p>
    <w:p w14:paraId="6439F72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（4）声明不存在合同文件约定或我国法律规定免除申请人或开立人支付责任的情形；</w:t>
      </w:r>
    </w:p>
    <w:p w14:paraId="02B7C57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（5）付款通知应在本保函有效期内到达的地址是：</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w:t>
      </w:r>
    </w:p>
    <w:p w14:paraId="7C825C4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受益人发出的书面付款通知应由其为鉴明受益人法定代表人（负责人）或授权代理人签字并加盖公章。</w:t>
      </w:r>
    </w:p>
    <w:p w14:paraId="24EF954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五、</w:t>
      </w:r>
      <w:r>
        <w:rPr>
          <w:rFonts w:ascii="宋体" w:hAnsi="宋体"/>
          <w:color w:val="auto"/>
          <w:sz w:val="24"/>
          <w:highlight w:val="none"/>
        </w:rPr>
        <w:t>本保函项下的权利不得转让，不得设定担保。贵方未经我方书面同意转 让本保函或其项下任何权利，</w:t>
      </w:r>
      <w:r>
        <w:rPr>
          <w:rFonts w:hint="eastAsia" w:ascii="宋体" w:hAnsi="宋体"/>
          <w:color w:val="auto"/>
          <w:sz w:val="24"/>
          <w:highlight w:val="none"/>
        </w:rPr>
        <w:t>对我方不发生法律效力</w:t>
      </w:r>
      <w:r>
        <w:rPr>
          <w:rFonts w:ascii="宋体" w:hAnsi="宋体"/>
          <w:color w:val="auto"/>
          <w:sz w:val="24"/>
          <w:highlight w:val="none"/>
        </w:rPr>
        <w:t xml:space="preserve">。 </w:t>
      </w:r>
    </w:p>
    <w:p w14:paraId="4769203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六、与</w:t>
      </w:r>
      <w:r>
        <w:rPr>
          <w:rFonts w:ascii="宋体" w:hAnsi="宋体"/>
          <w:color w:val="auto"/>
          <w:sz w:val="24"/>
          <w:highlight w:val="none"/>
        </w:rPr>
        <w:t>本保函</w:t>
      </w:r>
      <w:r>
        <w:rPr>
          <w:rFonts w:hint="eastAsia" w:ascii="宋体" w:hAnsi="宋体"/>
          <w:color w:val="auto"/>
          <w:sz w:val="24"/>
          <w:highlight w:val="none"/>
        </w:rPr>
        <w:t>有关</w:t>
      </w:r>
      <w:r>
        <w:rPr>
          <w:rFonts w:ascii="宋体" w:hAnsi="宋体"/>
          <w:color w:val="auto"/>
          <w:sz w:val="24"/>
          <w:highlight w:val="none"/>
        </w:rPr>
        <w:t>的</w:t>
      </w:r>
      <w:r>
        <w:rPr>
          <w:rFonts w:hint="eastAsia" w:ascii="宋体" w:hAnsi="宋体"/>
          <w:color w:val="auto"/>
          <w:sz w:val="24"/>
          <w:highlight w:val="none"/>
        </w:rPr>
        <w:t>基础</w:t>
      </w:r>
      <w:r>
        <w:rPr>
          <w:rFonts w:ascii="宋体" w:hAnsi="宋体"/>
          <w:color w:val="auto"/>
          <w:sz w:val="24"/>
          <w:highlight w:val="none"/>
        </w:rPr>
        <w:t xml:space="preserve">合同不成立、不生效、无效、被撤销、被解除，不影响本保函的独立有效。 </w:t>
      </w:r>
    </w:p>
    <w:p w14:paraId="6A97955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七、</w:t>
      </w:r>
      <w:r>
        <w:rPr>
          <w:rFonts w:ascii="宋体" w:hAnsi="宋体"/>
          <w:color w:val="auto"/>
          <w:sz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highlight w:val="none"/>
        </w:rPr>
        <w:t>有效期</w:t>
      </w:r>
      <w:r>
        <w:rPr>
          <w:rFonts w:ascii="宋体" w:hAnsi="宋体"/>
          <w:color w:val="auto"/>
          <w:sz w:val="24"/>
          <w:highlight w:val="none"/>
        </w:rPr>
        <w:t xml:space="preserve">到期后自动消灭。 </w:t>
      </w:r>
    </w:p>
    <w:p w14:paraId="71F029A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八、</w:t>
      </w:r>
      <w:r>
        <w:rPr>
          <w:rFonts w:ascii="宋体" w:hAnsi="宋体"/>
          <w:color w:val="auto"/>
          <w:sz w:val="24"/>
          <w:highlight w:val="none"/>
        </w:rPr>
        <w:t>本保函</w:t>
      </w:r>
      <w:r>
        <w:rPr>
          <w:rFonts w:hint="eastAsia" w:ascii="宋体" w:hAnsi="宋体"/>
          <w:color w:val="auto"/>
          <w:sz w:val="24"/>
          <w:highlight w:val="none"/>
        </w:rPr>
        <w:t>适用的法律为中华人民共和国法律，争议裁判管辖地为中华人民共和国</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 xml:space="preserve">。 </w:t>
      </w:r>
    </w:p>
    <w:p w14:paraId="163B29F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九、</w:t>
      </w:r>
      <w:r>
        <w:rPr>
          <w:rFonts w:ascii="宋体" w:hAnsi="宋体"/>
          <w:color w:val="auto"/>
          <w:sz w:val="24"/>
          <w:highlight w:val="none"/>
        </w:rPr>
        <w:t>本保函自我方法定代表人</w:t>
      </w:r>
      <w:r>
        <w:rPr>
          <w:rFonts w:hint="eastAsia" w:ascii="宋体" w:hAnsi="宋体"/>
          <w:color w:val="auto"/>
          <w:sz w:val="24"/>
          <w:highlight w:val="none"/>
        </w:rPr>
        <w:t>或授权代表</w:t>
      </w:r>
      <w:r>
        <w:rPr>
          <w:rFonts w:ascii="宋体" w:hAnsi="宋体"/>
          <w:color w:val="auto"/>
          <w:sz w:val="24"/>
          <w:highlight w:val="none"/>
        </w:rPr>
        <w:t>签字</w:t>
      </w:r>
      <w:r>
        <w:rPr>
          <w:rFonts w:hint="eastAsia" w:ascii="宋体" w:hAnsi="宋体"/>
          <w:color w:val="auto"/>
          <w:sz w:val="24"/>
          <w:highlight w:val="none"/>
        </w:rPr>
        <w:t>并</w:t>
      </w:r>
      <w:r>
        <w:rPr>
          <w:rFonts w:ascii="宋体" w:hAnsi="宋体"/>
          <w:color w:val="auto"/>
          <w:sz w:val="24"/>
          <w:highlight w:val="none"/>
        </w:rPr>
        <w:t xml:space="preserve">加盖公章之日起生效。 </w:t>
      </w:r>
    </w:p>
    <w:p w14:paraId="5E68C9F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开 立 人</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公</w:t>
      </w:r>
      <w:r>
        <w:rPr>
          <w:rFonts w:ascii="宋体" w:hAnsi="宋体"/>
          <w:color w:val="auto"/>
          <w:sz w:val="24"/>
          <w:highlight w:val="none"/>
        </w:rPr>
        <w:t xml:space="preserve">章） </w:t>
      </w:r>
    </w:p>
    <w:p w14:paraId="5972705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法定代表人（或授权代表）：</w:t>
      </w:r>
      <w:r>
        <w:rPr>
          <w:rFonts w:ascii="宋体" w:hAnsi="宋体"/>
          <w:color w:val="auto"/>
          <w:sz w:val="24"/>
          <w:highlight w:val="none"/>
        </w:rPr>
        <w:t xml:space="preserve">               （签字） </w:t>
      </w:r>
    </w:p>
    <w:p w14:paraId="0A4AFD7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地</w:t>
      </w:r>
      <w:r>
        <w:rPr>
          <w:rFonts w:ascii="宋体" w:hAnsi="宋体"/>
          <w:color w:val="auto"/>
          <w:sz w:val="24"/>
          <w:highlight w:val="none"/>
        </w:rPr>
        <w:t xml:space="preserve">    址：                                       </w:t>
      </w:r>
    </w:p>
    <w:p w14:paraId="04D8775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邮政编码：</w:t>
      </w:r>
      <w:r>
        <w:rPr>
          <w:rFonts w:ascii="宋体" w:hAnsi="宋体"/>
          <w:color w:val="auto"/>
          <w:sz w:val="24"/>
          <w:highlight w:val="none"/>
        </w:rPr>
        <w:t xml:space="preserve">                 </w:t>
      </w:r>
    </w:p>
    <w:p w14:paraId="4D8D9A7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w:t>
      </w:r>
      <w:r>
        <w:rPr>
          <w:rFonts w:ascii="宋体" w:hAnsi="宋体"/>
          <w:color w:val="auto"/>
          <w:sz w:val="24"/>
          <w:highlight w:val="none"/>
        </w:rPr>
        <w:t xml:space="preserve">    话：                 </w:t>
      </w:r>
    </w:p>
    <w:p w14:paraId="3E92511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传</w:t>
      </w:r>
      <w:r>
        <w:rPr>
          <w:rFonts w:ascii="宋体" w:hAnsi="宋体"/>
          <w:color w:val="auto"/>
          <w:sz w:val="24"/>
          <w:highlight w:val="none"/>
        </w:rPr>
        <w:t xml:space="preserve">    真：                 </w:t>
      </w:r>
    </w:p>
    <w:p w14:paraId="54FC2A3D">
      <w:pPr>
        <w:spacing w:line="360" w:lineRule="auto"/>
        <w:ind w:firstLine="480" w:firstLineChars="200"/>
        <w:rPr>
          <w:color w:val="auto"/>
          <w:highlight w:val="none"/>
        </w:rPr>
      </w:pPr>
      <w:r>
        <w:rPr>
          <w:rFonts w:hint="eastAsia" w:ascii="宋体" w:hAnsi="宋体"/>
          <w:color w:val="auto"/>
          <w:sz w:val="24"/>
          <w:highlight w:val="none"/>
        </w:rPr>
        <w:t>开立时间：</w:t>
      </w:r>
      <w:r>
        <w:rPr>
          <w:rFonts w:ascii="宋体" w:hAnsi="宋体"/>
          <w:color w:val="auto"/>
          <w:sz w:val="24"/>
          <w:highlight w:val="none"/>
        </w:rPr>
        <w:t xml:space="preserve">      年      月    </w:t>
      </w:r>
    </w:p>
    <w:p w14:paraId="3C1F7DF7">
      <w:pPr>
        <w:spacing w:line="360" w:lineRule="auto"/>
        <w:ind w:firstLine="200"/>
        <w:rPr>
          <w:rFonts w:ascii="黑体" w:hAnsi="宋体" w:eastAsia="黑体"/>
          <w:b/>
          <w:color w:val="auto"/>
          <w:sz w:val="28"/>
          <w:szCs w:val="28"/>
          <w:highlight w:val="none"/>
        </w:rPr>
      </w:pPr>
      <w:bookmarkStart w:id="163" w:name="_Toc801786934"/>
      <w:bookmarkStart w:id="164" w:name="_Toc495035416"/>
      <w:r>
        <w:rPr>
          <w:rFonts w:ascii="黑体" w:hAnsi="宋体" w:eastAsia="黑体"/>
          <w:b/>
          <w:color w:val="auto"/>
          <w:sz w:val="28"/>
          <w:szCs w:val="28"/>
          <w:highlight w:val="none"/>
        </w:rPr>
        <w:br w:type="page"/>
      </w:r>
      <w:r>
        <w:rPr>
          <w:rFonts w:hint="eastAsia" w:ascii="黑体" w:hAnsi="宋体" w:eastAsia="黑体"/>
          <w:b/>
          <w:color w:val="auto"/>
          <w:sz w:val="28"/>
          <w:szCs w:val="28"/>
          <w:highlight w:val="none"/>
        </w:rPr>
        <w:t>附件8：履约保函示范文本</w:t>
      </w:r>
      <w:bookmarkEnd w:id="163"/>
      <w:bookmarkEnd w:id="164"/>
    </w:p>
    <w:p w14:paraId="70D225D9">
      <w:pPr>
        <w:spacing w:line="360" w:lineRule="auto"/>
        <w:rPr>
          <w:rFonts w:ascii="宋体" w:hAnsi="宋体"/>
          <w:b/>
          <w:bCs/>
          <w:color w:val="auto"/>
          <w:sz w:val="32"/>
          <w:szCs w:val="32"/>
          <w:highlight w:val="none"/>
        </w:rPr>
      </w:pPr>
    </w:p>
    <w:p w14:paraId="600C52EF">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261EEAEB">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4CE6097B">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5632AE3A">
      <w:pPr>
        <w:spacing w:line="360" w:lineRule="auto"/>
        <w:rPr>
          <w:rFonts w:ascii="宋体" w:hAnsi="宋体"/>
          <w:color w:val="auto"/>
          <w:sz w:val="24"/>
          <w:highlight w:val="none"/>
        </w:rPr>
      </w:pPr>
      <w:r>
        <w:rPr>
          <w:rFonts w:hint="eastAsia" w:ascii="宋体" w:hAnsi="宋体"/>
          <w:color w:val="auto"/>
          <w:sz w:val="24"/>
          <w:highlight w:val="none"/>
        </w:rPr>
        <w:t>承包人：</w:t>
      </w:r>
    </w:p>
    <w:p w14:paraId="1D26FB78">
      <w:pPr>
        <w:spacing w:line="360" w:lineRule="auto"/>
        <w:rPr>
          <w:rFonts w:ascii="宋体" w:hAnsi="宋体"/>
          <w:color w:val="auto"/>
          <w:sz w:val="24"/>
          <w:highlight w:val="none"/>
        </w:rPr>
      </w:pPr>
      <w:r>
        <w:rPr>
          <w:rFonts w:hint="eastAsia" w:ascii="宋体" w:hAnsi="宋体"/>
          <w:color w:val="auto"/>
          <w:sz w:val="24"/>
          <w:highlight w:val="none"/>
        </w:rPr>
        <w:t>地址</w:t>
      </w:r>
      <w:r>
        <w:rPr>
          <w:rFonts w:ascii="宋体" w:hAnsi="宋体"/>
          <w:color w:val="auto"/>
          <w:sz w:val="24"/>
          <w:highlight w:val="none"/>
        </w:rPr>
        <w:t>：</w:t>
      </w:r>
    </w:p>
    <w:p w14:paraId="4A8CDF24">
      <w:pPr>
        <w:spacing w:line="360" w:lineRule="auto"/>
        <w:rPr>
          <w:rFonts w:ascii="宋体" w:hAnsi="宋体"/>
          <w:color w:val="auto"/>
          <w:sz w:val="24"/>
          <w:highlight w:val="none"/>
        </w:rPr>
      </w:pPr>
      <w:r>
        <w:rPr>
          <w:rFonts w:hint="eastAsia" w:ascii="宋体" w:hAnsi="宋体"/>
          <w:color w:val="auto"/>
          <w:sz w:val="24"/>
          <w:highlight w:val="none"/>
        </w:rPr>
        <w:t>担保权人/发包人：</w:t>
      </w:r>
      <w:r>
        <w:rPr>
          <w:rFonts w:ascii="宋体" w:hAnsi="宋体"/>
          <w:color w:val="auto"/>
          <w:sz w:val="24"/>
          <w:highlight w:val="none"/>
        </w:rPr>
        <w:t xml:space="preserve"> </w:t>
      </w:r>
    </w:p>
    <w:p w14:paraId="0BA4ABD5">
      <w:pPr>
        <w:spacing w:line="360" w:lineRule="auto"/>
        <w:rPr>
          <w:rFonts w:ascii="宋体" w:hAnsi="宋体"/>
          <w:color w:val="auto"/>
          <w:sz w:val="24"/>
          <w:highlight w:val="none"/>
        </w:rPr>
      </w:pPr>
      <w:r>
        <w:rPr>
          <w:rFonts w:hint="eastAsia" w:ascii="宋体" w:hAnsi="宋体"/>
          <w:color w:val="auto"/>
          <w:sz w:val="24"/>
          <w:highlight w:val="none"/>
        </w:rPr>
        <w:t>地址：</w:t>
      </w:r>
    </w:p>
    <w:p w14:paraId="18644AF2">
      <w:pPr>
        <w:spacing w:line="360" w:lineRule="auto"/>
        <w:rPr>
          <w:rFonts w:ascii="宋体" w:hAnsi="宋体"/>
          <w:color w:val="auto"/>
          <w:sz w:val="24"/>
          <w:highlight w:val="none"/>
        </w:rPr>
      </w:pPr>
      <w:r>
        <w:rPr>
          <w:rFonts w:hint="eastAsia" w:ascii="宋体" w:hAnsi="宋体"/>
          <w:color w:val="auto"/>
          <w:sz w:val="24"/>
          <w:highlight w:val="none"/>
        </w:rPr>
        <w:t>保证人：</w:t>
      </w:r>
    </w:p>
    <w:p w14:paraId="15F3337B">
      <w:pPr>
        <w:spacing w:line="360" w:lineRule="auto"/>
        <w:rPr>
          <w:rFonts w:ascii="宋体" w:hAnsi="宋体"/>
          <w:color w:val="auto"/>
          <w:sz w:val="24"/>
          <w:highlight w:val="none"/>
        </w:rPr>
      </w:pPr>
      <w:r>
        <w:rPr>
          <w:rFonts w:hint="eastAsia" w:ascii="宋体" w:hAnsi="宋体"/>
          <w:color w:val="auto"/>
          <w:sz w:val="24"/>
          <w:highlight w:val="none"/>
        </w:rPr>
        <w:t>地址：</w:t>
      </w:r>
    </w:p>
    <w:p w14:paraId="2C6538AB">
      <w:pPr>
        <w:spacing w:line="360" w:lineRule="auto"/>
        <w:rPr>
          <w:rFonts w:ascii="宋体" w:hAnsi="宋体"/>
          <w:color w:val="auto"/>
          <w:sz w:val="24"/>
          <w:highlight w:val="none"/>
        </w:rPr>
      </w:pPr>
    </w:p>
    <w:p w14:paraId="24F77788">
      <w:pPr>
        <w:spacing w:line="360" w:lineRule="auto"/>
        <w:rPr>
          <w:rFonts w:ascii="宋体" w:hAnsi="宋体"/>
          <w:color w:val="auto"/>
          <w:sz w:val="24"/>
          <w:highlight w:val="none"/>
        </w:rPr>
      </w:pPr>
      <w:r>
        <w:rPr>
          <w:rFonts w:ascii="宋体" w:hAnsi="宋体"/>
          <w:color w:val="auto"/>
          <w:sz w:val="24"/>
          <w:highlight w:val="none"/>
          <w:u w:val="single"/>
        </w:rPr>
        <w:t xml:space="preserve">              </w:t>
      </w:r>
      <w:r>
        <w:rPr>
          <w:rFonts w:ascii="宋体" w:hAnsi="宋体"/>
          <w:color w:val="auto"/>
          <w:sz w:val="24"/>
          <w:highlight w:val="none"/>
        </w:rPr>
        <w:t>（</w:t>
      </w:r>
      <w:r>
        <w:rPr>
          <w:rFonts w:hint="eastAsia" w:ascii="宋体" w:hAnsi="宋体"/>
          <w:color w:val="auto"/>
          <w:sz w:val="24"/>
          <w:highlight w:val="none"/>
        </w:rPr>
        <w:t>发包人</w:t>
      </w:r>
      <w:r>
        <w:rPr>
          <w:rFonts w:ascii="宋体" w:hAnsi="宋体"/>
          <w:color w:val="auto"/>
          <w:sz w:val="24"/>
          <w:highlight w:val="none"/>
        </w:rPr>
        <w:t xml:space="preserve">名称）： </w:t>
      </w:r>
    </w:p>
    <w:p w14:paraId="166B669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鉴于</w:t>
      </w:r>
      <w:r>
        <w:rPr>
          <w:rFonts w:ascii="宋体" w:hAnsi="宋体"/>
          <w:color w:val="auto"/>
          <w:sz w:val="24"/>
          <w:highlight w:val="none"/>
          <w:u w:val="single"/>
        </w:rPr>
        <w:t xml:space="preserve">        </w:t>
      </w:r>
      <w:r>
        <w:rPr>
          <w:rFonts w:ascii="宋体" w:hAnsi="宋体"/>
          <w:color w:val="auto"/>
          <w:sz w:val="24"/>
          <w:highlight w:val="none"/>
        </w:rPr>
        <w:t>（以下简称“</w:t>
      </w:r>
      <w:r>
        <w:rPr>
          <w:rFonts w:hint="eastAsia" w:ascii="宋体" w:hAnsi="宋体"/>
          <w:color w:val="auto"/>
          <w:sz w:val="24"/>
          <w:highlight w:val="none"/>
        </w:rPr>
        <w:t>发包人</w:t>
      </w:r>
      <w:r>
        <w:rPr>
          <w:rFonts w:ascii="宋体" w:hAnsi="宋体"/>
          <w:color w:val="auto"/>
          <w:sz w:val="24"/>
          <w:highlight w:val="none"/>
        </w:rPr>
        <w:t>”）</w:t>
      </w:r>
      <w:r>
        <w:rPr>
          <w:rFonts w:hint="eastAsia" w:ascii="宋体" w:hAnsi="宋体"/>
          <w:color w:val="auto"/>
          <w:sz w:val="24"/>
          <w:highlight w:val="none"/>
        </w:rPr>
        <w:t>与</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（以下简称“</w:t>
      </w:r>
      <w:r>
        <w:rPr>
          <w:rFonts w:hint="eastAsia" w:ascii="宋体" w:hAnsi="宋体"/>
          <w:color w:val="auto"/>
          <w:sz w:val="24"/>
          <w:highlight w:val="none"/>
        </w:rPr>
        <w:t>承包人</w:t>
      </w:r>
      <w:r>
        <w:rPr>
          <w:rFonts w:ascii="宋体" w:hAnsi="宋体"/>
          <w:color w:val="auto"/>
          <w:sz w:val="24"/>
          <w:highlight w:val="none"/>
        </w:rPr>
        <w:t>”）</w:t>
      </w:r>
      <w:r>
        <w:rPr>
          <w:rFonts w:hint="eastAsia" w:ascii="宋体" w:hAnsi="宋体"/>
          <w:color w:val="auto"/>
          <w:sz w:val="24"/>
          <w:highlight w:val="none"/>
        </w:rPr>
        <w:t>于</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日就</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工程（以下简称“本工程”）设计和有关事项协商一致共同签订</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w:t>
      </w:r>
      <w:r>
        <w:rPr>
          <w:rFonts w:hint="eastAsia" w:ascii="宋体" w:hAnsi="宋体"/>
          <w:color w:val="auto"/>
          <w:sz w:val="24"/>
          <w:highlight w:val="none"/>
        </w:rPr>
        <w:t>（以下简称“主合同”），我方即保证人基于承包人</w:t>
      </w:r>
      <w:r>
        <w:rPr>
          <w:rFonts w:ascii="宋体" w:hAnsi="宋体"/>
          <w:color w:val="auto"/>
          <w:sz w:val="24"/>
          <w:highlight w:val="none"/>
        </w:rPr>
        <w:t>的请求，同意就</w:t>
      </w:r>
      <w:r>
        <w:rPr>
          <w:rFonts w:hint="eastAsia" w:ascii="宋体" w:hAnsi="宋体"/>
          <w:color w:val="auto"/>
          <w:sz w:val="24"/>
          <w:highlight w:val="none"/>
        </w:rPr>
        <w:t>承包人</w:t>
      </w:r>
      <w:r>
        <w:rPr>
          <w:rFonts w:ascii="宋体" w:hAnsi="宋体"/>
          <w:color w:val="auto"/>
          <w:sz w:val="24"/>
          <w:highlight w:val="none"/>
        </w:rPr>
        <w:t>履行</w:t>
      </w:r>
      <w:r>
        <w:rPr>
          <w:rFonts w:hint="eastAsia" w:ascii="宋体" w:hAnsi="宋体"/>
          <w:color w:val="auto"/>
          <w:sz w:val="24"/>
          <w:highlight w:val="none"/>
        </w:rPr>
        <w:t>与贵方签订的主合同</w:t>
      </w:r>
      <w:r>
        <w:rPr>
          <w:rFonts w:ascii="宋体" w:hAnsi="宋体"/>
          <w:color w:val="auto"/>
          <w:sz w:val="24"/>
          <w:highlight w:val="none"/>
        </w:rPr>
        <w:t>项下的义务</w:t>
      </w:r>
      <w:r>
        <w:rPr>
          <w:rFonts w:hint="eastAsia" w:ascii="宋体" w:hAnsi="宋体"/>
          <w:color w:val="auto"/>
          <w:sz w:val="24"/>
          <w:highlight w:val="none"/>
        </w:rPr>
        <w:t>，</w:t>
      </w:r>
      <w:r>
        <w:rPr>
          <w:rFonts w:ascii="宋体" w:hAnsi="宋体"/>
          <w:color w:val="auto"/>
          <w:sz w:val="24"/>
          <w:highlight w:val="none"/>
        </w:rPr>
        <w:t>向贵方提供</w:t>
      </w:r>
      <w:r>
        <w:rPr>
          <w:rFonts w:hint="eastAsia" w:ascii="宋体" w:hAnsi="宋体"/>
          <w:color w:val="auto"/>
          <w:sz w:val="24"/>
          <w:highlight w:val="none"/>
        </w:rPr>
        <w:t>如下保证担保（以下简称“本保证担保”）</w:t>
      </w:r>
      <w:r>
        <w:rPr>
          <w:rFonts w:ascii="宋体" w:hAnsi="宋体"/>
          <w:color w:val="auto"/>
          <w:sz w:val="24"/>
          <w:highlight w:val="none"/>
        </w:rPr>
        <w:t xml:space="preserve">。 </w:t>
      </w:r>
    </w:p>
    <w:p w14:paraId="4FE87AA2">
      <w:pPr>
        <w:spacing w:line="360" w:lineRule="auto"/>
        <w:rPr>
          <w:rFonts w:ascii="宋体" w:hAnsi="宋体"/>
          <w:b/>
          <w:bCs/>
          <w:color w:val="auto"/>
          <w:sz w:val="24"/>
          <w:highlight w:val="none"/>
        </w:rPr>
      </w:pPr>
      <w:r>
        <w:rPr>
          <w:rFonts w:hint="eastAsia" w:ascii="宋体" w:hAnsi="宋体"/>
          <w:color w:val="auto"/>
          <w:sz w:val="24"/>
          <w:highlight w:val="none"/>
        </w:rPr>
        <w:t xml:space="preserve">    </w:t>
      </w:r>
      <w:r>
        <w:rPr>
          <w:rFonts w:hint="eastAsia" w:ascii="宋体" w:hAnsi="宋体"/>
          <w:b/>
          <w:bCs/>
          <w:color w:val="auto"/>
          <w:sz w:val="24"/>
          <w:highlight w:val="none"/>
        </w:rPr>
        <w:t>一、保证担保的范围及保证担保金额</w:t>
      </w:r>
    </w:p>
    <w:p w14:paraId="0EE7A6F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w:t>
      </w:r>
      <w:r>
        <w:rPr>
          <w:rFonts w:hint="eastAsia" w:ascii="宋体" w:hAnsi="宋体"/>
          <w:color w:val="auto"/>
          <w:sz w:val="24"/>
          <w:highlight w:val="none"/>
        </w:rPr>
        <w:t>保证担保范围：承包人未按照主合同的约定履行义务，应当向贵方承担的违约责任和赔偿因此造成的损失、利息、律师费、诉讼费用等实现债权的费用。</w:t>
      </w:r>
    </w:p>
    <w:p w14:paraId="4F9913E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保证担保金额最高不超过</w:t>
      </w:r>
      <w:r>
        <w:rPr>
          <w:rFonts w:ascii="宋体" w:hAnsi="宋体"/>
          <w:color w:val="auto"/>
          <w:sz w:val="24"/>
          <w:highlight w:val="none"/>
        </w:rPr>
        <w:t>人民币（大写）</w:t>
      </w:r>
      <w:r>
        <w:rPr>
          <w:rFonts w:ascii="宋体" w:hAnsi="宋体"/>
          <w:color w:val="auto"/>
          <w:sz w:val="24"/>
          <w:highlight w:val="none"/>
          <w:u w:val="single"/>
        </w:rPr>
        <w:t xml:space="preserve">          </w:t>
      </w:r>
      <w:r>
        <w:rPr>
          <w:rFonts w:ascii="宋体" w:hAnsi="宋体"/>
          <w:color w:val="auto"/>
          <w:sz w:val="24"/>
          <w:highlight w:val="none"/>
        </w:rPr>
        <w:t>元（¥</w:t>
      </w:r>
      <w:r>
        <w:rPr>
          <w:rFonts w:ascii="宋体" w:hAnsi="宋体"/>
          <w:color w:val="auto"/>
          <w:sz w:val="24"/>
          <w:highlight w:val="none"/>
          <w:u w:val="single"/>
        </w:rPr>
        <w:t xml:space="preserve">       </w:t>
      </w:r>
      <w:r>
        <w:rPr>
          <w:rFonts w:ascii="宋体" w:hAnsi="宋体"/>
          <w:color w:val="auto"/>
          <w:sz w:val="24"/>
          <w:highlight w:val="none"/>
        </w:rPr>
        <w:t xml:space="preserve">）。 </w:t>
      </w:r>
    </w:p>
    <w:p w14:paraId="3F9D8084">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二、保证担保的方式及保证期间</w:t>
      </w:r>
      <w:r>
        <w:rPr>
          <w:rFonts w:ascii="宋体" w:hAnsi="宋体"/>
          <w:b/>
          <w:bCs/>
          <w:color w:val="auto"/>
          <w:sz w:val="24"/>
          <w:highlight w:val="none"/>
        </w:rPr>
        <w:t xml:space="preserve"> </w:t>
      </w:r>
    </w:p>
    <w:p w14:paraId="2DA0359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1.保证担保方式：连带责任保证。</w:t>
      </w:r>
    </w:p>
    <w:p w14:paraId="00BA9AA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保证期间：</w:t>
      </w:r>
      <w:r>
        <w:rPr>
          <w:rFonts w:ascii="宋体" w:hAnsi="宋体"/>
          <w:color w:val="auto"/>
          <w:sz w:val="24"/>
          <w:highlight w:val="none"/>
        </w:rPr>
        <w:t>自</w:t>
      </w:r>
      <w:r>
        <w:rPr>
          <w:rFonts w:hint="eastAsia" w:ascii="宋体" w:hAnsi="宋体"/>
          <w:color w:val="auto"/>
          <w:sz w:val="24"/>
          <w:highlight w:val="none"/>
        </w:rPr>
        <w:t>出具之日起</w:t>
      </w:r>
      <w:r>
        <w:rPr>
          <w:rFonts w:ascii="宋体" w:hAnsi="宋体"/>
          <w:color w:val="auto"/>
          <w:sz w:val="24"/>
          <w:highlight w:val="none"/>
        </w:rPr>
        <w:t>至</w:t>
      </w:r>
      <w:r>
        <w:rPr>
          <w:rFonts w:hint="eastAsia" w:ascii="宋体" w:hAnsi="宋体"/>
          <w:color w:val="auto"/>
          <w:sz w:val="24"/>
          <w:highlight w:val="none"/>
        </w:rPr>
        <w:t>主合同约定设计服务期限</w:t>
      </w:r>
      <w:r>
        <w:rPr>
          <w:rFonts w:ascii="宋体" w:hAnsi="宋体"/>
          <w:color w:val="auto"/>
          <w:sz w:val="24"/>
          <w:highlight w:val="none"/>
          <w:u w:val="single"/>
        </w:rPr>
        <w:t xml:space="preserve">   </w:t>
      </w:r>
      <w:r>
        <w:rPr>
          <w:rFonts w:ascii="宋体" w:hAnsi="宋体"/>
          <w:color w:val="auto"/>
          <w:sz w:val="24"/>
          <w:highlight w:val="none"/>
        </w:rPr>
        <w:t>日</w:t>
      </w:r>
      <w:r>
        <w:rPr>
          <w:rFonts w:hint="eastAsia" w:ascii="宋体" w:hAnsi="宋体"/>
          <w:color w:val="auto"/>
          <w:sz w:val="24"/>
          <w:highlight w:val="none"/>
        </w:rPr>
        <w:t>止，最迟不超过</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日</w:t>
      </w:r>
      <w:r>
        <w:rPr>
          <w:rFonts w:ascii="宋体" w:hAnsi="宋体"/>
          <w:color w:val="auto"/>
          <w:sz w:val="24"/>
          <w:highlight w:val="none"/>
        </w:rPr>
        <w:t xml:space="preserve">。 </w:t>
      </w:r>
    </w:p>
    <w:p w14:paraId="02C006BC">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三、承担保证担保责任的形式</w:t>
      </w:r>
    </w:p>
    <w:p w14:paraId="0B26CCB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我方按照贵方的要求以下列方式之一承担保证担保责任：</w:t>
      </w:r>
      <w:r>
        <w:rPr>
          <w:rFonts w:ascii="宋体" w:hAnsi="宋体"/>
          <w:color w:val="auto"/>
          <w:sz w:val="24"/>
          <w:highlight w:val="none"/>
        </w:rPr>
        <w:t xml:space="preserve"> </w:t>
      </w:r>
    </w:p>
    <w:p w14:paraId="0E47B41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1.向承包人资金、设备或者技术援助，使其能继续履行合同义务；</w:t>
      </w:r>
    </w:p>
    <w:p w14:paraId="0DFAE26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2.直接接管该项工程或者委托经贵方同意的其他承包商，继续履行合同义务；</w:t>
      </w:r>
    </w:p>
    <w:p w14:paraId="17243CE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3.在保证担保金额最高限额内，按照合同约定，向贵方承担违约责任和赔偿因此造成的损失，以及利息和律师费、诉讼费用等实现债权的费用。</w:t>
      </w:r>
    </w:p>
    <w:p w14:paraId="4EDCB536">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四、代偿的安排</w:t>
      </w:r>
      <w:r>
        <w:rPr>
          <w:rFonts w:ascii="宋体" w:hAnsi="宋体"/>
          <w:b/>
          <w:bCs/>
          <w:color w:val="auto"/>
          <w:sz w:val="24"/>
          <w:highlight w:val="none"/>
        </w:rPr>
        <w:t xml:space="preserve"> </w:t>
      </w:r>
    </w:p>
    <w:p w14:paraId="6E6D48A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1332C52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2.贵方以设计质量不符合主合同约定标准为由，向我方提出违约索赔的，还需同时提供有关质量问题说明材料。</w:t>
      </w:r>
    </w:p>
    <w:p w14:paraId="0C49475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3.我方收到贵方的书面索赔通知及相应证明材料后，在</w:t>
      </w:r>
      <w:r>
        <w:rPr>
          <w:rFonts w:ascii="宋体" w:hAnsi="宋体"/>
          <w:color w:val="auto"/>
          <w:sz w:val="24"/>
          <w:highlight w:val="none"/>
          <w:u w:val="single"/>
        </w:rPr>
        <w:t xml:space="preserve">   </w:t>
      </w:r>
      <w:r>
        <w:rPr>
          <w:rFonts w:hint="eastAsia" w:ascii="宋体" w:hAnsi="宋体"/>
          <w:color w:val="auto"/>
          <w:sz w:val="24"/>
          <w:highlight w:val="none"/>
        </w:rPr>
        <w:t>工作日内进行核定后按照本保函的承诺承担保证责任。</w:t>
      </w:r>
    </w:p>
    <w:p w14:paraId="24263628">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五、保证担保责任的解除</w:t>
      </w:r>
      <w:r>
        <w:rPr>
          <w:rFonts w:ascii="宋体" w:hAnsi="宋体"/>
          <w:b/>
          <w:bCs/>
          <w:color w:val="auto"/>
          <w:sz w:val="24"/>
          <w:highlight w:val="none"/>
        </w:rPr>
        <w:t xml:space="preserve"> </w:t>
      </w:r>
    </w:p>
    <w:p w14:paraId="4B27A48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 xml:space="preserve">保证期间届满贵方未向我方书面主张保证责任的，自保证期间届满次日起，我方解除保证责任。 </w:t>
      </w:r>
    </w:p>
    <w:p w14:paraId="7672357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我方按照本</w:t>
      </w:r>
      <w:r>
        <w:rPr>
          <w:rFonts w:hint="eastAsia" w:ascii="宋体" w:hAnsi="宋体"/>
          <w:color w:val="auto"/>
          <w:sz w:val="24"/>
          <w:highlight w:val="none"/>
        </w:rPr>
        <w:t>保证担保</w:t>
      </w:r>
      <w:r>
        <w:rPr>
          <w:rFonts w:ascii="宋体" w:hAnsi="宋体"/>
          <w:color w:val="auto"/>
          <w:sz w:val="24"/>
          <w:highlight w:val="none"/>
        </w:rPr>
        <w:t>向贵方履行了</w:t>
      </w:r>
      <w:r>
        <w:rPr>
          <w:rFonts w:hint="eastAsia" w:ascii="宋体" w:hAnsi="宋体"/>
          <w:color w:val="auto"/>
          <w:sz w:val="24"/>
          <w:highlight w:val="none"/>
        </w:rPr>
        <w:t>保证担保责任</w:t>
      </w:r>
      <w:r>
        <w:rPr>
          <w:rFonts w:ascii="宋体" w:hAnsi="宋体"/>
          <w:color w:val="auto"/>
          <w:sz w:val="24"/>
          <w:highlight w:val="none"/>
        </w:rPr>
        <w:t>后，自我方向贵方支付</w:t>
      </w:r>
      <w:r>
        <w:rPr>
          <w:rFonts w:hint="eastAsia" w:ascii="宋体" w:hAnsi="宋体"/>
          <w:color w:val="auto"/>
          <w:sz w:val="24"/>
          <w:highlight w:val="none"/>
        </w:rPr>
        <w:t>的金额达到最高保证担保金额</w:t>
      </w:r>
      <w:r>
        <w:rPr>
          <w:rFonts w:ascii="宋体" w:hAnsi="宋体"/>
          <w:color w:val="auto"/>
          <w:sz w:val="24"/>
          <w:highlight w:val="none"/>
        </w:rPr>
        <w:t>之日起，</w:t>
      </w:r>
      <w:r>
        <w:rPr>
          <w:rFonts w:hint="eastAsia" w:ascii="宋体" w:hAnsi="宋体"/>
          <w:color w:val="auto"/>
          <w:sz w:val="24"/>
          <w:highlight w:val="none"/>
        </w:rPr>
        <w:t>保证担保责任</w:t>
      </w:r>
      <w:r>
        <w:rPr>
          <w:rFonts w:ascii="宋体" w:hAnsi="宋体"/>
          <w:color w:val="auto"/>
          <w:sz w:val="24"/>
          <w:highlight w:val="none"/>
        </w:rPr>
        <w:t xml:space="preserve">解除。 </w:t>
      </w:r>
    </w:p>
    <w:p w14:paraId="7060DB7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按照法律法规的规定应解除我方保证</w:t>
      </w:r>
      <w:r>
        <w:rPr>
          <w:rFonts w:hint="eastAsia" w:ascii="宋体" w:hAnsi="宋体"/>
          <w:color w:val="auto"/>
          <w:sz w:val="24"/>
          <w:highlight w:val="none"/>
        </w:rPr>
        <w:t>担保</w:t>
      </w:r>
      <w:r>
        <w:rPr>
          <w:rFonts w:ascii="宋体" w:hAnsi="宋体"/>
          <w:color w:val="auto"/>
          <w:sz w:val="24"/>
          <w:highlight w:val="none"/>
        </w:rPr>
        <w:t>责任的其它情形的，我方在本保证担保项下的保证</w:t>
      </w:r>
      <w:r>
        <w:rPr>
          <w:rFonts w:hint="eastAsia" w:ascii="宋体" w:hAnsi="宋体"/>
          <w:color w:val="auto"/>
          <w:sz w:val="24"/>
          <w:highlight w:val="none"/>
        </w:rPr>
        <w:t>担保</w:t>
      </w:r>
      <w:r>
        <w:rPr>
          <w:rFonts w:ascii="宋体" w:hAnsi="宋体"/>
          <w:color w:val="auto"/>
          <w:sz w:val="24"/>
          <w:highlight w:val="none"/>
        </w:rPr>
        <w:t xml:space="preserve">责任亦解除。 </w:t>
      </w:r>
    </w:p>
    <w:p w14:paraId="0973FB0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4.我方解除保证责任后，贵方应按上述约定，自我方保证担保责任解除之日起七</w:t>
      </w:r>
      <w:r>
        <w:rPr>
          <w:rFonts w:ascii="宋体" w:hAnsi="宋体"/>
          <w:color w:val="auto"/>
          <w:sz w:val="24"/>
          <w:highlight w:val="none"/>
        </w:rPr>
        <w:t>日内，将本保证担保原件返还我方。但是不论贵方是否按此要求将本保证担保</w:t>
      </w:r>
      <w:r>
        <w:rPr>
          <w:rFonts w:hint="eastAsia" w:ascii="宋体" w:hAnsi="宋体"/>
          <w:color w:val="auto"/>
          <w:sz w:val="24"/>
          <w:highlight w:val="none"/>
        </w:rPr>
        <w:t>原件</w:t>
      </w:r>
      <w:r>
        <w:rPr>
          <w:rFonts w:ascii="宋体" w:hAnsi="宋体"/>
          <w:color w:val="auto"/>
          <w:sz w:val="24"/>
          <w:highlight w:val="none"/>
        </w:rPr>
        <w:t>退回我方，我方在本保证担保项下的义务和责任均</w:t>
      </w:r>
      <w:r>
        <w:rPr>
          <w:rFonts w:hint="eastAsia" w:ascii="宋体" w:hAnsi="宋体"/>
          <w:color w:val="auto"/>
          <w:sz w:val="24"/>
          <w:highlight w:val="none"/>
        </w:rPr>
        <w:t>自保证担保责任解除之日</w:t>
      </w:r>
      <w:r>
        <w:rPr>
          <w:rFonts w:ascii="宋体" w:hAnsi="宋体"/>
          <w:color w:val="auto"/>
          <w:sz w:val="24"/>
          <w:highlight w:val="none"/>
        </w:rPr>
        <w:t>自动消灭。</w:t>
      </w:r>
    </w:p>
    <w:p w14:paraId="019B8954">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六、免责条款</w:t>
      </w:r>
      <w:r>
        <w:rPr>
          <w:rFonts w:ascii="宋体" w:hAnsi="宋体"/>
          <w:b/>
          <w:bCs/>
          <w:color w:val="auto"/>
          <w:sz w:val="24"/>
          <w:highlight w:val="none"/>
        </w:rPr>
        <w:t xml:space="preserve"> </w:t>
      </w:r>
    </w:p>
    <w:p w14:paraId="122879A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因贵方</w:t>
      </w:r>
      <w:r>
        <w:rPr>
          <w:rFonts w:hint="eastAsia" w:ascii="宋体" w:hAnsi="宋体"/>
          <w:color w:val="auto"/>
          <w:sz w:val="24"/>
          <w:highlight w:val="none"/>
        </w:rPr>
        <w:t>原因</w:t>
      </w:r>
      <w:r>
        <w:rPr>
          <w:rFonts w:ascii="宋体" w:hAnsi="宋体"/>
          <w:color w:val="auto"/>
          <w:sz w:val="24"/>
          <w:highlight w:val="none"/>
        </w:rPr>
        <w:t>致使</w:t>
      </w:r>
      <w:r>
        <w:rPr>
          <w:rFonts w:hint="eastAsia" w:ascii="宋体" w:hAnsi="宋体"/>
          <w:color w:val="auto"/>
          <w:sz w:val="24"/>
          <w:highlight w:val="none"/>
        </w:rPr>
        <w:t>承包人未按照主合同约定履行义务的</w:t>
      </w:r>
      <w:r>
        <w:rPr>
          <w:rFonts w:ascii="宋体" w:hAnsi="宋体"/>
          <w:color w:val="auto"/>
          <w:sz w:val="24"/>
          <w:highlight w:val="none"/>
        </w:rPr>
        <w:t>，我方不承担保证</w:t>
      </w:r>
      <w:r>
        <w:rPr>
          <w:rFonts w:hint="eastAsia" w:ascii="宋体" w:hAnsi="宋体"/>
          <w:color w:val="auto"/>
          <w:sz w:val="24"/>
          <w:highlight w:val="none"/>
        </w:rPr>
        <w:t>担保</w:t>
      </w:r>
      <w:r>
        <w:rPr>
          <w:rFonts w:ascii="宋体" w:hAnsi="宋体"/>
          <w:color w:val="auto"/>
          <w:sz w:val="24"/>
          <w:highlight w:val="none"/>
        </w:rPr>
        <w:t xml:space="preserve">责任。 </w:t>
      </w:r>
    </w:p>
    <w:p w14:paraId="051F7FA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依照法律规定或贵方与</w:t>
      </w:r>
      <w:r>
        <w:rPr>
          <w:rFonts w:hint="eastAsia" w:ascii="宋体" w:hAnsi="宋体"/>
          <w:color w:val="auto"/>
          <w:sz w:val="24"/>
          <w:highlight w:val="none"/>
        </w:rPr>
        <w:t>发包</w:t>
      </w:r>
      <w:r>
        <w:rPr>
          <w:rFonts w:ascii="宋体" w:hAnsi="宋体"/>
          <w:color w:val="auto"/>
          <w:sz w:val="24"/>
          <w:highlight w:val="none"/>
        </w:rPr>
        <w:t>人的另行约定，免除</w:t>
      </w:r>
      <w:r>
        <w:rPr>
          <w:rFonts w:hint="eastAsia" w:ascii="宋体" w:hAnsi="宋体"/>
          <w:color w:val="auto"/>
          <w:sz w:val="24"/>
          <w:highlight w:val="none"/>
        </w:rPr>
        <w:t>承包</w:t>
      </w:r>
      <w:r>
        <w:rPr>
          <w:rFonts w:ascii="宋体" w:hAnsi="宋体"/>
          <w:color w:val="auto"/>
          <w:sz w:val="24"/>
          <w:highlight w:val="none"/>
        </w:rPr>
        <w:t>人部分或全部义务的，我方亦免除其相应的保证</w:t>
      </w:r>
      <w:r>
        <w:rPr>
          <w:rFonts w:hint="eastAsia" w:ascii="宋体" w:hAnsi="宋体"/>
          <w:color w:val="auto"/>
          <w:sz w:val="24"/>
          <w:highlight w:val="none"/>
        </w:rPr>
        <w:t>担保</w:t>
      </w:r>
      <w:r>
        <w:rPr>
          <w:rFonts w:ascii="宋体" w:hAnsi="宋体"/>
          <w:color w:val="auto"/>
          <w:sz w:val="24"/>
          <w:highlight w:val="none"/>
        </w:rPr>
        <w:t xml:space="preserve">责任。 </w:t>
      </w:r>
    </w:p>
    <w:p w14:paraId="25807B9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因不可抗力造成</w:t>
      </w:r>
      <w:r>
        <w:rPr>
          <w:rFonts w:hint="eastAsia" w:ascii="宋体" w:hAnsi="宋体"/>
          <w:color w:val="auto"/>
          <w:sz w:val="24"/>
          <w:highlight w:val="none"/>
        </w:rPr>
        <w:t>承包人未按照主合同约定履行义务的</w:t>
      </w:r>
      <w:r>
        <w:rPr>
          <w:rFonts w:ascii="宋体" w:hAnsi="宋体"/>
          <w:color w:val="auto"/>
          <w:sz w:val="24"/>
          <w:highlight w:val="none"/>
        </w:rPr>
        <w:t>，我方不承担保证</w:t>
      </w:r>
      <w:r>
        <w:rPr>
          <w:rFonts w:hint="eastAsia" w:ascii="宋体" w:hAnsi="宋体"/>
          <w:color w:val="auto"/>
          <w:sz w:val="24"/>
          <w:highlight w:val="none"/>
        </w:rPr>
        <w:t>担保</w:t>
      </w:r>
      <w:r>
        <w:rPr>
          <w:rFonts w:ascii="宋体" w:hAnsi="宋体"/>
          <w:color w:val="auto"/>
          <w:sz w:val="24"/>
          <w:highlight w:val="none"/>
        </w:rPr>
        <w:t>责任。</w:t>
      </w:r>
    </w:p>
    <w:p w14:paraId="254932EC">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七、其他</w:t>
      </w:r>
    </w:p>
    <w:p w14:paraId="56163ED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本保证担保项下的权利不得转让，不得设定担保。贵方未经我方书面同意转让本保证担保或其项下任何权利，</w:t>
      </w:r>
      <w:r>
        <w:rPr>
          <w:rFonts w:hint="eastAsia" w:ascii="宋体" w:hAnsi="宋体"/>
          <w:color w:val="auto"/>
          <w:sz w:val="24"/>
          <w:highlight w:val="none"/>
        </w:rPr>
        <w:t>对我方不发生法律效力</w:t>
      </w:r>
      <w:r>
        <w:rPr>
          <w:rFonts w:ascii="宋体" w:hAnsi="宋体"/>
          <w:color w:val="auto"/>
          <w:sz w:val="24"/>
          <w:highlight w:val="none"/>
        </w:rPr>
        <w:t xml:space="preserve">。 </w:t>
      </w:r>
    </w:p>
    <w:p w14:paraId="2C12028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.本</w:t>
      </w:r>
      <w:r>
        <w:rPr>
          <w:rFonts w:hint="eastAsia" w:ascii="宋体" w:hAnsi="宋体"/>
          <w:color w:val="auto"/>
          <w:sz w:val="24"/>
          <w:highlight w:val="none"/>
        </w:rPr>
        <w:t>保证担保适用的法律为中华人民共和国法律，争议裁判管辖地为中华人民共和国</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w:t>
      </w:r>
      <w:r>
        <w:rPr>
          <w:rFonts w:ascii="宋体" w:hAnsi="宋体"/>
          <w:color w:val="auto"/>
          <w:sz w:val="24"/>
          <w:highlight w:val="none"/>
        </w:rPr>
        <w:t xml:space="preserve"> </w:t>
      </w:r>
    </w:p>
    <w:p w14:paraId="7A15A29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.本</w:t>
      </w:r>
      <w:r>
        <w:rPr>
          <w:rFonts w:hint="eastAsia" w:ascii="宋体" w:hAnsi="宋体"/>
          <w:color w:val="auto"/>
          <w:sz w:val="24"/>
          <w:highlight w:val="none"/>
        </w:rPr>
        <w:t>保证担保</w:t>
      </w:r>
      <w:r>
        <w:rPr>
          <w:rFonts w:ascii="宋体" w:hAnsi="宋体"/>
          <w:color w:val="auto"/>
          <w:sz w:val="24"/>
          <w:highlight w:val="none"/>
        </w:rPr>
        <w:t>自我方法定代表</w:t>
      </w:r>
      <w:r>
        <w:rPr>
          <w:rFonts w:hint="eastAsia" w:ascii="宋体" w:hAnsi="宋体"/>
          <w:color w:val="auto"/>
          <w:sz w:val="24"/>
          <w:highlight w:val="none"/>
        </w:rPr>
        <w:t>人或授权代表</w:t>
      </w:r>
      <w:r>
        <w:rPr>
          <w:rFonts w:ascii="宋体" w:hAnsi="宋体"/>
          <w:color w:val="auto"/>
          <w:sz w:val="24"/>
          <w:highlight w:val="none"/>
        </w:rPr>
        <w:t>签字</w:t>
      </w:r>
      <w:r>
        <w:rPr>
          <w:rFonts w:hint="eastAsia" w:ascii="宋体" w:hAnsi="宋体"/>
          <w:color w:val="auto"/>
          <w:sz w:val="24"/>
          <w:highlight w:val="none"/>
        </w:rPr>
        <w:t>并</w:t>
      </w:r>
      <w:r>
        <w:rPr>
          <w:rFonts w:ascii="宋体" w:hAnsi="宋体"/>
          <w:color w:val="auto"/>
          <w:sz w:val="24"/>
          <w:highlight w:val="none"/>
        </w:rPr>
        <w:t xml:space="preserve">加盖公章之日起生效。 </w:t>
      </w:r>
    </w:p>
    <w:p w14:paraId="21E461BF">
      <w:pPr>
        <w:spacing w:line="360" w:lineRule="auto"/>
        <w:ind w:firstLine="480" w:firstLineChars="200"/>
        <w:rPr>
          <w:rFonts w:ascii="宋体" w:hAnsi="宋体"/>
          <w:color w:val="auto"/>
          <w:sz w:val="24"/>
          <w:highlight w:val="none"/>
        </w:rPr>
      </w:pPr>
    </w:p>
    <w:p w14:paraId="71A7B6B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保 证 人</w:t>
      </w:r>
      <w:r>
        <w:rPr>
          <w:rFonts w:ascii="宋体" w:hAnsi="宋体"/>
          <w:color w:val="auto"/>
          <w:sz w:val="24"/>
          <w:highlight w:val="none"/>
        </w:rPr>
        <w:t xml:space="preserve">：                 </w:t>
      </w:r>
      <w:r>
        <w:rPr>
          <w:rFonts w:hint="eastAsia" w:ascii="宋体" w:hAnsi="宋体"/>
          <w:color w:val="auto"/>
          <w:sz w:val="24"/>
          <w:highlight w:val="none"/>
        </w:rPr>
        <w:t xml:space="preserve">             （公</w:t>
      </w:r>
      <w:r>
        <w:rPr>
          <w:rFonts w:ascii="宋体" w:hAnsi="宋体"/>
          <w:color w:val="auto"/>
          <w:sz w:val="24"/>
          <w:highlight w:val="none"/>
        </w:rPr>
        <w:t xml:space="preserve">章） </w:t>
      </w:r>
    </w:p>
    <w:p w14:paraId="702A5D7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法定代表人（或授权代表）：</w:t>
      </w:r>
      <w:r>
        <w:rPr>
          <w:rFonts w:ascii="宋体" w:hAnsi="宋体"/>
          <w:color w:val="auto"/>
          <w:sz w:val="24"/>
          <w:highlight w:val="none"/>
        </w:rPr>
        <w:t xml:space="preserve">               （签字） </w:t>
      </w:r>
    </w:p>
    <w:p w14:paraId="1A75231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地</w:t>
      </w:r>
      <w:r>
        <w:rPr>
          <w:rFonts w:ascii="宋体" w:hAnsi="宋体"/>
          <w:color w:val="auto"/>
          <w:sz w:val="24"/>
          <w:highlight w:val="none"/>
        </w:rPr>
        <w:t xml:space="preserve">    址：                                       </w:t>
      </w:r>
    </w:p>
    <w:p w14:paraId="28F08B4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邮政编码：</w:t>
      </w:r>
      <w:r>
        <w:rPr>
          <w:rFonts w:ascii="宋体" w:hAnsi="宋体"/>
          <w:color w:val="auto"/>
          <w:sz w:val="24"/>
          <w:highlight w:val="none"/>
        </w:rPr>
        <w:t xml:space="preserve">                 </w:t>
      </w:r>
    </w:p>
    <w:p w14:paraId="2F5A766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w:t>
      </w:r>
      <w:r>
        <w:rPr>
          <w:rFonts w:ascii="宋体" w:hAnsi="宋体"/>
          <w:color w:val="auto"/>
          <w:sz w:val="24"/>
          <w:highlight w:val="none"/>
        </w:rPr>
        <w:t xml:space="preserve">    话：                 </w:t>
      </w:r>
    </w:p>
    <w:p w14:paraId="7716E76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传</w:t>
      </w:r>
      <w:r>
        <w:rPr>
          <w:rFonts w:ascii="宋体" w:hAnsi="宋体"/>
          <w:color w:val="auto"/>
          <w:sz w:val="24"/>
          <w:highlight w:val="none"/>
        </w:rPr>
        <w:t xml:space="preserve">    真：                 </w:t>
      </w:r>
    </w:p>
    <w:p w14:paraId="66013CFD">
      <w:pPr>
        <w:spacing w:line="360" w:lineRule="auto"/>
        <w:ind w:firstLine="480" w:firstLineChars="200"/>
        <w:rPr>
          <w:color w:val="auto"/>
          <w:highlight w:val="none"/>
        </w:rPr>
      </w:pPr>
      <w:r>
        <w:rPr>
          <w:rFonts w:hint="eastAsia" w:ascii="宋体" w:hAnsi="宋体"/>
          <w:color w:val="auto"/>
          <w:sz w:val="24"/>
          <w:highlight w:val="none"/>
        </w:rPr>
        <w:t xml:space="preserve">时 </w:t>
      </w:r>
      <w:r>
        <w:rPr>
          <w:rFonts w:ascii="宋体" w:hAnsi="宋体"/>
          <w:color w:val="auto"/>
          <w:sz w:val="24"/>
          <w:highlight w:val="none"/>
        </w:rPr>
        <w:t xml:space="preserve">   </w:t>
      </w:r>
      <w:r>
        <w:rPr>
          <w:rFonts w:hint="eastAsia" w:ascii="宋体" w:hAnsi="宋体"/>
          <w:color w:val="auto"/>
          <w:sz w:val="24"/>
          <w:highlight w:val="none"/>
        </w:rPr>
        <w:t>间：</w:t>
      </w:r>
      <w:r>
        <w:rPr>
          <w:rFonts w:ascii="宋体" w:hAnsi="宋体"/>
          <w:color w:val="auto"/>
          <w:sz w:val="24"/>
          <w:highlight w:val="none"/>
        </w:rPr>
        <w:t xml:space="preserve">      年      月        日</w:t>
      </w:r>
    </w:p>
    <w:p w14:paraId="3D858569">
      <w:pPr>
        <w:rPr>
          <w:color w:val="auto"/>
          <w:highlight w:val="none"/>
        </w:rPr>
      </w:pPr>
    </w:p>
    <w:p w14:paraId="6A84C784">
      <w:pPr>
        <w:spacing w:line="360" w:lineRule="auto"/>
        <w:ind w:left="1329" w:hanging="1329" w:hangingChars="633"/>
        <w:rPr>
          <w:color w:val="auto"/>
          <w:szCs w:val="21"/>
          <w:highlight w:val="none"/>
        </w:rPr>
      </w:pPr>
    </w:p>
    <w:p w14:paraId="14CC6D7D">
      <w:pPr>
        <w:spacing w:line="360" w:lineRule="auto"/>
        <w:ind w:left="1899" w:hanging="1899" w:hangingChars="633"/>
        <w:rPr>
          <w:rFonts w:eastAsia="仿宋_GB2312"/>
          <w:color w:val="auto"/>
          <w:sz w:val="30"/>
          <w:szCs w:val="30"/>
          <w:highlight w:val="none"/>
        </w:rPr>
        <w:sectPr>
          <w:pgSz w:w="11907" w:h="16840"/>
          <w:pgMar w:top="1440" w:right="1440" w:bottom="1440" w:left="1797" w:header="851" w:footer="851" w:gutter="0"/>
          <w:cols w:space="720" w:num="1"/>
          <w:docGrid w:linePitch="312" w:charSpace="0"/>
        </w:sectPr>
      </w:pPr>
    </w:p>
    <w:p w14:paraId="501B3265">
      <w:pPr>
        <w:pStyle w:val="2"/>
        <w:rPr>
          <w:color w:val="auto"/>
          <w:highlight w:val="none"/>
        </w:rPr>
      </w:pPr>
      <w:bookmarkStart w:id="165" w:name="_Toc30051"/>
      <w:r>
        <w:rPr>
          <w:color w:val="auto"/>
          <w:highlight w:val="none"/>
        </w:rPr>
        <w:t>第五章</w:t>
      </w:r>
      <w:r>
        <w:rPr>
          <w:rFonts w:hint="eastAsia"/>
          <w:color w:val="auto"/>
          <w:highlight w:val="none"/>
        </w:rPr>
        <w:t xml:space="preserve"> 发包人要求</w:t>
      </w:r>
      <w:bookmarkEnd w:id="165"/>
    </w:p>
    <w:p w14:paraId="18D5ACB6">
      <w:pPr>
        <w:jc w:val="center"/>
        <w:rPr>
          <w:b/>
          <w:bCs/>
          <w:color w:val="auto"/>
          <w:kern w:val="44"/>
          <w:sz w:val="32"/>
          <w:szCs w:val="32"/>
          <w:highlight w:val="none"/>
        </w:rPr>
      </w:pPr>
    </w:p>
    <w:p w14:paraId="616C13AF">
      <w:pPr>
        <w:pStyle w:val="3"/>
        <w:keepLines w:val="0"/>
        <w:pageBreakBefore w:val="0"/>
        <w:widowControl w:val="0"/>
        <w:kinsoku/>
        <w:wordWrap w:val="0"/>
        <w:overflowPunct/>
        <w:topLinePunct w:val="0"/>
        <w:bidi w:val="0"/>
        <w:adjustRightInd/>
        <w:snapToGrid/>
        <w:spacing w:line="360" w:lineRule="auto"/>
        <w:textAlignment w:val="auto"/>
        <w:rPr>
          <w:rFonts w:ascii="宋体" w:hAnsi="宋体" w:eastAsia="宋体" w:cs="宋体"/>
          <w:color w:val="auto"/>
          <w:highlight w:val="none"/>
        </w:rPr>
      </w:pPr>
      <w:bookmarkStart w:id="166" w:name="_Toc8664"/>
      <w:r>
        <w:rPr>
          <w:rFonts w:hint="eastAsia" w:ascii="宋体" w:hAnsi="宋体" w:eastAsia="宋体" w:cs="宋体"/>
          <w:color w:val="auto"/>
          <w:highlight w:val="none"/>
        </w:rPr>
        <w:t>一、设计要求</w:t>
      </w:r>
      <w:bookmarkEnd w:id="166"/>
    </w:p>
    <w:p w14:paraId="01215B6D">
      <w:pPr>
        <w:keepLines w:val="0"/>
        <w:pageBreakBefore w:val="0"/>
        <w:widowControl w:val="0"/>
        <w:kinsoku/>
        <w:wordWrap w:val="0"/>
        <w:overflowPunct/>
        <w:topLinePunct w:val="0"/>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招标人应当根据项目情况在本章中明确相应的设计要求，包括以下内容：</w:t>
      </w:r>
    </w:p>
    <w:p w14:paraId="793A2057">
      <w:pPr>
        <w:keepLines w:val="0"/>
        <w:pageBreakBefore w:val="0"/>
        <w:widowControl w:val="0"/>
        <w:kinsoku/>
        <w:wordWrap w:val="0"/>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项目概况</w:t>
      </w:r>
    </w:p>
    <w:p w14:paraId="5F343DA8">
      <w:pPr>
        <w:keepLines w:val="0"/>
        <w:pageBreakBefore w:val="0"/>
        <w:widowControl w:val="0"/>
        <w:kinsoku/>
        <w:wordWrap w:val="0"/>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项目名称：桂林理工大学自然资源科研楼工程设计服务。</w:t>
      </w:r>
    </w:p>
    <w:p w14:paraId="64A92681">
      <w:pPr>
        <w:keepLines w:val="0"/>
        <w:pageBreakBefore w:val="0"/>
        <w:widowControl w:val="0"/>
        <w:kinsoku/>
        <w:wordWrap w:val="0"/>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建设单位：桂林理工大学屏风校区内（桂林市七星区建干路12号）。</w:t>
      </w:r>
    </w:p>
    <w:p w14:paraId="343302EF">
      <w:pPr>
        <w:keepLines w:val="0"/>
        <w:pageBreakBefore w:val="0"/>
        <w:widowControl w:val="0"/>
        <w:kinsoku/>
        <w:wordWrap w:val="0"/>
        <w:overflowPunct/>
        <w:topLinePunct w:val="0"/>
        <w:autoSpaceDE w:val="0"/>
        <w:autoSpaceDN w:val="0"/>
        <w:bidi w:val="0"/>
        <w:adjustRightInd/>
        <w:snapToGrid/>
        <w:spacing w:line="360" w:lineRule="auto"/>
        <w:ind w:firstLine="420" w:firstLineChars="200"/>
        <w:jc w:val="left"/>
        <w:textAlignment w:val="auto"/>
        <w:rPr>
          <w:rFonts w:hint="eastAsia" w:ascii="宋体" w:hAnsi="宋体" w:cs="宋体" w:eastAsiaTheme="majorEastAsia"/>
          <w:color w:val="auto"/>
          <w:szCs w:val="21"/>
          <w:highlight w:val="none"/>
          <w:lang w:eastAsia="zh-CN"/>
        </w:rPr>
      </w:pPr>
      <w:r>
        <w:rPr>
          <w:rFonts w:hint="eastAsia" w:ascii="宋体" w:hAnsi="宋体" w:cs="宋体"/>
          <w:color w:val="auto"/>
          <w:szCs w:val="21"/>
          <w:highlight w:val="none"/>
        </w:rPr>
        <w:t>建设规模：</w:t>
      </w:r>
      <w:r>
        <w:rPr>
          <w:rFonts w:hint="eastAsia" w:ascii="宋体" w:hAnsi="宋体" w:cs="宋体"/>
          <w:color w:val="auto"/>
          <w:szCs w:val="21"/>
          <w:highlight w:val="none"/>
        </w:rPr>
        <w:t>项目拆除校内 1 栋教学楼，拆除面积 4956.10 平方米。拆除后新建 1 栋科研楼，总建筑面积 19695.35 平方米，其中地上建筑面积 16212.93 平方米，地下建筑面积 3482.42 平方米。</w:t>
      </w:r>
    </w:p>
    <w:p w14:paraId="229C5B3E">
      <w:pPr>
        <w:keepLines w:val="0"/>
        <w:pageBreakBefore w:val="0"/>
        <w:widowControl w:val="0"/>
        <w:kinsoku/>
        <w:wordWrap w:val="0"/>
        <w:overflowPunct/>
        <w:topLinePunct w:val="0"/>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2.设计阶段、范围及内容：</w:t>
      </w:r>
    </w:p>
    <w:p w14:paraId="1BA66B26">
      <w:pPr>
        <w:keepLines w:val="0"/>
        <w:pageBreakBefore w:val="0"/>
        <w:widowControl w:val="0"/>
        <w:kinsoku/>
        <w:wordWrap w:val="0"/>
        <w:overflowPunct/>
        <w:topLinePunct w:val="0"/>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设计阶段：</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概念性方案设计  </w:t>
      </w:r>
      <w:r>
        <w:rPr>
          <w:rFonts w:hint="eastAsia" w:ascii="宋体" w:hAnsi="宋体" w:cs="宋体"/>
          <w:color w:val="auto"/>
          <w:szCs w:val="21"/>
          <w:highlight w:val="none"/>
          <w:lang w:eastAsia="zh-CN"/>
        </w:rPr>
        <w:t>□</w:t>
      </w:r>
      <w:r>
        <w:rPr>
          <w:rFonts w:hint="eastAsia" w:ascii="宋体" w:hAnsi="宋体" w:cs="宋体"/>
          <w:color w:val="auto"/>
          <w:szCs w:val="21"/>
          <w:highlight w:val="none"/>
        </w:rPr>
        <w:t>实施性方案设计  ☑初步设</w:t>
      </w:r>
      <w:r>
        <w:rPr>
          <w:rFonts w:hint="eastAsia" w:ascii="宋体" w:hAnsi="宋体" w:eastAsia="宋体" w:cs="宋体"/>
          <w:color w:val="auto"/>
          <w:szCs w:val="21"/>
          <w:highlight w:val="none"/>
        </w:rPr>
        <w:t>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含概算编制</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w:t>
      </w:r>
      <w:r>
        <w:rPr>
          <w:rFonts w:hint="eastAsia" w:ascii="宋体" w:hAnsi="宋体" w:cs="宋体"/>
          <w:color w:val="auto"/>
          <w:szCs w:val="21"/>
          <w:highlight w:val="none"/>
        </w:rPr>
        <w:t>施工图设计</w:t>
      </w:r>
    </w:p>
    <w:p w14:paraId="52D6D618">
      <w:pPr>
        <w:keepLines w:val="0"/>
        <w:pageBreakBefore w:val="0"/>
        <w:widowControl w:val="0"/>
        <w:kinsoku/>
        <w:wordWrap w:val="0"/>
        <w:overflowPunct/>
        <w:topLinePunct w:val="0"/>
        <w:bidi w:val="0"/>
        <w:adjustRightInd/>
        <w:snapToGrid/>
        <w:spacing w:line="360" w:lineRule="auto"/>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rPr>
        <w:t>设计范围：</w:t>
      </w:r>
      <w:r>
        <w:rPr>
          <w:rFonts w:hint="eastAsia" w:ascii="宋体" w:hAnsi="宋体" w:cs="宋体"/>
          <w:color w:val="auto"/>
          <w:szCs w:val="21"/>
          <w:highlight w:val="none"/>
          <w:u w:val="single"/>
        </w:rPr>
        <w:t>主要建设内容和建设规模:新建一栋科研楼，总建筑面积19800平方米。主要建设内容包括建筑工程、装饰装修工程、给排水工程、电气工程、消防工程、智能化工程、通风工程及相关附属配套设施等</w:t>
      </w:r>
      <w:r>
        <w:rPr>
          <w:rFonts w:hint="eastAsia" w:ascii="宋体" w:hAnsi="宋体" w:cs="宋体"/>
          <w:color w:val="auto"/>
          <w:szCs w:val="21"/>
          <w:highlight w:val="none"/>
        </w:rPr>
        <w:t>。</w:t>
      </w:r>
    </w:p>
    <w:p w14:paraId="5A9732BE">
      <w:pPr>
        <w:keepLines w:val="0"/>
        <w:pageBreakBefore w:val="0"/>
        <w:widowControl w:val="0"/>
        <w:kinsoku/>
        <w:wordWrap w:val="0"/>
        <w:overflowPunct/>
        <w:topLinePunct w:val="0"/>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rPr>
        <w:t>设计内容：初步设</w:t>
      </w:r>
      <w:r>
        <w:rPr>
          <w:rFonts w:hint="eastAsia" w:ascii="宋体" w:hAnsi="宋体" w:eastAsia="宋体" w:cs="宋体"/>
          <w:color w:val="auto"/>
          <w:szCs w:val="21"/>
          <w:highlight w:val="none"/>
        </w:rPr>
        <w:t>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含概算编制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施工图设计。</w:t>
      </w:r>
    </w:p>
    <w:p w14:paraId="3E799A11">
      <w:pPr>
        <w:keepLines w:val="0"/>
        <w:pageBreakBefore w:val="0"/>
        <w:widowControl w:val="0"/>
        <w:kinsoku/>
        <w:wordWrap w:val="0"/>
        <w:overflowPunct/>
        <w:topLinePunct w:val="0"/>
        <w:autoSpaceDE w:val="0"/>
        <w:autoSpaceDN w:val="0"/>
        <w:bidi w:val="0"/>
        <w:adjustRightInd/>
        <w:snapToGrid/>
        <w:spacing w:line="360" w:lineRule="auto"/>
        <w:ind w:firstLine="400" w:firstLineChars="200"/>
        <w:jc w:val="left"/>
        <w:textAlignment w:val="auto"/>
        <w:rPr>
          <w:rFonts w:hint="eastAsia" w:ascii="宋体" w:hAnsi="宋体" w:eastAsia="宋体" w:cs="宋体"/>
          <w:color w:val="auto"/>
          <w:szCs w:val="21"/>
          <w:highlight w:val="none"/>
        </w:rPr>
      </w:pPr>
      <w:r>
        <w:rPr>
          <w:rFonts w:hint="eastAsia" w:ascii="宋体" w:hAnsi="宋体" w:cs="宋体"/>
          <w:color w:val="auto"/>
          <w:spacing w:val="-5"/>
          <w:szCs w:val="21"/>
          <w:highlight w:val="none"/>
        </w:rPr>
        <w:t>☑</w:t>
      </w:r>
      <w:r>
        <w:rPr>
          <w:rFonts w:hint="eastAsia" w:ascii="宋体" w:hAnsi="宋体" w:eastAsia="宋体" w:cs="宋体"/>
          <w:color w:val="auto"/>
          <w:szCs w:val="21"/>
          <w:highlight w:val="none"/>
        </w:rPr>
        <w:t>建筑工程包括建筑工程、结构工程、给排水工程、电气工程、暖通工程、人防工程、室内装修工程、室外工程、智能化系统工程、工程概（预）算、绿色建筑等。</w:t>
      </w:r>
    </w:p>
    <w:p w14:paraId="76A42622">
      <w:pPr>
        <w:keepLines w:val="0"/>
        <w:pageBreakBefore w:val="0"/>
        <w:widowControl w:val="0"/>
        <w:kinsoku/>
        <w:wordWrap w:val="0"/>
        <w:overflowPunct/>
        <w:topLinePunct w:val="0"/>
        <w:bidi w:val="0"/>
        <w:adjustRightInd/>
        <w:snapToGrid/>
        <w:spacing w:line="360" w:lineRule="auto"/>
        <w:ind w:firstLine="420" w:firstLineChars="200"/>
        <w:textAlignment w:val="auto"/>
        <w:rPr>
          <w:rFonts w:ascii="宋体" w:hAnsi="宋体" w:cs="宋体"/>
          <w:color w:val="auto"/>
          <w:highlight w:val="none"/>
          <w:u w:val="single"/>
        </w:rPr>
      </w:pPr>
      <w:r>
        <w:rPr>
          <w:rFonts w:hint="eastAsia" w:ascii="宋体" w:hAnsi="宋体" w:cs="宋体"/>
          <w:color w:val="auto"/>
          <w:highlight w:val="none"/>
        </w:rPr>
        <w:t>3. 设计依据：</w:t>
      </w:r>
      <w:r>
        <w:rPr>
          <w:rFonts w:hint="eastAsia" w:ascii="宋体" w:hAnsi="宋体" w:cs="宋体"/>
          <w:color w:val="auto"/>
          <w:spacing w:val="-5"/>
          <w:szCs w:val="21"/>
          <w:highlight w:val="none"/>
          <w:u w:val="single"/>
        </w:rPr>
        <w:t>与工程设计有关的依据性文件的名称和文号，如选址及环境评价报告、用地红线图、规划条件、政府有关主管部门对立项报告的批文等；国家、行业、项目所在地规范、标准、规程名录等；项目相关的设计资料</w:t>
      </w:r>
      <w:r>
        <w:rPr>
          <w:rFonts w:hint="eastAsia" w:ascii="宋体" w:hAnsi="宋体" w:cs="宋体"/>
          <w:color w:val="auto"/>
          <w:spacing w:val="-5"/>
          <w:szCs w:val="21"/>
          <w:highlight w:val="none"/>
        </w:rPr>
        <w:t>。</w:t>
      </w:r>
    </w:p>
    <w:p w14:paraId="772F5E64">
      <w:pPr>
        <w:keepLines w:val="0"/>
        <w:pageBreakBefore w:val="0"/>
        <w:widowControl w:val="0"/>
        <w:kinsoku/>
        <w:wordWrap w:val="0"/>
        <w:overflowPunct/>
        <w:topLinePunct w:val="0"/>
        <w:bidi w:val="0"/>
        <w:adjustRightInd/>
        <w:snapToGrid/>
        <w:spacing w:line="360" w:lineRule="auto"/>
        <w:ind w:firstLine="420" w:firstLineChars="200"/>
        <w:textAlignment w:val="auto"/>
        <w:rPr>
          <w:rFonts w:ascii="宋体" w:hAnsi="宋体" w:cs="宋体"/>
          <w:color w:val="auto"/>
          <w:highlight w:val="none"/>
          <w:u w:val="single"/>
        </w:rPr>
      </w:pPr>
      <w:r>
        <w:rPr>
          <w:rFonts w:hint="eastAsia" w:ascii="宋体" w:hAnsi="宋体" w:cs="宋体"/>
          <w:color w:val="auto"/>
          <w:highlight w:val="none"/>
        </w:rPr>
        <w:t>4. 项目使用功能的要求</w:t>
      </w:r>
      <w:r>
        <w:rPr>
          <w:rFonts w:hint="eastAsia" w:ascii="宋体" w:hAnsi="宋体" w:cs="宋体"/>
          <w:color w:val="auto"/>
          <w:highlight w:val="none"/>
          <w:lang w:eastAsia="zh-CN"/>
        </w:rPr>
        <w:t>：</w:t>
      </w:r>
      <w:r>
        <w:rPr>
          <w:rFonts w:hint="eastAsia" w:ascii="宋体" w:hAnsi="宋体" w:cs="宋体"/>
          <w:color w:val="auto"/>
          <w:highlight w:val="none"/>
          <w:u w:val="single"/>
        </w:rPr>
        <w:t>包含设计标准、设计风格（色彩、布置）、室内装修标准、经济性、使用功能等。</w:t>
      </w:r>
    </w:p>
    <w:p w14:paraId="42928861">
      <w:pPr>
        <w:keepNext w:val="0"/>
        <w:keepLines w:val="0"/>
        <w:pageBreakBefore w:val="0"/>
        <w:widowControl w:val="0"/>
        <w:kinsoku/>
        <w:wordWrap w:val="0"/>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5. 设计人员要求：包含项目负责人要求（职称、执业资格、从业年限等）、设计团队要求（各专业人员数量、职称、执业资格、从业年限等）、现场服务人员等</w:t>
      </w:r>
      <w:r>
        <w:rPr>
          <w:rFonts w:hint="eastAsia" w:ascii="宋体" w:hAnsi="宋体" w:eastAsia="宋体" w:cs="宋体"/>
          <w:color w:val="auto"/>
          <w:spacing w:val="-5"/>
          <w:szCs w:val="21"/>
          <w:highlight w:val="none"/>
          <w:lang w:eastAsia="zh-CN"/>
        </w:rPr>
        <w:t>，</w:t>
      </w:r>
      <w:r>
        <w:rPr>
          <w:rFonts w:hint="eastAsia" w:ascii="宋体" w:hAnsi="宋体" w:eastAsia="宋体" w:cs="宋体"/>
          <w:color w:val="auto"/>
          <w:spacing w:val="-5"/>
          <w:szCs w:val="21"/>
          <w:highlight w:val="none"/>
          <w:lang w:val="en-US" w:eastAsia="zh-CN"/>
        </w:rPr>
        <w:t>详见投标人须知前附表</w:t>
      </w:r>
      <w:r>
        <w:rPr>
          <w:rFonts w:hint="eastAsia" w:ascii="宋体" w:hAnsi="宋体" w:eastAsia="宋体" w:cs="宋体"/>
          <w:color w:val="auto"/>
          <w:spacing w:val="-5"/>
          <w:szCs w:val="21"/>
          <w:highlight w:val="none"/>
        </w:rPr>
        <w:t>。</w:t>
      </w:r>
    </w:p>
    <w:p w14:paraId="3A73D185">
      <w:pPr>
        <w:keepNext w:val="0"/>
        <w:keepLines w:val="0"/>
        <w:pageBreakBefore w:val="0"/>
        <w:widowControl w:val="0"/>
        <w:kinsoku/>
        <w:wordWrap w:val="0"/>
        <w:overflowPunct/>
        <w:topLinePunct w:val="0"/>
        <w:autoSpaceDE/>
        <w:autoSpaceDN/>
        <w:bidi w:val="0"/>
        <w:adjustRightInd/>
        <w:snapToGrid/>
        <w:spacing w:line="360" w:lineRule="auto"/>
        <w:ind w:firstLine="400" w:firstLineChars="200"/>
        <w:textAlignment w:val="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6.服务期限：</w:t>
      </w:r>
      <w:r>
        <w:rPr>
          <w:rFonts w:hint="eastAsia" w:ascii="宋体" w:hAnsi="宋体" w:eastAsia="宋体" w:cs="宋体"/>
          <w:color w:val="auto"/>
          <w:spacing w:val="-5"/>
          <w:szCs w:val="21"/>
          <w:highlight w:val="none"/>
          <w:lang w:val="en-US" w:eastAsia="zh-CN"/>
        </w:rPr>
        <w:t>详见投标人须知前附表</w:t>
      </w:r>
    </w:p>
    <w:p w14:paraId="21ADED02">
      <w:pPr>
        <w:keepLines w:val="0"/>
        <w:pageBreakBefore w:val="0"/>
        <w:widowControl w:val="0"/>
        <w:kinsoku/>
        <w:wordWrap w:val="0"/>
        <w:overflowPunct/>
        <w:topLinePunct w:val="0"/>
        <w:bidi w:val="0"/>
        <w:adjustRightInd/>
        <w:snapToGrid/>
        <w:spacing w:line="360" w:lineRule="auto"/>
        <w:ind w:firstLine="420" w:firstLineChars="200"/>
        <w:textAlignment w:val="auto"/>
        <w:rPr>
          <w:color w:val="auto"/>
          <w:szCs w:val="21"/>
          <w:highlight w:val="none"/>
        </w:rPr>
      </w:pPr>
      <w:r>
        <w:rPr>
          <w:rFonts w:hint="eastAsia"/>
          <w:color w:val="auto"/>
          <w:szCs w:val="21"/>
          <w:highlight w:val="none"/>
        </w:rPr>
        <w:t>7. 其他要求：</w:t>
      </w:r>
      <w:r>
        <w:rPr>
          <w:rFonts w:hint="eastAsia"/>
          <w:color w:val="auto"/>
          <w:szCs w:val="21"/>
          <w:highlight w:val="none"/>
          <w:u w:val="single"/>
        </w:rPr>
        <w:t xml:space="preserve">                    /                                       </w:t>
      </w:r>
      <w:r>
        <w:rPr>
          <w:rFonts w:hint="eastAsia"/>
          <w:color w:val="auto"/>
          <w:szCs w:val="21"/>
          <w:highlight w:val="none"/>
        </w:rPr>
        <w:t>。</w:t>
      </w:r>
    </w:p>
    <w:p w14:paraId="6C676702">
      <w:pPr>
        <w:pStyle w:val="3"/>
        <w:keepLines w:val="0"/>
        <w:pageBreakBefore w:val="0"/>
        <w:widowControl w:val="0"/>
        <w:kinsoku/>
        <w:wordWrap w:val="0"/>
        <w:overflowPunct/>
        <w:topLinePunct w:val="0"/>
        <w:bidi w:val="0"/>
        <w:adjustRightInd/>
        <w:snapToGrid/>
        <w:spacing w:line="360" w:lineRule="auto"/>
        <w:textAlignment w:val="auto"/>
        <w:rPr>
          <w:color w:val="auto"/>
          <w:highlight w:val="none"/>
        </w:rPr>
      </w:pPr>
      <w:bookmarkStart w:id="167" w:name="_Toc9785"/>
      <w:r>
        <w:rPr>
          <w:rFonts w:hint="eastAsia"/>
          <w:color w:val="auto"/>
          <w:highlight w:val="none"/>
        </w:rPr>
        <w:t>二、适用规范标准</w:t>
      </w:r>
      <w:bookmarkEnd w:id="167"/>
    </w:p>
    <w:p w14:paraId="5C2111A6">
      <w:pPr>
        <w:keepLines w:val="0"/>
        <w:pageBreakBefore w:val="0"/>
        <w:widowControl w:val="0"/>
        <w:kinsoku/>
        <w:wordWrap w:val="0"/>
        <w:overflowPunct/>
        <w:topLinePunct w:val="0"/>
        <w:bidi w:val="0"/>
        <w:adjustRightInd/>
        <w:snapToGrid/>
        <w:spacing w:line="360" w:lineRule="auto"/>
        <w:ind w:firstLine="420" w:firstLineChars="200"/>
        <w:textAlignment w:val="auto"/>
        <w:rPr>
          <w:color w:val="auto"/>
          <w:szCs w:val="21"/>
          <w:highlight w:val="none"/>
        </w:rPr>
      </w:pPr>
      <w:r>
        <w:rPr>
          <w:rFonts w:hint="eastAsia"/>
          <w:color w:val="auto"/>
          <w:szCs w:val="21"/>
          <w:highlight w:val="none"/>
        </w:rPr>
        <w:t>1.  国家、行业、项目所在地规范名录：包括国家、行业及项目所在地有关建设工程设计的规范名录。</w:t>
      </w:r>
    </w:p>
    <w:p w14:paraId="51DD2EA6">
      <w:pPr>
        <w:keepLines w:val="0"/>
        <w:pageBreakBefore w:val="0"/>
        <w:widowControl w:val="0"/>
        <w:kinsoku/>
        <w:wordWrap w:val="0"/>
        <w:overflowPunct/>
        <w:topLinePunct w:val="0"/>
        <w:bidi w:val="0"/>
        <w:adjustRightInd/>
        <w:snapToGrid/>
        <w:spacing w:line="360" w:lineRule="auto"/>
        <w:ind w:firstLine="420" w:firstLineChars="200"/>
        <w:textAlignment w:val="auto"/>
        <w:rPr>
          <w:color w:val="auto"/>
          <w:szCs w:val="21"/>
          <w:highlight w:val="none"/>
        </w:rPr>
      </w:pPr>
      <w:r>
        <w:rPr>
          <w:rFonts w:hint="eastAsia"/>
          <w:color w:val="auto"/>
          <w:szCs w:val="21"/>
          <w:highlight w:val="none"/>
        </w:rPr>
        <w:t>2.  国家、行业、项目所在地标准名录：</w:t>
      </w:r>
      <w:r>
        <w:rPr>
          <w:rFonts w:hint="eastAsia" w:ascii="宋体" w:hAnsi="宋体"/>
          <w:color w:val="auto"/>
          <w:szCs w:val="21"/>
          <w:highlight w:val="none"/>
        </w:rPr>
        <w:t>包括国家、行业及项目所在地有关建设工程设计的标准名录。</w:t>
      </w:r>
    </w:p>
    <w:p w14:paraId="34D60315">
      <w:pPr>
        <w:keepLines w:val="0"/>
        <w:pageBreakBefore w:val="0"/>
        <w:widowControl w:val="0"/>
        <w:kinsoku/>
        <w:wordWrap w:val="0"/>
        <w:overflowPunct/>
        <w:topLinePunct w:val="0"/>
        <w:bidi w:val="0"/>
        <w:adjustRightInd/>
        <w:snapToGrid/>
        <w:spacing w:line="360" w:lineRule="auto"/>
        <w:ind w:firstLine="420" w:firstLineChars="200"/>
        <w:textAlignment w:val="auto"/>
        <w:rPr>
          <w:color w:val="auto"/>
          <w:szCs w:val="21"/>
          <w:highlight w:val="none"/>
        </w:rPr>
      </w:pPr>
      <w:r>
        <w:rPr>
          <w:rFonts w:hint="eastAsia"/>
          <w:color w:val="auto"/>
          <w:szCs w:val="21"/>
          <w:highlight w:val="none"/>
        </w:rPr>
        <w:t>3.  国家、行业、项目所在地规程名录：</w:t>
      </w:r>
      <w:r>
        <w:rPr>
          <w:rFonts w:hint="eastAsia" w:ascii="宋体" w:hAnsi="宋体"/>
          <w:color w:val="auto"/>
          <w:szCs w:val="21"/>
          <w:highlight w:val="none"/>
        </w:rPr>
        <w:t>包括国家、行业及项目所在地有关建设工程设计的规程名录。</w:t>
      </w:r>
    </w:p>
    <w:p w14:paraId="171739AA">
      <w:pPr>
        <w:pStyle w:val="3"/>
        <w:spacing w:line="380" w:lineRule="exact"/>
        <w:rPr>
          <w:color w:val="auto"/>
          <w:highlight w:val="none"/>
        </w:rPr>
      </w:pPr>
      <w:bookmarkStart w:id="168" w:name="_Toc6924"/>
      <w:r>
        <w:rPr>
          <w:rFonts w:hint="eastAsia"/>
          <w:color w:val="auto"/>
          <w:highlight w:val="none"/>
        </w:rPr>
        <w:t>三、成果文件要求</w:t>
      </w:r>
      <w:bookmarkEnd w:id="168"/>
    </w:p>
    <w:p w14:paraId="606B335E">
      <w:pPr>
        <w:spacing w:line="380" w:lineRule="exact"/>
        <w:ind w:firstLine="420" w:firstLineChars="200"/>
        <w:rPr>
          <w:color w:val="auto"/>
          <w:szCs w:val="21"/>
          <w:highlight w:val="none"/>
        </w:rPr>
      </w:pPr>
      <w:r>
        <w:rPr>
          <w:rFonts w:hint="eastAsia"/>
          <w:color w:val="auto"/>
          <w:szCs w:val="21"/>
          <w:highlight w:val="none"/>
        </w:rPr>
        <w:t>1.  成果文件的组成：</w:t>
      </w:r>
    </w:p>
    <w:p w14:paraId="3D5268BA">
      <w:pPr>
        <w:spacing w:line="380" w:lineRule="exact"/>
        <w:ind w:firstLine="420" w:firstLineChars="200"/>
        <w:rPr>
          <w:color w:val="auto"/>
          <w:szCs w:val="21"/>
          <w:highlight w:val="none"/>
        </w:rPr>
      </w:pPr>
      <w:r>
        <w:rPr>
          <w:rFonts w:hint="eastAsia"/>
          <w:color w:val="auto"/>
          <w:szCs w:val="21"/>
          <w:highlight w:val="none"/>
          <w:lang w:eastAsia="zh-CN"/>
        </w:rPr>
        <w:t>□</w:t>
      </w:r>
      <w:r>
        <w:rPr>
          <w:rFonts w:hint="eastAsia"/>
          <w:color w:val="auto"/>
          <w:szCs w:val="21"/>
          <w:highlight w:val="none"/>
        </w:rPr>
        <w:t xml:space="preserve"> 方案设计：设计总说明、设计图纸（含效果图）。</w:t>
      </w:r>
    </w:p>
    <w:p w14:paraId="35C2A24D">
      <w:pPr>
        <w:spacing w:line="380" w:lineRule="exact"/>
        <w:ind w:firstLine="420" w:firstLineChars="200"/>
        <w:rPr>
          <w:color w:val="auto"/>
          <w:szCs w:val="21"/>
          <w:highlight w:val="none"/>
        </w:rPr>
      </w:pPr>
      <w:r>
        <w:rPr>
          <w:rFonts w:hint="eastAsia"/>
          <w:color w:val="auto"/>
          <w:szCs w:val="21"/>
          <w:highlight w:val="none"/>
        </w:rPr>
        <w:t>☑ 初步设计：设计说明书、有关专业的设计图纸、主要工程量及材料（设备）表、工程概算书、有关专业计算书、其它资料（如设计依据文件、纪要、专题研究成果等资料）。</w:t>
      </w:r>
    </w:p>
    <w:p w14:paraId="52B54194">
      <w:pPr>
        <w:spacing w:line="380" w:lineRule="exact"/>
        <w:ind w:firstLine="420" w:firstLineChars="200"/>
        <w:rPr>
          <w:color w:val="auto"/>
          <w:szCs w:val="21"/>
          <w:highlight w:val="none"/>
        </w:rPr>
      </w:pPr>
      <w:r>
        <w:rPr>
          <w:rFonts w:hint="eastAsia"/>
          <w:color w:val="auto"/>
          <w:szCs w:val="21"/>
          <w:highlight w:val="none"/>
          <w:lang w:eastAsia="zh-CN"/>
        </w:rPr>
        <w:t>☑</w:t>
      </w:r>
      <w:r>
        <w:rPr>
          <w:rFonts w:hint="eastAsia"/>
          <w:color w:val="auto"/>
          <w:szCs w:val="21"/>
          <w:highlight w:val="none"/>
        </w:rPr>
        <w:t xml:space="preserve"> 施工图设计：有关专业的设计图纸、主要工程量及材料（设备）表、各专业计算书、其它资料（如设计依据文件、纪要、专题研究成果等资料）。</w:t>
      </w:r>
    </w:p>
    <w:p w14:paraId="0FC3ED11">
      <w:pPr>
        <w:spacing w:line="380" w:lineRule="exact"/>
        <w:ind w:firstLine="420" w:firstLineChars="200"/>
        <w:rPr>
          <w:color w:val="auto"/>
          <w:szCs w:val="21"/>
          <w:highlight w:val="none"/>
        </w:rPr>
      </w:pPr>
      <w:r>
        <w:rPr>
          <w:rFonts w:hint="eastAsia"/>
          <w:color w:val="auto"/>
          <w:szCs w:val="21"/>
          <w:highlight w:val="none"/>
        </w:rPr>
        <w:t>2.  成果文件的深度：成果文件的深度符合国家、地方的相关规范、标准、规程等要求。</w:t>
      </w:r>
    </w:p>
    <w:p w14:paraId="5FFA0992">
      <w:pPr>
        <w:spacing w:line="380" w:lineRule="exact"/>
        <w:ind w:firstLine="420" w:firstLineChars="200"/>
        <w:rPr>
          <w:color w:val="auto"/>
          <w:szCs w:val="21"/>
          <w:highlight w:val="none"/>
        </w:rPr>
      </w:pPr>
      <w:r>
        <w:rPr>
          <w:rFonts w:hint="eastAsia"/>
          <w:color w:val="auto"/>
          <w:szCs w:val="21"/>
          <w:highlight w:val="none"/>
        </w:rPr>
        <w:t>3.  成果文件的格式要求：明确文本、图纸规格、装订要求、电子版格式等。</w:t>
      </w:r>
    </w:p>
    <w:p w14:paraId="7DF52FB2">
      <w:pPr>
        <w:spacing w:line="380" w:lineRule="exact"/>
        <w:ind w:firstLine="420" w:firstLineChars="200"/>
        <w:rPr>
          <w:color w:val="auto"/>
          <w:szCs w:val="21"/>
          <w:highlight w:val="none"/>
        </w:rPr>
      </w:pPr>
      <w:r>
        <w:rPr>
          <w:rFonts w:hint="eastAsia"/>
          <w:color w:val="auto"/>
          <w:szCs w:val="21"/>
          <w:highlight w:val="none"/>
        </w:rPr>
        <w:t>4.  成果文件的份数要求：</w:t>
      </w:r>
      <w:r>
        <w:rPr>
          <w:rFonts w:hint="eastAsia"/>
          <w:color w:val="auto"/>
          <w:szCs w:val="21"/>
          <w:highlight w:val="none"/>
          <w:u w:val="single"/>
          <w:lang w:val="en-US" w:eastAsia="zh-CN"/>
        </w:rPr>
        <w:t>6</w:t>
      </w:r>
      <w:r>
        <w:rPr>
          <w:rFonts w:hint="eastAsia" w:ascii="宋体" w:hAnsi="宋体" w:cs="宋体"/>
          <w:color w:val="auto"/>
          <w:szCs w:val="21"/>
          <w:highlight w:val="none"/>
          <w:u w:val="single"/>
        </w:rPr>
        <w:t>份</w:t>
      </w:r>
      <w:r>
        <w:rPr>
          <w:rFonts w:hint="eastAsia"/>
          <w:color w:val="auto"/>
          <w:szCs w:val="21"/>
          <w:highlight w:val="none"/>
          <w:u w:val="single"/>
        </w:rPr>
        <w:t xml:space="preserve">  </w:t>
      </w:r>
      <w:r>
        <w:rPr>
          <w:rFonts w:hint="eastAsia"/>
          <w:color w:val="auto"/>
          <w:szCs w:val="21"/>
          <w:highlight w:val="none"/>
        </w:rPr>
        <w:t>。</w:t>
      </w:r>
    </w:p>
    <w:p w14:paraId="69D78BF6">
      <w:pPr>
        <w:spacing w:line="380" w:lineRule="exact"/>
        <w:ind w:firstLine="420" w:firstLineChars="200"/>
        <w:rPr>
          <w:color w:val="auto"/>
          <w:szCs w:val="21"/>
          <w:highlight w:val="none"/>
        </w:rPr>
      </w:pPr>
      <w:r>
        <w:rPr>
          <w:rFonts w:hint="eastAsia"/>
          <w:color w:val="auto"/>
          <w:szCs w:val="21"/>
          <w:highlight w:val="none"/>
        </w:rPr>
        <w:t>5.  成果文件的载体要求：</w:t>
      </w:r>
    </w:p>
    <w:p w14:paraId="11617A8C">
      <w:pPr>
        <w:spacing w:line="380" w:lineRule="exact"/>
        <w:ind w:firstLine="420" w:firstLineChars="200"/>
        <w:rPr>
          <w:rFonts w:hint="eastAsia" w:ascii="宋体" w:hAnsi="宋体" w:eastAsia="宋体" w:cs="Times New Roman"/>
          <w:color w:val="auto"/>
          <w:szCs w:val="21"/>
          <w:highlight w:val="none"/>
          <w:u w:val="single"/>
        </w:rPr>
      </w:pPr>
      <w:r>
        <w:rPr>
          <w:rFonts w:hint="eastAsia"/>
          <w:color w:val="auto"/>
          <w:szCs w:val="21"/>
          <w:highlight w:val="none"/>
        </w:rPr>
        <w:t>（1）纸质版的要求：</w:t>
      </w:r>
      <w:r>
        <w:rPr>
          <w:rFonts w:hint="eastAsia" w:ascii="宋体" w:hAnsi="宋体" w:eastAsia="宋体" w:cs="Times New Roman"/>
          <w:color w:val="auto"/>
          <w:szCs w:val="21"/>
          <w:highlight w:val="none"/>
          <w:u w:val="single"/>
        </w:rPr>
        <w:t>按招标人要求提供初步设计（含概算编制）</w:t>
      </w:r>
      <w:r>
        <w:rPr>
          <w:rFonts w:hint="eastAsia" w:ascii="宋体" w:hAnsi="宋体" w:cs="Times New Roman"/>
          <w:color w:val="auto"/>
          <w:szCs w:val="21"/>
          <w:highlight w:val="none"/>
          <w:u w:val="single"/>
          <w:lang w:val="en-US" w:eastAsia="zh-CN"/>
        </w:rPr>
        <w:t>及施工图设计</w:t>
      </w:r>
      <w:r>
        <w:rPr>
          <w:rFonts w:hint="eastAsia" w:ascii="宋体" w:hAnsi="宋体" w:eastAsia="宋体" w:cs="Times New Roman"/>
          <w:color w:val="auto"/>
          <w:szCs w:val="21"/>
          <w:highlight w:val="none"/>
          <w:u w:val="single"/>
        </w:rPr>
        <w:t>纸质版各</w:t>
      </w:r>
      <w:r>
        <w:rPr>
          <w:rFonts w:hint="eastAsia" w:ascii="宋体" w:hAnsi="宋体" w:eastAsia="宋体" w:cs="Times New Roman"/>
          <w:color w:val="auto"/>
          <w:szCs w:val="21"/>
          <w:highlight w:val="none"/>
          <w:u w:val="single"/>
          <w:lang w:val="en-US" w:eastAsia="zh-CN"/>
        </w:rPr>
        <w:t>6</w:t>
      </w:r>
      <w:r>
        <w:rPr>
          <w:rFonts w:hint="eastAsia" w:ascii="宋体" w:hAnsi="宋体" w:eastAsia="宋体" w:cs="Times New Roman"/>
          <w:color w:val="auto"/>
          <w:szCs w:val="21"/>
          <w:highlight w:val="none"/>
          <w:u w:val="single"/>
        </w:rPr>
        <w:t>份 。</w:t>
      </w:r>
    </w:p>
    <w:p w14:paraId="69E223B6">
      <w:pPr>
        <w:spacing w:line="380" w:lineRule="exact"/>
        <w:ind w:firstLine="420" w:firstLineChars="200"/>
        <w:rPr>
          <w:color w:val="auto"/>
          <w:szCs w:val="21"/>
          <w:highlight w:val="none"/>
        </w:rPr>
      </w:pPr>
      <w:r>
        <w:rPr>
          <w:rFonts w:hint="eastAsia"/>
          <w:color w:val="auto"/>
          <w:szCs w:val="21"/>
          <w:highlight w:val="none"/>
        </w:rPr>
        <w:t>（2）电子版的要求：</w:t>
      </w:r>
      <w:r>
        <w:rPr>
          <w:rFonts w:hint="eastAsia"/>
          <w:color w:val="auto"/>
          <w:szCs w:val="21"/>
          <w:highlight w:val="none"/>
          <w:u w:val="single"/>
        </w:rPr>
        <w:t xml:space="preserve">  </w:t>
      </w:r>
      <w:r>
        <w:rPr>
          <w:rFonts w:hint="eastAsia" w:ascii="宋体" w:hAnsi="宋体"/>
          <w:color w:val="auto"/>
          <w:szCs w:val="21"/>
          <w:highlight w:val="none"/>
          <w:u w:val="single"/>
        </w:rPr>
        <w:t>U盘</w:t>
      </w:r>
      <w:r>
        <w:rPr>
          <w:rFonts w:hint="eastAsia"/>
          <w:color w:val="auto"/>
          <w:szCs w:val="21"/>
          <w:highlight w:val="none"/>
          <w:u w:val="single"/>
        </w:rPr>
        <w:t xml:space="preserve">                                       </w:t>
      </w:r>
      <w:r>
        <w:rPr>
          <w:rFonts w:hint="eastAsia"/>
          <w:color w:val="auto"/>
          <w:szCs w:val="21"/>
          <w:highlight w:val="none"/>
        </w:rPr>
        <w:t>。</w:t>
      </w:r>
    </w:p>
    <w:p w14:paraId="7642F937">
      <w:pPr>
        <w:spacing w:line="380" w:lineRule="exact"/>
        <w:ind w:firstLine="420" w:firstLineChars="200"/>
        <w:rPr>
          <w:color w:val="auto"/>
          <w:szCs w:val="21"/>
          <w:highlight w:val="none"/>
        </w:rPr>
      </w:pPr>
      <w:r>
        <w:rPr>
          <w:rFonts w:hint="eastAsia"/>
          <w:color w:val="auto"/>
          <w:szCs w:val="21"/>
          <w:highlight w:val="none"/>
        </w:rPr>
        <w:t>（3）其他要求：</w:t>
      </w:r>
      <w:r>
        <w:rPr>
          <w:rFonts w:hint="eastAsia"/>
          <w:color w:val="auto"/>
          <w:szCs w:val="21"/>
          <w:highlight w:val="none"/>
          <w:u w:val="single"/>
        </w:rPr>
        <w:t xml:space="preserve">                    /                         </w:t>
      </w:r>
      <w:r>
        <w:rPr>
          <w:rFonts w:hint="eastAsia"/>
          <w:color w:val="auto"/>
          <w:szCs w:val="21"/>
          <w:highlight w:val="none"/>
        </w:rPr>
        <w:t>。</w:t>
      </w:r>
    </w:p>
    <w:p w14:paraId="614EC222">
      <w:pPr>
        <w:spacing w:line="380" w:lineRule="exact"/>
        <w:ind w:firstLine="420" w:firstLineChars="200"/>
        <w:rPr>
          <w:color w:val="auto"/>
          <w:szCs w:val="21"/>
          <w:highlight w:val="none"/>
        </w:rPr>
      </w:pPr>
      <w:r>
        <w:rPr>
          <w:rFonts w:hint="eastAsia"/>
          <w:color w:val="auto"/>
          <w:szCs w:val="21"/>
          <w:highlight w:val="none"/>
        </w:rPr>
        <w:t>6. 成果交付方式要求：</w:t>
      </w:r>
      <w:r>
        <w:rPr>
          <w:rFonts w:hint="eastAsia"/>
          <w:color w:val="auto"/>
          <w:szCs w:val="21"/>
          <w:highlight w:val="none"/>
          <w:u w:val="single"/>
        </w:rPr>
        <w:t>在服务期限内直接送达桂林市招标人指定地点</w:t>
      </w:r>
      <w:r>
        <w:rPr>
          <w:rFonts w:hint="eastAsia"/>
          <w:color w:val="auto"/>
          <w:szCs w:val="21"/>
          <w:highlight w:val="none"/>
        </w:rPr>
        <w:t>。</w:t>
      </w:r>
    </w:p>
    <w:p w14:paraId="72D05203">
      <w:pPr>
        <w:spacing w:line="380" w:lineRule="exact"/>
        <w:ind w:firstLine="420" w:firstLineChars="200"/>
        <w:rPr>
          <w:color w:val="auto"/>
          <w:szCs w:val="21"/>
          <w:highlight w:val="none"/>
        </w:rPr>
      </w:pPr>
      <w:r>
        <w:rPr>
          <w:rFonts w:hint="eastAsia"/>
          <w:color w:val="auto"/>
          <w:szCs w:val="21"/>
          <w:highlight w:val="none"/>
        </w:rPr>
        <w:t>7. 成果文件的展板、模型、沙盘、动画要求：</w:t>
      </w:r>
    </w:p>
    <w:p w14:paraId="68889E36">
      <w:pPr>
        <w:spacing w:line="380" w:lineRule="exact"/>
        <w:ind w:firstLine="420" w:firstLineChars="200"/>
        <w:rPr>
          <w:color w:val="auto"/>
          <w:szCs w:val="21"/>
          <w:highlight w:val="none"/>
        </w:rPr>
      </w:pPr>
      <w:r>
        <w:rPr>
          <w:rFonts w:hint="eastAsia"/>
          <w:color w:val="auto"/>
          <w:szCs w:val="21"/>
          <w:highlight w:val="none"/>
          <w:lang w:eastAsia="zh-CN"/>
        </w:rPr>
        <w:t>□</w:t>
      </w:r>
      <w:r>
        <w:rPr>
          <w:rFonts w:hint="eastAsia"/>
          <w:color w:val="auto"/>
          <w:szCs w:val="21"/>
          <w:highlight w:val="none"/>
        </w:rPr>
        <w:t xml:space="preserve">无    </w:t>
      </w:r>
      <w:r>
        <w:rPr>
          <w:rFonts w:hint="eastAsia"/>
          <w:color w:val="auto"/>
          <w:szCs w:val="21"/>
          <w:highlight w:val="none"/>
          <w:lang w:eastAsia="zh-CN"/>
        </w:rPr>
        <w:t>☑</w:t>
      </w:r>
      <w:r>
        <w:rPr>
          <w:rFonts w:hint="eastAsia"/>
          <w:color w:val="auto"/>
          <w:szCs w:val="21"/>
          <w:highlight w:val="none"/>
        </w:rPr>
        <w:t>有，要求制作</w:t>
      </w:r>
      <w:r>
        <w:rPr>
          <w:rFonts w:hint="eastAsia"/>
          <w:color w:val="auto"/>
          <w:szCs w:val="21"/>
          <w:highlight w:val="none"/>
          <w:lang w:eastAsia="zh-CN"/>
        </w:rPr>
        <w:t>包含但不限于包括但不限于</w:t>
      </w:r>
      <w:r>
        <w:rPr>
          <w:rFonts w:hint="eastAsia"/>
          <w:color w:val="auto"/>
          <w:szCs w:val="21"/>
          <w:highlight w:val="none"/>
          <w:u w:val="single"/>
          <w:lang w:eastAsia="zh-CN"/>
        </w:rPr>
        <w:t>建筑三维模型（revit等）（如有）、结构计算模型（如有）、设备管综BIM模型（如有）等文件</w:t>
      </w:r>
      <w:r>
        <w:rPr>
          <w:rFonts w:hint="eastAsia" w:ascii="宋体" w:hAnsi="宋体" w:cs="宋体"/>
          <w:color w:val="auto"/>
          <w:szCs w:val="21"/>
          <w:highlight w:val="none"/>
          <w:u w:val="single"/>
        </w:rPr>
        <w:t>，并注明软件版本号</w:t>
      </w:r>
      <w:r>
        <w:rPr>
          <w:rFonts w:hint="eastAsia"/>
          <w:color w:val="auto"/>
          <w:szCs w:val="21"/>
          <w:highlight w:val="none"/>
        </w:rPr>
        <w:t>。</w:t>
      </w:r>
    </w:p>
    <w:p w14:paraId="429EADFD">
      <w:pPr>
        <w:spacing w:line="360" w:lineRule="auto"/>
        <w:ind w:firstLine="420" w:firstLineChars="200"/>
        <w:jc w:val="left"/>
        <w:rPr>
          <w:color w:val="auto"/>
          <w:szCs w:val="21"/>
          <w:highlight w:val="none"/>
        </w:rPr>
      </w:pPr>
      <w:r>
        <w:rPr>
          <w:rFonts w:hint="eastAsia"/>
          <w:color w:val="auto"/>
          <w:szCs w:val="21"/>
          <w:highlight w:val="none"/>
        </w:rPr>
        <w:t>8.  成果文件的其他要求：</w:t>
      </w:r>
      <w:r>
        <w:rPr>
          <w:rFonts w:hint="eastAsia"/>
          <w:color w:val="auto"/>
          <w:szCs w:val="21"/>
          <w:highlight w:val="none"/>
          <w:lang w:eastAsia="zh-CN"/>
        </w:rPr>
        <w:t>□</w:t>
      </w:r>
      <w:r>
        <w:rPr>
          <w:rFonts w:hint="eastAsia"/>
          <w:color w:val="auto"/>
          <w:szCs w:val="21"/>
          <w:highlight w:val="none"/>
        </w:rPr>
        <w:t xml:space="preserve">无    </w:t>
      </w:r>
      <w:r>
        <w:rPr>
          <w:rFonts w:hint="eastAsia"/>
          <w:color w:val="auto"/>
          <w:szCs w:val="21"/>
          <w:highlight w:val="none"/>
          <w:lang w:eastAsia="zh-CN"/>
        </w:rPr>
        <w:t>☑</w:t>
      </w:r>
      <w:r>
        <w:rPr>
          <w:rFonts w:hint="eastAsia"/>
          <w:color w:val="auto"/>
          <w:szCs w:val="21"/>
          <w:highlight w:val="none"/>
        </w:rPr>
        <w:t>有，招标人的其他要求</w:t>
      </w:r>
      <w:r>
        <w:rPr>
          <w:rFonts w:hint="eastAsia" w:ascii="宋体" w:hAnsi="宋体" w:cs="宋体"/>
          <w:color w:val="auto"/>
          <w:szCs w:val="21"/>
          <w:highlight w:val="none"/>
        </w:rPr>
        <w:t>格式为</w:t>
      </w:r>
      <w:r>
        <w:rPr>
          <w:rFonts w:hint="eastAsia" w:ascii="宋体" w:hAnsi="宋体"/>
          <w:bCs/>
          <w:color w:val="auto"/>
          <w:szCs w:val="21"/>
          <w:highlight w:val="none"/>
          <w:lang w:eastAsia="zh-CN"/>
        </w:rPr>
        <w:t>：</w:t>
      </w:r>
      <w:r>
        <w:rPr>
          <w:rFonts w:hint="eastAsia" w:ascii="宋体" w:hAnsi="宋体" w:cs="宋体"/>
          <w:color w:val="auto"/>
          <w:szCs w:val="21"/>
          <w:highlight w:val="none"/>
          <w:u w:val="single"/>
        </w:rPr>
        <w:t>格式为</w:t>
      </w:r>
      <w:r>
        <w:rPr>
          <w:rFonts w:ascii="宋体" w:hAnsi="宋体" w:cs="宋体"/>
          <w:color w:val="auto"/>
          <w:szCs w:val="21"/>
          <w:highlight w:val="none"/>
          <w:u w:val="single"/>
        </w:rPr>
        <w:t>word</w:t>
      </w:r>
      <w:r>
        <w:rPr>
          <w:rFonts w:hint="eastAsia" w:ascii="宋体" w:hAnsi="宋体" w:cs="宋体"/>
          <w:color w:val="auto"/>
          <w:szCs w:val="21"/>
          <w:highlight w:val="none"/>
          <w:u w:val="single"/>
        </w:rPr>
        <w:t>、</w:t>
      </w:r>
      <w:r>
        <w:rPr>
          <w:rFonts w:ascii="宋体" w:hAnsi="宋体" w:cs="宋体"/>
          <w:color w:val="auto"/>
          <w:szCs w:val="21"/>
          <w:highlight w:val="none"/>
          <w:u w:val="single"/>
        </w:rPr>
        <w:t>PDF</w:t>
      </w:r>
      <w:r>
        <w:rPr>
          <w:rFonts w:hint="eastAsia" w:ascii="宋体" w:hAnsi="宋体" w:cs="宋体"/>
          <w:color w:val="auto"/>
          <w:szCs w:val="21"/>
          <w:highlight w:val="none"/>
          <w:u w:val="single"/>
        </w:rPr>
        <w:t>及</w:t>
      </w:r>
      <w:r>
        <w:rPr>
          <w:rFonts w:ascii="宋体" w:hAnsi="宋体" w:cs="宋体"/>
          <w:color w:val="auto"/>
          <w:szCs w:val="21"/>
          <w:highlight w:val="none"/>
          <w:u w:val="single"/>
        </w:rPr>
        <w:t xml:space="preserve"> CAD</w:t>
      </w:r>
      <w:r>
        <w:rPr>
          <w:rFonts w:hint="eastAsia" w:ascii="宋体" w:hAnsi="宋体" w:cs="宋体"/>
          <w:color w:val="auto"/>
          <w:szCs w:val="21"/>
          <w:highlight w:val="none"/>
          <w:u w:val="single"/>
        </w:rPr>
        <w:t>（</w:t>
      </w:r>
      <w:r>
        <w:rPr>
          <w:rFonts w:hint="eastAsia" w:ascii="宋体" w:hAnsi="宋体"/>
          <w:color w:val="auto"/>
          <w:szCs w:val="21"/>
          <w:highlight w:val="none"/>
          <w:u w:val="single"/>
        </w:rPr>
        <w:t>永久解密</w:t>
      </w:r>
      <w:r>
        <w:rPr>
          <w:rFonts w:hint="eastAsia" w:ascii="宋体" w:hAnsi="宋体" w:cs="宋体"/>
          <w:color w:val="auto"/>
          <w:szCs w:val="21"/>
          <w:highlight w:val="none"/>
          <w:u w:val="single"/>
        </w:rPr>
        <w:t>）的优盘，所载内容必须与纸质版一致。包括但不限于建筑三维模型（revit等）（如有）、结构计算模型（如有）、设备管综BIM模型（如有）等文件，并注明软件版本号</w:t>
      </w:r>
      <w:r>
        <w:rPr>
          <w:rFonts w:hint="eastAsia" w:ascii="宋体" w:hAnsi="宋体" w:cs="宋体"/>
          <w:color w:val="auto"/>
          <w:szCs w:val="21"/>
          <w:highlight w:val="none"/>
          <w:u w:val="none"/>
        </w:rPr>
        <w:t>。</w:t>
      </w:r>
    </w:p>
    <w:p w14:paraId="27E0F167">
      <w:pPr>
        <w:pStyle w:val="3"/>
        <w:spacing w:line="380" w:lineRule="exact"/>
        <w:rPr>
          <w:color w:val="auto"/>
          <w:highlight w:val="none"/>
        </w:rPr>
      </w:pPr>
      <w:bookmarkStart w:id="169" w:name="_Toc6433"/>
      <w:r>
        <w:rPr>
          <w:rFonts w:hint="eastAsia"/>
          <w:color w:val="auto"/>
          <w:highlight w:val="none"/>
        </w:rPr>
        <w:t>四、发包人财产清单</w:t>
      </w:r>
      <w:bookmarkEnd w:id="169"/>
    </w:p>
    <w:p w14:paraId="6F5ABB83">
      <w:pPr>
        <w:spacing w:line="380" w:lineRule="exact"/>
        <w:ind w:firstLine="420" w:firstLineChars="200"/>
        <w:rPr>
          <w:color w:val="auto"/>
          <w:szCs w:val="21"/>
          <w:highlight w:val="none"/>
        </w:rPr>
      </w:pPr>
      <w:r>
        <w:rPr>
          <w:rFonts w:hint="eastAsia"/>
          <w:color w:val="auto"/>
          <w:szCs w:val="21"/>
          <w:highlight w:val="none"/>
        </w:rPr>
        <w:t>（一）发包人提供的设备、设施：</w:t>
      </w:r>
    </w:p>
    <w:p w14:paraId="7581F38B">
      <w:pPr>
        <w:spacing w:line="380" w:lineRule="exact"/>
        <w:ind w:firstLine="420" w:firstLineChars="200"/>
        <w:rPr>
          <w:color w:val="auto"/>
          <w:szCs w:val="21"/>
          <w:highlight w:val="none"/>
        </w:rPr>
      </w:pPr>
      <w:r>
        <w:rPr>
          <w:rFonts w:hint="eastAsia"/>
          <w:color w:val="auto"/>
          <w:szCs w:val="21"/>
          <w:highlight w:val="none"/>
        </w:rPr>
        <w:t>☑无    □ 提供的设施及设备，如办公室数量及面积、空调、电脑、投影、打印机、复印机、办公桌椅、文件柜等</w:t>
      </w:r>
    </w:p>
    <w:p w14:paraId="20458E63">
      <w:pPr>
        <w:spacing w:line="380" w:lineRule="exact"/>
        <w:ind w:firstLine="420" w:firstLineChars="200"/>
        <w:rPr>
          <w:color w:val="auto"/>
          <w:szCs w:val="21"/>
          <w:highlight w:val="none"/>
        </w:rPr>
      </w:pPr>
      <w:r>
        <w:rPr>
          <w:rFonts w:hint="eastAsia"/>
          <w:color w:val="auto"/>
          <w:szCs w:val="21"/>
          <w:highlight w:val="none"/>
        </w:rPr>
        <w:t>（二）发包人提供的资料</w:t>
      </w:r>
    </w:p>
    <w:p w14:paraId="656F3C82">
      <w:pPr>
        <w:spacing w:line="380" w:lineRule="exact"/>
        <w:ind w:firstLine="420" w:firstLineChars="200"/>
        <w:rPr>
          <w:color w:val="auto"/>
          <w:szCs w:val="21"/>
          <w:highlight w:val="none"/>
        </w:rPr>
      </w:pPr>
      <w:r>
        <w:rPr>
          <w:rFonts w:hint="eastAsia"/>
          <w:color w:val="auto"/>
          <w:szCs w:val="21"/>
          <w:highlight w:val="none"/>
        </w:rPr>
        <w:t>1.  施工场地及毗邻区域内的供水、排水、供电、供气、供热、通信、广播电视等地下管线资料、气象和水文观测资料，相邻建筑物和构筑物、地下工程的有关资料，以及其他与建设工程有关的原始资料</w:t>
      </w:r>
    </w:p>
    <w:p w14:paraId="7ADC0C57">
      <w:pPr>
        <w:spacing w:line="380" w:lineRule="exact"/>
        <w:ind w:firstLine="420" w:firstLineChars="200"/>
        <w:rPr>
          <w:color w:val="auto"/>
          <w:szCs w:val="21"/>
          <w:highlight w:val="none"/>
        </w:rPr>
      </w:pPr>
      <w:r>
        <w:rPr>
          <w:rFonts w:hint="eastAsia"/>
          <w:color w:val="auto"/>
          <w:szCs w:val="21"/>
          <w:highlight w:val="none"/>
        </w:rPr>
        <w:t>2.  定位放线的基准点、基准线和基准标高</w:t>
      </w:r>
    </w:p>
    <w:p w14:paraId="50AE8814">
      <w:pPr>
        <w:spacing w:line="380" w:lineRule="exact"/>
        <w:ind w:firstLine="420" w:firstLineChars="200"/>
        <w:rPr>
          <w:color w:val="auto"/>
          <w:szCs w:val="21"/>
          <w:highlight w:val="none"/>
        </w:rPr>
      </w:pPr>
      <w:r>
        <w:rPr>
          <w:rFonts w:hint="eastAsia"/>
          <w:color w:val="auto"/>
          <w:szCs w:val="21"/>
          <w:highlight w:val="none"/>
        </w:rPr>
        <w:t>3.  发包人取得的有关审批、核准和备案材料，如规划许可证</w:t>
      </w:r>
    </w:p>
    <w:p w14:paraId="359E8700">
      <w:pPr>
        <w:spacing w:line="380" w:lineRule="exact"/>
        <w:ind w:firstLine="420" w:firstLineChars="200"/>
        <w:rPr>
          <w:color w:val="auto"/>
          <w:szCs w:val="21"/>
          <w:highlight w:val="none"/>
        </w:rPr>
      </w:pPr>
      <w:r>
        <w:rPr>
          <w:rFonts w:hint="eastAsia"/>
          <w:color w:val="auto"/>
          <w:szCs w:val="21"/>
          <w:highlight w:val="none"/>
        </w:rPr>
        <w:t>4.  发包人提供的勘察资料</w:t>
      </w:r>
    </w:p>
    <w:p w14:paraId="333D6691">
      <w:pPr>
        <w:spacing w:line="380" w:lineRule="exact"/>
        <w:ind w:firstLine="420" w:firstLineChars="200"/>
        <w:rPr>
          <w:color w:val="auto"/>
          <w:szCs w:val="21"/>
          <w:highlight w:val="none"/>
        </w:rPr>
      </w:pPr>
      <w:r>
        <w:rPr>
          <w:rFonts w:hint="eastAsia"/>
          <w:color w:val="auto"/>
          <w:szCs w:val="21"/>
          <w:highlight w:val="none"/>
        </w:rPr>
        <w:t>5.  发包人提供的技术标准、规范</w:t>
      </w:r>
    </w:p>
    <w:p w14:paraId="3CF5387A">
      <w:pPr>
        <w:spacing w:line="380" w:lineRule="exact"/>
        <w:ind w:firstLine="420" w:firstLineChars="200"/>
        <w:rPr>
          <w:color w:val="auto"/>
          <w:szCs w:val="21"/>
          <w:highlight w:val="none"/>
        </w:rPr>
      </w:pPr>
      <w:r>
        <w:rPr>
          <w:rFonts w:hint="eastAsia"/>
          <w:color w:val="auto"/>
          <w:szCs w:val="21"/>
          <w:highlight w:val="none"/>
        </w:rPr>
        <w:t>6.  其他资料</w:t>
      </w:r>
    </w:p>
    <w:p w14:paraId="6D5004A4">
      <w:pPr>
        <w:spacing w:line="380" w:lineRule="exact"/>
        <w:ind w:firstLine="420" w:firstLineChars="200"/>
        <w:rPr>
          <w:color w:val="auto"/>
          <w:szCs w:val="21"/>
          <w:highlight w:val="none"/>
        </w:rPr>
      </w:pPr>
      <w:r>
        <w:rPr>
          <w:rFonts w:hint="eastAsia"/>
          <w:color w:val="auto"/>
          <w:szCs w:val="21"/>
          <w:highlight w:val="none"/>
        </w:rPr>
        <w:t>（三）发包人财产使用要求及退还要求</w:t>
      </w:r>
    </w:p>
    <w:p w14:paraId="7784AE0D">
      <w:pPr>
        <w:spacing w:line="380" w:lineRule="exact"/>
        <w:ind w:firstLine="420" w:firstLineChars="200"/>
        <w:rPr>
          <w:color w:val="auto"/>
          <w:szCs w:val="21"/>
          <w:highlight w:val="none"/>
        </w:rPr>
      </w:pPr>
      <w:r>
        <w:rPr>
          <w:rFonts w:hint="eastAsia"/>
          <w:color w:val="auto"/>
          <w:szCs w:val="21"/>
          <w:highlight w:val="none"/>
        </w:rPr>
        <w:t>1.  发包人财产使用要求：☑无    □ 使用的要求</w:t>
      </w:r>
      <w:r>
        <w:rPr>
          <w:rFonts w:hint="eastAsia"/>
          <w:color w:val="auto"/>
          <w:szCs w:val="21"/>
          <w:highlight w:val="none"/>
          <w:u w:val="single"/>
        </w:rPr>
        <w:t xml:space="preserve">                       </w:t>
      </w:r>
      <w:r>
        <w:rPr>
          <w:rFonts w:hint="eastAsia"/>
          <w:color w:val="auto"/>
          <w:szCs w:val="21"/>
          <w:highlight w:val="none"/>
        </w:rPr>
        <w:t>。</w:t>
      </w:r>
    </w:p>
    <w:p w14:paraId="76FEF98D">
      <w:pPr>
        <w:spacing w:line="380" w:lineRule="exact"/>
        <w:ind w:firstLine="420" w:firstLineChars="200"/>
        <w:rPr>
          <w:color w:val="auto"/>
          <w:szCs w:val="21"/>
          <w:highlight w:val="none"/>
        </w:rPr>
      </w:pPr>
      <w:r>
        <w:rPr>
          <w:rFonts w:hint="eastAsia"/>
          <w:color w:val="auto"/>
          <w:szCs w:val="21"/>
          <w:highlight w:val="none"/>
        </w:rPr>
        <w:t>2.  发包人财产退还要求：☑无    □ 归还期限</w:t>
      </w:r>
      <w:r>
        <w:rPr>
          <w:rFonts w:hint="eastAsia"/>
          <w:color w:val="auto"/>
          <w:szCs w:val="21"/>
          <w:highlight w:val="none"/>
          <w:u w:val="single"/>
        </w:rPr>
        <w:t xml:space="preserve">                         </w:t>
      </w:r>
      <w:r>
        <w:rPr>
          <w:rFonts w:hint="eastAsia"/>
          <w:color w:val="auto"/>
          <w:szCs w:val="21"/>
          <w:highlight w:val="none"/>
        </w:rPr>
        <w:t>。</w:t>
      </w:r>
    </w:p>
    <w:p w14:paraId="627EF972">
      <w:pPr>
        <w:pStyle w:val="3"/>
        <w:spacing w:line="380" w:lineRule="exact"/>
        <w:rPr>
          <w:color w:val="auto"/>
          <w:highlight w:val="none"/>
        </w:rPr>
      </w:pPr>
      <w:bookmarkStart w:id="170" w:name="_Toc8678"/>
      <w:r>
        <w:rPr>
          <w:rFonts w:hint="eastAsia"/>
          <w:color w:val="auto"/>
          <w:highlight w:val="none"/>
        </w:rPr>
        <w:t>五、发包人提供的便利条件</w:t>
      </w:r>
      <w:bookmarkEnd w:id="170"/>
    </w:p>
    <w:p w14:paraId="31617E15">
      <w:pPr>
        <w:spacing w:line="380" w:lineRule="exact"/>
        <w:ind w:firstLine="420" w:firstLineChars="200"/>
        <w:rPr>
          <w:color w:val="auto"/>
          <w:szCs w:val="21"/>
          <w:highlight w:val="none"/>
        </w:rPr>
      </w:pPr>
      <w:r>
        <w:rPr>
          <w:rFonts w:hint="eastAsia"/>
          <w:color w:val="auto"/>
          <w:szCs w:val="21"/>
          <w:highlight w:val="none"/>
        </w:rPr>
        <w:t>1.  发包人提供的生活条件：☑无    □ 提供的条件</w:t>
      </w:r>
      <w:r>
        <w:rPr>
          <w:rFonts w:hint="eastAsia"/>
          <w:color w:val="auto"/>
          <w:szCs w:val="21"/>
          <w:highlight w:val="none"/>
          <w:u w:val="single"/>
        </w:rPr>
        <w:t xml:space="preserve">                         </w:t>
      </w:r>
      <w:r>
        <w:rPr>
          <w:rFonts w:hint="eastAsia"/>
          <w:color w:val="auto"/>
          <w:szCs w:val="21"/>
          <w:highlight w:val="none"/>
        </w:rPr>
        <w:t>。</w:t>
      </w:r>
    </w:p>
    <w:p w14:paraId="7D93007C">
      <w:pPr>
        <w:spacing w:line="380" w:lineRule="exact"/>
        <w:ind w:firstLine="420" w:firstLineChars="200"/>
        <w:rPr>
          <w:color w:val="auto"/>
          <w:szCs w:val="21"/>
          <w:highlight w:val="none"/>
        </w:rPr>
      </w:pPr>
      <w:r>
        <w:rPr>
          <w:rFonts w:hint="eastAsia"/>
          <w:color w:val="auto"/>
          <w:szCs w:val="21"/>
          <w:highlight w:val="none"/>
        </w:rPr>
        <w:t>2.  发包人提供的交通条件：☑无    □ 提供的条件</w:t>
      </w:r>
      <w:r>
        <w:rPr>
          <w:rFonts w:hint="eastAsia"/>
          <w:color w:val="auto"/>
          <w:szCs w:val="21"/>
          <w:highlight w:val="none"/>
          <w:u w:val="single"/>
        </w:rPr>
        <w:t xml:space="preserve">                         </w:t>
      </w:r>
      <w:r>
        <w:rPr>
          <w:rFonts w:hint="eastAsia"/>
          <w:color w:val="auto"/>
          <w:szCs w:val="21"/>
          <w:highlight w:val="none"/>
        </w:rPr>
        <w:t>。</w:t>
      </w:r>
    </w:p>
    <w:p w14:paraId="5E6177F3">
      <w:pPr>
        <w:spacing w:line="380" w:lineRule="exact"/>
        <w:ind w:firstLine="420" w:firstLineChars="200"/>
        <w:rPr>
          <w:color w:val="auto"/>
          <w:szCs w:val="21"/>
          <w:highlight w:val="none"/>
        </w:rPr>
      </w:pPr>
      <w:r>
        <w:rPr>
          <w:rFonts w:hint="eastAsia"/>
          <w:color w:val="auto"/>
          <w:szCs w:val="21"/>
          <w:highlight w:val="none"/>
        </w:rPr>
        <w:t>3.  发包人提供的网络、通讯条件：☑无    □ 提供的条件</w:t>
      </w:r>
      <w:r>
        <w:rPr>
          <w:rFonts w:hint="eastAsia"/>
          <w:color w:val="auto"/>
          <w:szCs w:val="21"/>
          <w:highlight w:val="none"/>
          <w:u w:val="single"/>
        </w:rPr>
        <w:t xml:space="preserve">                         </w:t>
      </w:r>
      <w:r>
        <w:rPr>
          <w:rFonts w:hint="eastAsia"/>
          <w:color w:val="auto"/>
          <w:szCs w:val="21"/>
          <w:highlight w:val="none"/>
        </w:rPr>
        <w:t>。</w:t>
      </w:r>
    </w:p>
    <w:p w14:paraId="5B8154AC">
      <w:pPr>
        <w:spacing w:line="380" w:lineRule="exact"/>
        <w:ind w:firstLine="420" w:firstLineChars="200"/>
        <w:rPr>
          <w:color w:val="auto"/>
          <w:szCs w:val="21"/>
          <w:highlight w:val="none"/>
        </w:rPr>
      </w:pPr>
      <w:r>
        <w:rPr>
          <w:rFonts w:hint="eastAsia"/>
          <w:color w:val="auto"/>
          <w:szCs w:val="21"/>
          <w:highlight w:val="none"/>
        </w:rPr>
        <w:t>4.  发包人提供的协助人员：☑无    □有</w:t>
      </w:r>
      <w:r>
        <w:rPr>
          <w:rFonts w:hint="eastAsia"/>
          <w:color w:val="auto"/>
          <w:szCs w:val="21"/>
          <w:highlight w:val="none"/>
          <w:u w:val="single"/>
        </w:rPr>
        <w:t xml:space="preserve">                         </w:t>
      </w:r>
      <w:r>
        <w:rPr>
          <w:rFonts w:hint="eastAsia"/>
          <w:color w:val="auto"/>
          <w:szCs w:val="21"/>
          <w:highlight w:val="none"/>
        </w:rPr>
        <w:t>。</w:t>
      </w:r>
    </w:p>
    <w:p w14:paraId="2B430829">
      <w:pPr>
        <w:pStyle w:val="3"/>
        <w:spacing w:line="380" w:lineRule="exact"/>
        <w:rPr>
          <w:color w:val="auto"/>
          <w:highlight w:val="none"/>
        </w:rPr>
      </w:pPr>
      <w:bookmarkStart w:id="171" w:name="_Toc29816"/>
      <w:r>
        <w:rPr>
          <w:rFonts w:hint="eastAsia"/>
          <w:color w:val="auto"/>
          <w:highlight w:val="none"/>
        </w:rPr>
        <w:t>六、设计人需要自备的工作条件</w:t>
      </w:r>
      <w:bookmarkEnd w:id="171"/>
    </w:p>
    <w:p w14:paraId="5D64312C">
      <w:pPr>
        <w:spacing w:line="380" w:lineRule="exact"/>
        <w:ind w:firstLine="420" w:firstLineChars="200"/>
        <w:rPr>
          <w:color w:val="auto"/>
          <w:szCs w:val="21"/>
          <w:highlight w:val="none"/>
        </w:rPr>
      </w:pPr>
      <w:r>
        <w:rPr>
          <w:rFonts w:hint="eastAsia"/>
          <w:color w:val="auto"/>
          <w:szCs w:val="21"/>
          <w:highlight w:val="none"/>
        </w:rPr>
        <w:t>1.  设计人自备的工作手册：如本项目必备的规范标准、图集等。</w:t>
      </w:r>
    </w:p>
    <w:p w14:paraId="7D4EF16F">
      <w:pPr>
        <w:spacing w:line="380" w:lineRule="exact"/>
        <w:ind w:firstLine="420" w:firstLineChars="200"/>
        <w:rPr>
          <w:color w:val="auto"/>
          <w:szCs w:val="21"/>
          <w:highlight w:val="none"/>
        </w:rPr>
      </w:pPr>
      <w:r>
        <w:rPr>
          <w:rFonts w:hint="eastAsia"/>
          <w:color w:val="auto"/>
          <w:szCs w:val="21"/>
          <w:highlight w:val="none"/>
        </w:rPr>
        <w:t>2.  设计人自备的办公设备：如电脑、软件、投影、打印机、复印机、照相机等。</w:t>
      </w:r>
    </w:p>
    <w:p w14:paraId="7F6D8E49">
      <w:pPr>
        <w:spacing w:line="380" w:lineRule="exact"/>
        <w:ind w:firstLine="420" w:firstLineChars="200"/>
        <w:rPr>
          <w:color w:val="auto"/>
          <w:szCs w:val="21"/>
          <w:highlight w:val="none"/>
        </w:rPr>
      </w:pPr>
      <w:r>
        <w:rPr>
          <w:rFonts w:hint="eastAsia"/>
          <w:color w:val="auto"/>
          <w:szCs w:val="21"/>
          <w:highlight w:val="none"/>
        </w:rPr>
        <w:t>3.  设计人自备的交通工具：如出行车辆等。</w:t>
      </w:r>
    </w:p>
    <w:p w14:paraId="063ED4FF">
      <w:pPr>
        <w:spacing w:line="380" w:lineRule="exact"/>
        <w:ind w:firstLine="420" w:firstLineChars="200"/>
        <w:rPr>
          <w:color w:val="auto"/>
          <w:szCs w:val="21"/>
          <w:highlight w:val="none"/>
        </w:rPr>
      </w:pPr>
      <w:r>
        <w:rPr>
          <w:rFonts w:hint="eastAsia"/>
          <w:color w:val="auto"/>
          <w:szCs w:val="21"/>
          <w:highlight w:val="none"/>
        </w:rPr>
        <w:t>4.  设计人自备的现场办公设施：如办公桌椅、文件柜等。</w:t>
      </w:r>
    </w:p>
    <w:p w14:paraId="3513A613">
      <w:pPr>
        <w:spacing w:line="380" w:lineRule="exact"/>
        <w:ind w:firstLine="420" w:firstLineChars="200"/>
        <w:rPr>
          <w:color w:val="auto"/>
          <w:szCs w:val="21"/>
          <w:highlight w:val="none"/>
        </w:rPr>
      </w:pPr>
      <w:r>
        <w:rPr>
          <w:rFonts w:hint="eastAsia"/>
          <w:color w:val="auto"/>
          <w:szCs w:val="21"/>
          <w:highlight w:val="none"/>
        </w:rPr>
        <w:t>5.  设计人自备的安全设施：如安全帽、安全鞋、手电筒等。</w:t>
      </w:r>
    </w:p>
    <w:p w14:paraId="42898C24">
      <w:pPr>
        <w:pStyle w:val="3"/>
        <w:spacing w:line="380" w:lineRule="exact"/>
        <w:rPr>
          <w:color w:val="auto"/>
          <w:highlight w:val="none"/>
        </w:rPr>
      </w:pPr>
      <w:bookmarkStart w:id="172" w:name="_Toc5197"/>
      <w:r>
        <w:rPr>
          <w:rFonts w:hint="eastAsia"/>
          <w:color w:val="auto"/>
          <w:highlight w:val="none"/>
        </w:rPr>
        <w:t>七、发包人的其他要求：按合同条款执行。</w:t>
      </w:r>
      <w:bookmarkEnd w:id="172"/>
    </w:p>
    <w:p w14:paraId="39A34563">
      <w:pPr>
        <w:rPr>
          <w:color w:val="auto"/>
          <w:highlight w:val="none"/>
        </w:rPr>
      </w:pPr>
    </w:p>
    <w:p w14:paraId="0CF1EA18">
      <w:pPr>
        <w:rPr>
          <w:color w:val="auto"/>
          <w:highlight w:val="none"/>
        </w:rPr>
      </w:pPr>
    </w:p>
    <w:p w14:paraId="33505D3E">
      <w:pPr>
        <w:rPr>
          <w:color w:val="auto"/>
          <w:highlight w:val="none"/>
        </w:rPr>
      </w:pPr>
    </w:p>
    <w:p w14:paraId="2624ECA5">
      <w:pPr>
        <w:rPr>
          <w:color w:val="auto"/>
          <w:highlight w:val="none"/>
        </w:rPr>
      </w:pPr>
    </w:p>
    <w:p w14:paraId="7E428A9A">
      <w:pPr>
        <w:rPr>
          <w:color w:val="auto"/>
          <w:highlight w:val="none"/>
        </w:rPr>
      </w:pPr>
    </w:p>
    <w:p w14:paraId="74AAFB10">
      <w:pPr>
        <w:rPr>
          <w:color w:val="auto"/>
          <w:highlight w:val="none"/>
        </w:rPr>
      </w:pPr>
    </w:p>
    <w:p w14:paraId="0C4278CB">
      <w:pPr>
        <w:rPr>
          <w:color w:val="auto"/>
          <w:highlight w:val="none"/>
        </w:rPr>
      </w:pPr>
    </w:p>
    <w:p w14:paraId="520D45F3">
      <w:pPr>
        <w:rPr>
          <w:color w:val="auto"/>
          <w:highlight w:val="none"/>
        </w:rPr>
      </w:pPr>
    </w:p>
    <w:p w14:paraId="0E9DE072">
      <w:pPr>
        <w:rPr>
          <w:color w:val="auto"/>
          <w:highlight w:val="none"/>
        </w:rPr>
      </w:pPr>
    </w:p>
    <w:p w14:paraId="2B45AE55">
      <w:pPr>
        <w:rPr>
          <w:color w:val="auto"/>
          <w:highlight w:val="none"/>
        </w:rPr>
      </w:pPr>
    </w:p>
    <w:p w14:paraId="27E74E19">
      <w:pPr>
        <w:rPr>
          <w:color w:val="auto"/>
          <w:highlight w:val="none"/>
        </w:rPr>
      </w:pPr>
    </w:p>
    <w:p w14:paraId="700C5DA1">
      <w:pPr>
        <w:rPr>
          <w:color w:val="auto"/>
          <w:highlight w:val="none"/>
        </w:rPr>
      </w:pPr>
    </w:p>
    <w:p w14:paraId="7ED8FE09">
      <w:pPr>
        <w:rPr>
          <w:color w:val="auto"/>
          <w:highlight w:val="none"/>
        </w:rPr>
      </w:pPr>
    </w:p>
    <w:p w14:paraId="4006F5EC">
      <w:pPr>
        <w:rPr>
          <w:color w:val="auto"/>
          <w:highlight w:val="none"/>
        </w:rPr>
      </w:pPr>
    </w:p>
    <w:p w14:paraId="6906E70C">
      <w:pPr>
        <w:rPr>
          <w:color w:val="auto"/>
          <w:highlight w:val="none"/>
        </w:rPr>
      </w:pPr>
    </w:p>
    <w:p w14:paraId="66A1D175">
      <w:pPr>
        <w:rPr>
          <w:color w:val="auto"/>
          <w:highlight w:val="none"/>
        </w:rPr>
      </w:pPr>
    </w:p>
    <w:p w14:paraId="3B24BCB5">
      <w:pPr>
        <w:rPr>
          <w:color w:val="auto"/>
          <w:highlight w:val="none"/>
        </w:rPr>
      </w:pPr>
    </w:p>
    <w:p w14:paraId="189E6EDE">
      <w:pPr>
        <w:rPr>
          <w:color w:val="auto"/>
          <w:highlight w:val="none"/>
        </w:rPr>
      </w:pPr>
    </w:p>
    <w:p w14:paraId="5B11EFE9">
      <w:pPr>
        <w:rPr>
          <w:color w:val="auto"/>
          <w:highlight w:val="none"/>
        </w:rPr>
      </w:pPr>
    </w:p>
    <w:p w14:paraId="6013FFA3">
      <w:pPr>
        <w:rPr>
          <w:color w:val="auto"/>
          <w:highlight w:val="none"/>
        </w:rPr>
      </w:pPr>
    </w:p>
    <w:p w14:paraId="727FFD32">
      <w:pPr>
        <w:pStyle w:val="2"/>
        <w:rPr>
          <w:color w:val="auto"/>
          <w:highlight w:val="none"/>
        </w:rPr>
      </w:pPr>
    </w:p>
    <w:p w14:paraId="670A3240">
      <w:pPr>
        <w:rPr>
          <w:color w:val="auto"/>
          <w:highlight w:val="none"/>
        </w:rPr>
      </w:pPr>
    </w:p>
    <w:p w14:paraId="45572B3D">
      <w:pPr>
        <w:rPr>
          <w:color w:val="auto"/>
          <w:highlight w:val="none"/>
        </w:rPr>
      </w:pPr>
    </w:p>
    <w:p w14:paraId="41726CE7">
      <w:pPr>
        <w:rPr>
          <w:color w:val="auto"/>
          <w:highlight w:val="none"/>
        </w:rPr>
      </w:pPr>
    </w:p>
    <w:p w14:paraId="7ACE8D84">
      <w:pPr>
        <w:rPr>
          <w:color w:val="auto"/>
          <w:highlight w:val="none"/>
        </w:rPr>
      </w:pPr>
    </w:p>
    <w:p w14:paraId="37F8EAA8">
      <w:pPr>
        <w:rPr>
          <w:color w:val="auto"/>
          <w:highlight w:val="none"/>
        </w:rPr>
      </w:pPr>
    </w:p>
    <w:p w14:paraId="7E90AC92">
      <w:pPr>
        <w:rPr>
          <w:color w:val="auto"/>
          <w:highlight w:val="none"/>
        </w:rPr>
      </w:pPr>
    </w:p>
    <w:p w14:paraId="2B1D69D5">
      <w:pPr>
        <w:rPr>
          <w:color w:val="auto"/>
          <w:highlight w:val="none"/>
        </w:rPr>
      </w:pPr>
    </w:p>
    <w:p w14:paraId="5FF61BD5">
      <w:pPr>
        <w:rPr>
          <w:color w:val="auto"/>
          <w:highlight w:val="none"/>
        </w:rPr>
      </w:pPr>
    </w:p>
    <w:p w14:paraId="5FC47315">
      <w:pPr>
        <w:rPr>
          <w:color w:val="auto"/>
          <w:highlight w:val="none"/>
        </w:rPr>
      </w:pPr>
    </w:p>
    <w:p w14:paraId="70E4E951">
      <w:pPr>
        <w:rPr>
          <w:color w:val="auto"/>
          <w:highlight w:val="none"/>
        </w:rPr>
      </w:pPr>
    </w:p>
    <w:p w14:paraId="5D68F525">
      <w:pPr>
        <w:rPr>
          <w:color w:val="auto"/>
          <w:highlight w:val="none"/>
        </w:rPr>
      </w:pPr>
    </w:p>
    <w:p w14:paraId="0EF5596F">
      <w:pPr>
        <w:pStyle w:val="2"/>
        <w:jc w:val="center"/>
        <w:rPr>
          <w:color w:val="auto"/>
          <w:highlight w:val="none"/>
        </w:rPr>
      </w:pPr>
    </w:p>
    <w:p w14:paraId="262EC339">
      <w:pPr>
        <w:pStyle w:val="2"/>
        <w:jc w:val="center"/>
        <w:rPr>
          <w:color w:val="auto"/>
          <w:highlight w:val="none"/>
        </w:rPr>
      </w:pPr>
    </w:p>
    <w:p w14:paraId="244F8B79">
      <w:pPr>
        <w:pStyle w:val="2"/>
        <w:jc w:val="center"/>
        <w:rPr>
          <w:color w:val="auto"/>
          <w:highlight w:val="none"/>
        </w:rPr>
      </w:pPr>
    </w:p>
    <w:p w14:paraId="3057D78D">
      <w:pPr>
        <w:pStyle w:val="2"/>
        <w:jc w:val="center"/>
        <w:rPr>
          <w:color w:val="auto"/>
          <w:highlight w:val="none"/>
        </w:rPr>
      </w:pPr>
    </w:p>
    <w:p w14:paraId="4B2EE807">
      <w:pPr>
        <w:pStyle w:val="2"/>
        <w:jc w:val="center"/>
        <w:rPr>
          <w:color w:val="auto"/>
          <w:highlight w:val="none"/>
        </w:rPr>
      </w:pPr>
    </w:p>
    <w:p w14:paraId="4674E8A9">
      <w:pPr>
        <w:pStyle w:val="2"/>
        <w:jc w:val="center"/>
        <w:rPr>
          <w:color w:val="auto"/>
          <w:highlight w:val="none"/>
        </w:rPr>
      </w:pPr>
    </w:p>
    <w:p w14:paraId="6DDFB062">
      <w:pPr>
        <w:pStyle w:val="2"/>
        <w:jc w:val="center"/>
        <w:rPr>
          <w:color w:val="auto"/>
          <w:highlight w:val="none"/>
        </w:rPr>
      </w:pPr>
    </w:p>
    <w:p w14:paraId="462EF012">
      <w:pPr>
        <w:pStyle w:val="2"/>
        <w:jc w:val="center"/>
        <w:rPr>
          <w:color w:val="auto"/>
          <w:highlight w:val="none"/>
        </w:rPr>
      </w:pPr>
    </w:p>
    <w:p w14:paraId="15E3F7D0">
      <w:pPr>
        <w:pStyle w:val="2"/>
        <w:jc w:val="center"/>
        <w:rPr>
          <w:color w:val="auto"/>
          <w:highlight w:val="none"/>
        </w:rPr>
      </w:pPr>
      <w:bookmarkStart w:id="173" w:name="_Toc5022"/>
      <w:r>
        <w:rPr>
          <w:color w:val="auto"/>
          <w:highlight w:val="none"/>
        </w:rPr>
        <w:t>第</w:t>
      </w:r>
      <w:r>
        <w:rPr>
          <w:rFonts w:hint="eastAsia"/>
          <w:color w:val="auto"/>
          <w:highlight w:val="none"/>
        </w:rPr>
        <w:t>六</w:t>
      </w:r>
      <w:r>
        <w:rPr>
          <w:color w:val="auto"/>
          <w:highlight w:val="none"/>
        </w:rPr>
        <w:t>章</w:t>
      </w:r>
      <w:r>
        <w:rPr>
          <w:rFonts w:hint="eastAsia"/>
          <w:color w:val="auto"/>
          <w:highlight w:val="none"/>
        </w:rPr>
        <w:t xml:space="preserve"> 投标文件格式</w:t>
      </w:r>
      <w:bookmarkEnd w:id="173"/>
    </w:p>
    <w:p w14:paraId="4D1D0EB5">
      <w:pPr>
        <w:jc w:val="center"/>
        <w:rPr>
          <w:color w:val="auto"/>
          <w:szCs w:val="21"/>
          <w:highlight w:val="none"/>
        </w:rPr>
      </w:pPr>
    </w:p>
    <w:p w14:paraId="5528A418">
      <w:pPr>
        <w:jc w:val="center"/>
        <w:rPr>
          <w:color w:val="auto"/>
          <w:szCs w:val="21"/>
          <w:highlight w:val="none"/>
        </w:rPr>
      </w:pPr>
    </w:p>
    <w:p w14:paraId="3446D331">
      <w:pPr>
        <w:jc w:val="center"/>
        <w:rPr>
          <w:color w:val="auto"/>
          <w:sz w:val="32"/>
          <w:szCs w:val="32"/>
          <w:highlight w:val="none"/>
        </w:rPr>
      </w:pPr>
      <w:r>
        <w:rPr>
          <w:color w:val="auto"/>
          <w:sz w:val="28"/>
          <w:szCs w:val="28"/>
          <w:highlight w:val="none"/>
        </w:rPr>
        <w:br w:type="page"/>
      </w:r>
    </w:p>
    <w:p w14:paraId="56904152">
      <w:pPr>
        <w:jc w:val="center"/>
        <w:rPr>
          <w:color w:val="auto"/>
          <w:sz w:val="28"/>
          <w:szCs w:val="28"/>
          <w:highlight w:val="none"/>
        </w:rPr>
      </w:pPr>
      <w:r>
        <w:rPr>
          <w:color w:val="auto"/>
          <w:sz w:val="32"/>
          <w:szCs w:val="32"/>
          <w:highlight w:val="none"/>
          <w:u w:val="single"/>
        </w:rPr>
        <w:t xml:space="preserve">             </w:t>
      </w:r>
      <w:r>
        <w:rPr>
          <w:color w:val="auto"/>
          <w:sz w:val="28"/>
          <w:szCs w:val="28"/>
          <w:highlight w:val="none"/>
        </w:rPr>
        <w:t>（项目名称）</w:t>
      </w:r>
      <w:r>
        <w:rPr>
          <w:rFonts w:hint="eastAsia"/>
          <w:color w:val="auto"/>
          <w:sz w:val="28"/>
          <w:szCs w:val="28"/>
          <w:highlight w:val="none"/>
        </w:rPr>
        <w:t>设计</w:t>
      </w:r>
      <w:r>
        <w:rPr>
          <w:color w:val="auto"/>
          <w:sz w:val="28"/>
          <w:szCs w:val="28"/>
          <w:highlight w:val="none"/>
        </w:rPr>
        <w:t>招标</w:t>
      </w:r>
      <w:r>
        <w:rPr>
          <w:rFonts w:hint="eastAsia"/>
          <w:color w:val="auto"/>
          <w:sz w:val="28"/>
          <w:szCs w:val="28"/>
          <w:highlight w:val="none"/>
        </w:rPr>
        <w:t>项目</w:t>
      </w:r>
    </w:p>
    <w:p w14:paraId="05ACE0AD">
      <w:pPr>
        <w:jc w:val="center"/>
        <w:rPr>
          <w:color w:val="auto"/>
          <w:sz w:val="28"/>
          <w:szCs w:val="28"/>
          <w:highlight w:val="none"/>
        </w:rPr>
      </w:pPr>
    </w:p>
    <w:p w14:paraId="74FEFB23">
      <w:pPr>
        <w:spacing w:before="240" w:beforeLines="100"/>
        <w:jc w:val="center"/>
        <w:rPr>
          <w:color w:val="auto"/>
          <w:sz w:val="52"/>
          <w:szCs w:val="52"/>
          <w:highlight w:val="none"/>
        </w:rPr>
      </w:pPr>
      <w:r>
        <w:rPr>
          <w:color w:val="auto"/>
          <w:sz w:val="52"/>
          <w:szCs w:val="52"/>
          <w:highlight w:val="none"/>
        </w:rPr>
        <w:t>投  标  文  件</w:t>
      </w:r>
    </w:p>
    <w:p w14:paraId="2CD0743A">
      <w:pPr>
        <w:jc w:val="center"/>
        <w:rPr>
          <w:color w:val="auto"/>
          <w:sz w:val="32"/>
          <w:szCs w:val="32"/>
          <w:highlight w:val="none"/>
        </w:rPr>
      </w:pPr>
    </w:p>
    <w:p w14:paraId="3899965A">
      <w:pPr>
        <w:jc w:val="center"/>
        <w:rPr>
          <w:color w:val="auto"/>
          <w:sz w:val="32"/>
          <w:szCs w:val="32"/>
          <w:highlight w:val="none"/>
        </w:rPr>
      </w:pPr>
    </w:p>
    <w:p w14:paraId="6CA8AF21">
      <w:pPr>
        <w:jc w:val="center"/>
        <w:rPr>
          <w:color w:val="auto"/>
          <w:sz w:val="32"/>
          <w:szCs w:val="32"/>
          <w:highlight w:val="none"/>
        </w:rPr>
      </w:pPr>
    </w:p>
    <w:p w14:paraId="1DB01E7F">
      <w:pPr>
        <w:jc w:val="center"/>
        <w:rPr>
          <w:color w:val="auto"/>
          <w:sz w:val="32"/>
          <w:szCs w:val="32"/>
          <w:highlight w:val="none"/>
        </w:rPr>
      </w:pPr>
    </w:p>
    <w:p w14:paraId="4E72F13C">
      <w:pPr>
        <w:spacing w:line="360" w:lineRule="auto"/>
        <w:ind w:firstLine="2380" w:firstLineChars="850"/>
        <w:rPr>
          <w:color w:val="auto"/>
          <w:sz w:val="28"/>
          <w:szCs w:val="28"/>
          <w:highlight w:val="none"/>
          <w:u w:val="single"/>
        </w:rPr>
      </w:pPr>
      <w:r>
        <w:rPr>
          <w:color w:val="auto"/>
          <w:sz w:val="28"/>
          <w:szCs w:val="28"/>
          <w:highlight w:val="none"/>
        </w:rPr>
        <w:t>项目</w:t>
      </w:r>
      <w:r>
        <w:rPr>
          <w:rFonts w:hint="eastAsia"/>
          <w:color w:val="auto"/>
          <w:sz w:val="28"/>
          <w:szCs w:val="28"/>
          <w:highlight w:val="none"/>
        </w:rPr>
        <w:t>招标</w:t>
      </w:r>
      <w:r>
        <w:rPr>
          <w:color w:val="auto"/>
          <w:sz w:val="28"/>
          <w:szCs w:val="28"/>
          <w:highlight w:val="none"/>
        </w:rPr>
        <w:t>编号：</w:t>
      </w:r>
      <w:r>
        <w:rPr>
          <w:color w:val="auto"/>
          <w:sz w:val="28"/>
          <w:szCs w:val="28"/>
          <w:highlight w:val="none"/>
          <w:u w:val="single"/>
        </w:rPr>
        <w:t xml:space="preserve">                   </w:t>
      </w:r>
    </w:p>
    <w:p w14:paraId="7822830F">
      <w:pPr>
        <w:jc w:val="center"/>
        <w:rPr>
          <w:color w:val="auto"/>
          <w:sz w:val="32"/>
          <w:szCs w:val="32"/>
          <w:highlight w:val="none"/>
        </w:rPr>
      </w:pPr>
    </w:p>
    <w:p w14:paraId="048998E2">
      <w:pPr>
        <w:jc w:val="center"/>
        <w:rPr>
          <w:color w:val="auto"/>
          <w:sz w:val="32"/>
          <w:szCs w:val="32"/>
          <w:highlight w:val="none"/>
        </w:rPr>
      </w:pPr>
    </w:p>
    <w:p w14:paraId="24E9987C">
      <w:pPr>
        <w:jc w:val="center"/>
        <w:rPr>
          <w:color w:val="auto"/>
          <w:sz w:val="32"/>
          <w:szCs w:val="32"/>
          <w:highlight w:val="none"/>
        </w:rPr>
      </w:pPr>
    </w:p>
    <w:p w14:paraId="1522ED1F">
      <w:pPr>
        <w:jc w:val="center"/>
        <w:rPr>
          <w:color w:val="auto"/>
          <w:sz w:val="32"/>
          <w:szCs w:val="32"/>
          <w:highlight w:val="none"/>
        </w:rPr>
      </w:pPr>
    </w:p>
    <w:p w14:paraId="4847478D">
      <w:pPr>
        <w:jc w:val="center"/>
        <w:rPr>
          <w:color w:val="auto"/>
          <w:sz w:val="32"/>
          <w:szCs w:val="32"/>
          <w:highlight w:val="none"/>
        </w:rPr>
      </w:pPr>
    </w:p>
    <w:p w14:paraId="5CE48DB8">
      <w:pPr>
        <w:jc w:val="center"/>
        <w:rPr>
          <w:color w:val="auto"/>
          <w:sz w:val="32"/>
          <w:szCs w:val="32"/>
          <w:highlight w:val="none"/>
        </w:rPr>
      </w:pPr>
    </w:p>
    <w:p w14:paraId="3609A8E7">
      <w:pPr>
        <w:jc w:val="center"/>
        <w:rPr>
          <w:color w:val="auto"/>
          <w:sz w:val="32"/>
          <w:szCs w:val="32"/>
          <w:highlight w:val="none"/>
        </w:rPr>
      </w:pPr>
    </w:p>
    <w:p w14:paraId="75F95925">
      <w:pPr>
        <w:jc w:val="center"/>
        <w:rPr>
          <w:color w:val="auto"/>
          <w:sz w:val="32"/>
          <w:szCs w:val="32"/>
          <w:highlight w:val="none"/>
        </w:rPr>
      </w:pPr>
    </w:p>
    <w:p w14:paraId="18CC1786">
      <w:pPr>
        <w:jc w:val="center"/>
        <w:rPr>
          <w:color w:val="auto"/>
          <w:sz w:val="32"/>
          <w:szCs w:val="32"/>
          <w:highlight w:val="none"/>
        </w:rPr>
      </w:pPr>
    </w:p>
    <w:p w14:paraId="34EBEA8B">
      <w:pPr>
        <w:jc w:val="center"/>
        <w:rPr>
          <w:color w:val="auto"/>
          <w:sz w:val="32"/>
          <w:szCs w:val="32"/>
          <w:highlight w:val="none"/>
        </w:rPr>
      </w:pPr>
    </w:p>
    <w:p w14:paraId="19D20980">
      <w:pPr>
        <w:jc w:val="center"/>
        <w:rPr>
          <w:color w:val="auto"/>
          <w:sz w:val="32"/>
          <w:szCs w:val="32"/>
          <w:highlight w:val="none"/>
        </w:rPr>
      </w:pPr>
    </w:p>
    <w:p w14:paraId="02A803E3">
      <w:pPr>
        <w:jc w:val="center"/>
        <w:rPr>
          <w:color w:val="auto"/>
          <w:sz w:val="32"/>
          <w:szCs w:val="32"/>
          <w:highlight w:val="none"/>
        </w:rPr>
      </w:pPr>
    </w:p>
    <w:p w14:paraId="660384C4">
      <w:pPr>
        <w:jc w:val="center"/>
        <w:rPr>
          <w:color w:val="auto"/>
          <w:sz w:val="32"/>
          <w:szCs w:val="32"/>
          <w:highlight w:val="none"/>
        </w:rPr>
      </w:pPr>
    </w:p>
    <w:p w14:paraId="1324E301">
      <w:pPr>
        <w:spacing w:line="360" w:lineRule="auto"/>
        <w:ind w:firstLine="1400" w:firstLineChars="500"/>
        <w:rPr>
          <w:color w:val="auto"/>
          <w:sz w:val="28"/>
          <w:szCs w:val="28"/>
          <w:highlight w:val="none"/>
        </w:rPr>
      </w:pPr>
      <w:r>
        <w:rPr>
          <w:rFonts w:hint="eastAsia"/>
          <w:color w:val="auto"/>
          <w:sz w:val="28"/>
          <w:szCs w:val="28"/>
          <w:highlight w:val="none"/>
        </w:rPr>
        <w:t>投标</w:t>
      </w:r>
      <w:r>
        <w:rPr>
          <w:color w:val="auto"/>
          <w:sz w:val="28"/>
          <w:szCs w:val="28"/>
          <w:highlight w:val="none"/>
        </w:rPr>
        <w:t>内容：</w:t>
      </w:r>
      <w:r>
        <w:rPr>
          <w:color w:val="auto"/>
          <w:sz w:val="28"/>
          <w:szCs w:val="28"/>
          <w:highlight w:val="none"/>
          <w:u w:val="single"/>
        </w:rPr>
        <w:t xml:space="preserve">       </w:t>
      </w:r>
      <w:r>
        <w:rPr>
          <w:rFonts w:hint="eastAsia"/>
          <w:color w:val="auto"/>
          <w:sz w:val="28"/>
          <w:szCs w:val="28"/>
          <w:highlight w:val="none"/>
          <w:u w:val="single"/>
        </w:rPr>
        <w:t>资格</w:t>
      </w:r>
      <w:r>
        <w:rPr>
          <w:color w:val="auto"/>
          <w:sz w:val="28"/>
          <w:szCs w:val="28"/>
          <w:highlight w:val="none"/>
          <w:u w:val="single"/>
        </w:rPr>
        <w:t xml:space="preserve">审查部分          </w:t>
      </w:r>
    </w:p>
    <w:p w14:paraId="7A1ADF2F">
      <w:pPr>
        <w:spacing w:line="360" w:lineRule="auto"/>
        <w:ind w:firstLine="1400" w:firstLineChars="500"/>
        <w:rPr>
          <w:color w:val="auto"/>
          <w:sz w:val="28"/>
          <w:szCs w:val="28"/>
          <w:highlight w:val="none"/>
        </w:rPr>
      </w:pPr>
      <w:r>
        <w:rPr>
          <w:rFonts w:hint="eastAsia"/>
          <w:color w:val="auto"/>
          <w:sz w:val="28"/>
          <w:szCs w:val="28"/>
          <w:highlight w:val="none"/>
        </w:rPr>
        <w:t>投标</w:t>
      </w:r>
      <w:r>
        <w:rPr>
          <w:color w:val="auto"/>
          <w:sz w:val="28"/>
          <w:szCs w:val="28"/>
          <w:highlight w:val="none"/>
        </w:rPr>
        <w:t>人：</w:t>
      </w:r>
      <w:r>
        <w:rPr>
          <w:color w:val="auto"/>
          <w:sz w:val="28"/>
          <w:szCs w:val="28"/>
          <w:highlight w:val="none"/>
          <w:u w:val="single"/>
        </w:rPr>
        <w:t xml:space="preserve">                               </w:t>
      </w:r>
      <w:r>
        <w:rPr>
          <w:color w:val="auto"/>
          <w:sz w:val="28"/>
          <w:szCs w:val="28"/>
          <w:highlight w:val="none"/>
        </w:rPr>
        <w:t>（</w:t>
      </w:r>
      <w:r>
        <w:rPr>
          <w:rFonts w:hint="eastAsia"/>
          <w:color w:val="auto"/>
          <w:sz w:val="28"/>
          <w:szCs w:val="28"/>
          <w:highlight w:val="none"/>
        </w:rPr>
        <w:t>盖单位章</w:t>
      </w:r>
      <w:r>
        <w:rPr>
          <w:color w:val="auto"/>
          <w:sz w:val="28"/>
          <w:szCs w:val="28"/>
          <w:highlight w:val="none"/>
        </w:rPr>
        <w:t>）</w:t>
      </w:r>
    </w:p>
    <w:p w14:paraId="34A03C97">
      <w:pPr>
        <w:jc w:val="center"/>
        <w:rPr>
          <w:color w:val="auto"/>
          <w:sz w:val="28"/>
          <w:szCs w:val="28"/>
          <w:highlight w:val="none"/>
        </w:rPr>
      </w:pPr>
    </w:p>
    <w:p w14:paraId="619BB0AD">
      <w:pPr>
        <w:jc w:val="center"/>
        <w:rPr>
          <w:color w:val="auto"/>
          <w:sz w:val="28"/>
          <w:szCs w:val="28"/>
          <w:highlight w:val="none"/>
        </w:rPr>
      </w:pPr>
    </w:p>
    <w:p w14:paraId="17B8525B">
      <w:pPr>
        <w:jc w:val="center"/>
        <w:rPr>
          <w:color w:val="auto"/>
          <w:sz w:val="28"/>
          <w:szCs w:val="28"/>
          <w:highlight w:val="none"/>
        </w:rPr>
      </w:pPr>
      <w:r>
        <w:rPr>
          <w:color w:val="auto"/>
          <w:sz w:val="28"/>
          <w:szCs w:val="28"/>
          <w:highlight w:val="none"/>
          <w:u w:val="single"/>
        </w:rPr>
        <w:t xml:space="preserve">         </w:t>
      </w:r>
      <w:r>
        <w:rPr>
          <w:color w:val="auto"/>
          <w:sz w:val="28"/>
          <w:szCs w:val="28"/>
          <w:highlight w:val="none"/>
        </w:rPr>
        <w:t>年</w:t>
      </w:r>
      <w:r>
        <w:rPr>
          <w:color w:val="auto"/>
          <w:sz w:val="28"/>
          <w:szCs w:val="28"/>
          <w:highlight w:val="none"/>
          <w:u w:val="single"/>
        </w:rPr>
        <w:t xml:space="preserve">         </w:t>
      </w:r>
      <w:r>
        <w:rPr>
          <w:color w:val="auto"/>
          <w:sz w:val="28"/>
          <w:szCs w:val="28"/>
          <w:highlight w:val="none"/>
        </w:rPr>
        <w:t>月</w:t>
      </w:r>
      <w:r>
        <w:rPr>
          <w:color w:val="auto"/>
          <w:sz w:val="28"/>
          <w:szCs w:val="28"/>
          <w:highlight w:val="none"/>
          <w:u w:val="single"/>
        </w:rPr>
        <w:t xml:space="preserve">         </w:t>
      </w:r>
      <w:r>
        <w:rPr>
          <w:color w:val="auto"/>
          <w:sz w:val="28"/>
          <w:szCs w:val="28"/>
          <w:highlight w:val="none"/>
        </w:rPr>
        <w:t>日</w:t>
      </w:r>
    </w:p>
    <w:p w14:paraId="3073D70A">
      <w:pPr>
        <w:spacing w:before="240" w:beforeLines="100" w:after="240" w:afterLines="100"/>
        <w:jc w:val="center"/>
        <w:rPr>
          <w:b/>
          <w:color w:val="auto"/>
          <w:sz w:val="28"/>
          <w:szCs w:val="28"/>
          <w:highlight w:val="none"/>
        </w:rPr>
      </w:pPr>
      <w:r>
        <w:rPr>
          <w:color w:val="auto"/>
          <w:sz w:val="28"/>
          <w:szCs w:val="28"/>
          <w:highlight w:val="none"/>
        </w:rPr>
        <w:br w:type="page"/>
      </w:r>
      <w:r>
        <w:rPr>
          <w:b/>
          <w:color w:val="auto"/>
          <w:sz w:val="28"/>
          <w:szCs w:val="28"/>
          <w:highlight w:val="none"/>
        </w:rPr>
        <w:t>目    录</w:t>
      </w:r>
    </w:p>
    <w:p w14:paraId="51EBD20E">
      <w:pPr>
        <w:spacing w:line="360" w:lineRule="auto"/>
        <w:rPr>
          <w:rFonts w:ascii="楷体" w:hAnsi="楷体" w:eastAsia="楷体"/>
          <w:b/>
          <w:color w:val="auto"/>
          <w:highlight w:val="none"/>
        </w:rPr>
      </w:pPr>
      <w:r>
        <w:rPr>
          <w:rFonts w:hint="eastAsia"/>
          <w:color w:val="auto"/>
          <w:highlight w:val="none"/>
        </w:rPr>
        <w:t>一、</w:t>
      </w:r>
      <w:r>
        <w:rPr>
          <w:rFonts w:hint="eastAsia" w:cs="宋体"/>
          <w:color w:val="auto"/>
          <w:highlight w:val="none"/>
        </w:rPr>
        <w:t>投标人基本情况表</w:t>
      </w:r>
      <w:r>
        <w:rPr>
          <w:rFonts w:hint="eastAsia" w:ascii="楷体" w:hAnsi="楷体" w:eastAsia="楷体" w:cs="宋体"/>
          <w:b/>
          <w:color w:val="auto"/>
          <w:highlight w:val="none"/>
        </w:rPr>
        <w:t>【</w:t>
      </w:r>
      <w:r>
        <w:rPr>
          <w:rFonts w:hint="eastAsia" w:ascii="楷体" w:hAnsi="楷体" w:eastAsia="楷体"/>
          <w:b/>
          <w:color w:val="auto"/>
          <w:highlight w:val="none"/>
        </w:rPr>
        <w:t>备注：提供的企业基本情况、营业执照副本均以“桂建云”系统的信息为准。资质证书数据由“桂建云”系统从全国建筑市场监管公共服务平台下载，不需要在“桂建云”系统上传资质证书扫描件。资质证书扫描件可在投标文件资格审查部分在投标人认为有必要提交的其他投标资料中上传。</w:t>
      </w:r>
      <w:r>
        <w:rPr>
          <w:rFonts w:hint="eastAsia" w:ascii="楷体" w:hAnsi="楷体" w:eastAsia="楷体" w:cs="宋体"/>
          <w:b/>
          <w:color w:val="auto"/>
          <w:highlight w:val="none"/>
        </w:rPr>
        <w:t>】；</w:t>
      </w:r>
    </w:p>
    <w:p w14:paraId="799AC802">
      <w:pPr>
        <w:spacing w:line="360" w:lineRule="auto"/>
        <w:rPr>
          <w:color w:val="auto"/>
          <w:highlight w:val="none"/>
        </w:rPr>
      </w:pPr>
      <w:r>
        <w:rPr>
          <w:rFonts w:hint="eastAsia"/>
          <w:color w:val="auto"/>
          <w:highlight w:val="none"/>
        </w:rPr>
        <w:t xml:space="preserve">二、联合体协议书原件（如有）； </w:t>
      </w:r>
    </w:p>
    <w:p w14:paraId="68992E92">
      <w:pPr>
        <w:spacing w:line="360" w:lineRule="auto"/>
        <w:rPr>
          <w:rFonts w:ascii="楷体" w:hAnsi="楷体" w:eastAsia="楷体"/>
          <w:b/>
          <w:color w:val="auto"/>
          <w:highlight w:val="none"/>
        </w:rPr>
      </w:pPr>
      <w:r>
        <w:rPr>
          <w:rFonts w:hint="eastAsia"/>
          <w:color w:val="auto"/>
          <w:highlight w:val="none"/>
        </w:rPr>
        <w:t>三、</w:t>
      </w:r>
      <w:r>
        <w:rPr>
          <w:rFonts w:hint="eastAsia" w:cs="宋体"/>
          <w:color w:val="auto"/>
          <w:highlight w:val="none"/>
        </w:rPr>
        <w:t>投标保证金的转账（或电汇、网上支付）底单原件的扫描件、电子转账截图或保函（银行保函、保证保险保函、工程担保保函）原件扫描件或电子保函系统自动认证；</w:t>
      </w:r>
      <w:r>
        <w:rPr>
          <w:rFonts w:hint="eastAsia" w:ascii="楷体" w:hAnsi="楷体" w:eastAsia="楷体" w:cs="宋体"/>
          <w:b/>
          <w:color w:val="auto"/>
          <w:highlight w:val="none"/>
        </w:rPr>
        <w:t>【备注：</w:t>
      </w:r>
      <w:r>
        <w:rPr>
          <w:rFonts w:ascii="楷体" w:hAnsi="楷体" w:eastAsia="楷体" w:cs="宋体"/>
          <w:b/>
          <w:color w:val="auto"/>
          <w:highlight w:val="none"/>
        </w:rPr>
        <w:t>鼓励</w:t>
      </w:r>
      <w:r>
        <w:rPr>
          <w:rFonts w:hint="eastAsia" w:ascii="楷体" w:hAnsi="楷体" w:eastAsia="楷体" w:cs="宋体"/>
          <w:b/>
          <w:color w:val="auto"/>
          <w:highlight w:val="none"/>
        </w:rPr>
        <w:t>采</w:t>
      </w:r>
      <w:r>
        <w:rPr>
          <w:rFonts w:ascii="楷体" w:hAnsi="楷体" w:eastAsia="楷体" w:cs="宋体"/>
          <w:b/>
          <w:color w:val="auto"/>
          <w:highlight w:val="none"/>
        </w:rPr>
        <w:t>用电子保函形式</w:t>
      </w:r>
      <w:r>
        <w:rPr>
          <w:rFonts w:hint="eastAsia" w:ascii="楷体" w:hAnsi="楷体" w:eastAsia="楷体" w:cs="宋体"/>
          <w:b/>
          <w:color w:val="auto"/>
          <w:highlight w:val="none"/>
        </w:rPr>
        <w:t>。】</w:t>
      </w:r>
    </w:p>
    <w:p w14:paraId="2B3EEAEB">
      <w:pPr>
        <w:spacing w:line="360" w:lineRule="auto"/>
        <w:rPr>
          <w:rFonts w:ascii="楷体" w:hAnsi="楷体" w:eastAsia="楷体"/>
          <w:b/>
          <w:color w:val="auto"/>
          <w:highlight w:val="none"/>
        </w:rPr>
      </w:pPr>
      <w:r>
        <w:rPr>
          <w:rFonts w:hint="eastAsia"/>
          <w:color w:val="auto"/>
          <w:highlight w:val="none"/>
        </w:rPr>
        <w:t>四、拟派项目负责人及相应的注册证书（如需要）、职称证书（如需要）；</w:t>
      </w:r>
      <w:r>
        <w:rPr>
          <w:rFonts w:hint="eastAsia" w:ascii="楷体" w:hAnsi="楷体" w:eastAsia="楷体"/>
          <w:b/>
          <w:color w:val="auto"/>
          <w:highlight w:val="none"/>
        </w:rPr>
        <w:t>【备注：①</w:t>
      </w:r>
      <w:r>
        <w:rPr>
          <w:rFonts w:hint="eastAsia" w:ascii="楷体" w:hAnsi="楷体" w:eastAsia="楷体"/>
          <w:b/>
          <w:color w:val="auto"/>
          <w:szCs w:val="21"/>
          <w:highlight w:val="none"/>
        </w:rPr>
        <w:t>项目负责人身份证、学历证、职称证、执业注册信息</w:t>
      </w:r>
      <w:r>
        <w:rPr>
          <w:rFonts w:hint="eastAsia" w:eastAsia="楷体"/>
          <w:b/>
          <w:color w:val="auto"/>
          <w:szCs w:val="21"/>
          <w:highlight w:val="none"/>
        </w:rPr>
        <w:t>（</w:t>
      </w:r>
      <w:r>
        <w:rPr>
          <w:rFonts w:hint="eastAsia" w:ascii="楷体" w:hAnsi="楷体" w:eastAsia="楷体"/>
          <w:b/>
          <w:color w:val="auto"/>
          <w:highlight w:val="none"/>
        </w:rPr>
        <w:t>注册类型及等级、证书编号等信息从全国建筑市场监管公共服务平台下行到“桂建云”即可，不需要核验注册证书扫描件</w:t>
      </w:r>
      <w:r>
        <w:rPr>
          <w:rFonts w:hint="eastAsia" w:eastAsia="楷体"/>
          <w:b/>
          <w:color w:val="auto"/>
          <w:szCs w:val="21"/>
          <w:highlight w:val="none"/>
        </w:rPr>
        <w:t>）</w:t>
      </w:r>
      <w:r>
        <w:rPr>
          <w:rFonts w:hint="eastAsia" w:ascii="楷体" w:hAnsi="楷体" w:eastAsia="楷体"/>
          <w:b/>
          <w:color w:val="auto"/>
          <w:szCs w:val="21"/>
          <w:highlight w:val="none"/>
        </w:rPr>
        <w:t>等相关证明材料未通过“桂建云”的，在评审时不予承认。项目负责人应附社保缴费证明原件扫描件，管理过的项目业绩须附合同协议书</w:t>
      </w:r>
      <w:r>
        <w:rPr>
          <w:rFonts w:hint="eastAsia" w:ascii="楷体" w:hAnsi="楷体" w:eastAsia="楷体"/>
          <w:b/>
          <w:bCs/>
          <w:color w:val="auto"/>
          <w:szCs w:val="21"/>
          <w:highlight w:val="none"/>
        </w:rPr>
        <w:t>的封面及相关内容页</w:t>
      </w:r>
      <w:r>
        <w:rPr>
          <w:rFonts w:hint="eastAsia" w:ascii="楷体" w:hAnsi="楷体" w:eastAsia="楷体"/>
          <w:b/>
          <w:color w:val="auto"/>
          <w:szCs w:val="21"/>
          <w:highlight w:val="none"/>
        </w:rPr>
        <w:t>或中标通知书复印件。</w:t>
      </w:r>
      <w:r>
        <w:rPr>
          <w:rFonts w:hint="eastAsia" w:ascii="楷体" w:hAnsi="楷体" w:eastAsia="楷体"/>
          <w:b/>
          <w:color w:val="auto"/>
          <w:highlight w:val="none"/>
        </w:rPr>
        <w:t>】</w:t>
      </w:r>
    </w:p>
    <w:p w14:paraId="638D4D22">
      <w:pPr>
        <w:spacing w:line="360" w:lineRule="auto"/>
        <w:rPr>
          <w:rFonts w:ascii="楷体" w:hAnsi="楷体" w:eastAsia="楷体"/>
          <w:b/>
          <w:color w:val="auto"/>
          <w:szCs w:val="21"/>
          <w:highlight w:val="none"/>
        </w:rPr>
      </w:pPr>
      <w:r>
        <w:rPr>
          <w:rFonts w:hint="eastAsia" w:cs="宋体"/>
          <w:color w:val="auto"/>
          <w:highlight w:val="none"/>
        </w:rPr>
        <w:t>五、拟派项目组人员配备情况。</w:t>
      </w:r>
      <w:r>
        <w:rPr>
          <w:rFonts w:hint="eastAsia" w:ascii="楷体" w:hAnsi="楷体" w:eastAsia="楷体"/>
          <w:b/>
          <w:color w:val="auto"/>
          <w:szCs w:val="21"/>
          <w:highlight w:val="none"/>
        </w:rPr>
        <w:t>【</w:t>
      </w:r>
      <w:r>
        <w:rPr>
          <w:rFonts w:ascii="楷体" w:hAnsi="楷体" w:eastAsia="楷体"/>
          <w:b/>
          <w:color w:val="auto"/>
          <w:szCs w:val="21"/>
          <w:highlight w:val="none"/>
        </w:rPr>
        <w:t>备注</w:t>
      </w:r>
      <w:r>
        <w:rPr>
          <w:rFonts w:hint="eastAsia" w:ascii="楷体" w:hAnsi="楷体" w:eastAsia="楷体"/>
          <w:b/>
          <w:color w:val="auto"/>
          <w:szCs w:val="21"/>
          <w:highlight w:val="none"/>
        </w:rPr>
        <w:t>：①项目组人员身份证、学历证、职称证、执业注册信息</w:t>
      </w:r>
      <w:r>
        <w:rPr>
          <w:rFonts w:hint="eastAsia" w:eastAsia="楷体"/>
          <w:b/>
          <w:color w:val="auto"/>
          <w:szCs w:val="21"/>
          <w:highlight w:val="none"/>
        </w:rPr>
        <w:t>（</w:t>
      </w:r>
      <w:r>
        <w:rPr>
          <w:rFonts w:hint="eastAsia" w:ascii="楷体" w:hAnsi="楷体" w:eastAsia="楷体"/>
          <w:b/>
          <w:color w:val="auto"/>
          <w:highlight w:val="none"/>
        </w:rPr>
        <w:t>注册类型及等级、证书编号等信息从全国建筑市场监管公共服务平台下行到“桂建云”即可，不需要核验注册证书扫描件</w:t>
      </w:r>
      <w:r>
        <w:rPr>
          <w:rFonts w:hint="eastAsia" w:eastAsia="楷体"/>
          <w:b/>
          <w:color w:val="auto"/>
          <w:szCs w:val="21"/>
          <w:highlight w:val="none"/>
        </w:rPr>
        <w:t>）</w:t>
      </w:r>
      <w:r>
        <w:rPr>
          <w:rFonts w:hint="eastAsia" w:ascii="楷体" w:hAnsi="楷体" w:eastAsia="楷体"/>
          <w:b/>
          <w:color w:val="auto"/>
          <w:szCs w:val="21"/>
          <w:highlight w:val="none"/>
        </w:rPr>
        <w:t>等相关证明材料未通过“桂建云”的，在评审时不予承认，项目组成员应附社保缴费证明原件扫描件；②以上证书需</w:t>
      </w:r>
      <w:r>
        <w:rPr>
          <w:rFonts w:hint="eastAsia" w:ascii="楷体" w:hAnsi="楷体" w:eastAsia="楷体"/>
          <w:b/>
          <w:color w:val="auto"/>
          <w:highlight w:val="none"/>
        </w:rPr>
        <w:t>与录入“桂建云”系统</w:t>
      </w:r>
      <w:r>
        <w:rPr>
          <w:rFonts w:hint="eastAsia" w:ascii="楷体" w:hAnsi="楷体" w:eastAsia="楷体" w:cs="宋体"/>
          <w:b/>
          <w:color w:val="auto"/>
          <w:highlight w:val="none"/>
        </w:rPr>
        <w:t>的信息一致。注册城乡规划师，咨询工程师，注册土木工程师（道路）等未在住建部注册或者未实施注册制度的资格证书，可在投标人认为的其他材料内补充上传电子证书，</w:t>
      </w:r>
      <w:r>
        <w:rPr>
          <w:rFonts w:ascii="楷体" w:hAnsi="楷体" w:eastAsia="楷体" w:cs="宋体"/>
          <w:b/>
          <w:color w:val="auto"/>
          <w:highlight w:val="none"/>
          <w:lang w:val="en"/>
        </w:rPr>
        <w:t>非电子证书，均不予以认可。</w:t>
      </w:r>
      <w:r>
        <w:rPr>
          <w:rFonts w:hint="eastAsia" w:ascii="楷体" w:hAnsi="楷体" w:eastAsia="楷体"/>
          <w:b/>
          <w:color w:val="auto"/>
          <w:szCs w:val="21"/>
          <w:highlight w:val="none"/>
        </w:rPr>
        <w:t>】</w:t>
      </w:r>
    </w:p>
    <w:p w14:paraId="5025F35F">
      <w:pPr>
        <w:spacing w:line="360" w:lineRule="auto"/>
        <w:rPr>
          <w:color w:val="auto"/>
          <w:highlight w:val="none"/>
        </w:rPr>
      </w:pPr>
      <w:r>
        <w:rPr>
          <w:rFonts w:hint="eastAsia"/>
          <w:color w:val="auto"/>
          <w:highlight w:val="none"/>
        </w:rPr>
        <w:t>六、资格审查需要的其他材料：企业近</w:t>
      </w:r>
      <w:r>
        <w:rPr>
          <w:rFonts w:hint="eastAsia"/>
          <w:color w:val="auto"/>
          <w:highlight w:val="none"/>
          <w:u w:val="single"/>
        </w:rPr>
        <w:t>3（即：2022年、2023年、2024年）</w:t>
      </w:r>
      <w:r>
        <w:rPr>
          <w:rFonts w:hint="eastAsia"/>
          <w:color w:val="auto"/>
          <w:highlight w:val="none"/>
        </w:rPr>
        <w:t>年财务状况表</w:t>
      </w:r>
      <w:r>
        <w:rPr>
          <w:rFonts w:hint="eastAsia" w:ascii="楷体" w:hAnsi="楷体" w:eastAsia="楷体" w:cs="宋体"/>
          <w:b/>
          <w:color w:val="auto"/>
          <w:highlight w:val="none"/>
        </w:rPr>
        <w:t>【备注：①一般为近三年；②以录入 “桂建云”系统为准；③对于从取得营业执照时间起到投标截止时间为止不足要求年数的企业，只需提交企业取得营业执照年份至所要求最近年份经审计的财务报表；④若是投标当年成立的企业，其财务报表不要求经审计；⑤联合体投标的则联合体各方均须提供。】</w:t>
      </w:r>
      <w:r>
        <w:rPr>
          <w:rFonts w:hint="eastAsia"/>
          <w:color w:val="auto"/>
          <w:highlight w:val="none"/>
        </w:rPr>
        <w:t>、《中小企业声明函》或者《残疾人福利性单位声明函》或者省级以上监狱管理局、戒毒管理局（含新疆生产建设兵团）出具的属于监狱企业的证明文件扫描件（预留份额专门面向中小企业采购的项目须提供）；</w:t>
      </w:r>
      <w:r>
        <w:rPr>
          <w:color w:val="auto"/>
          <w:highlight w:val="none"/>
          <w:lang w:val="en"/>
        </w:rPr>
        <w:t>近年来正在实施和新承接</w:t>
      </w:r>
      <w:r>
        <w:rPr>
          <w:rFonts w:hint="eastAsia"/>
          <w:color w:val="auto"/>
          <w:highlight w:val="none"/>
          <w:lang w:val="en"/>
        </w:rPr>
        <w:t>或</w:t>
      </w:r>
      <w:r>
        <w:rPr>
          <w:color w:val="auto"/>
          <w:highlight w:val="none"/>
          <w:lang w:val="en"/>
        </w:rPr>
        <w:t>完成的</w:t>
      </w:r>
      <w:r>
        <w:rPr>
          <w:rFonts w:hint="eastAsia"/>
          <w:color w:val="auto"/>
          <w:highlight w:val="none"/>
          <w:lang w:val="en"/>
        </w:rPr>
        <w:t>类似工程</w:t>
      </w:r>
      <w:r>
        <w:rPr>
          <w:color w:val="auto"/>
          <w:highlight w:val="none"/>
          <w:lang w:val="en"/>
        </w:rPr>
        <w:t>业绩</w:t>
      </w:r>
      <w:r>
        <w:rPr>
          <w:rFonts w:hint="eastAsia" w:ascii="楷体" w:hAnsi="楷体" w:eastAsia="楷体" w:cs="楷体"/>
          <w:b/>
          <w:bCs/>
          <w:color w:val="auto"/>
          <w:highlight w:val="none"/>
          <w:lang w:val="en"/>
        </w:rPr>
        <w:t>【</w:t>
      </w:r>
      <w:r>
        <w:rPr>
          <w:rFonts w:hint="eastAsia" w:ascii="楷体" w:hAnsi="楷体" w:eastAsia="楷体" w:cs="楷体"/>
          <w:b/>
          <w:bCs/>
          <w:color w:val="auto"/>
          <w:szCs w:val="21"/>
          <w:highlight w:val="none"/>
          <w:lang w:val="en"/>
        </w:rPr>
        <w:t>备注：如招标公告无业绩要求，可不包含此项】</w:t>
      </w:r>
      <w:r>
        <w:rPr>
          <w:rFonts w:hint="eastAsia" w:ascii="方正楷体_GBK" w:hAnsi="方正楷体_GBK" w:eastAsia="方正楷体_GBK" w:cs="方正楷体_GBK"/>
          <w:b/>
          <w:bCs/>
          <w:color w:val="auto"/>
          <w:szCs w:val="21"/>
          <w:highlight w:val="none"/>
          <w:lang w:val="en"/>
        </w:rPr>
        <w:t>。</w:t>
      </w:r>
    </w:p>
    <w:p w14:paraId="63CC4EE6">
      <w:pPr>
        <w:spacing w:line="360" w:lineRule="auto"/>
        <w:rPr>
          <w:color w:val="auto"/>
          <w:highlight w:val="none"/>
        </w:rPr>
      </w:pPr>
      <w:r>
        <w:rPr>
          <w:rFonts w:hint="eastAsia"/>
          <w:color w:val="auto"/>
          <w:highlight w:val="none"/>
        </w:rPr>
        <w:t>七、</w:t>
      </w:r>
      <w:r>
        <w:rPr>
          <w:color w:val="auto"/>
          <w:highlight w:val="none"/>
        </w:rPr>
        <w:t>投标人认为有必要提交的其他投标资料</w:t>
      </w:r>
      <w:r>
        <w:rPr>
          <w:rFonts w:hint="eastAsia"/>
          <w:color w:val="auto"/>
          <w:highlight w:val="none"/>
        </w:rPr>
        <w:t>。（如资质证书、质量体系认证证书等）</w:t>
      </w:r>
    </w:p>
    <w:p w14:paraId="08644C71">
      <w:pPr>
        <w:spacing w:line="360" w:lineRule="auto"/>
        <w:rPr>
          <w:color w:val="auto"/>
          <w:szCs w:val="21"/>
          <w:highlight w:val="none"/>
        </w:rPr>
      </w:pPr>
    </w:p>
    <w:p w14:paraId="25547FDC">
      <w:pPr>
        <w:spacing w:line="360" w:lineRule="auto"/>
        <w:rPr>
          <w:color w:val="auto"/>
          <w:szCs w:val="21"/>
          <w:highlight w:val="none"/>
        </w:rPr>
      </w:pPr>
    </w:p>
    <w:p w14:paraId="7857C2C1">
      <w:pPr>
        <w:spacing w:line="360" w:lineRule="auto"/>
        <w:rPr>
          <w:color w:val="auto"/>
          <w:szCs w:val="21"/>
          <w:highlight w:val="none"/>
        </w:rPr>
      </w:pPr>
    </w:p>
    <w:p w14:paraId="0AA770BC">
      <w:pPr>
        <w:spacing w:line="360" w:lineRule="auto"/>
        <w:rPr>
          <w:color w:val="auto"/>
          <w:szCs w:val="21"/>
          <w:highlight w:val="none"/>
        </w:rPr>
      </w:pPr>
    </w:p>
    <w:p w14:paraId="52C36607">
      <w:pPr>
        <w:jc w:val="center"/>
        <w:rPr>
          <w:rFonts w:ascii="宋体" w:hAnsi="宋体" w:cs="宋体"/>
          <w:b/>
          <w:color w:val="auto"/>
          <w:sz w:val="28"/>
          <w:szCs w:val="28"/>
          <w:highlight w:val="none"/>
        </w:rPr>
      </w:pPr>
      <w:r>
        <w:rPr>
          <w:rFonts w:ascii="宋体" w:hAnsi="宋体"/>
          <w:b/>
          <w:color w:val="auto"/>
          <w:sz w:val="28"/>
          <w:szCs w:val="28"/>
          <w:highlight w:val="none"/>
        </w:rPr>
        <w:t>一</w:t>
      </w:r>
      <w:r>
        <w:rPr>
          <w:rFonts w:hint="eastAsia" w:ascii="宋体" w:hAnsi="宋体"/>
          <w:b/>
          <w:color w:val="auto"/>
          <w:sz w:val="28"/>
          <w:szCs w:val="28"/>
          <w:highlight w:val="none"/>
        </w:rPr>
        <w:t>、</w:t>
      </w:r>
      <w:r>
        <w:rPr>
          <w:rFonts w:hint="eastAsia" w:ascii="宋体" w:hAnsi="宋体" w:cs="宋体"/>
          <w:b/>
          <w:color w:val="auto"/>
          <w:sz w:val="28"/>
          <w:szCs w:val="28"/>
          <w:highlight w:val="none"/>
        </w:rPr>
        <w:t>投标人基本情况表（包含企业基本情况、营业执照、资质证书）</w:t>
      </w:r>
    </w:p>
    <w:tbl>
      <w:tblPr>
        <w:tblStyle w:val="40"/>
        <w:tblpPr w:leftFromText="180" w:rightFromText="180" w:vertAnchor="text" w:horzAnchor="margin" w:tblpXSpec="center" w:tblpY="808"/>
        <w:tblOverlap w:val="never"/>
        <w:tblW w:w="10051" w:type="dxa"/>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55"/>
        <w:gridCol w:w="1476"/>
        <w:gridCol w:w="1470"/>
        <w:gridCol w:w="1974"/>
      </w:tblGrid>
      <w:tr w14:paraId="31E26BF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014EE674">
            <w:pPr>
              <w:widowControl/>
              <w:spacing w:line="384" w:lineRule="auto"/>
              <w:jc w:val="center"/>
              <w:rPr>
                <w:rFonts w:ascii="宋体" w:hAnsi="宋体" w:cs="宋体"/>
                <w:color w:val="auto"/>
                <w:szCs w:val="21"/>
                <w:highlight w:val="none"/>
              </w:rPr>
            </w:pPr>
            <w:r>
              <w:rPr>
                <w:rFonts w:hint="eastAsia" w:ascii="宋体" w:hAnsi="宋体" w:cs="宋体"/>
                <w:color w:val="auto"/>
                <w:szCs w:val="21"/>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51A9856A">
            <w:pPr>
              <w:widowControl/>
              <w:spacing w:line="384" w:lineRule="auto"/>
              <w:jc w:val="left"/>
              <w:rPr>
                <w:rFonts w:ascii="宋体" w:hAnsi="宋体" w:cs="宋体"/>
                <w:color w:val="auto"/>
                <w:szCs w:val="21"/>
                <w:highlight w:val="none"/>
              </w:rPr>
            </w:pPr>
          </w:p>
        </w:tc>
      </w:tr>
      <w:tr w14:paraId="4B5979A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7AD30392">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1A743B00">
            <w:pPr>
              <w:widowControl/>
              <w:spacing w:line="384" w:lineRule="auto"/>
              <w:jc w:val="left"/>
              <w:rPr>
                <w:rFonts w:ascii="宋体" w:hAnsi="宋体" w:cs="宋体"/>
                <w:color w:val="auto"/>
                <w:szCs w:val="21"/>
                <w:highlight w:val="none"/>
              </w:rPr>
            </w:pPr>
          </w:p>
        </w:tc>
      </w:tr>
      <w:tr w14:paraId="42038C6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4BF6D08A">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企业登记注册类型</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4E00C1AF">
            <w:pPr>
              <w:widowControl/>
              <w:spacing w:line="384" w:lineRule="auto"/>
              <w:jc w:val="left"/>
              <w:rPr>
                <w:rFonts w:ascii="宋体" w:hAnsi="宋体" w:cs="宋体"/>
                <w:color w:val="auto"/>
                <w:szCs w:val="21"/>
                <w:highlight w:val="none"/>
              </w:rPr>
            </w:pPr>
          </w:p>
        </w:tc>
      </w:tr>
      <w:tr w14:paraId="352FC07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5E685284">
            <w:pPr>
              <w:widowControl/>
              <w:spacing w:line="384" w:lineRule="auto"/>
              <w:jc w:val="center"/>
              <w:rPr>
                <w:rFonts w:ascii="宋体" w:hAnsi="宋体" w:cs="宋体"/>
                <w:color w:val="auto"/>
                <w:szCs w:val="21"/>
                <w:highlight w:val="none"/>
              </w:rPr>
            </w:pPr>
            <w:r>
              <w:rPr>
                <w:rFonts w:hint="eastAsia" w:ascii="宋体" w:hAnsi="宋体" w:cs="宋体"/>
                <w:color w:val="auto"/>
                <w:szCs w:val="21"/>
                <w:highlight w:val="none"/>
                <w:lang w:bidi="ar"/>
              </w:rPr>
              <w:t>注册地址</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4DC27665">
            <w:pPr>
              <w:widowControl/>
              <w:spacing w:line="384" w:lineRule="auto"/>
              <w:jc w:val="left"/>
              <w:rPr>
                <w:rFonts w:ascii="宋体" w:hAnsi="宋体" w:cs="宋体"/>
                <w:color w:val="auto"/>
                <w:szCs w:val="21"/>
                <w:highlight w:val="none"/>
              </w:rPr>
            </w:pPr>
          </w:p>
        </w:tc>
      </w:tr>
      <w:tr w14:paraId="1F2E9DE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49286303">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lang w:bidi="ar"/>
              </w:rPr>
              <w:t>邮政编码</w:t>
            </w:r>
          </w:p>
        </w:tc>
        <w:tc>
          <w:tcPr>
            <w:tcW w:w="2748" w:type="dxa"/>
            <w:gridSpan w:val="2"/>
            <w:tcBorders>
              <w:top w:val="outset" w:color="auto" w:sz="6" w:space="0"/>
              <w:left w:val="outset" w:color="auto" w:sz="6" w:space="0"/>
              <w:bottom w:val="outset" w:color="auto" w:sz="6" w:space="0"/>
              <w:right w:val="outset" w:color="auto" w:sz="6" w:space="0"/>
            </w:tcBorders>
            <w:vAlign w:val="center"/>
          </w:tcPr>
          <w:p w14:paraId="0958712A">
            <w:pPr>
              <w:widowControl/>
              <w:spacing w:line="300" w:lineRule="exact"/>
              <w:jc w:val="center"/>
              <w:rPr>
                <w:rFonts w:ascii="宋体" w:hAnsi="宋体" w:cs="宋体"/>
                <w:color w:val="auto"/>
                <w:szCs w:val="21"/>
                <w:highlight w:val="none"/>
              </w:rPr>
            </w:pPr>
          </w:p>
        </w:tc>
        <w:tc>
          <w:tcPr>
            <w:tcW w:w="1476" w:type="dxa"/>
            <w:tcBorders>
              <w:top w:val="outset" w:color="auto" w:sz="6" w:space="0"/>
              <w:left w:val="outset" w:color="auto" w:sz="6" w:space="0"/>
              <w:bottom w:val="outset" w:color="auto" w:sz="6" w:space="0"/>
              <w:right w:val="outset" w:color="auto" w:sz="6" w:space="0"/>
            </w:tcBorders>
            <w:vAlign w:val="center"/>
          </w:tcPr>
          <w:p w14:paraId="147DA4BA">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lang w:bidi="ar"/>
              </w:rPr>
              <w:t>企业联系人及电话</w:t>
            </w:r>
          </w:p>
        </w:tc>
        <w:tc>
          <w:tcPr>
            <w:tcW w:w="3444" w:type="dxa"/>
            <w:gridSpan w:val="2"/>
            <w:tcBorders>
              <w:top w:val="outset" w:color="auto" w:sz="6" w:space="0"/>
              <w:left w:val="outset" w:color="auto" w:sz="6" w:space="0"/>
              <w:bottom w:val="outset" w:color="auto" w:sz="6" w:space="0"/>
              <w:right w:val="outset" w:color="auto" w:sz="6" w:space="0"/>
            </w:tcBorders>
            <w:vAlign w:val="center"/>
          </w:tcPr>
          <w:p w14:paraId="666C83B3">
            <w:pPr>
              <w:widowControl/>
              <w:spacing w:line="300" w:lineRule="exact"/>
              <w:jc w:val="left"/>
              <w:rPr>
                <w:rFonts w:ascii="宋体" w:hAnsi="宋体" w:cs="宋体"/>
                <w:color w:val="auto"/>
                <w:szCs w:val="21"/>
                <w:highlight w:val="none"/>
              </w:rPr>
            </w:pPr>
          </w:p>
        </w:tc>
      </w:tr>
      <w:tr w14:paraId="08EB0A5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1B7E2866">
            <w:pPr>
              <w:widowControl/>
              <w:spacing w:line="384" w:lineRule="auto"/>
              <w:jc w:val="center"/>
              <w:rPr>
                <w:rFonts w:ascii="宋体" w:hAnsi="宋体" w:cs="宋体"/>
                <w:color w:val="auto"/>
                <w:szCs w:val="21"/>
                <w:highlight w:val="none"/>
              </w:rPr>
            </w:pPr>
            <w:r>
              <w:rPr>
                <w:rFonts w:ascii="宋体" w:hAnsi="宋体" w:cs="宋体"/>
                <w:color w:val="auto"/>
                <w:szCs w:val="21"/>
                <w:highlight w:val="none"/>
              </w:rPr>
              <w:t>法定代表人姓名</w:t>
            </w:r>
          </w:p>
        </w:tc>
        <w:tc>
          <w:tcPr>
            <w:tcW w:w="1293" w:type="dxa"/>
            <w:tcBorders>
              <w:top w:val="outset" w:color="auto" w:sz="6" w:space="0"/>
              <w:left w:val="outset" w:color="auto" w:sz="6" w:space="0"/>
              <w:bottom w:val="outset" w:color="auto" w:sz="6" w:space="0"/>
              <w:right w:val="outset" w:color="auto" w:sz="6" w:space="0"/>
            </w:tcBorders>
            <w:vAlign w:val="center"/>
          </w:tcPr>
          <w:p w14:paraId="60C0FA0D">
            <w:pPr>
              <w:widowControl/>
              <w:spacing w:line="384" w:lineRule="auto"/>
              <w:jc w:val="center"/>
              <w:rPr>
                <w:rFonts w:ascii="宋体" w:hAnsi="宋体" w:cs="宋体"/>
                <w:color w:val="auto"/>
                <w:szCs w:val="21"/>
                <w:highlight w:val="none"/>
              </w:rPr>
            </w:pPr>
          </w:p>
        </w:tc>
        <w:tc>
          <w:tcPr>
            <w:tcW w:w="1455" w:type="dxa"/>
            <w:tcBorders>
              <w:top w:val="outset" w:color="auto" w:sz="6" w:space="0"/>
              <w:left w:val="outset" w:color="auto" w:sz="6" w:space="0"/>
              <w:bottom w:val="outset" w:color="auto" w:sz="6" w:space="0"/>
              <w:right w:val="outset" w:color="auto" w:sz="6" w:space="0"/>
            </w:tcBorders>
            <w:vAlign w:val="center"/>
          </w:tcPr>
          <w:p w14:paraId="7E91E53C">
            <w:pPr>
              <w:widowControl/>
              <w:spacing w:line="384" w:lineRule="auto"/>
              <w:jc w:val="center"/>
              <w:rPr>
                <w:rFonts w:ascii="宋体" w:hAnsi="宋体" w:cs="宋体"/>
                <w:color w:val="auto"/>
                <w:szCs w:val="21"/>
                <w:highlight w:val="none"/>
              </w:rPr>
            </w:pPr>
            <w:r>
              <w:rPr>
                <w:rFonts w:hint="eastAsia" w:ascii="宋体" w:hAnsi="宋体" w:cs="宋体"/>
                <w:color w:val="auto"/>
                <w:szCs w:val="21"/>
                <w:highlight w:val="none"/>
                <w:lang w:bidi="ar"/>
              </w:rPr>
              <w:t>技术职称</w:t>
            </w:r>
          </w:p>
        </w:tc>
        <w:tc>
          <w:tcPr>
            <w:tcW w:w="1476" w:type="dxa"/>
            <w:tcBorders>
              <w:top w:val="outset" w:color="auto" w:sz="6" w:space="0"/>
              <w:left w:val="outset" w:color="auto" w:sz="6" w:space="0"/>
              <w:bottom w:val="outset" w:color="auto" w:sz="6" w:space="0"/>
              <w:right w:val="outset" w:color="auto" w:sz="6" w:space="0"/>
            </w:tcBorders>
            <w:vAlign w:val="center"/>
          </w:tcPr>
          <w:p w14:paraId="31C7F42F">
            <w:pPr>
              <w:widowControl/>
              <w:spacing w:line="384" w:lineRule="auto"/>
              <w:jc w:val="center"/>
              <w:rPr>
                <w:rFonts w:ascii="宋体" w:hAnsi="宋体" w:cs="宋体"/>
                <w:color w:val="auto"/>
                <w:szCs w:val="21"/>
                <w:highlight w:val="none"/>
              </w:rPr>
            </w:pPr>
          </w:p>
        </w:tc>
        <w:tc>
          <w:tcPr>
            <w:tcW w:w="1470" w:type="dxa"/>
            <w:tcBorders>
              <w:top w:val="outset" w:color="auto" w:sz="6" w:space="0"/>
              <w:left w:val="outset" w:color="auto" w:sz="6" w:space="0"/>
              <w:bottom w:val="outset" w:color="auto" w:sz="6" w:space="0"/>
              <w:right w:val="outset" w:color="auto" w:sz="6" w:space="0"/>
            </w:tcBorders>
            <w:vAlign w:val="center"/>
          </w:tcPr>
          <w:p w14:paraId="532A0E99">
            <w:pPr>
              <w:widowControl/>
              <w:spacing w:line="384" w:lineRule="auto"/>
              <w:jc w:val="center"/>
              <w:rPr>
                <w:rFonts w:ascii="宋体" w:hAnsi="宋体" w:cs="宋体"/>
                <w:color w:val="auto"/>
                <w:szCs w:val="21"/>
                <w:highlight w:val="none"/>
              </w:rPr>
            </w:pPr>
            <w:r>
              <w:rPr>
                <w:rFonts w:hint="eastAsia" w:ascii="宋体" w:hAnsi="宋体" w:cs="宋体"/>
                <w:color w:val="auto"/>
                <w:szCs w:val="21"/>
                <w:highlight w:val="none"/>
                <w:lang w:bidi="ar"/>
              </w:rPr>
              <w:t>电话</w:t>
            </w:r>
          </w:p>
        </w:tc>
        <w:tc>
          <w:tcPr>
            <w:tcW w:w="1974" w:type="dxa"/>
            <w:tcBorders>
              <w:top w:val="outset" w:color="auto" w:sz="6" w:space="0"/>
              <w:left w:val="outset" w:color="auto" w:sz="6" w:space="0"/>
              <w:bottom w:val="outset" w:color="auto" w:sz="6" w:space="0"/>
              <w:right w:val="outset" w:color="auto" w:sz="6" w:space="0"/>
            </w:tcBorders>
            <w:vAlign w:val="center"/>
          </w:tcPr>
          <w:p w14:paraId="3E3D83EE">
            <w:pPr>
              <w:widowControl/>
              <w:spacing w:line="384" w:lineRule="auto"/>
              <w:jc w:val="left"/>
              <w:rPr>
                <w:rFonts w:ascii="宋体" w:hAnsi="宋体" w:cs="宋体"/>
                <w:color w:val="auto"/>
                <w:szCs w:val="21"/>
                <w:highlight w:val="none"/>
              </w:rPr>
            </w:pPr>
          </w:p>
        </w:tc>
      </w:tr>
      <w:tr w14:paraId="5F564FB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5C55C978">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技术负责人姓名</w:t>
            </w:r>
          </w:p>
        </w:tc>
        <w:tc>
          <w:tcPr>
            <w:tcW w:w="1293" w:type="dxa"/>
            <w:tcBorders>
              <w:top w:val="outset" w:color="auto" w:sz="6" w:space="0"/>
              <w:left w:val="outset" w:color="auto" w:sz="6" w:space="0"/>
              <w:bottom w:val="outset" w:color="auto" w:sz="6" w:space="0"/>
              <w:right w:val="outset" w:color="auto" w:sz="6" w:space="0"/>
            </w:tcBorders>
            <w:vAlign w:val="center"/>
          </w:tcPr>
          <w:p w14:paraId="7900ABCC">
            <w:pPr>
              <w:widowControl/>
              <w:spacing w:line="384" w:lineRule="auto"/>
              <w:jc w:val="center"/>
              <w:rPr>
                <w:rFonts w:ascii="宋体" w:hAnsi="宋体" w:cs="宋体"/>
                <w:color w:val="auto"/>
                <w:szCs w:val="21"/>
                <w:highlight w:val="none"/>
              </w:rPr>
            </w:pPr>
          </w:p>
        </w:tc>
        <w:tc>
          <w:tcPr>
            <w:tcW w:w="1455" w:type="dxa"/>
            <w:tcBorders>
              <w:top w:val="outset" w:color="auto" w:sz="6" w:space="0"/>
              <w:left w:val="outset" w:color="auto" w:sz="6" w:space="0"/>
              <w:bottom w:val="outset" w:color="auto" w:sz="6" w:space="0"/>
              <w:right w:val="outset" w:color="auto" w:sz="6" w:space="0"/>
            </w:tcBorders>
            <w:vAlign w:val="center"/>
          </w:tcPr>
          <w:p w14:paraId="3CD27140">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技术职称</w:t>
            </w:r>
          </w:p>
        </w:tc>
        <w:tc>
          <w:tcPr>
            <w:tcW w:w="1476" w:type="dxa"/>
            <w:tcBorders>
              <w:top w:val="outset" w:color="auto" w:sz="6" w:space="0"/>
              <w:left w:val="outset" w:color="auto" w:sz="6" w:space="0"/>
              <w:bottom w:val="outset" w:color="auto" w:sz="6" w:space="0"/>
              <w:right w:val="outset" w:color="auto" w:sz="6" w:space="0"/>
            </w:tcBorders>
            <w:vAlign w:val="center"/>
          </w:tcPr>
          <w:p w14:paraId="48B0BC02">
            <w:pPr>
              <w:widowControl/>
              <w:spacing w:line="384" w:lineRule="auto"/>
              <w:jc w:val="center"/>
              <w:rPr>
                <w:rFonts w:ascii="宋体" w:hAnsi="宋体" w:cs="宋体"/>
                <w:color w:val="auto"/>
                <w:szCs w:val="21"/>
                <w:highlight w:val="none"/>
              </w:rPr>
            </w:pPr>
          </w:p>
        </w:tc>
        <w:tc>
          <w:tcPr>
            <w:tcW w:w="1470" w:type="dxa"/>
            <w:tcBorders>
              <w:top w:val="outset" w:color="auto" w:sz="6" w:space="0"/>
              <w:left w:val="outset" w:color="auto" w:sz="6" w:space="0"/>
              <w:bottom w:val="outset" w:color="auto" w:sz="6" w:space="0"/>
              <w:right w:val="outset" w:color="auto" w:sz="6" w:space="0"/>
            </w:tcBorders>
            <w:vAlign w:val="center"/>
          </w:tcPr>
          <w:p w14:paraId="08D29FDA">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电话</w:t>
            </w:r>
          </w:p>
        </w:tc>
        <w:tc>
          <w:tcPr>
            <w:tcW w:w="1974" w:type="dxa"/>
            <w:tcBorders>
              <w:top w:val="outset" w:color="auto" w:sz="6" w:space="0"/>
              <w:left w:val="outset" w:color="auto" w:sz="6" w:space="0"/>
              <w:bottom w:val="outset" w:color="auto" w:sz="6" w:space="0"/>
              <w:right w:val="outset" w:color="auto" w:sz="6" w:space="0"/>
            </w:tcBorders>
            <w:vAlign w:val="center"/>
          </w:tcPr>
          <w:p w14:paraId="6E29E3C8">
            <w:pPr>
              <w:widowControl/>
              <w:spacing w:line="384" w:lineRule="auto"/>
              <w:jc w:val="left"/>
              <w:rPr>
                <w:rFonts w:ascii="宋体" w:hAnsi="宋体" w:cs="宋体"/>
                <w:color w:val="auto"/>
                <w:szCs w:val="21"/>
                <w:highlight w:val="none"/>
              </w:rPr>
            </w:pPr>
          </w:p>
        </w:tc>
      </w:tr>
      <w:tr w14:paraId="1DBD62D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41544F05">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高级职称人数</w:t>
            </w:r>
          </w:p>
        </w:tc>
        <w:tc>
          <w:tcPr>
            <w:tcW w:w="1293" w:type="dxa"/>
            <w:tcBorders>
              <w:top w:val="outset" w:color="auto" w:sz="6" w:space="0"/>
              <w:left w:val="outset" w:color="auto" w:sz="6" w:space="0"/>
              <w:bottom w:val="outset" w:color="auto" w:sz="6" w:space="0"/>
              <w:right w:val="outset" w:color="auto" w:sz="6" w:space="0"/>
            </w:tcBorders>
            <w:vAlign w:val="center"/>
          </w:tcPr>
          <w:p w14:paraId="08C7AA1E">
            <w:pPr>
              <w:widowControl/>
              <w:spacing w:line="384" w:lineRule="auto"/>
              <w:jc w:val="center"/>
              <w:rPr>
                <w:rFonts w:ascii="宋体" w:hAnsi="宋体" w:cs="宋体"/>
                <w:color w:val="auto"/>
                <w:szCs w:val="21"/>
                <w:highlight w:val="none"/>
              </w:rPr>
            </w:pPr>
          </w:p>
        </w:tc>
        <w:tc>
          <w:tcPr>
            <w:tcW w:w="1455" w:type="dxa"/>
            <w:tcBorders>
              <w:top w:val="outset" w:color="auto" w:sz="6" w:space="0"/>
              <w:left w:val="outset" w:color="auto" w:sz="6" w:space="0"/>
              <w:bottom w:val="outset" w:color="auto" w:sz="6" w:space="0"/>
              <w:right w:val="outset" w:color="auto" w:sz="6" w:space="0"/>
            </w:tcBorders>
            <w:vAlign w:val="center"/>
          </w:tcPr>
          <w:p w14:paraId="62417ADD">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中级职称人数</w:t>
            </w:r>
          </w:p>
        </w:tc>
        <w:tc>
          <w:tcPr>
            <w:tcW w:w="1476" w:type="dxa"/>
            <w:tcBorders>
              <w:top w:val="outset" w:color="auto" w:sz="6" w:space="0"/>
              <w:left w:val="outset" w:color="auto" w:sz="6" w:space="0"/>
              <w:bottom w:val="outset" w:color="auto" w:sz="6" w:space="0"/>
              <w:right w:val="outset" w:color="auto" w:sz="6" w:space="0"/>
            </w:tcBorders>
            <w:vAlign w:val="center"/>
          </w:tcPr>
          <w:p w14:paraId="64B7C991">
            <w:pPr>
              <w:widowControl/>
              <w:spacing w:line="384" w:lineRule="auto"/>
              <w:jc w:val="center"/>
              <w:rPr>
                <w:rFonts w:ascii="宋体" w:hAnsi="宋体" w:cs="宋体"/>
                <w:color w:val="auto"/>
                <w:szCs w:val="21"/>
                <w:highlight w:val="none"/>
              </w:rPr>
            </w:pPr>
          </w:p>
        </w:tc>
        <w:tc>
          <w:tcPr>
            <w:tcW w:w="1470" w:type="dxa"/>
            <w:tcBorders>
              <w:top w:val="outset" w:color="auto" w:sz="6" w:space="0"/>
              <w:left w:val="outset" w:color="auto" w:sz="6" w:space="0"/>
              <w:bottom w:val="outset" w:color="auto" w:sz="6" w:space="0"/>
              <w:right w:val="outset" w:color="auto" w:sz="6" w:space="0"/>
            </w:tcBorders>
            <w:vAlign w:val="center"/>
          </w:tcPr>
          <w:p w14:paraId="164AE4D3">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各类注册人数</w:t>
            </w:r>
          </w:p>
        </w:tc>
        <w:tc>
          <w:tcPr>
            <w:tcW w:w="1974" w:type="dxa"/>
            <w:tcBorders>
              <w:top w:val="outset" w:color="auto" w:sz="6" w:space="0"/>
              <w:left w:val="outset" w:color="auto" w:sz="6" w:space="0"/>
              <w:bottom w:val="outset" w:color="auto" w:sz="6" w:space="0"/>
              <w:right w:val="outset" w:color="auto" w:sz="6" w:space="0"/>
            </w:tcBorders>
            <w:vAlign w:val="center"/>
          </w:tcPr>
          <w:p w14:paraId="2011C19D">
            <w:pPr>
              <w:widowControl/>
              <w:spacing w:line="384" w:lineRule="auto"/>
              <w:jc w:val="left"/>
              <w:rPr>
                <w:rFonts w:ascii="宋体" w:hAnsi="宋体" w:cs="宋体"/>
                <w:color w:val="auto"/>
                <w:szCs w:val="21"/>
                <w:highlight w:val="none"/>
              </w:rPr>
            </w:pPr>
          </w:p>
        </w:tc>
      </w:tr>
      <w:tr w14:paraId="0CA8A89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6E708EA9">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基本账户开户银行</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669F0D5D">
            <w:pPr>
              <w:widowControl/>
              <w:spacing w:line="384" w:lineRule="auto"/>
              <w:jc w:val="left"/>
              <w:rPr>
                <w:rFonts w:ascii="宋体" w:hAnsi="宋体" w:cs="宋体"/>
                <w:color w:val="auto"/>
                <w:szCs w:val="21"/>
                <w:highlight w:val="none"/>
              </w:rPr>
            </w:pPr>
          </w:p>
        </w:tc>
      </w:tr>
      <w:tr w14:paraId="13D530E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3EA0DCA1">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基本账户开户账号</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5BB297E7">
            <w:pPr>
              <w:widowControl/>
              <w:spacing w:line="384" w:lineRule="auto"/>
              <w:jc w:val="left"/>
              <w:rPr>
                <w:rFonts w:ascii="宋体" w:hAnsi="宋体" w:cs="宋体"/>
                <w:color w:val="auto"/>
                <w:szCs w:val="21"/>
                <w:highlight w:val="none"/>
              </w:rPr>
            </w:pPr>
          </w:p>
        </w:tc>
      </w:tr>
      <w:tr w14:paraId="4451E8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62B888E1">
            <w:pPr>
              <w:widowControl/>
              <w:spacing w:line="384" w:lineRule="auto"/>
              <w:jc w:val="center"/>
              <w:rPr>
                <w:rFonts w:ascii="宋体" w:hAnsi="宋体" w:cs="宋体"/>
                <w:color w:val="auto"/>
                <w:szCs w:val="21"/>
                <w:highlight w:val="none"/>
              </w:rPr>
            </w:pPr>
            <w:r>
              <w:rPr>
                <w:rFonts w:hint="eastAsia" w:ascii="宋体" w:hAnsi="宋体" w:cs="宋体"/>
                <w:color w:val="auto"/>
                <w:szCs w:val="21"/>
                <w:highlight w:val="none"/>
              </w:rPr>
              <w:t>备注</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06385692">
            <w:pPr>
              <w:widowControl/>
              <w:spacing w:line="384" w:lineRule="auto"/>
              <w:jc w:val="left"/>
              <w:rPr>
                <w:rFonts w:ascii="宋体" w:hAnsi="宋体" w:cs="宋体"/>
                <w:color w:val="auto"/>
                <w:szCs w:val="21"/>
                <w:highlight w:val="none"/>
              </w:rPr>
            </w:pPr>
          </w:p>
        </w:tc>
      </w:tr>
    </w:tbl>
    <w:p w14:paraId="7F28ED03">
      <w:pPr>
        <w:spacing w:before="360" w:beforeLines="150" w:line="240" w:lineRule="exact"/>
        <w:jc w:val="center"/>
        <w:rPr>
          <w:rFonts w:ascii="宋体" w:hAnsi="宋体" w:cs="宋体"/>
          <w:b/>
          <w:color w:val="auto"/>
          <w:sz w:val="28"/>
          <w:szCs w:val="28"/>
          <w:highlight w:val="none"/>
        </w:rPr>
      </w:pPr>
      <w:r>
        <w:rPr>
          <w:rFonts w:hint="eastAsia" w:ascii="宋体" w:hAnsi="宋体" w:cs="宋体"/>
          <w:b/>
          <w:color w:val="auto"/>
          <w:sz w:val="28"/>
          <w:szCs w:val="28"/>
          <w:highlight w:val="none"/>
        </w:rPr>
        <w:t>（一）企业基本情况</w:t>
      </w:r>
    </w:p>
    <w:p w14:paraId="6CFDDE54">
      <w:pPr>
        <w:spacing w:line="360" w:lineRule="auto"/>
        <w:jc w:val="center"/>
        <w:rPr>
          <w:rFonts w:ascii="宋体" w:hAnsi="宋体" w:cs="宋体"/>
          <w:b/>
          <w:color w:val="auto"/>
          <w:sz w:val="28"/>
          <w:szCs w:val="28"/>
          <w:highlight w:val="none"/>
        </w:rPr>
      </w:pPr>
    </w:p>
    <w:p w14:paraId="3310766A">
      <w:pPr>
        <w:spacing w:line="360" w:lineRule="auto"/>
        <w:jc w:val="center"/>
        <w:rPr>
          <w:rFonts w:ascii="宋体" w:hAnsi="宋体" w:cs="宋体"/>
          <w:b/>
          <w:color w:val="auto"/>
          <w:sz w:val="28"/>
          <w:szCs w:val="28"/>
          <w:highlight w:val="none"/>
        </w:rPr>
      </w:pPr>
    </w:p>
    <w:p w14:paraId="1D83C1C7">
      <w:pPr>
        <w:spacing w:line="360" w:lineRule="auto"/>
        <w:jc w:val="center"/>
        <w:rPr>
          <w:rFonts w:ascii="宋体" w:hAnsi="宋体" w:cs="宋体"/>
          <w:b/>
          <w:color w:val="auto"/>
          <w:sz w:val="28"/>
          <w:szCs w:val="28"/>
          <w:highlight w:val="none"/>
        </w:rPr>
      </w:pPr>
    </w:p>
    <w:p w14:paraId="0AD6617B">
      <w:pPr>
        <w:spacing w:line="360" w:lineRule="auto"/>
        <w:jc w:val="center"/>
        <w:rPr>
          <w:rFonts w:ascii="宋体" w:hAnsi="宋体" w:cs="宋体"/>
          <w:b/>
          <w:color w:val="auto"/>
          <w:sz w:val="28"/>
          <w:szCs w:val="28"/>
          <w:highlight w:val="none"/>
        </w:rPr>
      </w:pPr>
    </w:p>
    <w:p w14:paraId="4BAAF31D">
      <w:pPr>
        <w:spacing w:line="360" w:lineRule="auto"/>
        <w:jc w:val="center"/>
        <w:rPr>
          <w:rFonts w:ascii="宋体" w:hAnsi="宋体" w:cs="宋体"/>
          <w:b/>
          <w:color w:val="auto"/>
          <w:sz w:val="28"/>
          <w:szCs w:val="28"/>
          <w:highlight w:val="none"/>
        </w:rPr>
      </w:pPr>
    </w:p>
    <w:p w14:paraId="2F4BC35C">
      <w:pPr>
        <w:spacing w:line="360" w:lineRule="auto"/>
        <w:jc w:val="center"/>
        <w:rPr>
          <w:rFonts w:ascii="宋体" w:hAnsi="宋体" w:cs="宋体"/>
          <w:b/>
          <w:color w:val="auto"/>
          <w:sz w:val="28"/>
          <w:szCs w:val="28"/>
          <w:highlight w:val="none"/>
        </w:rPr>
      </w:pPr>
    </w:p>
    <w:p w14:paraId="6C59997A">
      <w:pPr>
        <w:spacing w:line="360" w:lineRule="auto"/>
        <w:jc w:val="center"/>
        <w:rPr>
          <w:rFonts w:ascii="宋体" w:hAnsi="宋体" w:cs="宋体"/>
          <w:b/>
          <w:color w:val="auto"/>
          <w:sz w:val="28"/>
          <w:szCs w:val="28"/>
          <w:highlight w:val="none"/>
        </w:rPr>
      </w:pPr>
    </w:p>
    <w:p w14:paraId="0DECDDF0">
      <w:pPr>
        <w:spacing w:line="360" w:lineRule="auto"/>
        <w:jc w:val="center"/>
        <w:rPr>
          <w:rFonts w:ascii="宋体" w:hAnsi="宋体" w:cs="宋体"/>
          <w:b/>
          <w:color w:val="auto"/>
          <w:sz w:val="28"/>
          <w:szCs w:val="28"/>
          <w:highlight w:val="none"/>
        </w:rPr>
      </w:pPr>
    </w:p>
    <w:p w14:paraId="0AE87FD3">
      <w:pPr>
        <w:spacing w:line="360" w:lineRule="auto"/>
        <w:jc w:val="center"/>
        <w:rPr>
          <w:rFonts w:ascii="宋体" w:hAnsi="宋体" w:cs="宋体"/>
          <w:b/>
          <w:color w:val="auto"/>
          <w:sz w:val="28"/>
          <w:szCs w:val="28"/>
          <w:highlight w:val="none"/>
        </w:rPr>
      </w:pPr>
    </w:p>
    <w:p w14:paraId="1BA0C009">
      <w:pPr>
        <w:spacing w:line="360" w:lineRule="auto"/>
        <w:jc w:val="center"/>
        <w:rPr>
          <w:rFonts w:ascii="宋体" w:hAnsi="宋体" w:cs="宋体"/>
          <w:b/>
          <w:color w:val="auto"/>
          <w:sz w:val="28"/>
          <w:szCs w:val="28"/>
          <w:highlight w:val="none"/>
        </w:rPr>
      </w:pPr>
    </w:p>
    <w:p w14:paraId="14007661">
      <w:pPr>
        <w:spacing w:line="360" w:lineRule="auto"/>
        <w:jc w:val="center"/>
        <w:rPr>
          <w:rFonts w:ascii="宋体" w:hAnsi="宋体" w:cs="宋体"/>
          <w:b/>
          <w:color w:val="auto"/>
          <w:sz w:val="28"/>
          <w:szCs w:val="28"/>
          <w:highlight w:val="none"/>
        </w:rPr>
      </w:pPr>
    </w:p>
    <w:p w14:paraId="4783A327">
      <w:pPr>
        <w:spacing w:line="360" w:lineRule="auto"/>
        <w:jc w:val="center"/>
        <w:rPr>
          <w:rFonts w:ascii="宋体" w:hAnsi="宋体" w:cs="宋体"/>
          <w:b/>
          <w:color w:val="auto"/>
          <w:sz w:val="28"/>
          <w:szCs w:val="28"/>
          <w:highlight w:val="none"/>
        </w:rPr>
      </w:pPr>
    </w:p>
    <w:p w14:paraId="3E6CE840">
      <w:pPr>
        <w:spacing w:line="360" w:lineRule="auto"/>
        <w:jc w:val="center"/>
        <w:rPr>
          <w:rFonts w:ascii="宋体" w:hAnsi="宋体" w:cs="宋体"/>
          <w:b/>
          <w:color w:val="auto"/>
          <w:sz w:val="28"/>
          <w:szCs w:val="28"/>
          <w:highlight w:val="none"/>
        </w:rPr>
      </w:pPr>
    </w:p>
    <w:p w14:paraId="074B7ABD">
      <w:pPr>
        <w:spacing w:line="360" w:lineRule="auto"/>
        <w:jc w:val="center"/>
        <w:rPr>
          <w:rFonts w:ascii="宋体" w:hAnsi="宋体" w:cs="宋体"/>
          <w:b/>
          <w:color w:val="auto"/>
          <w:sz w:val="28"/>
          <w:szCs w:val="28"/>
          <w:highlight w:val="none"/>
        </w:rPr>
      </w:pPr>
    </w:p>
    <w:p w14:paraId="525FC197">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（二）企业营业执照</w:t>
      </w:r>
    </w:p>
    <w:tbl>
      <w:tblPr>
        <w:tblStyle w:val="40"/>
        <w:tblpPr w:leftFromText="180" w:rightFromText="180" w:vertAnchor="text" w:horzAnchor="margin" w:tblpXSpec="center" w:tblpY="619"/>
        <w:tblOverlap w:val="never"/>
        <w:tblW w:w="10051" w:type="dxa"/>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275"/>
        <w:gridCol w:w="1656"/>
        <w:gridCol w:w="1470"/>
        <w:gridCol w:w="1974"/>
      </w:tblGrid>
      <w:tr w14:paraId="33E2CA5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777048E3">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6D68D416">
            <w:pPr>
              <w:widowControl/>
              <w:spacing w:line="384" w:lineRule="auto"/>
              <w:jc w:val="left"/>
              <w:rPr>
                <w:rFonts w:ascii="宋体" w:hAnsi="宋体" w:cs="宋体"/>
                <w:color w:val="auto"/>
                <w:szCs w:val="21"/>
                <w:highlight w:val="none"/>
              </w:rPr>
            </w:pPr>
          </w:p>
        </w:tc>
      </w:tr>
      <w:tr w14:paraId="64DF1C4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59AE9983">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723A5F36">
            <w:pPr>
              <w:widowControl/>
              <w:spacing w:line="384" w:lineRule="auto"/>
              <w:jc w:val="left"/>
              <w:rPr>
                <w:rFonts w:ascii="宋体" w:hAnsi="宋体" w:cs="宋体"/>
                <w:color w:val="auto"/>
                <w:szCs w:val="21"/>
                <w:highlight w:val="none"/>
              </w:rPr>
            </w:pPr>
          </w:p>
        </w:tc>
      </w:tr>
      <w:tr w14:paraId="5ED12FE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44E27159">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lang w:bidi="ar"/>
              </w:rPr>
              <w:t xml:space="preserve">注册资本（元） </w:t>
            </w:r>
          </w:p>
        </w:tc>
        <w:tc>
          <w:tcPr>
            <w:tcW w:w="1293" w:type="dxa"/>
            <w:tcBorders>
              <w:top w:val="outset" w:color="auto" w:sz="6" w:space="0"/>
              <w:left w:val="outset" w:color="auto" w:sz="6" w:space="0"/>
              <w:bottom w:val="outset" w:color="auto" w:sz="6" w:space="0"/>
              <w:right w:val="outset" w:color="auto" w:sz="6" w:space="0"/>
            </w:tcBorders>
            <w:vAlign w:val="center"/>
          </w:tcPr>
          <w:p w14:paraId="12BE0942">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lang w:bidi="ar"/>
              </w:rPr>
              <w:t xml:space="preserve"> </w:t>
            </w:r>
          </w:p>
        </w:tc>
        <w:tc>
          <w:tcPr>
            <w:tcW w:w="1275" w:type="dxa"/>
            <w:tcBorders>
              <w:top w:val="outset" w:color="auto" w:sz="6" w:space="0"/>
              <w:left w:val="outset" w:color="auto" w:sz="6" w:space="0"/>
              <w:bottom w:val="outset" w:color="auto" w:sz="6" w:space="0"/>
              <w:right w:val="outset" w:color="auto" w:sz="6" w:space="0"/>
            </w:tcBorders>
            <w:vAlign w:val="center"/>
          </w:tcPr>
          <w:p w14:paraId="5621520C">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lang w:bidi="ar"/>
              </w:rPr>
              <w:t xml:space="preserve">企业登记注册类型 </w:t>
            </w:r>
          </w:p>
        </w:tc>
        <w:tc>
          <w:tcPr>
            <w:tcW w:w="1656" w:type="dxa"/>
            <w:tcBorders>
              <w:top w:val="outset" w:color="auto" w:sz="6" w:space="0"/>
              <w:left w:val="outset" w:color="auto" w:sz="6" w:space="0"/>
              <w:bottom w:val="outset" w:color="auto" w:sz="6" w:space="0"/>
              <w:right w:val="outset" w:color="auto" w:sz="6" w:space="0"/>
            </w:tcBorders>
            <w:vAlign w:val="center"/>
          </w:tcPr>
          <w:p w14:paraId="4C9B9E83">
            <w:pPr>
              <w:widowControl/>
              <w:spacing w:line="300" w:lineRule="exact"/>
              <w:jc w:val="left"/>
              <w:rPr>
                <w:rFonts w:ascii="宋体" w:hAnsi="宋体" w:cs="宋体"/>
                <w:color w:val="auto"/>
                <w:szCs w:val="21"/>
                <w:highlight w:val="none"/>
              </w:rPr>
            </w:pPr>
          </w:p>
        </w:tc>
        <w:tc>
          <w:tcPr>
            <w:tcW w:w="1470" w:type="dxa"/>
            <w:tcBorders>
              <w:top w:val="outset" w:color="auto" w:sz="6" w:space="0"/>
              <w:left w:val="outset" w:color="auto" w:sz="6" w:space="0"/>
              <w:bottom w:val="outset" w:color="auto" w:sz="6" w:space="0"/>
              <w:right w:val="outset" w:color="auto" w:sz="6" w:space="0"/>
            </w:tcBorders>
            <w:vAlign w:val="center"/>
          </w:tcPr>
          <w:p w14:paraId="1B0C8A23">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lang w:bidi="ar"/>
              </w:rPr>
              <w:t xml:space="preserve">成立日期 </w:t>
            </w:r>
          </w:p>
        </w:tc>
        <w:tc>
          <w:tcPr>
            <w:tcW w:w="1974" w:type="dxa"/>
            <w:tcBorders>
              <w:top w:val="outset" w:color="auto" w:sz="6" w:space="0"/>
              <w:left w:val="outset" w:color="auto" w:sz="6" w:space="0"/>
              <w:bottom w:val="outset" w:color="auto" w:sz="6" w:space="0"/>
              <w:right w:val="outset" w:color="auto" w:sz="6" w:space="0"/>
            </w:tcBorders>
            <w:vAlign w:val="center"/>
          </w:tcPr>
          <w:p w14:paraId="1493DC88">
            <w:pPr>
              <w:widowControl/>
              <w:spacing w:line="300" w:lineRule="exact"/>
              <w:jc w:val="left"/>
              <w:rPr>
                <w:rFonts w:ascii="宋体" w:hAnsi="宋体" w:cs="宋体"/>
                <w:color w:val="auto"/>
                <w:szCs w:val="21"/>
                <w:highlight w:val="none"/>
              </w:rPr>
            </w:pPr>
          </w:p>
        </w:tc>
      </w:tr>
      <w:tr w14:paraId="49794E4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863" w:hRule="atLeast"/>
        </w:trPr>
        <w:tc>
          <w:tcPr>
            <w:tcW w:w="2383" w:type="dxa"/>
            <w:tcBorders>
              <w:top w:val="outset" w:color="auto" w:sz="6" w:space="0"/>
              <w:left w:val="outset" w:color="auto" w:sz="6" w:space="0"/>
              <w:bottom w:val="outset" w:color="auto" w:sz="6" w:space="0"/>
              <w:right w:val="outset" w:color="auto" w:sz="6" w:space="0"/>
            </w:tcBorders>
            <w:vAlign w:val="center"/>
          </w:tcPr>
          <w:p w14:paraId="606229FF">
            <w:pPr>
              <w:widowControl/>
              <w:spacing w:line="384" w:lineRule="auto"/>
              <w:jc w:val="center"/>
              <w:rPr>
                <w:rFonts w:ascii="宋体" w:hAnsi="宋体" w:cs="宋体"/>
                <w:color w:val="auto"/>
                <w:szCs w:val="21"/>
                <w:highlight w:val="none"/>
              </w:rPr>
            </w:pPr>
            <w:r>
              <w:rPr>
                <w:rFonts w:hint="eastAsia" w:ascii="宋体" w:hAnsi="宋体" w:cs="宋体"/>
                <w:color w:val="auto"/>
                <w:szCs w:val="21"/>
                <w:highlight w:val="none"/>
                <w:lang w:bidi="ar"/>
              </w:rPr>
              <w:t xml:space="preserve">经营范围 </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4BE0D5ED">
            <w:pPr>
              <w:widowControl/>
              <w:spacing w:line="384" w:lineRule="auto"/>
              <w:jc w:val="left"/>
              <w:rPr>
                <w:rFonts w:ascii="宋体" w:hAnsi="宋体" w:cs="宋体"/>
                <w:color w:val="auto"/>
                <w:szCs w:val="21"/>
                <w:highlight w:val="none"/>
              </w:rPr>
            </w:pPr>
          </w:p>
          <w:p w14:paraId="19671CA0">
            <w:pPr>
              <w:widowControl/>
              <w:spacing w:line="384" w:lineRule="auto"/>
              <w:jc w:val="left"/>
              <w:rPr>
                <w:rFonts w:ascii="宋体" w:hAnsi="宋体" w:cs="宋体"/>
                <w:color w:val="auto"/>
                <w:szCs w:val="21"/>
                <w:highlight w:val="none"/>
              </w:rPr>
            </w:pPr>
          </w:p>
        </w:tc>
      </w:tr>
      <w:tr w14:paraId="5F50121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0633EC3D">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法定代表人姓名</w:t>
            </w:r>
          </w:p>
        </w:tc>
        <w:tc>
          <w:tcPr>
            <w:tcW w:w="1293" w:type="dxa"/>
            <w:tcBorders>
              <w:top w:val="outset" w:color="auto" w:sz="6" w:space="0"/>
              <w:left w:val="outset" w:color="auto" w:sz="6" w:space="0"/>
              <w:bottom w:val="outset" w:color="auto" w:sz="6" w:space="0"/>
              <w:right w:val="outset" w:color="auto" w:sz="6" w:space="0"/>
            </w:tcBorders>
            <w:vAlign w:val="center"/>
          </w:tcPr>
          <w:p w14:paraId="3A21249F">
            <w:pPr>
              <w:widowControl/>
              <w:spacing w:line="384" w:lineRule="auto"/>
              <w:jc w:val="center"/>
              <w:rPr>
                <w:rFonts w:ascii="宋体" w:hAnsi="宋体" w:cs="宋体"/>
                <w:color w:val="auto"/>
                <w:szCs w:val="21"/>
                <w:highlight w:val="none"/>
              </w:rPr>
            </w:pPr>
          </w:p>
        </w:tc>
        <w:tc>
          <w:tcPr>
            <w:tcW w:w="1275" w:type="dxa"/>
            <w:tcBorders>
              <w:top w:val="outset" w:color="auto" w:sz="6" w:space="0"/>
              <w:left w:val="outset" w:color="auto" w:sz="6" w:space="0"/>
              <w:bottom w:val="outset" w:color="auto" w:sz="6" w:space="0"/>
              <w:right w:val="outset" w:color="auto" w:sz="6" w:space="0"/>
            </w:tcBorders>
            <w:vAlign w:val="center"/>
          </w:tcPr>
          <w:p w14:paraId="1DD1553F">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营业期限</w:t>
            </w:r>
          </w:p>
        </w:tc>
        <w:tc>
          <w:tcPr>
            <w:tcW w:w="1656" w:type="dxa"/>
            <w:tcBorders>
              <w:top w:val="outset" w:color="auto" w:sz="6" w:space="0"/>
              <w:left w:val="outset" w:color="auto" w:sz="6" w:space="0"/>
              <w:bottom w:val="outset" w:color="auto" w:sz="6" w:space="0"/>
              <w:right w:val="outset" w:color="auto" w:sz="6" w:space="0"/>
            </w:tcBorders>
            <w:vAlign w:val="center"/>
          </w:tcPr>
          <w:p w14:paraId="7F31FFFF">
            <w:pPr>
              <w:widowControl/>
              <w:spacing w:line="384" w:lineRule="auto"/>
              <w:jc w:val="left"/>
              <w:rPr>
                <w:rFonts w:ascii="宋体" w:hAnsi="宋体" w:cs="宋体"/>
                <w:color w:val="auto"/>
                <w:szCs w:val="21"/>
                <w:highlight w:val="none"/>
              </w:rPr>
            </w:pPr>
          </w:p>
        </w:tc>
        <w:tc>
          <w:tcPr>
            <w:tcW w:w="1470" w:type="dxa"/>
            <w:tcBorders>
              <w:top w:val="outset" w:color="auto" w:sz="6" w:space="0"/>
              <w:left w:val="outset" w:color="auto" w:sz="6" w:space="0"/>
              <w:bottom w:val="outset" w:color="auto" w:sz="6" w:space="0"/>
              <w:right w:val="outset" w:color="auto" w:sz="6" w:space="0"/>
            </w:tcBorders>
            <w:vAlign w:val="center"/>
          </w:tcPr>
          <w:p w14:paraId="7371A479">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登记机关</w:t>
            </w:r>
          </w:p>
        </w:tc>
        <w:tc>
          <w:tcPr>
            <w:tcW w:w="1974" w:type="dxa"/>
            <w:tcBorders>
              <w:top w:val="outset" w:color="auto" w:sz="6" w:space="0"/>
              <w:left w:val="outset" w:color="auto" w:sz="6" w:space="0"/>
              <w:bottom w:val="outset" w:color="auto" w:sz="6" w:space="0"/>
              <w:right w:val="outset" w:color="auto" w:sz="6" w:space="0"/>
            </w:tcBorders>
            <w:vAlign w:val="center"/>
          </w:tcPr>
          <w:p w14:paraId="32ECE44F">
            <w:pPr>
              <w:widowControl/>
              <w:spacing w:line="384" w:lineRule="auto"/>
              <w:jc w:val="left"/>
              <w:rPr>
                <w:rFonts w:ascii="宋体" w:hAnsi="宋体" w:cs="宋体"/>
                <w:color w:val="auto"/>
                <w:szCs w:val="21"/>
                <w:highlight w:val="none"/>
              </w:rPr>
            </w:pPr>
          </w:p>
        </w:tc>
      </w:tr>
      <w:tr w14:paraId="012239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18B260CA">
            <w:pPr>
              <w:widowControl/>
              <w:spacing w:line="384" w:lineRule="auto"/>
              <w:jc w:val="center"/>
              <w:rPr>
                <w:rFonts w:ascii="宋体" w:hAnsi="宋体" w:cs="宋体"/>
                <w:color w:val="auto"/>
                <w:szCs w:val="21"/>
                <w:highlight w:val="none"/>
              </w:rPr>
            </w:pPr>
            <w:r>
              <w:rPr>
                <w:rFonts w:hint="eastAsia" w:ascii="宋体" w:hAnsi="宋体" w:cs="宋体"/>
                <w:color w:val="auto"/>
                <w:szCs w:val="21"/>
                <w:highlight w:val="none"/>
                <w:lang w:bidi="ar"/>
              </w:rPr>
              <w:t>备注</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0FC90ED6">
            <w:pPr>
              <w:widowControl/>
              <w:spacing w:line="384" w:lineRule="auto"/>
              <w:jc w:val="left"/>
              <w:rPr>
                <w:rFonts w:ascii="宋体" w:hAnsi="宋体" w:cs="宋体"/>
                <w:color w:val="auto"/>
                <w:szCs w:val="21"/>
                <w:highlight w:val="none"/>
              </w:rPr>
            </w:pPr>
          </w:p>
        </w:tc>
      </w:tr>
    </w:tbl>
    <w:p w14:paraId="7BECBBDF">
      <w:pPr>
        <w:spacing w:line="360" w:lineRule="auto"/>
        <w:jc w:val="center"/>
        <w:rPr>
          <w:rFonts w:ascii="宋体" w:hAnsi="宋体" w:cs="宋体"/>
          <w:b/>
          <w:color w:val="auto"/>
          <w:sz w:val="28"/>
          <w:szCs w:val="28"/>
          <w:highlight w:val="none"/>
        </w:rPr>
      </w:pPr>
    </w:p>
    <w:p w14:paraId="3937C973">
      <w:pPr>
        <w:spacing w:line="360" w:lineRule="auto"/>
        <w:jc w:val="center"/>
        <w:rPr>
          <w:rFonts w:ascii="宋体" w:hAnsi="宋体"/>
          <w:b/>
          <w:color w:val="auto"/>
          <w:sz w:val="28"/>
          <w:szCs w:val="28"/>
          <w:highlight w:val="none"/>
        </w:rPr>
      </w:pPr>
    </w:p>
    <w:p w14:paraId="4504C02C">
      <w:pPr>
        <w:spacing w:line="360" w:lineRule="auto"/>
        <w:jc w:val="center"/>
        <w:rPr>
          <w:rFonts w:ascii="宋体" w:hAnsi="宋体"/>
          <w:b/>
          <w:color w:val="auto"/>
          <w:sz w:val="28"/>
          <w:szCs w:val="28"/>
          <w:highlight w:val="none"/>
        </w:rPr>
      </w:pPr>
    </w:p>
    <w:p w14:paraId="5F03A92E">
      <w:pPr>
        <w:spacing w:line="360" w:lineRule="auto"/>
        <w:jc w:val="center"/>
        <w:rPr>
          <w:rFonts w:ascii="宋体" w:hAnsi="宋体"/>
          <w:b/>
          <w:color w:val="auto"/>
          <w:sz w:val="28"/>
          <w:szCs w:val="28"/>
          <w:highlight w:val="none"/>
        </w:rPr>
      </w:pPr>
    </w:p>
    <w:p w14:paraId="4386FE36">
      <w:pPr>
        <w:spacing w:line="360" w:lineRule="auto"/>
        <w:jc w:val="center"/>
        <w:rPr>
          <w:rFonts w:ascii="宋体" w:hAnsi="宋体"/>
          <w:b/>
          <w:color w:val="auto"/>
          <w:sz w:val="28"/>
          <w:szCs w:val="28"/>
          <w:highlight w:val="none"/>
        </w:rPr>
      </w:pPr>
    </w:p>
    <w:p w14:paraId="327F1165">
      <w:pPr>
        <w:spacing w:line="360" w:lineRule="auto"/>
        <w:jc w:val="center"/>
        <w:rPr>
          <w:rFonts w:ascii="宋体" w:hAnsi="宋体"/>
          <w:b/>
          <w:color w:val="auto"/>
          <w:sz w:val="28"/>
          <w:szCs w:val="28"/>
          <w:highlight w:val="none"/>
        </w:rPr>
      </w:pPr>
    </w:p>
    <w:p w14:paraId="30404946">
      <w:pPr>
        <w:spacing w:line="360" w:lineRule="auto"/>
        <w:jc w:val="center"/>
        <w:rPr>
          <w:rFonts w:ascii="宋体" w:hAnsi="宋体"/>
          <w:b/>
          <w:color w:val="auto"/>
          <w:sz w:val="28"/>
          <w:szCs w:val="28"/>
          <w:highlight w:val="none"/>
        </w:rPr>
      </w:pPr>
    </w:p>
    <w:p w14:paraId="52337941">
      <w:pPr>
        <w:spacing w:line="360" w:lineRule="auto"/>
        <w:jc w:val="center"/>
        <w:rPr>
          <w:rFonts w:ascii="宋体" w:hAnsi="宋体"/>
          <w:b/>
          <w:color w:val="auto"/>
          <w:sz w:val="28"/>
          <w:szCs w:val="28"/>
          <w:highlight w:val="none"/>
        </w:rPr>
      </w:pPr>
    </w:p>
    <w:p w14:paraId="1DA31297">
      <w:pPr>
        <w:spacing w:line="360" w:lineRule="auto"/>
        <w:jc w:val="center"/>
        <w:rPr>
          <w:rFonts w:ascii="宋体" w:hAnsi="宋体"/>
          <w:b/>
          <w:color w:val="auto"/>
          <w:sz w:val="28"/>
          <w:szCs w:val="28"/>
          <w:highlight w:val="none"/>
        </w:rPr>
      </w:pPr>
    </w:p>
    <w:p w14:paraId="2B245D6F">
      <w:pPr>
        <w:spacing w:line="360" w:lineRule="auto"/>
        <w:jc w:val="center"/>
        <w:rPr>
          <w:rFonts w:ascii="宋体" w:hAnsi="宋体"/>
          <w:b/>
          <w:color w:val="auto"/>
          <w:sz w:val="28"/>
          <w:szCs w:val="28"/>
          <w:highlight w:val="none"/>
        </w:rPr>
      </w:pPr>
    </w:p>
    <w:p w14:paraId="701A28BB">
      <w:pPr>
        <w:spacing w:line="360" w:lineRule="auto"/>
        <w:jc w:val="center"/>
        <w:rPr>
          <w:rFonts w:ascii="宋体" w:hAnsi="宋体"/>
          <w:b/>
          <w:color w:val="auto"/>
          <w:sz w:val="28"/>
          <w:szCs w:val="28"/>
          <w:highlight w:val="none"/>
        </w:rPr>
      </w:pPr>
    </w:p>
    <w:p w14:paraId="10FDAA29">
      <w:pPr>
        <w:spacing w:line="360" w:lineRule="auto"/>
        <w:jc w:val="center"/>
        <w:rPr>
          <w:rFonts w:ascii="宋体" w:hAnsi="宋体"/>
          <w:b/>
          <w:color w:val="auto"/>
          <w:sz w:val="28"/>
          <w:szCs w:val="28"/>
          <w:highlight w:val="none"/>
        </w:rPr>
      </w:pPr>
    </w:p>
    <w:p w14:paraId="3E20DBE2">
      <w:pPr>
        <w:spacing w:line="360" w:lineRule="auto"/>
        <w:jc w:val="center"/>
        <w:rPr>
          <w:rFonts w:ascii="宋体" w:hAnsi="宋体"/>
          <w:b/>
          <w:color w:val="auto"/>
          <w:sz w:val="28"/>
          <w:szCs w:val="28"/>
          <w:highlight w:val="none"/>
        </w:rPr>
      </w:pPr>
    </w:p>
    <w:p w14:paraId="33D5A744">
      <w:pPr>
        <w:spacing w:line="360" w:lineRule="auto"/>
        <w:jc w:val="center"/>
        <w:rPr>
          <w:rFonts w:ascii="宋体" w:hAnsi="宋体"/>
          <w:b/>
          <w:color w:val="auto"/>
          <w:sz w:val="28"/>
          <w:szCs w:val="28"/>
          <w:highlight w:val="none"/>
        </w:rPr>
      </w:pPr>
    </w:p>
    <w:p w14:paraId="57B18881">
      <w:pPr>
        <w:spacing w:line="360" w:lineRule="auto"/>
        <w:jc w:val="center"/>
        <w:rPr>
          <w:rFonts w:ascii="宋体" w:hAnsi="宋体"/>
          <w:b/>
          <w:color w:val="auto"/>
          <w:sz w:val="28"/>
          <w:szCs w:val="28"/>
          <w:highlight w:val="none"/>
        </w:rPr>
      </w:pPr>
    </w:p>
    <w:p w14:paraId="58A1B617">
      <w:pPr>
        <w:spacing w:line="360" w:lineRule="auto"/>
        <w:jc w:val="center"/>
        <w:rPr>
          <w:rFonts w:ascii="宋体" w:hAnsi="宋体"/>
          <w:b/>
          <w:color w:val="auto"/>
          <w:sz w:val="28"/>
          <w:szCs w:val="28"/>
          <w:highlight w:val="none"/>
        </w:rPr>
      </w:pPr>
    </w:p>
    <w:p w14:paraId="48EB0004">
      <w:pPr>
        <w:rPr>
          <w:rFonts w:ascii="楷体" w:hAnsi="楷体" w:eastAsia="楷体" w:cs="楷体_GB2312"/>
          <w:color w:val="auto"/>
          <w:highlight w:val="none"/>
        </w:rPr>
      </w:pPr>
    </w:p>
    <w:p w14:paraId="0574BB8E">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（三）企业资质证书</w:t>
      </w:r>
    </w:p>
    <w:tbl>
      <w:tblPr>
        <w:tblStyle w:val="40"/>
        <w:tblpPr w:leftFromText="180" w:rightFromText="180" w:vertAnchor="text" w:horzAnchor="margin" w:tblpXSpec="center" w:tblpY="147"/>
        <w:tblOverlap w:val="never"/>
        <w:tblW w:w="10051" w:type="dxa"/>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25CBC3C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55C6A491">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7210146D">
            <w:pPr>
              <w:widowControl/>
              <w:spacing w:line="384" w:lineRule="auto"/>
              <w:jc w:val="left"/>
              <w:rPr>
                <w:rFonts w:ascii="宋体" w:hAnsi="宋体" w:cs="宋体"/>
                <w:color w:val="auto"/>
                <w:szCs w:val="21"/>
                <w:highlight w:val="none"/>
              </w:rPr>
            </w:pPr>
            <w:r>
              <w:rPr>
                <w:rFonts w:ascii="宋体" w:hAnsi="宋体" w:cs="宋体"/>
                <w:color w:val="auto"/>
                <w:szCs w:val="21"/>
                <w:highlight w:val="none"/>
              </w:rPr>
              <w:t>X</w:t>
            </w:r>
            <w:r>
              <w:rPr>
                <w:rFonts w:hint="eastAsia" w:ascii="宋体" w:hAnsi="宋体" w:cs="宋体"/>
                <w:color w:val="auto"/>
                <w:szCs w:val="21"/>
                <w:highlight w:val="none"/>
              </w:rPr>
              <w:t>xx有限公司</w:t>
            </w:r>
          </w:p>
        </w:tc>
      </w:tr>
      <w:tr w14:paraId="553EDF6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4FC9E615">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5A75CF3F">
            <w:pPr>
              <w:widowControl/>
              <w:spacing w:line="384" w:lineRule="auto"/>
              <w:jc w:val="left"/>
              <w:rPr>
                <w:rFonts w:ascii="宋体" w:hAnsi="宋体" w:cs="宋体"/>
                <w:color w:val="auto"/>
                <w:szCs w:val="21"/>
                <w:highlight w:val="none"/>
              </w:rPr>
            </w:pPr>
          </w:p>
        </w:tc>
      </w:tr>
      <w:tr w14:paraId="01338B9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078C39F2">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资质名称</w:t>
            </w:r>
          </w:p>
        </w:tc>
        <w:tc>
          <w:tcPr>
            <w:tcW w:w="2718" w:type="dxa"/>
            <w:gridSpan w:val="2"/>
            <w:tcBorders>
              <w:top w:val="outset" w:color="auto" w:sz="6" w:space="0"/>
              <w:left w:val="outset" w:color="auto" w:sz="6" w:space="0"/>
              <w:bottom w:val="outset" w:color="auto" w:sz="6" w:space="0"/>
              <w:right w:val="outset" w:color="auto" w:sz="6" w:space="0"/>
            </w:tcBorders>
            <w:vAlign w:val="center"/>
          </w:tcPr>
          <w:p w14:paraId="4367E41F">
            <w:pPr>
              <w:widowControl/>
              <w:spacing w:line="384" w:lineRule="auto"/>
              <w:jc w:val="center"/>
              <w:rPr>
                <w:rFonts w:ascii="宋体" w:hAnsi="宋体" w:cs="宋体"/>
                <w:color w:val="auto"/>
                <w:szCs w:val="21"/>
                <w:highlight w:val="none"/>
                <w:lang w:bidi="ar"/>
              </w:rPr>
            </w:pPr>
          </w:p>
        </w:tc>
        <w:tc>
          <w:tcPr>
            <w:tcW w:w="1506" w:type="dxa"/>
            <w:tcBorders>
              <w:top w:val="outset" w:color="auto" w:sz="6" w:space="0"/>
              <w:left w:val="outset" w:color="auto" w:sz="6" w:space="0"/>
              <w:bottom w:val="outset" w:color="auto" w:sz="6" w:space="0"/>
              <w:right w:val="outset" w:color="auto" w:sz="6" w:space="0"/>
            </w:tcBorders>
            <w:vAlign w:val="center"/>
          </w:tcPr>
          <w:p w14:paraId="49BC446C">
            <w:pPr>
              <w:widowControl/>
              <w:spacing w:line="384" w:lineRule="auto"/>
              <w:jc w:val="center"/>
              <w:rPr>
                <w:rFonts w:ascii="宋体" w:hAnsi="宋体" w:cs="宋体"/>
                <w:color w:val="auto"/>
                <w:szCs w:val="21"/>
                <w:highlight w:val="none"/>
              </w:rPr>
            </w:pPr>
            <w:r>
              <w:rPr>
                <w:rFonts w:ascii="宋体" w:hAnsi="宋体" w:cs="宋体"/>
                <w:color w:val="auto"/>
                <w:szCs w:val="21"/>
                <w:highlight w:val="none"/>
              </w:rPr>
              <w:t>证书编号</w:t>
            </w:r>
          </w:p>
        </w:tc>
        <w:tc>
          <w:tcPr>
            <w:tcW w:w="3444" w:type="dxa"/>
            <w:gridSpan w:val="2"/>
            <w:tcBorders>
              <w:top w:val="outset" w:color="auto" w:sz="6" w:space="0"/>
              <w:left w:val="outset" w:color="auto" w:sz="6" w:space="0"/>
              <w:bottom w:val="outset" w:color="auto" w:sz="6" w:space="0"/>
              <w:right w:val="outset" w:color="auto" w:sz="6" w:space="0"/>
            </w:tcBorders>
            <w:vAlign w:val="center"/>
          </w:tcPr>
          <w:p w14:paraId="40C1B6F0">
            <w:pPr>
              <w:widowControl/>
              <w:spacing w:line="384" w:lineRule="auto"/>
              <w:jc w:val="center"/>
              <w:rPr>
                <w:rFonts w:ascii="宋体" w:hAnsi="宋体" w:cs="宋体"/>
                <w:color w:val="auto"/>
                <w:szCs w:val="21"/>
                <w:highlight w:val="none"/>
              </w:rPr>
            </w:pPr>
          </w:p>
        </w:tc>
      </w:tr>
      <w:tr w14:paraId="20B3946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66B0CD95">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lang w:bidi="ar"/>
              </w:rPr>
              <w:t>资质类型</w:t>
            </w:r>
          </w:p>
        </w:tc>
        <w:tc>
          <w:tcPr>
            <w:tcW w:w="1293" w:type="dxa"/>
            <w:tcBorders>
              <w:top w:val="outset" w:color="auto" w:sz="6" w:space="0"/>
              <w:left w:val="outset" w:color="auto" w:sz="6" w:space="0"/>
              <w:bottom w:val="outset" w:color="auto" w:sz="6" w:space="0"/>
              <w:right w:val="outset" w:color="auto" w:sz="6" w:space="0"/>
            </w:tcBorders>
            <w:vAlign w:val="center"/>
          </w:tcPr>
          <w:p w14:paraId="466E0A14">
            <w:pPr>
              <w:widowControl/>
              <w:spacing w:line="300" w:lineRule="exact"/>
              <w:jc w:val="center"/>
              <w:rPr>
                <w:rFonts w:ascii="宋体" w:hAnsi="宋体" w:cs="宋体"/>
                <w:color w:val="auto"/>
                <w:szCs w:val="21"/>
                <w:highlight w:val="none"/>
              </w:rPr>
            </w:pPr>
          </w:p>
        </w:tc>
        <w:tc>
          <w:tcPr>
            <w:tcW w:w="1425" w:type="dxa"/>
            <w:tcBorders>
              <w:top w:val="outset" w:color="auto" w:sz="6" w:space="0"/>
              <w:left w:val="outset" w:color="auto" w:sz="6" w:space="0"/>
              <w:bottom w:val="outset" w:color="auto" w:sz="6" w:space="0"/>
              <w:right w:val="outset" w:color="auto" w:sz="6" w:space="0"/>
            </w:tcBorders>
            <w:vAlign w:val="center"/>
          </w:tcPr>
          <w:p w14:paraId="34D55E87">
            <w:pPr>
              <w:widowControl/>
              <w:spacing w:line="300" w:lineRule="exact"/>
              <w:jc w:val="center"/>
              <w:rPr>
                <w:rFonts w:ascii="宋体" w:hAnsi="宋体" w:cs="宋体"/>
                <w:color w:val="auto"/>
                <w:szCs w:val="21"/>
                <w:highlight w:val="none"/>
                <w:lang w:bidi="ar"/>
              </w:rPr>
            </w:pPr>
            <w:r>
              <w:rPr>
                <w:rFonts w:hint="eastAsia" w:ascii="宋体" w:hAnsi="宋体" w:cs="宋体"/>
                <w:color w:val="auto"/>
                <w:szCs w:val="21"/>
                <w:highlight w:val="none"/>
                <w:lang w:bidi="ar"/>
              </w:rPr>
              <w:t>法定代表人</w:t>
            </w:r>
          </w:p>
          <w:p w14:paraId="23F8B274">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lang w:bidi="ar"/>
              </w:rPr>
              <w:t>姓名</w:t>
            </w:r>
          </w:p>
        </w:tc>
        <w:tc>
          <w:tcPr>
            <w:tcW w:w="1506" w:type="dxa"/>
            <w:tcBorders>
              <w:top w:val="outset" w:color="auto" w:sz="6" w:space="0"/>
              <w:left w:val="outset" w:color="auto" w:sz="6" w:space="0"/>
              <w:bottom w:val="outset" w:color="auto" w:sz="6" w:space="0"/>
              <w:right w:val="outset" w:color="auto" w:sz="6" w:space="0"/>
            </w:tcBorders>
            <w:vAlign w:val="center"/>
          </w:tcPr>
          <w:p w14:paraId="6B55FD7C">
            <w:pPr>
              <w:widowControl/>
              <w:spacing w:line="300" w:lineRule="exact"/>
              <w:jc w:val="center"/>
              <w:rPr>
                <w:rFonts w:ascii="宋体" w:hAnsi="宋体" w:cs="宋体"/>
                <w:color w:val="auto"/>
                <w:szCs w:val="21"/>
                <w:highlight w:val="none"/>
              </w:rPr>
            </w:pPr>
          </w:p>
        </w:tc>
        <w:tc>
          <w:tcPr>
            <w:tcW w:w="1470" w:type="dxa"/>
            <w:tcBorders>
              <w:top w:val="outset" w:color="auto" w:sz="6" w:space="0"/>
              <w:left w:val="outset" w:color="auto" w:sz="6" w:space="0"/>
              <w:bottom w:val="outset" w:color="auto" w:sz="6" w:space="0"/>
              <w:right w:val="outset" w:color="auto" w:sz="6" w:space="0"/>
            </w:tcBorders>
            <w:vAlign w:val="center"/>
          </w:tcPr>
          <w:p w14:paraId="741FB4EB">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lang w:bidi="ar"/>
              </w:rPr>
              <w:t>有效期</w:t>
            </w:r>
          </w:p>
        </w:tc>
        <w:tc>
          <w:tcPr>
            <w:tcW w:w="1974" w:type="dxa"/>
            <w:tcBorders>
              <w:top w:val="outset" w:color="auto" w:sz="6" w:space="0"/>
              <w:left w:val="outset" w:color="auto" w:sz="6" w:space="0"/>
              <w:bottom w:val="outset" w:color="auto" w:sz="6" w:space="0"/>
              <w:right w:val="outset" w:color="auto" w:sz="6" w:space="0"/>
            </w:tcBorders>
            <w:vAlign w:val="center"/>
          </w:tcPr>
          <w:p w14:paraId="649C1DF2">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年  月  日</w:t>
            </w:r>
          </w:p>
        </w:tc>
      </w:tr>
      <w:tr w14:paraId="555441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10036A50">
            <w:pPr>
              <w:widowControl/>
              <w:spacing w:line="384"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发证机关</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29C0B0DF">
            <w:pPr>
              <w:widowControl/>
              <w:spacing w:line="384" w:lineRule="auto"/>
              <w:jc w:val="center"/>
              <w:rPr>
                <w:rFonts w:ascii="宋体" w:hAnsi="宋体" w:cs="宋体"/>
                <w:color w:val="auto"/>
                <w:szCs w:val="21"/>
                <w:highlight w:val="none"/>
              </w:rPr>
            </w:pPr>
          </w:p>
        </w:tc>
      </w:tr>
      <w:tr w14:paraId="41A9F43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1A1C49E6">
            <w:pPr>
              <w:widowControl/>
              <w:spacing w:line="384" w:lineRule="auto"/>
              <w:jc w:val="center"/>
              <w:rPr>
                <w:rFonts w:ascii="宋体" w:hAnsi="宋体" w:cs="宋体"/>
                <w:color w:val="auto"/>
                <w:szCs w:val="21"/>
                <w:highlight w:val="none"/>
                <w:lang w:bidi="ar"/>
              </w:rPr>
            </w:pPr>
            <w:r>
              <w:rPr>
                <w:rFonts w:ascii="宋体" w:hAnsi="宋体" w:cs="宋体"/>
                <w:color w:val="auto"/>
                <w:szCs w:val="21"/>
                <w:highlight w:val="none"/>
                <w:lang w:bidi="ar"/>
              </w:rPr>
              <w:t>备注</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628254AE">
            <w:pPr>
              <w:widowControl/>
              <w:spacing w:line="384" w:lineRule="auto"/>
              <w:jc w:val="left"/>
              <w:rPr>
                <w:rFonts w:ascii="宋体" w:hAnsi="宋体" w:cs="宋体"/>
                <w:color w:val="auto"/>
                <w:szCs w:val="21"/>
                <w:highlight w:val="none"/>
              </w:rPr>
            </w:pPr>
          </w:p>
        </w:tc>
      </w:tr>
    </w:tbl>
    <w:p w14:paraId="48FB6187">
      <w:pPr>
        <w:rPr>
          <w:rFonts w:ascii="楷体" w:hAnsi="楷体" w:eastAsia="楷体" w:cs="楷体_GB2312"/>
          <w:color w:val="auto"/>
          <w:highlight w:val="none"/>
        </w:rPr>
      </w:pPr>
    </w:p>
    <w:p w14:paraId="0C71E648">
      <w:pPr>
        <w:rPr>
          <w:color w:val="auto"/>
          <w:highlight w:val="none"/>
        </w:rPr>
      </w:pPr>
      <w:r>
        <w:rPr>
          <w:rFonts w:hint="eastAsia" w:ascii="楷体" w:hAnsi="楷体" w:eastAsia="楷体" w:cs="楷体_GB2312"/>
          <w:b/>
          <w:color w:val="auto"/>
          <w:highlight w:val="none"/>
        </w:rPr>
        <w:t>备注：</w:t>
      </w:r>
      <w:r>
        <w:rPr>
          <w:rFonts w:hint="eastAsia" w:ascii="楷体" w:hAnsi="楷体" w:eastAsia="楷体" w:cs="宋体"/>
          <w:b/>
          <w:color w:val="auto"/>
          <w:highlight w:val="none"/>
        </w:rPr>
        <w:t>提供的企业基本情况、营业执照副本均以</w:t>
      </w:r>
      <w:r>
        <w:rPr>
          <w:rFonts w:hint="eastAsia" w:ascii="楷体" w:hAnsi="楷体" w:eastAsia="楷体"/>
          <w:b/>
          <w:color w:val="auto"/>
          <w:highlight w:val="none"/>
        </w:rPr>
        <w:t>“桂建云”系统的</w:t>
      </w:r>
      <w:r>
        <w:rPr>
          <w:rFonts w:hint="eastAsia" w:ascii="楷体" w:hAnsi="楷体" w:eastAsia="楷体" w:cs="宋体"/>
          <w:b/>
          <w:color w:val="auto"/>
          <w:highlight w:val="none"/>
        </w:rPr>
        <w:t>信息为准</w:t>
      </w:r>
      <w:r>
        <w:rPr>
          <w:rFonts w:hint="eastAsia" w:ascii="楷体" w:hAnsi="楷体" w:eastAsia="楷体" w:cs="楷体_GB2312"/>
          <w:b/>
          <w:color w:val="auto"/>
          <w:highlight w:val="none"/>
        </w:rPr>
        <w:t>，投标人相关证明材料未通过“桂建云”系统读取的，在评审时不予承认。</w:t>
      </w:r>
      <w:r>
        <w:rPr>
          <w:rFonts w:hint="eastAsia" w:ascii="楷体" w:hAnsi="楷体" w:eastAsia="楷体"/>
          <w:b/>
          <w:color w:val="auto"/>
          <w:highlight w:val="none"/>
        </w:rPr>
        <w:t>资质证书数据由“桂建云”系统从全国建筑市场监管公共服务平台下载，不需要在“桂建云”系统上传资质证书扫描件。资质证书扫描件可在投标文件资格审查部分在投标人认为有必要提交的其他投标资料中上传。</w:t>
      </w:r>
    </w:p>
    <w:p w14:paraId="1A3B57D7">
      <w:pPr>
        <w:rPr>
          <w:color w:val="auto"/>
          <w:highlight w:val="none"/>
        </w:rPr>
      </w:pPr>
    </w:p>
    <w:p w14:paraId="336D8A9E">
      <w:pPr>
        <w:rPr>
          <w:color w:val="auto"/>
          <w:highlight w:val="none"/>
        </w:rPr>
      </w:pPr>
    </w:p>
    <w:p w14:paraId="27A03EFF">
      <w:pPr>
        <w:rPr>
          <w:color w:val="auto"/>
          <w:highlight w:val="none"/>
        </w:rPr>
      </w:pPr>
    </w:p>
    <w:p w14:paraId="62A41E5A">
      <w:pPr>
        <w:rPr>
          <w:color w:val="auto"/>
          <w:highlight w:val="none"/>
        </w:rPr>
      </w:pPr>
    </w:p>
    <w:p w14:paraId="5C068332">
      <w:pPr>
        <w:rPr>
          <w:color w:val="auto"/>
          <w:highlight w:val="none"/>
        </w:rPr>
      </w:pPr>
    </w:p>
    <w:p w14:paraId="6A7C0085">
      <w:pPr>
        <w:rPr>
          <w:color w:val="auto"/>
          <w:highlight w:val="none"/>
        </w:rPr>
      </w:pPr>
    </w:p>
    <w:p w14:paraId="5D7D5AE0">
      <w:pPr>
        <w:rPr>
          <w:color w:val="auto"/>
          <w:highlight w:val="none"/>
        </w:rPr>
      </w:pPr>
    </w:p>
    <w:p w14:paraId="6B16948F">
      <w:pPr>
        <w:rPr>
          <w:color w:val="auto"/>
          <w:highlight w:val="none"/>
        </w:rPr>
      </w:pPr>
    </w:p>
    <w:p w14:paraId="34F82AE9">
      <w:pPr>
        <w:rPr>
          <w:color w:val="auto"/>
          <w:highlight w:val="none"/>
        </w:rPr>
      </w:pPr>
    </w:p>
    <w:p w14:paraId="5EF2C07C">
      <w:pPr>
        <w:rPr>
          <w:color w:val="auto"/>
          <w:highlight w:val="none"/>
        </w:rPr>
      </w:pPr>
    </w:p>
    <w:p w14:paraId="31FA3B3E">
      <w:pPr>
        <w:rPr>
          <w:color w:val="auto"/>
          <w:highlight w:val="none"/>
        </w:rPr>
      </w:pPr>
    </w:p>
    <w:p w14:paraId="023DBB60">
      <w:pPr>
        <w:rPr>
          <w:color w:val="auto"/>
          <w:highlight w:val="none"/>
        </w:rPr>
      </w:pPr>
    </w:p>
    <w:p w14:paraId="2CC7C549">
      <w:pPr>
        <w:rPr>
          <w:color w:val="auto"/>
          <w:highlight w:val="none"/>
        </w:rPr>
      </w:pPr>
    </w:p>
    <w:p w14:paraId="58132FAF">
      <w:pPr>
        <w:rPr>
          <w:color w:val="auto"/>
          <w:highlight w:val="none"/>
        </w:rPr>
      </w:pPr>
    </w:p>
    <w:p w14:paraId="201320B5">
      <w:pPr>
        <w:rPr>
          <w:color w:val="auto"/>
          <w:highlight w:val="none"/>
        </w:rPr>
      </w:pPr>
    </w:p>
    <w:p w14:paraId="34DCA938">
      <w:pPr>
        <w:rPr>
          <w:color w:val="auto"/>
          <w:highlight w:val="none"/>
        </w:rPr>
      </w:pPr>
    </w:p>
    <w:p w14:paraId="460698F8">
      <w:pPr>
        <w:rPr>
          <w:color w:val="auto"/>
          <w:highlight w:val="none"/>
        </w:rPr>
      </w:pPr>
    </w:p>
    <w:p w14:paraId="4104FCFC">
      <w:pPr>
        <w:rPr>
          <w:color w:val="auto"/>
          <w:highlight w:val="none"/>
        </w:rPr>
      </w:pPr>
    </w:p>
    <w:p w14:paraId="5836530F">
      <w:pPr>
        <w:rPr>
          <w:color w:val="auto"/>
          <w:highlight w:val="none"/>
        </w:rPr>
      </w:pPr>
    </w:p>
    <w:p w14:paraId="088F7445">
      <w:pPr>
        <w:rPr>
          <w:color w:val="auto"/>
          <w:highlight w:val="none"/>
        </w:rPr>
      </w:pPr>
    </w:p>
    <w:p w14:paraId="0B079CBA">
      <w:pPr>
        <w:rPr>
          <w:color w:val="auto"/>
          <w:highlight w:val="none"/>
        </w:rPr>
      </w:pPr>
    </w:p>
    <w:p w14:paraId="75B42D3D">
      <w:pPr>
        <w:rPr>
          <w:color w:val="auto"/>
          <w:highlight w:val="none"/>
        </w:rPr>
      </w:pPr>
    </w:p>
    <w:p w14:paraId="5AA4CFD6">
      <w:pPr>
        <w:rPr>
          <w:color w:val="auto"/>
          <w:highlight w:val="none"/>
        </w:rPr>
      </w:pPr>
    </w:p>
    <w:p w14:paraId="0A7BCC55">
      <w:pPr>
        <w:rPr>
          <w:color w:val="auto"/>
          <w:highlight w:val="none"/>
        </w:rPr>
      </w:pPr>
    </w:p>
    <w:p w14:paraId="6ECAE625">
      <w:pPr>
        <w:rPr>
          <w:color w:val="auto"/>
          <w:highlight w:val="none"/>
        </w:rPr>
      </w:pPr>
    </w:p>
    <w:p w14:paraId="5A1AE13A">
      <w:pPr>
        <w:rPr>
          <w:color w:val="auto"/>
          <w:highlight w:val="none"/>
        </w:rPr>
      </w:pPr>
    </w:p>
    <w:p w14:paraId="6EB0328B">
      <w:pPr>
        <w:rPr>
          <w:color w:val="auto"/>
          <w:highlight w:val="none"/>
        </w:rPr>
      </w:pPr>
    </w:p>
    <w:p w14:paraId="2A8B02EB">
      <w:pPr>
        <w:rPr>
          <w:color w:val="auto"/>
          <w:highlight w:val="none"/>
        </w:rPr>
      </w:pPr>
    </w:p>
    <w:p w14:paraId="1D1AF059">
      <w:pPr>
        <w:rPr>
          <w:color w:val="auto"/>
          <w:highlight w:val="none"/>
        </w:rPr>
      </w:pPr>
    </w:p>
    <w:p w14:paraId="77CE91F4">
      <w:pPr>
        <w:rPr>
          <w:color w:val="auto"/>
          <w:highlight w:val="none"/>
        </w:rPr>
      </w:pPr>
    </w:p>
    <w:p w14:paraId="748FAA91">
      <w:pPr>
        <w:rPr>
          <w:color w:val="auto"/>
          <w:highlight w:val="none"/>
        </w:rPr>
      </w:pPr>
    </w:p>
    <w:p w14:paraId="1612EF54">
      <w:pPr>
        <w:rPr>
          <w:color w:val="auto"/>
          <w:highlight w:val="none"/>
        </w:rPr>
      </w:pPr>
    </w:p>
    <w:p w14:paraId="1E1C1F8B">
      <w:pPr>
        <w:rPr>
          <w:color w:val="auto"/>
          <w:highlight w:val="none"/>
        </w:rPr>
      </w:pPr>
    </w:p>
    <w:p w14:paraId="463E3CCA">
      <w:pPr>
        <w:rPr>
          <w:color w:val="auto"/>
          <w:highlight w:val="none"/>
        </w:rPr>
      </w:pPr>
    </w:p>
    <w:p w14:paraId="6451F71F">
      <w:pPr>
        <w:rPr>
          <w:color w:val="auto"/>
          <w:highlight w:val="none"/>
        </w:rPr>
      </w:pPr>
    </w:p>
    <w:p w14:paraId="38CFA4D6">
      <w:pPr>
        <w:rPr>
          <w:color w:val="auto"/>
          <w:highlight w:val="none"/>
        </w:rPr>
      </w:pPr>
    </w:p>
    <w:p w14:paraId="23AF1EE5">
      <w:pPr>
        <w:rPr>
          <w:color w:val="auto"/>
          <w:highlight w:val="none"/>
        </w:rPr>
      </w:pPr>
    </w:p>
    <w:p w14:paraId="39A2CBEA">
      <w:pPr>
        <w:spacing w:line="480" w:lineRule="auto"/>
        <w:ind w:firstLine="703" w:firstLineChars="250"/>
        <w:jc w:val="center"/>
        <w:rPr>
          <w:color w:val="auto"/>
          <w:sz w:val="28"/>
          <w:szCs w:val="28"/>
          <w:highlight w:val="none"/>
        </w:rPr>
      </w:pPr>
      <w:r>
        <w:rPr>
          <w:rFonts w:hint="eastAsia"/>
          <w:b/>
          <w:color w:val="auto"/>
          <w:sz w:val="28"/>
          <w:szCs w:val="28"/>
          <w:highlight w:val="none"/>
        </w:rPr>
        <w:t>二</w:t>
      </w:r>
      <w:r>
        <w:rPr>
          <w:b/>
          <w:color w:val="auto"/>
          <w:sz w:val="28"/>
          <w:szCs w:val="28"/>
          <w:highlight w:val="none"/>
        </w:rPr>
        <w:t>、联合体协议书（联合体投标人适用）</w:t>
      </w:r>
    </w:p>
    <w:p w14:paraId="0A02ABA4">
      <w:pPr>
        <w:spacing w:line="394" w:lineRule="exact"/>
        <w:rPr>
          <w:color w:val="auto"/>
          <w:szCs w:val="21"/>
          <w:highlight w:val="none"/>
        </w:rPr>
      </w:pPr>
      <w:r>
        <w:rPr>
          <w:color w:val="auto"/>
          <w:szCs w:val="21"/>
          <w:highlight w:val="none"/>
        </w:rPr>
        <w:t>牵头人名称：</w:t>
      </w:r>
      <w:r>
        <w:rPr>
          <w:color w:val="auto"/>
          <w:szCs w:val="21"/>
          <w:highlight w:val="none"/>
          <w:u w:val="single"/>
        </w:rPr>
        <w:t xml:space="preserve">                                                  </w:t>
      </w:r>
    </w:p>
    <w:p w14:paraId="289D2D81">
      <w:pPr>
        <w:spacing w:line="394" w:lineRule="exact"/>
        <w:rPr>
          <w:color w:val="auto"/>
          <w:szCs w:val="21"/>
          <w:highlight w:val="none"/>
        </w:rPr>
      </w:pPr>
      <w:r>
        <w:rPr>
          <w:color w:val="auto"/>
          <w:szCs w:val="21"/>
          <w:highlight w:val="none"/>
        </w:rPr>
        <w:t>法定代表人：</w:t>
      </w:r>
      <w:r>
        <w:rPr>
          <w:color w:val="auto"/>
          <w:szCs w:val="21"/>
          <w:highlight w:val="none"/>
          <w:u w:val="single"/>
        </w:rPr>
        <w:t xml:space="preserve">                                                  </w:t>
      </w:r>
    </w:p>
    <w:p w14:paraId="67454627">
      <w:pPr>
        <w:spacing w:line="394" w:lineRule="exact"/>
        <w:rPr>
          <w:color w:val="auto"/>
          <w:szCs w:val="21"/>
          <w:highlight w:val="none"/>
        </w:rPr>
      </w:pPr>
      <w:r>
        <w:rPr>
          <w:color w:val="auto"/>
          <w:szCs w:val="21"/>
          <w:highlight w:val="none"/>
        </w:rPr>
        <w:t>法定住所：</w:t>
      </w:r>
      <w:r>
        <w:rPr>
          <w:color w:val="auto"/>
          <w:szCs w:val="21"/>
          <w:highlight w:val="none"/>
          <w:u w:val="single"/>
        </w:rPr>
        <w:t xml:space="preserve">                                                    </w:t>
      </w:r>
    </w:p>
    <w:p w14:paraId="64583E07">
      <w:pPr>
        <w:spacing w:line="394" w:lineRule="exact"/>
        <w:rPr>
          <w:color w:val="auto"/>
          <w:szCs w:val="21"/>
          <w:highlight w:val="none"/>
        </w:rPr>
      </w:pPr>
      <w:r>
        <w:rPr>
          <w:color w:val="auto"/>
          <w:szCs w:val="21"/>
          <w:highlight w:val="none"/>
        </w:rPr>
        <w:t>成员二名称：</w:t>
      </w:r>
      <w:r>
        <w:rPr>
          <w:color w:val="auto"/>
          <w:szCs w:val="21"/>
          <w:highlight w:val="none"/>
          <w:u w:val="single"/>
        </w:rPr>
        <w:t xml:space="preserve">                                                  </w:t>
      </w:r>
    </w:p>
    <w:p w14:paraId="69FE44DD">
      <w:pPr>
        <w:spacing w:line="394" w:lineRule="exact"/>
        <w:rPr>
          <w:color w:val="auto"/>
          <w:szCs w:val="21"/>
          <w:highlight w:val="none"/>
        </w:rPr>
      </w:pPr>
      <w:r>
        <w:rPr>
          <w:color w:val="auto"/>
          <w:szCs w:val="21"/>
          <w:highlight w:val="none"/>
        </w:rPr>
        <w:t>法定代表人：</w:t>
      </w:r>
      <w:r>
        <w:rPr>
          <w:color w:val="auto"/>
          <w:szCs w:val="21"/>
          <w:highlight w:val="none"/>
          <w:u w:val="single"/>
        </w:rPr>
        <w:t xml:space="preserve">                                                  </w:t>
      </w:r>
    </w:p>
    <w:p w14:paraId="30A87D64">
      <w:pPr>
        <w:spacing w:line="394" w:lineRule="exact"/>
        <w:rPr>
          <w:color w:val="auto"/>
          <w:szCs w:val="21"/>
          <w:highlight w:val="none"/>
          <w:u w:val="single"/>
        </w:rPr>
      </w:pPr>
      <w:r>
        <w:rPr>
          <w:color w:val="auto"/>
          <w:szCs w:val="21"/>
          <w:highlight w:val="none"/>
        </w:rPr>
        <w:t>法定住所：</w:t>
      </w:r>
      <w:r>
        <w:rPr>
          <w:color w:val="auto"/>
          <w:szCs w:val="21"/>
          <w:highlight w:val="none"/>
          <w:u w:val="single"/>
        </w:rPr>
        <w:t xml:space="preserve">                                                    </w:t>
      </w:r>
    </w:p>
    <w:p w14:paraId="6E3F682A">
      <w:pPr>
        <w:spacing w:line="394" w:lineRule="exact"/>
        <w:rPr>
          <w:color w:val="auto"/>
          <w:szCs w:val="21"/>
          <w:highlight w:val="none"/>
        </w:rPr>
      </w:pPr>
      <w:r>
        <w:rPr>
          <w:color w:val="auto"/>
          <w:szCs w:val="21"/>
          <w:highlight w:val="none"/>
        </w:rPr>
        <w:t>……</w:t>
      </w:r>
    </w:p>
    <w:p w14:paraId="32170F2E">
      <w:pPr>
        <w:spacing w:line="400" w:lineRule="exact"/>
        <w:ind w:firstLine="420" w:firstLineChars="200"/>
        <w:rPr>
          <w:color w:val="auto"/>
          <w:szCs w:val="21"/>
          <w:highlight w:val="none"/>
        </w:rPr>
      </w:pPr>
      <w:r>
        <w:rPr>
          <w:color w:val="auto"/>
          <w:szCs w:val="21"/>
          <w:highlight w:val="none"/>
        </w:rPr>
        <w:t>鉴于上述各成员单位经过友好协商，自愿组成</w:t>
      </w:r>
      <w:r>
        <w:rPr>
          <w:color w:val="auto"/>
          <w:szCs w:val="21"/>
          <w:highlight w:val="none"/>
          <w:u w:val="single"/>
        </w:rPr>
        <w:t xml:space="preserve">                          </w:t>
      </w:r>
      <w:r>
        <w:rPr>
          <w:color w:val="auto"/>
          <w:szCs w:val="21"/>
          <w:highlight w:val="none"/>
        </w:rPr>
        <w:t>（联合体名称）联合体，共同参加</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（招标人名称）（以下简称招标人）</w:t>
      </w:r>
    </w:p>
    <w:p w14:paraId="40401003">
      <w:pPr>
        <w:spacing w:line="400" w:lineRule="exact"/>
        <w:rPr>
          <w:color w:val="auto"/>
          <w:szCs w:val="21"/>
          <w:highlight w:val="none"/>
        </w:rPr>
      </w:pP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（项目名称）（以下简称本工程）的</w:t>
      </w:r>
      <w:r>
        <w:rPr>
          <w:rFonts w:hint="eastAsia"/>
          <w:color w:val="auto"/>
          <w:szCs w:val="21"/>
          <w:highlight w:val="none"/>
        </w:rPr>
        <w:t>设计招标项目</w:t>
      </w:r>
      <w:r>
        <w:rPr>
          <w:color w:val="auto"/>
          <w:szCs w:val="21"/>
          <w:highlight w:val="none"/>
        </w:rPr>
        <w:t>投标。现就联合体投标事宜订立如下协议：</w:t>
      </w:r>
    </w:p>
    <w:p w14:paraId="4FBEFD4F">
      <w:pPr>
        <w:spacing w:line="400" w:lineRule="exact"/>
        <w:ind w:firstLine="420" w:firstLineChars="200"/>
        <w:rPr>
          <w:color w:val="auto"/>
          <w:szCs w:val="21"/>
          <w:highlight w:val="none"/>
        </w:rPr>
      </w:pPr>
      <w:r>
        <w:rPr>
          <w:color w:val="auto"/>
          <w:szCs w:val="21"/>
          <w:highlight w:val="none"/>
        </w:rPr>
        <w:t>1．</w:t>
      </w:r>
      <w:r>
        <w:rPr>
          <w:color w:val="auto"/>
          <w:szCs w:val="21"/>
          <w:highlight w:val="none"/>
          <w:u w:val="single"/>
        </w:rPr>
        <w:t xml:space="preserve">        </w:t>
      </w:r>
      <w:r>
        <w:rPr>
          <w:color w:val="auto"/>
          <w:szCs w:val="21"/>
          <w:highlight w:val="none"/>
        </w:rPr>
        <w:t>（某成员单位名称）为</w:t>
      </w:r>
      <w:r>
        <w:rPr>
          <w:color w:val="auto"/>
          <w:szCs w:val="21"/>
          <w:highlight w:val="none"/>
          <w:u w:val="single"/>
        </w:rPr>
        <w:t xml:space="preserve">              </w:t>
      </w:r>
      <w:r>
        <w:rPr>
          <w:color w:val="auto"/>
          <w:szCs w:val="21"/>
          <w:highlight w:val="none"/>
        </w:rPr>
        <w:t>（联合体名称）牵头人。</w:t>
      </w:r>
    </w:p>
    <w:p w14:paraId="086850CF">
      <w:pPr>
        <w:spacing w:line="400" w:lineRule="exact"/>
        <w:ind w:firstLine="420" w:firstLineChars="200"/>
        <w:rPr>
          <w:rFonts w:cs="宋体"/>
          <w:color w:val="auto"/>
          <w:highlight w:val="none"/>
        </w:rPr>
      </w:pPr>
      <w:r>
        <w:rPr>
          <w:rFonts w:hint="eastAsia"/>
          <w:color w:val="auto"/>
          <w:szCs w:val="21"/>
          <w:highlight w:val="none"/>
        </w:rPr>
        <w:t xml:space="preserve">2. </w:t>
      </w:r>
      <w:r>
        <w:rPr>
          <w:rFonts w:hint="eastAsia" w:cs="宋体"/>
          <w:color w:val="auto"/>
          <w:highlight w:val="none"/>
        </w:rPr>
        <w:t>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094BDB61">
      <w:pPr>
        <w:spacing w:line="400" w:lineRule="exact"/>
        <w:ind w:firstLine="420" w:firstLineChars="200"/>
        <w:rPr>
          <w:rFonts w:cs="宋体"/>
          <w:color w:val="auto"/>
          <w:highlight w:val="none"/>
        </w:rPr>
      </w:pPr>
      <w:r>
        <w:rPr>
          <w:rFonts w:hint="eastAsia"/>
          <w:color w:val="auto"/>
          <w:szCs w:val="21"/>
          <w:highlight w:val="none"/>
        </w:rPr>
        <w:t xml:space="preserve">3. </w:t>
      </w:r>
      <w:r>
        <w:rPr>
          <w:rFonts w:hint="eastAsia" w:cs="宋体"/>
          <w:color w:val="auto"/>
          <w:highlight w:val="none"/>
        </w:rPr>
        <w:t>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221C7859">
      <w:pPr>
        <w:spacing w:line="400" w:lineRule="exact"/>
        <w:ind w:firstLine="420" w:firstLineChars="200"/>
        <w:rPr>
          <w:color w:val="auto"/>
          <w:highlight w:val="none"/>
        </w:rPr>
      </w:pPr>
      <w:r>
        <w:rPr>
          <w:color w:val="auto"/>
          <w:szCs w:val="21"/>
          <w:highlight w:val="none"/>
        </w:rPr>
        <w:t>4．联合体各成员单位内部的职责分工如下：</w:t>
      </w:r>
      <w:r>
        <w:rPr>
          <w:color w:val="auto"/>
          <w:szCs w:val="21"/>
          <w:highlight w:val="none"/>
          <w:u w:val="single"/>
        </w:rPr>
        <w:t xml:space="preserve">                                    </w:t>
      </w:r>
      <w:r>
        <w:rPr>
          <w:color w:val="auto"/>
          <w:szCs w:val="21"/>
          <w:highlight w:val="none"/>
        </w:rPr>
        <w:t>。</w:t>
      </w:r>
    </w:p>
    <w:p w14:paraId="0D44416B">
      <w:pPr>
        <w:spacing w:line="400" w:lineRule="exact"/>
        <w:ind w:firstLine="420" w:firstLineChars="200"/>
        <w:rPr>
          <w:color w:val="auto"/>
          <w:highlight w:val="none"/>
        </w:rPr>
      </w:pPr>
      <w:r>
        <w:rPr>
          <w:color w:val="auto"/>
          <w:highlight w:val="none"/>
        </w:rPr>
        <w:t>5</w:t>
      </w:r>
      <w:r>
        <w:rPr>
          <w:rFonts w:hint="eastAsia" w:cs="宋体"/>
          <w:color w:val="auto"/>
          <w:highlight w:val="none"/>
        </w:rPr>
        <w:t>．联合体中标后，本联合体协议是合同的附件，对联合体各成员单位有合同约束力。</w:t>
      </w:r>
    </w:p>
    <w:p w14:paraId="3025B203">
      <w:pPr>
        <w:spacing w:line="400" w:lineRule="exact"/>
        <w:ind w:firstLine="420" w:firstLineChars="200"/>
        <w:rPr>
          <w:color w:val="auto"/>
          <w:highlight w:val="none"/>
        </w:rPr>
      </w:pPr>
      <w:r>
        <w:rPr>
          <w:color w:val="auto"/>
          <w:highlight w:val="none"/>
        </w:rPr>
        <w:t>6</w:t>
      </w:r>
      <w:r>
        <w:rPr>
          <w:rFonts w:hint="eastAsia" w:cs="宋体"/>
          <w:color w:val="auto"/>
          <w:highlight w:val="none"/>
        </w:rPr>
        <w:t>．本协议书自签署之日起生效，联合体未中标或者中标时合同履行完毕后自动失效。</w:t>
      </w:r>
    </w:p>
    <w:p w14:paraId="343936F6">
      <w:pPr>
        <w:spacing w:line="400" w:lineRule="exact"/>
        <w:ind w:firstLine="420" w:firstLineChars="200"/>
        <w:rPr>
          <w:color w:val="auto"/>
          <w:highlight w:val="none"/>
        </w:rPr>
      </w:pPr>
      <w:r>
        <w:rPr>
          <w:color w:val="auto"/>
          <w:highlight w:val="none"/>
        </w:rPr>
        <w:t>7</w:t>
      </w:r>
      <w:r>
        <w:rPr>
          <w:rFonts w:hint="eastAsia" w:cs="宋体"/>
          <w:color w:val="auto"/>
          <w:highlight w:val="none"/>
        </w:rPr>
        <w:t>．本协议书一式</w:t>
      </w:r>
      <w:r>
        <w:rPr>
          <w:color w:val="auto"/>
          <w:highlight w:val="none"/>
          <w:u w:val="single"/>
        </w:rPr>
        <w:t xml:space="preserve">            </w:t>
      </w:r>
      <w:r>
        <w:rPr>
          <w:rFonts w:hint="eastAsia" w:cs="宋体"/>
          <w:color w:val="auto"/>
          <w:highlight w:val="none"/>
        </w:rPr>
        <w:t>份，联合体成员和招标人各执一份。</w:t>
      </w:r>
    </w:p>
    <w:p w14:paraId="65B5DC54">
      <w:pPr>
        <w:spacing w:line="400" w:lineRule="exact"/>
        <w:ind w:firstLine="420" w:firstLineChars="200"/>
        <w:rPr>
          <w:color w:val="auto"/>
          <w:highlight w:val="none"/>
        </w:rPr>
      </w:pPr>
      <w:r>
        <w:rPr>
          <w:color w:val="auto"/>
          <w:highlight w:val="none"/>
        </w:rPr>
        <w:t xml:space="preserve"> </w:t>
      </w:r>
    </w:p>
    <w:p w14:paraId="493ADECD">
      <w:pPr>
        <w:spacing w:line="400" w:lineRule="exact"/>
        <w:ind w:firstLine="420" w:firstLineChars="200"/>
        <w:rPr>
          <w:color w:val="auto"/>
          <w:szCs w:val="21"/>
          <w:highlight w:val="none"/>
        </w:rPr>
      </w:pPr>
    </w:p>
    <w:p w14:paraId="400F2620">
      <w:pPr>
        <w:spacing w:line="394" w:lineRule="exact"/>
        <w:rPr>
          <w:color w:val="auto"/>
          <w:szCs w:val="21"/>
          <w:highlight w:val="none"/>
        </w:rPr>
      </w:pPr>
    </w:p>
    <w:p w14:paraId="40B33604">
      <w:pPr>
        <w:spacing w:line="394" w:lineRule="exact"/>
        <w:ind w:firstLine="1785" w:firstLineChars="850"/>
        <w:rPr>
          <w:color w:val="auto"/>
          <w:szCs w:val="21"/>
          <w:highlight w:val="none"/>
        </w:rPr>
      </w:pPr>
      <w:r>
        <w:rPr>
          <w:rFonts w:hint="eastAsia"/>
          <w:color w:val="auto"/>
          <w:szCs w:val="21"/>
          <w:highlight w:val="none"/>
        </w:rPr>
        <w:t>联合体</w:t>
      </w:r>
      <w:r>
        <w:rPr>
          <w:color w:val="auto"/>
          <w:szCs w:val="21"/>
          <w:highlight w:val="none"/>
        </w:rPr>
        <w:t>牵头人名称：</w:t>
      </w:r>
      <w:r>
        <w:rPr>
          <w:color w:val="auto"/>
          <w:szCs w:val="21"/>
          <w:highlight w:val="none"/>
          <w:u w:val="single"/>
        </w:rPr>
        <w:t xml:space="preserve">                                    </w:t>
      </w:r>
      <w:r>
        <w:rPr>
          <w:color w:val="auto"/>
          <w:szCs w:val="21"/>
          <w:highlight w:val="none"/>
        </w:rPr>
        <w:t>（盖单位</w:t>
      </w:r>
      <w:r>
        <w:rPr>
          <w:rFonts w:hint="eastAsia"/>
          <w:color w:val="auto"/>
          <w:szCs w:val="21"/>
          <w:highlight w:val="none"/>
        </w:rPr>
        <w:t>公</w:t>
      </w:r>
      <w:r>
        <w:rPr>
          <w:color w:val="auto"/>
          <w:szCs w:val="21"/>
          <w:highlight w:val="none"/>
        </w:rPr>
        <w:t>章）</w:t>
      </w:r>
    </w:p>
    <w:p w14:paraId="0F776524">
      <w:pPr>
        <w:spacing w:line="394" w:lineRule="exact"/>
        <w:ind w:firstLine="1785" w:firstLineChars="850"/>
        <w:rPr>
          <w:color w:val="auto"/>
          <w:szCs w:val="21"/>
          <w:highlight w:val="none"/>
        </w:rPr>
      </w:pPr>
    </w:p>
    <w:p w14:paraId="175CB4B4">
      <w:pPr>
        <w:spacing w:line="394" w:lineRule="exact"/>
        <w:ind w:firstLine="1785" w:firstLineChars="850"/>
        <w:rPr>
          <w:color w:val="auto"/>
          <w:szCs w:val="21"/>
          <w:highlight w:val="none"/>
        </w:rPr>
      </w:pPr>
      <w:r>
        <w:rPr>
          <w:rFonts w:hint="eastAsia"/>
          <w:color w:val="auto"/>
          <w:szCs w:val="21"/>
          <w:highlight w:val="none"/>
        </w:rPr>
        <w:t>联合体成员</w:t>
      </w:r>
      <w:r>
        <w:rPr>
          <w:color w:val="auto"/>
          <w:szCs w:val="21"/>
          <w:highlight w:val="none"/>
        </w:rPr>
        <w:t>名称：</w:t>
      </w:r>
      <w:r>
        <w:rPr>
          <w:color w:val="auto"/>
          <w:szCs w:val="21"/>
          <w:highlight w:val="none"/>
          <w:u w:val="single"/>
        </w:rPr>
        <w:t xml:space="preserve">                                    </w:t>
      </w:r>
      <w:r>
        <w:rPr>
          <w:color w:val="auto"/>
          <w:szCs w:val="21"/>
          <w:highlight w:val="none"/>
        </w:rPr>
        <w:t>（盖单位</w:t>
      </w:r>
      <w:r>
        <w:rPr>
          <w:rFonts w:hint="eastAsia"/>
          <w:color w:val="auto"/>
          <w:szCs w:val="21"/>
          <w:highlight w:val="none"/>
        </w:rPr>
        <w:t>公</w:t>
      </w:r>
      <w:r>
        <w:rPr>
          <w:color w:val="auto"/>
          <w:szCs w:val="21"/>
          <w:highlight w:val="none"/>
        </w:rPr>
        <w:t>章）</w:t>
      </w:r>
    </w:p>
    <w:p w14:paraId="1EA55563">
      <w:pPr>
        <w:spacing w:line="394" w:lineRule="exact"/>
        <w:ind w:firstLine="1785" w:firstLineChars="850"/>
        <w:rPr>
          <w:color w:val="auto"/>
          <w:szCs w:val="21"/>
          <w:highlight w:val="none"/>
        </w:rPr>
      </w:pPr>
      <w:r>
        <w:rPr>
          <w:color w:val="auto"/>
          <w:szCs w:val="21"/>
          <w:highlight w:val="none"/>
        </w:rPr>
        <w:t>……</w:t>
      </w:r>
    </w:p>
    <w:p w14:paraId="11A01A8B">
      <w:pPr>
        <w:wordWrap w:val="0"/>
        <w:spacing w:line="394" w:lineRule="exact"/>
        <w:jc w:val="right"/>
        <w:rPr>
          <w:color w:val="auto"/>
          <w:szCs w:val="21"/>
          <w:highlight w:val="none"/>
        </w:rPr>
      </w:pP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14:paraId="60DE871C">
      <w:pPr>
        <w:rPr>
          <w:color w:val="auto"/>
          <w:highlight w:val="none"/>
        </w:rPr>
      </w:pPr>
    </w:p>
    <w:p w14:paraId="0FFCCDA7">
      <w:pPr>
        <w:rPr>
          <w:color w:val="auto"/>
          <w:highlight w:val="none"/>
        </w:rPr>
      </w:pPr>
    </w:p>
    <w:p w14:paraId="37140935">
      <w:pPr>
        <w:rPr>
          <w:color w:val="auto"/>
          <w:highlight w:val="none"/>
        </w:rPr>
      </w:pPr>
    </w:p>
    <w:p w14:paraId="32D3D931">
      <w:pPr>
        <w:rPr>
          <w:color w:val="auto"/>
          <w:highlight w:val="none"/>
        </w:rPr>
      </w:pPr>
    </w:p>
    <w:p w14:paraId="52CC1C12">
      <w:pPr>
        <w:spacing w:line="367" w:lineRule="exact"/>
        <w:jc w:val="center"/>
        <w:rPr>
          <w:b/>
          <w:color w:val="auto"/>
          <w:sz w:val="28"/>
          <w:szCs w:val="28"/>
          <w:highlight w:val="none"/>
        </w:rPr>
      </w:pPr>
      <w:r>
        <w:rPr>
          <w:b/>
          <w:color w:val="auto"/>
          <w:sz w:val="28"/>
          <w:szCs w:val="28"/>
          <w:highlight w:val="none"/>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 name="polygon1"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61210" h="79210">
                              <a:moveTo>
                                <a:pt x="0" y="79210"/>
                              </a:moveTo>
                              <a:lnTo>
                                <a:pt x="0" y="79210"/>
                              </a:lnTo>
                              <a:lnTo>
                                <a:pt x="61210" y="79210"/>
                              </a:lnTo>
                              <a:lnTo>
                                <a:pt x="61210" y="79210"/>
                              </a:lnTo>
                              <a:lnTo>
                                <a:pt x="61210" y="0"/>
                              </a:lnTo>
                              <a:lnTo>
                                <a:pt x="61210" y="0"/>
                              </a:lnTo>
                              <a:lnTo>
                                <a:pt x="0" y="0"/>
                              </a:lnTo>
                              <a:lnTo>
                                <a:pt x="0" y="0"/>
                              </a:lnTo>
                              <a:lnTo>
                                <a:pt x="0" y="79210"/>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1" o:spid="_x0000_s1026" o:spt="100" style="position:absolute;left:0pt;margin-left:0pt;margin-top:0pt;height:50pt;width:50pt;visibility:hidden;z-index:251659264;mso-width-relative:page;mso-height-relative:page;" fillcolor="#FFFFFF" filled="t" stroked="t" coordsize="61210,79210" o:gfxdata="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QWSuRzwAAAAUBAAAPAAAAAAAAAAEAIAAAACIAAABkcnMvZG93bnJldi54&#10;bWxQSwECFAAUAAAACACHTuJAqRK/inUCAABTBgAADgAAAAAAAAABACAAAAAeAQAAZHJzL2Uyb0Rv&#10;Yy54bWxQSwUGAAAAAAYABgBZAQAABQYAAAAA&#10;" path="m0,79210l0,79210,61210,79210,61210,79210,61210,0,61210,0,0,0,0,0,0,79210xe">
                <v:fill on="t" focussize="0,0"/>
                <v:stroke color="#000000" joinstyle="miter"/>
                <v:imagedata o:title=""/>
                <o:lock v:ext="edit" aspectratio="f"/>
              </v:shape>
            </w:pict>
          </mc:Fallback>
        </mc:AlternateContent>
      </w:r>
      <w:r>
        <w:rPr>
          <w:b/>
          <w:color w:val="auto"/>
          <w:sz w:val="28"/>
          <w:szCs w:val="28"/>
          <w:highlight w:val="none"/>
        </w:rPr>
        <mc:AlternateContent>
          <mc:Choice Requires="wps">
            <w:drawing>
              <wp:anchor distT="0" distB="0" distL="114300" distR="114300" simplePos="0" relativeHeight="25166028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 name="polygon19"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8400" h="48">
                              <a:moveTo>
                                <a:pt x="0" y="24"/>
                              </a:moveTo>
                              <a:lnTo>
                                <a:pt x="0" y="24"/>
                              </a:lnTo>
                              <a:lnTo>
                                <a:pt x="8400" y="24"/>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19" o:spid="_x0000_s1026" o:spt="100" style="position:absolute;left:0pt;margin-left:0pt;margin-top:0pt;height:50pt;width:50pt;visibility:hidden;z-index:251660288;mso-width-relative:page;mso-height-relative:page;" fillcolor="#FFFFFF" filled="t" stroked="t" coordsize="8400,48" o:gfxdata="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s2UsHQAAAABQEAAA8A&#10;AAAAAAAAAQAgAAAAIgAAAGRycy9kb3ducmV2LnhtbFBLAQIUABQAAAAIAIdO4kB269rCWAIAAFoF&#10;AAAOAAAAAAAAAAEAIAAAAB8BAABkcnMvZTJvRG9jLnhtbFBLBQYAAAAABgAGAFkBAADpBQAAAAA=&#10;" path="m0,24l0,24,8400,24xe">
                <v:fill on="t" focussize="0,0"/>
                <v:stroke color="#000000" joinstyle="miter"/>
                <v:imagedata o:title=""/>
                <o:lock v:ext="edit" aspectratio="f"/>
              </v:shape>
            </w:pict>
          </mc:Fallback>
        </mc:AlternateContent>
      </w:r>
      <w:r>
        <w:rPr>
          <w:b/>
          <w:color w:val="auto"/>
          <w:sz w:val="28"/>
          <w:szCs w:val="28"/>
          <w:highlight w:val="none"/>
        </w:rPr>
        <mc:AlternateContent>
          <mc:Choice Requires="wps">
            <w:drawing>
              <wp:anchor distT="0" distB="0" distL="114300" distR="114300" simplePos="0" relativeHeight="25166131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 name="polygon35"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7874" h="48">
                              <a:moveTo>
                                <a:pt x="0" y="24"/>
                              </a:moveTo>
                              <a:lnTo>
                                <a:pt x="0" y="24"/>
                              </a:lnTo>
                              <a:lnTo>
                                <a:pt x="7874" y="24"/>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35" o:spid="_x0000_s1026" o:spt="100" style="position:absolute;left:0pt;margin-left:0pt;margin-top:0pt;height:50pt;width:50pt;visibility:hidden;z-index:251661312;mso-width-relative:page;mso-height-relative:page;" fillcolor="#FFFFFF" filled="t" stroked="t" coordsize="7874,48" o:gfxdata="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PQwgM0wAAAAUB&#10;AAAPAAAAAAAAAAEAIAAAACIAAABkcnMvZG93bnJldi54bWxQSwECFAAUAAAACACHTuJA6yGqclkC&#10;AABaBQAADgAAAAAAAAABACAAAAAiAQAAZHJzL2Uyb0RvYy54bWxQSwUGAAAAAAYABgBZAQAA7QUA&#10;AAAA&#10;" path="m0,24l0,24,7874,24xe">
                <v:fill on="t" focussize="0,0"/>
                <v:stroke color="#000000" joinstyle="miter"/>
                <v:imagedata o:title=""/>
                <o:lock v:ext="edit" aspectratio="f"/>
              </v:shape>
            </w:pict>
          </mc:Fallback>
        </mc:AlternateContent>
      </w:r>
      <w:r>
        <w:rPr>
          <w:b/>
          <w:color w:val="auto"/>
          <w:sz w:val="28"/>
          <w:szCs w:val="28"/>
          <w:highlight w:val="none"/>
        </w:rPr>
        <mc:AlternateContent>
          <mc:Choice Requires="wps">
            <w:drawing>
              <wp:anchor distT="0" distB="0" distL="114300" distR="114300" simplePos="0" relativeHeight="25166233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4" name="polygon36"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3672" h="48">
                              <a:moveTo>
                                <a:pt x="0" y="24"/>
                              </a:moveTo>
                              <a:lnTo>
                                <a:pt x="0" y="24"/>
                              </a:lnTo>
                              <a:lnTo>
                                <a:pt x="3672" y="24"/>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36" o:spid="_x0000_s1026" o:spt="100" style="position:absolute;left:0pt;margin-left:0pt;margin-top:0pt;height:50pt;width:50pt;visibility:hidden;z-index:251662336;mso-width-relative:page;mso-height-relative:page;" fillcolor="#FFFFFF" filled="t" stroked="t" coordsize="3672,48" o:gfxdata="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Nukts8AAAAFAQAADwAA&#10;AAAAAAABACAAAAAiAAAAZHJzL2Rvd25yZXYueG1sUEsBAhQAFAAAAAgAh07iQLb7XxhYAgAAWgUA&#10;AA4AAAAAAAAAAQAgAAAAHgEAAGRycy9lMm9Eb2MueG1sUEsFBgAAAAAGAAYAWQEAAOgFAAAAAA==&#10;" path="m0,24l0,24,3672,24xe">
                <v:fill on="t" focussize="0,0"/>
                <v:stroke color="#000000" joinstyle="miter"/>
                <v:imagedata o:title=""/>
                <o:lock v:ext="edit" aspectratio="f"/>
              </v:shape>
            </w:pict>
          </mc:Fallback>
        </mc:AlternateContent>
      </w:r>
      <w:r>
        <w:rPr>
          <w:b/>
          <w:color w:val="auto"/>
          <w:sz w:val="28"/>
          <w:szCs w:val="28"/>
          <w:highlight w:val="none"/>
        </w:rPr>
        <mc:AlternateContent>
          <mc:Choice Requires="wps">
            <w:drawing>
              <wp:anchor distT="0" distB="0" distL="114300" distR="114300" simplePos="0" relativeHeight="25166336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polygon37"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3660" h="48">
                              <a:moveTo>
                                <a:pt x="0" y="24"/>
                              </a:moveTo>
                              <a:lnTo>
                                <a:pt x="0" y="24"/>
                              </a:lnTo>
                              <a:lnTo>
                                <a:pt x="3660" y="24"/>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37" o:spid="_x0000_s1026" o:spt="100" style="position:absolute;left:0pt;margin-left:0pt;margin-top:0pt;height:50pt;width:50pt;visibility:hidden;z-index:251663360;mso-width-relative:page;mso-height-relative:page;" fillcolor="#FFFFFF" filled="t" stroked="t" coordsize="3660,48" o:gfxdata="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QJw0NEAAAAFAQAA&#10;DwAAAAAAAAABACAAAAAiAAAAZHJzL2Rvd25yZXYueG1sUEsBAhQAFAAAAAgAh07iQMrQs8lZAgAA&#10;WgUAAA4AAAAAAAAAAQAgAAAAIAEAAGRycy9lMm9Eb2MueG1sUEsFBgAAAAAGAAYAWQEAAOsFAAAA&#10;AA==&#10;" path="m0,24l0,24,3660,24xe">
                <v:fill on="t" focussize="0,0"/>
                <v:stroke color="#000000" joinstyle="miter"/>
                <v:imagedata o:title=""/>
                <o:lock v:ext="edit" aspectratio="f"/>
              </v:shape>
            </w:pict>
          </mc:Fallback>
        </mc:AlternateContent>
      </w:r>
      <w:r>
        <w:rPr>
          <w:b/>
          <w:color w:val="auto"/>
          <w:sz w:val="28"/>
          <w:szCs w:val="28"/>
          <w:highlight w:val="none"/>
        </w:rPr>
        <mc:AlternateContent>
          <mc:Choice Requires="wps">
            <w:drawing>
              <wp:anchor distT="0" distB="0" distL="114300" distR="114300" simplePos="0" relativeHeight="25166438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 name="polygon38"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4202" h="48">
                              <a:moveTo>
                                <a:pt x="0" y="24"/>
                              </a:moveTo>
                              <a:lnTo>
                                <a:pt x="0" y="24"/>
                              </a:lnTo>
                              <a:lnTo>
                                <a:pt x="4202" y="24"/>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38" o:spid="_x0000_s1026" o:spt="100" style="position:absolute;left:0pt;margin-left:0pt;margin-top:0pt;height:50pt;width:50pt;visibility:hidden;z-index:251664384;mso-width-relative:page;mso-height-relative:page;" fillcolor="#FFFFFF" filled="t" stroked="t" coordsize="4202,48" o:gfxdata="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ji36/RAAAABQEAAA8A&#10;AAAAAAAAAQAgAAAAIgAAAGRycy9kb3ducmV2LnhtbFBLAQIUABQAAAAIAIdO4kAKJLQ9VwIAAFoF&#10;AAAOAAAAAAAAAAEAIAAAACABAABkcnMvZTJvRG9jLnhtbFBLBQYAAAAABgAGAFkBAADpBQAAAAA=&#10;" path="m0,24l0,24,4202,24xe">
                <v:fill on="t" focussize="0,0"/>
                <v:stroke color="#000000" joinstyle="miter"/>
                <v:imagedata o:title=""/>
                <o:lock v:ext="edit" aspectratio="f"/>
              </v:shape>
            </w:pict>
          </mc:Fallback>
        </mc:AlternateContent>
      </w:r>
      <w:r>
        <w:rPr>
          <w:b/>
          <w:color w:val="auto"/>
          <w:sz w:val="28"/>
          <w:szCs w:val="28"/>
          <w:highlight w:val="none"/>
        </w:rPr>
        <mc:AlternateContent>
          <mc:Choice Requires="wps">
            <w:drawing>
              <wp:anchor distT="0" distB="0" distL="114300" distR="114300" simplePos="0" relativeHeight="25166540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7" name="polygon49"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8916" h="48">
                              <a:moveTo>
                                <a:pt x="0" y="24"/>
                              </a:moveTo>
                              <a:lnTo>
                                <a:pt x="0" y="24"/>
                              </a:lnTo>
                              <a:lnTo>
                                <a:pt x="8916" y="24"/>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49" o:spid="_x0000_s1026" o:spt="100" style="position:absolute;left:0pt;margin-left:0pt;margin-top:0pt;height:50pt;width:50pt;visibility:hidden;z-index:251665408;mso-width-relative:page;mso-height-relative:page;" fillcolor="#FFFFFF" filled="t" stroked="t" coordsize="8916,48" o:gfxdata="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oEClT0AAAAAUBAAAP&#10;AAAAAAAAAAEAIAAAACIAAABkcnMvZG93bnJldi54bWxQSwECFAAUAAAACACHTuJAOD+CwFkCAABa&#10;BQAADgAAAAAAAAABACAAAAAfAQAAZHJzL2Uyb0RvYy54bWxQSwUGAAAAAAYABgBZAQAA6gUAAAAA&#10;" path="m0,24l0,24,8916,24xe">
                <v:fill on="t" focussize="0,0"/>
                <v:stroke color="#000000" joinstyle="miter"/>
                <v:imagedata o:title=""/>
                <o:lock v:ext="edit" aspectratio="f"/>
              </v:shape>
            </w:pict>
          </mc:Fallback>
        </mc:AlternateContent>
      </w:r>
      <w:r>
        <w:rPr>
          <w:b/>
          <w:color w:val="auto"/>
          <w:sz w:val="28"/>
          <w:szCs w:val="28"/>
          <w:highlight w:val="none"/>
        </w:rPr>
        <mc:AlternateContent>
          <mc:Choice Requires="wps">
            <w:drawing>
              <wp:anchor distT="0" distB="0" distL="114300" distR="114300" simplePos="0" relativeHeight="25166643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8" name="polygon50"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5244" h="48">
                              <a:moveTo>
                                <a:pt x="0" y="24"/>
                              </a:moveTo>
                              <a:lnTo>
                                <a:pt x="0" y="24"/>
                              </a:lnTo>
                              <a:lnTo>
                                <a:pt x="5244" y="24"/>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50" o:spid="_x0000_s1026" o:spt="100" style="position:absolute;left:0pt;margin-left:0pt;margin-top:0pt;height:50pt;width:50pt;visibility:hidden;z-index:251666432;mso-width-relative:page;mso-height-relative:page;" fillcolor="#FFFFFF" filled="t" stroked="t" coordsize="5244,48" o:gfxdata="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AW/4zRAAAABQEAAA8A&#10;AAAAAAAAAQAgAAAAIgAAAGRycy9kb3ducmV2LnhtbFBLAQIUABQAAAAIAIdO4kA66ByWVwIAAFoF&#10;AAAOAAAAAAAAAAEAIAAAACABAABkcnMvZTJvRG9jLnhtbFBLBQYAAAAABgAGAFkBAADpBQAAAAA=&#10;" path="m0,24l0,24,5244,24xe">
                <v:fill on="t" focussize="0,0"/>
                <v:stroke color="#000000" joinstyle="miter"/>
                <v:imagedata o:title=""/>
                <o:lock v:ext="edit" aspectratio="f"/>
              </v:shape>
            </w:pict>
          </mc:Fallback>
        </mc:AlternateContent>
      </w:r>
      <w:r>
        <w:rPr>
          <w:b/>
          <w:color w:val="auto"/>
          <w:sz w:val="28"/>
          <w:szCs w:val="28"/>
          <w:highlight w:val="none"/>
        </w:rPr>
        <mc:AlternateContent>
          <mc:Choice Requires="wps">
            <w:drawing>
              <wp:anchor distT="0" distB="0" distL="114300" distR="114300" simplePos="0" relativeHeight="25166745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9" name="polygon70"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6300" h="48">
                              <a:moveTo>
                                <a:pt x="0" y="24"/>
                              </a:moveTo>
                              <a:lnTo>
                                <a:pt x="0" y="24"/>
                              </a:lnTo>
                              <a:lnTo>
                                <a:pt x="6300" y="24"/>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70" o:spid="_x0000_s1026" o:spt="100" style="position:absolute;left:0pt;margin-left:0pt;margin-top:0pt;height:50pt;width:50pt;visibility:hidden;z-index:251667456;mso-width-relative:page;mso-height-relative:page;" fillcolor="#FFFFFF" filled="t" stroked="t" coordsize="6300,48" o:gfxdata="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aC/i7PAAAABQEAAA8AAAAA&#10;AAAAAQAgAAAAIgAAAGRycy9kb3ducmV2LnhtbFBLAQIUABQAAAAIAIdO4kDfn0LXVgIAAFoFAAAO&#10;AAAAAAAAAAEAIAAAAB4BAABkcnMvZTJvRG9jLnhtbFBLBQYAAAAABgAGAFkBAADmBQAAAAA=&#10;" path="m0,24l0,24,6300,24xe">
                <v:fill on="t" focussize="0,0"/>
                <v:stroke color="#000000" joinstyle="miter"/>
                <v:imagedata o:title=""/>
                <o:lock v:ext="edit" aspectratio="f"/>
              </v:shape>
            </w:pict>
          </mc:Fallback>
        </mc:AlternateContent>
      </w:r>
      <w:r>
        <w:rPr>
          <w:b/>
          <w:color w:val="auto"/>
          <w:sz w:val="28"/>
          <w:szCs w:val="28"/>
          <w:highlight w:val="none"/>
        </w:rPr>
        <mc:AlternateContent>
          <mc:Choice Requires="wps">
            <w:drawing>
              <wp:anchor distT="0" distB="0" distL="114300" distR="114300" simplePos="0" relativeHeight="25166848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0" name="polygon85"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13346" h="48">
                              <a:moveTo>
                                <a:pt x="0" y="24"/>
                              </a:moveTo>
                              <a:lnTo>
                                <a:pt x="0" y="24"/>
                              </a:lnTo>
                              <a:lnTo>
                                <a:pt x="13346" y="24"/>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85" o:spid="_x0000_s1026" o:spt="100" style="position:absolute;left:0pt;margin-left:0pt;margin-top:0pt;height:50pt;width:50pt;visibility:hidden;z-index:251668480;mso-width-relative:page;mso-height-relative:page;" fillcolor="#FFFFFF" filled="t" stroked="t" coordsize="13346,48" o:gfxdata="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kjJFHRAAAABQEAAA8A&#10;AAAAAAAAAQAgAAAAIgAAAGRycy9kb3ducmV2LnhtbFBLAQIUABQAAAAIAIdO4kAdMQ/uVwIAAF0F&#10;AAAOAAAAAAAAAAEAIAAAACABAABkcnMvZTJvRG9jLnhtbFBLBQYAAAAABgAGAFkBAADpBQAAAAA=&#10;" path="m0,24l0,24,13346,24xe">
                <v:fill on="t" focussize="0,0"/>
                <v:stroke color="#000000" joinstyle="miter"/>
                <v:imagedata o:title=""/>
                <o:lock v:ext="edit" aspectratio="f"/>
              </v:shape>
            </w:pict>
          </mc:Fallback>
        </mc:AlternateContent>
      </w:r>
      <w:r>
        <w:rPr>
          <w:b/>
          <w:color w:val="auto"/>
          <w:sz w:val="28"/>
          <w:szCs w:val="28"/>
          <w:highlight w:val="none"/>
        </w:rPr>
        <mc:AlternateContent>
          <mc:Choice Requires="wps">
            <w:drawing>
              <wp:anchor distT="0" distB="0" distL="114300" distR="114300" simplePos="0" relativeHeight="25166950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1" name="polygon90"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2100" h="48">
                              <a:moveTo>
                                <a:pt x="0" y="24"/>
                              </a:moveTo>
                              <a:lnTo>
                                <a:pt x="0" y="24"/>
                              </a:lnTo>
                              <a:lnTo>
                                <a:pt x="2100" y="24"/>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90" o:spid="_x0000_s1026" o:spt="100" style="position:absolute;left:0pt;margin-left:0pt;margin-top:0pt;height:50pt;width:50pt;visibility:hidden;z-index:251669504;mso-width-relative:page;mso-height-relative:page;" fillcolor="#FFFFFF" filled="t" stroked="t" coordsize="2100,48" o:gfxdata="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HBiLa0gAAAAUBAAAP&#10;AAAAAAAAAAEAIAAAACIAAABkcnMvZG93bnJldi54bWxQSwECFAAUAAAACACHTuJAf9FfpVcCAABb&#10;BQAADgAAAAAAAAABACAAAAAhAQAAZHJzL2Uyb0RvYy54bWxQSwUGAAAAAAYABgBZAQAA6gUAAAAA&#10;" path="m0,24l0,24,2100,24xe">
                <v:fill on="t" focussize="0,0"/>
                <v:stroke color="#000000" joinstyle="miter"/>
                <v:imagedata o:title=""/>
                <o:lock v:ext="edit" aspectratio="f"/>
              </v:shape>
            </w:pict>
          </mc:Fallback>
        </mc:AlternateContent>
      </w:r>
      <w:r>
        <w:rPr>
          <w:b/>
          <w:color w:val="auto"/>
          <w:sz w:val="28"/>
          <w:szCs w:val="28"/>
          <w:highlight w:val="none"/>
        </w:rPr>
        <mc:AlternateContent>
          <mc:Choice Requires="wps">
            <w:drawing>
              <wp:anchor distT="0" distB="0" distL="114300" distR="114300" simplePos="0" relativeHeight="25167052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2" name="polygon101"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20189" h="48">
                              <a:moveTo>
                                <a:pt x="0" y="24"/>
                              </a:moveTo>
                              <a:lnTo>
                                <a:pt x="0" y="24"/>
                              </a:lnTo>
                              <a:lnTo>
                                <a:pt x="20189" y="24"/>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101" o:spid="_x0000_s1026" o:spt="100" style="position:absolute;left:0pt;margin-left:0pt;margin-top:0pt;height:50pt;width:50pt;visibility:hidden;z-index:251670528;mso-width-relative:page;mso-height-relative:page;" fillcolor="#FFFFFF" filled="t" stroked="t" coordsize="20189,48" o:gfxdata="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nmJSDQAAAABQEA&#10;AA8AAAAAAAAAAQAgAAAAIgAAAGRycy9kb3ducmV2LnhtbFBLAQIUABQAAAAIAIdO4kD2spfDWwIA&#10;AF4FAAAOAAAAAAAAAAEAIAAAAB8BAABkcnMvZTJvRG9jLnhtbFBLBQYAAAAABgAGAFkBAADsBQAA&#10;AAA=&#10;" path="m0,24l0,24,20189,24xe">
                <v:fill on="t" focussize="0,0"/>
                <v:stroke color="#000000" joinstyle="miter"/>
                <v:imagedata o:title=""/>
                <o:lock v:ext="edit" aspectratio="f"/>
              </v:shape>
            </w:pict>
          </mc:Fallback>
        </mc:AlternateContent>
      </w:r>
      <w:r>
        <w:rPr>
          <w:b/>
          <w:color w:val="auto"/>
          <w:sz w:val="28"/>
          <w:szCs w:val="28"/>
          <w:highlight w:val="none"/>
        </w:rPr>
        <mc:AlternateContent>
          <mc:Choice Requires="wps">
            <w:drawing>
              <wp:anchor distT="0" distB="0" distL="114300" distR="114300" simplePos="0" relativeHeight="25167155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3" name="polygon112"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20705" h="48">
                              <a:moveTo>
                                <a:pt x="0" y="24"/>
                              </a:moveTo>
                              <a:lnTo>
                                <a:pt x="0" y="24"/>
                              </a:lnTo>
                              <a:lnTo>
                                <a:pt x="20705" y="24"/>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112" o:spid="_x0000_s1026" o:spt="100" style="position:absolute;left:0pt;margin-left:0pt;margin-top:0pt;height:50pt;width:50pt;visibility:hidden;z-index:251671552;mso-width-relative:page;mso-height-relative:page;" fillcolor="#FFFFFF" filled="t" stroked="t" coordsize="20705,48" o:gfxdata="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U32mm0wAA&#10;AAUBAAAPAAAAAAAAAAEAIAAAACIAAABkcnMvZG93bnJldi54bWxQSwECFAAUAAAACACHTuJAq360&#10;gFwCAABeBQAADgAAAAAAAAABACAAAAAiAQAAZHJzL2Uyb0RvYy54bWxQSwUGAAAAAAYABgBZAQAA&#10;8AUAAAAA&#10;" path="m0,24l0,24,20705,24xe">
                <v:fill on="t" focussize="0,0"/>
                <v:stroke color="#000000" joinstyle="miter"/>
                <v:imagedata o:title=""/>
                <o:lock v:ext="edit" aspectratio="f"/>
              </v:shape>
            </w:pict>
          </mc:Fallback>
        </mc:AlternateContent>
      </w:r>
      <w:r>
        <w:rPr>
          <w:b/>
          <w:color w:val="auto"/>
          <w:sz w:val="28"/>
          <w:szCs w:val="28"/>
          <w:highlight w:val="none"/>
        </w:rPr>
        <mc:AlternateContent>
          <mc:Choice Requires="wps">
            <w:drawing>
              <wp:anchor distT="0" distB="0" distL="114300" distR="114300" simplePos="0" relativeHeight="25167257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4" name="polygon121"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20177" h="48">
                              <a:moveTo>
                                <a:pt x="0" y="24"/>
                              </a:moveTo>
                              <a:lnTo>
                                <a:pt x="0" y="24"/>
                              </a:lnTo>
                              <a:lnTo>
                                <a:pt x="20177" y="24"/>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121" o:spid="_x0000_s1026" o:spt="100" style="position:absolute;left:0pt;margin-left:0pt;margin-top:0pt;height:50pt;width:50pt;visibility:hidden;z-index:251672576;mso-width-relative:page;mso-height-relative:page;" fillcolor="#FFFFFF" filled="t" stroked="t" coordsize="20177,48" o:gfxdata="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94CIdMAAAAF&#10;AQAADwAAAAAAAAABACAAAAAiAAAAZHJzL2Rvd25yZXYueG1sUEsBAhQAFAAAAAgAh07iQHvTMWxa&#10;AgAAXgUAAA4AAAAAAAAAAQAgAAAAIgEAAGRycy9lMm9Eb2MueG1sUEsFBgAAAAAGAAYAWQEAAO4F&#10;AAAAAA==&#10;" path="m0,24l0,24,20177,24xe">
                <v:fill on="t" focussize="0,0"/>
                <v:stroke color="#000000" joinstyle="miter"/>
                <v:imagedata o:title=""/>
                <o:lock v:ext="edit" aspectratio="f"/>
              </v:shape>
            </w:pict>
          </mc:Fallback>
        </mc:AlternateContent>
      </w:r>
      <w:r>
        <w:rPr>
          <w:b/>
          <w:color w:val="auto"/>
          <w:sz w:val="28"/>
          <w:szCs w:val="28"/>
          <w:highlight w:val="none"/>
        </w:rPr>
        <mc:AlternateContent>
          <mc:Choice Requires="wps">
            <w:drawing>
              <wp:anchor distT="0" distB="0" distL="114300" distR="114300" simplePos="0" relativeHeight="25167360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5" name="polygon130"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4212" h="48">
                              <a:moveTo>
                                <a:pt x="0" y="24"/>
                              </a:moveTo>
                              <a:lnTo>
                                <a:pt x="0" y="24"/>
                              </a:lnTo>
                              <a:lnTo>
                                <a:pt x="4212" y="24"/>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130" o:spid="_x0000_s1026" o:spt="100" style="position:absolute;left:0pt;margin-left:0pt;margin-top:0pt;height:50pt;width:50pt;visibility:hidden;z-index:251673600;mso-width-relative:page;mso-height-relative:page;" fillcolor="#FFFFFF" filled="t" stroked="t" coordsize="4212,48" o:gfxdata="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ufqKtIAAAAFAQAA&#10;DwAAAAAAAAABACAAAAAiAAAAZHJzL2Rvd25yZXYueG1sUEsBAhQAFAAAAAgAh07iQOySGHtYAgAA&#10;XAUAAA4AAAAAAAAAAQAgAAAAIQEAAGRycy9lMm9Eb2MueG1sUEsFBgAAAAAGAAYAWQEAAOsFAAAA&#10;AA==&#10;" path="m0,24l0,24,4212,24xe">
                <v:fill on="t" focussize="0,0"/>
                <v:stroke color="#000000" joinstyle="miter"/>
                <v:imagedata o:title=""/>
                <o:lock v:ext="edit" aspectratio="f"/>
              </v:shape>
            </w:pict>
          </mc:Fallback>
        </mc:AlternateContent>
      </w:r>
      <w:r>
        <w:rPr>
          <w:b/>
          <w:color w:val="auto"/>
          <w:sz w:val="28"/>
          <w:szCs w:val="28"/>
          <w:highlight w:val="none"/>
        </w:rPr>
        <mc:AlternateContent>
          <mc:Choice Requires="wps">
            <w:drawing>
              <wp:anchor distT="0" distB="0" distL="114300" distR="114300" simplePos="0" relativeHeight="25167462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6" name="polygon131"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4200" h="48">
                              <a:moveTo>
                                <a:pt x="0" y="24"/>
                              </a:moveTo>
                              <a:lnTo>
                                <a:pt x="0" y="24"/>
                              </a:lnTo>
                              <a:lnTo>
                                <a:pt x="4200" y="24"/>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131" o:spid="_x0000_s1026" o:spt="100" style="position:absolute;left:0pt;margin-left:0pt;margin-top:0pt;height:50pt;width:50pt;visibility:hidden;z-index:251674624;mso-width-relative:page;mso-height-relative:page;" fillcolor="#FFFFFF" filled="t" stroked="t" coordsize="4200,48" o:gfxdata="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KNTfNIAAAAFAQAA&#10;DwAAAAAAAAABACAAAAAiAAAAZHJzL2Rvd25yZXYueG1sUEsBAhQAFAAAAAgAh07iQDMTmvFYAgAA&#10;XAUAAA4AAAAAAAAAAQAgAAAAIQEAAGRycy9lMm9Eb2MueG1sUEsFBgAAAAAGAAYAWQEAAOsFAAAA&#10;AA==&#10;" path="m0,24l0,24,4200,24xe">
                <v:fill on="t" focussize="0,0"/>
                <v:stroke color="#000000" joinstyle="miter"/>
                <v:imagedata o:title=""/>
                <o:lock v:ext="edit" aspectratio="f"/>
              </v:shape>
            </w:pict>
          </mc:Fallback>
        </mc:AlternateContent>
      </w:r>
      <w:r>
        <w:rPr>
          <w:b/>
          <w:color w:val="auto"/>
          <w:sz w:val="28"/>
          <w:szCs w:val="28"/>
          <w:highlight w:val="none"/>
        </w:rPr>
        <mc:AlternateContent>
          <mc:Choice Requires="wps">
            <w:drawing>
              <wp:anchor distT="0" distB="0" distL="114300" distR="114300" simplePos="0" relativeHeight="25167564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7" name="polygon132"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Lst>
                          <a:ahLst/>
                          <a:cxnLst/>
                          <a:rect l="0" t="0" r="0" b="0"/>
                          <a:pathLst>
                            <a:path w="4190" h="48">
                              <a:moveTo>
                                <a:pt x="0" y="24"/>
                              </a:moveTo>
                              <a:lnTo>
                                <a:pt x="0" y="24"/>
                              </a:lnTo>
                              <a:lnTo>
                                <a:pt x="4190" y="24"/>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polygon132" o:spid="_x0000_s1026" o:spt="100" style="position:absolute;left:0pt;margin-left:0pt;margin-top:0pt;height:50pt;width:50pt;visibility:hidden;z-index:251675648;mso-width-relative:page;mso-height-relative:page;" fillcolor="#FFFFFF" filled="t" stroked="t" coordsize="4190,48" o:gfxdata="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uOy1tAAAAAFAQAA&#10;DwAAAAAAAAABACAAAAAiAAAAZHJzL2Rvd25yZXYueG1sUEsBAhQAFAAAAAgAh07iQASB4gtaAgAA&#10;XAUAAA4AAAAAAAAAAQAgAAAAHwEAAGRycy9lMm9Eb2MueG1sUEsFBgAAAAAGAAYAWQEAAOsFAAAA&#10;AA==&#10;" path="m0,24l0,24,4190,24xe">
                <v:fill on="t" focussize="0,0"/>
                <v:stroke color="#000000" joinstyle="miter"/>
                <v:imagedata o:title=""/>
                <o:lock v:ext="edit" aspectratio="f"/>
              </v:shape>
            </w:pict>
          </mc:Fallback>
        </mc:AlternateContent>
      </w:r>
      <w:r>
        <w:rPr>
          <w:rFonts w:hint="eastAsia" w:ascii="微软雅黑" w:hAnsi="微软雅黑" w:cs="微软雅黑"/>
          <w:b/>
          <w:color w:val="auto"/>
          <w:sz w:val="28"/>
          <w:szCs w:val="28"/>
          <w:highlight w:val="none"/>
        </w:rPr>
        <w:t>三</w:t>
      </w:r>
      <w:r>
        <w:rPr>
          <w:rFonts w:ascii="微软雅黑" w:hAnsi="微软雅黑" w:cs="微软雅黑"/>
          <w:b/>
          <w:color w:val="auto"/>
          <w:sz w:val="28"/>
          <w:szCs w:val="28"/>
          <w:highlight w:val="none"/>
        </w:rPr>
        <w:t>、投标保证金</w:t>
      </w:r>
    </w:p>
    <w:p w14:paraId="62DDDD3A">
      <w:pPr>
        <w:spacing w:line="240" w:lineRule="exact"/>
        <w:rPr>
          <w:color w:val="auto"/>
          <w:highlight w:val="none"/>
        </w:rPr>
      </w:pPr>
    </w:p>
    <w:p w14:paraId="3BC7FA47">
      <w:pPr>
        <w:spacing w:line="360" w:lineRule="auto"/>
        <w:rPr>
          <w:rFonts w:ascii="楷体" w:hAnsi="楷体" w:eastAsia="楷体"/>
          <w:b/>
          <w:color w:val="auto"/>
          <w:highlight w:val="none"/>
        </w:rPr>
      </w:pPr>
      <w:r>
        <w:rPr>
          <w:rFonts w:hint="eastAsia" w:cs="宋体"/>
          <w:color w:val="auto"/>
          <w:szCs w:val="21"/>
          <w:highlight w:val="none"/>
        </w:rPr>
        <w:t>投标保证金转账的（或电汇、网上支付）底单原件扫描件、电子转账截图或保函（银行保函、保证保险保函、工程担保保函）原件扫描件或电子保函系统自动认证。</w:t>
      </w:r>
    </w:p>
    <w:p w14:paraId="0D0EC0C3">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投标保函示范文本</w:t>
      </w:r>
    </w:p>
    <w:p w14:paraId="55B01B91">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11B77BD1">
      <w:pPr>
        <w:wordWrap w:val="0"/>
        <w:spacing w:line="360" w:lineRule="auto"/>
        <w:jc w:val="right"/>
        <w:rPr>
          <w:rFonts w:ascii="宋体" w:hAnsi="宋体"/>
          <w:color w:val="auto"/>
          <w:szCs w:val="21"/>
          <w:highlight w:val="none"/>
        </w:rPr>
      </w:pPr>
      <w:r>
        <w:rPr>
          <w:rFonts w:hint="eastAsia" w:ascii="宋体" w:hAnsi="宋体"/>
          <w:color w:val="auto"/>
          <w:szCs w:val="21"/>
          <w:highlight w:val="none"/>
        </w:rPr>
        <w:t xml:space="preserve">编号： </w:t>
      </w:r>
      <w:r>
        <w:rPr>
          <w:rFonts w:ascii="宋体" w:hAnsi="宋体"/>
          <w:color w:val="auto"/>
          <w:szCs w:val="21"/>
          <w:highlight w:val="none"/>
        </w:rPr>
        <w:t xml:space="preserve">          </w:t>
      </w:r>
    </w:p>
    <w:p w14:paraId="71111099">
      <w:pPr>
        <w:spacing w:line="360" w:lineRule="auto"/>
        <w:rPr>
          <w:rFonts w:ascii="宋体" w:hAnsi="宋体"/>
          <w:color w:val="auto"/>
          <w:sz w:val="24"/>
          <w:highlight w:val="none"/>
        </w:rPr>
      </w:pPr>
      <w:r>
        <w:rPr>
          <w:rFonts w:ascii="宋体" w:hAnsi="宋体"/>
          <w:color w:val="auto"/>
          <w:sz w:val="24"/>
          <w:highlight w:val="none"/>
        </w:rPr>
        <w:t xml:space="preserve"> </w:t>
      </w:r>
      <w:bookmarkStart w:id="174" w:name="_Hlk40303117"/>
      <w:r>
        <w:rPr>
          <w:rFonts w:hint="eastAsia" w:ascii="宋体" w:hAnsi="宋体"/>
          <w:color w:val="auto"/>
          <w:sz w:val="24"/>
          <w:highlight w:val="none"/>
        </w:rPr>
        <w:t>申请人：</w:t>
      </w:r>
    </w:p>
    <w:p w14:paraId="4A940F76">
      <w:pPr>
        <w:spacing w:line="360" w:lineRule="auto"/>
        <w:rPr>
          <w:rFonts w:ascii="宋体" w:hAnsi="宋体"/>
          <w:color w:val="auto"/>
          <w:sz w:val="24"/>
          <w:highlight w:val="none"/>
        </w:rPr>
      </w:pPr>
      <w:r>
        <w:rPr>
          <w:rFonts w:hint="eastAsia" w:ascii="宋体" w:hAnsi="宋体"/>
          <w:color w:val="auto"/>
          <w:sz w:val="24"/>
          <w:highlight w:val="none"/>
        </w:rPr>
        <w:t>地址</w:t>
      </w:r>
      <w:r>
        <w:rPr>
          <w:rFonts w:ascii="宋体" w:hAnsi="宋体"/>
          <w:color w:val="auto"/>
          <w:sz w:val="24"/>
          <w:highlight w:val="none"/>
        </w:rPr>
        <w:t>：</w:t>
      </w:r>
    </w:p>
    <w:p w14:paraId="195E970E">
      <w:pPr>
        <w:spacing w:line="360" w:lineRule="auto"/>
        <w:rPr>
          <w:rFonts w:ascii="宋体" w:hAnsi="宋体"/>
          <w:color w:val="auto"/>
          <w:sz w:val="24"/>
          <w:highlight w:val="none"/>
        </w:rPr>
      </w:pPr>
      <w:r>
        <w:rPr>
          <w:rFonts w:hint="eastAsia" w:ascii="宋体" w:hAnsi="宋体"/>
          <w:color w:val="auto"/>
          <w:sz w:val="24"/>
          <w:highlight w:val="none"/>
        </w:rPr>
        <w:t>受益人：</w:t>
      </w:r>
      <w:r>
        <w:rPr>
          <w:rFonts w:ascii="宋体" w:hAnsi="宋体"/>
          <w:color w:val="auto"/>
          <w:sz w:val="24"/>
          <w:highlight w:val="none"/>
        </w:rPr>
        <w:t xml:space="preserve"> </w:t>
      </w:r>
    </w:p>
    <w:p w14:paraId="018229FD">
      <w:pPr>
        <w:spacing w:line="360" w:lineRule="auto"/>
        <w:rPr>
          <w:rFonts w:ascii="宋体" w:hAnsi="宋体"/>
          <w:color w:val="auto"/>
          <w:sz w:val="24"/>
          <w:highlight w:val="none"/>
        </w:rPr>
      </w:pPr>
      <w:r>
        <w:rPr>
          <w:rFonts w:hint="eastAsia" w:ascii="宋体" w:hAnsi="宋体"/>
          <w:color w:val="auto"/>
          <w:sz w:val="24"/>
          <w:highlight w:val="none"/>
        </w:rPr>
        <w:t>地址：</w:t>
      </w:r>
    </w:p>
    <w:p w14:paraId="49B71DF8">
      <w:pPr>
        <w:spacing w:line="360" w:lineRule="auto"/>
        <w:rPr>
          <w:rFonts w:ascii="宋体" w:hAnsi="宋体"/>
          <w:color w:val="auto"/>
          <w:sz w:val="24"/>
          <w:highlight w:val="none"/>
        </w:rPr>
      </w:pPr>
      <w:r>
        <w:rPr>
          <w:rFonts w:hint="eastAsia" w:ascii="宋体" w:hAnsi="宋体"/>
          <w:color w:val="auto"/>
          <w:sz w:val="24"/>
          <w:highlight w:val="none"/>
        </w:rPr>
        <w:t>开立人：</w:t>
      </w:r>
    </w:p>
    <w:bookmarkEnd w:id="174"/>
    <w:p w14:paraId="615B8C05">
      <w:pPr>
        <w:spacing w:line="360" w:lineRule="auto"/>
        <w:rPr>
          <w:rFonts w:ascii="宋体" w:hAnsi="宋体"/>
          <w:color w:val="auto"/>
          <w:sz w:val="24"/>
          <w:highlight w:val="none"/>
        </w:rPr>
      </w:pPr>
      <w:r>
        <w:rPr>
          <w:rFonts w:hint="eastAsia" w:ascii="宋体" w:hAnsi="宋体"/>
          <w:color w:val="auto"/>
          <w:sz w:val="24"/>
          <w:highlight w:val="none"/>
        </w:rPr>
        <w:t>地址：</w:t>
      </w:r>
    </w:p>
    <w:p w14:paraId="51223D17">
      <w:pPr>
        <w:spacing w:line="360" w:lineRule="auto"/>
        <w:rPr>
          <w:rFonts w:ascii="宋体" w:hAnsi="宋体"/>
          <w:color w:val="auto"/>
          <w:sz w:val="24"/>
          <w:highlight w:val="none"/>
        </w:rPr>
      </w:pPr>
    </w:p>
    <w:p w14:paraId="13AC80FD">
      <w:pPr>
        <w:spacing w:line="360" w:lineRule="auto"/>
        <w:rPr>
          <w:rFonts w:ascii="宋体" w:hAnsi="宋体"/>
          <w:color w:val="auto"/>
          <w:sz w:val="24"/>
          <w:highlight w:val="none"/>
        </w:rPr>
      </w:pPr>
      <w:r>
        <w:rPr>
          <w:rFonts w:hint="eastAsia" w:ascii="宋体" w:hAnsi="宋体"/>
          <w:color w:val="auto"/>
          <w:sz w:val="24"/>
          <w:highlight w:val="none"/>
        </w:rPr>
        <w:t>致：（受益人名称）</w:t>
      </w:r>
    </w:p>
    <w:p w14:paraId="7FBABF25">
      <w:pPr>
        <w:spacing w:line="360" w:lineRule="auto"/>
        <w:ind w:firstLine="480"/>
        <w:rPr>
          <w:rFonts w:ascii="宋体" w:hAnsi="宋体"/>
          <w:color w:val="auto"/>
          <w:sz w:val="24"/>
          <w:highlight w:val="none"/>
        </w:rPr>
      </w:pPr>
      <w:r>
        <w:rPr>
          <w:rFonts w:hint="eastAsia" w:ascii="宋体" w:hAnsi="宋体"/>
          <w:color w:val="auto"/>
          <w:sz w:val="24"/>
          <w:highlight w:val="none"/>
        </w:rPr>
        <w:t>我方（即“开立人”）已获得通知，本保函申请人（即“投标人”）已响应贵方于</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日就</w:t>
      </w:r>
      <w:r>
        <w:rPr>
          <w:rFonts w:hint="eastAsia" w:ascii="宋体" w:hAnsi="宋体"/>
          <w:color w:val="auto"/>
          <w:sz w:val="24"/>
          <w:highlight w:val="none"/>
          <w:u w:val="single"/>
        </w:rPr>
        <w:t xml:space="preserve">                            </w:t>
      </w:r>
      <w:r>
        <w:rPr>
          <w:rFonts w:hint="eastAsia" w:ascii="宋体" w:hAnsi="宋体"/>
          <w:color w:val="auto"/>
          <w:sz w:val="24"/>
          <w:highlight w:val="none"/>
        </w:rPr>
        <w:t>（以下简称“本工程”）发出的招标文件，并已向招标人（即“受益人”）提交了投标文件（即“基础交易”）。</w:t>
      </w:r>
    </w:p>
    <w:p w14:paraId="169B0FE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我方理解根据招标条件，投标人必须提交一份投标保函（以下简称“本保函”），以担保投标人诚信履行其在上述基础交易中承担的投标人义务。鉴此，应申请人要求，我方在此同意向贵方出具此投标保函，本保函担保金额最高不超过</w:t>
      </w:r>
      <w:r>
        <w:rPr>
          <w:rFonts w:ascii="宋体" w:hAnsi="宋体"/>
          <w:color w:val="auto"/>
          <w:sz w:val="24"/>
          <w:highlight w:val="none"/>
        </w:rPr>
        <w:t>人民币（大写）</w:t>
      </w:r>
      <w:r>
        <w:rPr>
          <w:rFonts w:ascii="宋体" w:hAnsi="宋体"/>
          <w:color w:val="auto"/>
          <w:sz w:val="24"/>
          <w:highlight w:val="none"/>
          <w:u w:val="single"/>
        </w:rPr>
        <w:t xml:space="preserve">      </w:t>
      </w:r>
      <w:r>
        <w:rPr>
          <w:rFonts w:ascii="宋体" w:hAnsi="宋体"/>
          <w:color w:val="auto"/>
          <w:sz w:val="24"/>
          <w:highlight w:val="none"/>
        </w:rPr>
        <w:t>元（¥</w:t>
      </w:r>
      <w:r>
        <w:rPr>
          <w:rFonts w:ascii="宋体" w:hAnsi="宋体"/>
          <w:color w:val="auto"/>
          <w:sz w:val="24"/>
          <w:highlight w:val="none"/>
          <w:u w:val="single"/>
        </w:rPr>
        <w:t xml:space="preserve">       </w:t>
      </w:r>
      <w:r>
        <w:rPr>
          <w:rFonts w:ascii="宋体" w:hAnsi="宋体"/>
          <w:color w:val="auto"/>
          <w:sz w:val="24"/>
          <w:highlight w:val="none"/>
        </w:rPr>
        <w:t>）。</w:t>
      </w:r>
    </w:p>
    <w:p w14:paraId="6B1626B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二、我方在投标人发生以下情形时承担保证担保责任：</w:t>
      </w:r>
      <w:r>
        <w:rPr>
          <w:rFonts w:ascii="宋体" w:hAnsi="宋体"/>
          <w:color w:val="auto"/>
          <w:sz w:val="24"/>
          <w:highlight w:val="none"/>
        </w:rPr>
        <w:t xml:space="preserve"> </w:t>
      </w:r>
    </w:p>
    <w:p w14:paraId="25B885D3">
      <w:pPr>
        <w:pStyle w:val="144"/>
        <w:spacing w:line="360" w:lineRule="auto"/>
        <w:ind w:left="480" w:firstLine="0" w:firstLineChars="0"/>
        <w:rPr>
          <w:rFonts w:ascii="宋体" w:hAnsi="宋体"/>
          <w:color w:val="auto"/>
          <w:sz w:val="24"/>
          <w:szCs w:val="24"/>
          <w:highlight w:val="none"/>
        </w:rPr>
      </w:pPr>
      <w:r>
        <w:rPr>
          <w:rFonts w:hint="eastAsia" w:ascii="宋体" w:hAnsi="宋体"/>
          <w:color w:val="auto"/>
          <w:sz w:val="24"/>
          <w:szCs w:val="24"/>
          <w:highlight w:val="none"/>
        </w:rPr>
        <w:t>（1）投标</w:t>
      </w:r>
      <w:r>
        <w:rPr>
          <w:rFonts w:ascii="宋体" w:hAnsi="宋体"/>
          <w:color w:val="auto"/>
          <w:sz w:val="24"/>
          <w:szCs w:val="24"/>
          <w:highlight w:val="none"/>
        </w:rPr>
        <w:t xml:space="preserve">人在开标后和投标有效期满之前撤销投标的； </w:t>
      </w:r>
    </w:p>
    <w:p w14:paraId="71CB1D36">
      <w:pPr>
        <w:pStyle w:val="144"/>
        <w:spacing w:line="360" w:lineRule="auto"/>
        <w:ind w:firstLine="480" w:firstLineChars="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投标人在收到中标通知后，</w:t>
      </w:r>
      <w:r>
        <w:rPr>
          <w:rFonts w:hint="eastAsia" w:ascii="宋体" w:hAnsi="宋体"/>
          <w:color w:val="auto"/>
          <w:sz w:val="24"/>
          <w:szCs w:val="24"/>
          <w:highlight w:val="none"/>
        </w:rPr>
        <w:t>不能或拒绝</w:t>
      </w:r>
      <w:r>
        <w:rPr>
          <w:rFonts w:ascii="宋体" w:hAnsi="宋体"/>
          <w:color w:val="auto"/>
          <w:sz w:val="24"/>
          <w:szCs w:val="24"/>
          <w:highlight w:val="none"/>
        </w:rPr>
        <w:t xml:space="preserve">在中标通知书规定的时间内与贵方签订合同； </w:t>
      </w:r>
    </w:p>
    <w:p w14:paraId="67B54CC2">
      <w:pPr>
        <w:pStyle w:val="144"/>
        <w:spacing w:line="360" w:lineRule="auto"/>
        <w:ind w:firstLine="480" w:firstLineChars="0"/>
        <w:rPr>
          <w:rFonts w:ascii="宋体" w:hAnsi="宋体"/>
          <w:color w:val="auto"/>
          <w:sz w:val="24"/>
          <w:szCs w:val="24"/>
          <w:highlight w:val="none"/>
        </w:rPr>
      </w:pPr>
      <w:r>
        <w:rPr>
          <w:rFonts w:hint="eastAsia" w:ascii="宋体" w:hAnsi="宋体"/>
          <w:color w:val="auto"/>
          <w:sz w:val="24"/>
          <w:szCs w:val="24"/>
          <w:highlight w:val="none"/>
        </w:rPr>
        <w:t>（3）投标人在与贵方签订合同后，未在规定的时间内提交符合招标文件要求的履约担保；</w:t>
      </w:r>
    </w:p>
    <w:p w14:paraId="5DFE0165">
      <w:pPr>
        <w:pStyle w:val="144"/>
        <w:spacing w:line="360" w:lineRule="auto"/>
        <w:ind w:firstLine="480" w:firstLineChars="0"/>
        <w:rPr>
          <w:rFonts w:ascii="宋体" w:hAnsi="宋体"/>
          <w:color w:val="auto"/>
          <w:sz w:val="24"/>
          <w:szCs w:val="24"/>
          <w:highlight w:val="none"/>
        </w:rPr>
      </w:pPr>
      <w:r>
        <w:rPr>
          <w:rFonts w:hint="eastAsia" w:ascii="宋体" w:hAnsi="宋体"/>
          <w:color w:val="auto"/>
          <w:sz w:val="24"/>
          <w:szCs w:val="24"/>
          <w:highlight w:val="none"/>
        </w:rPr>
        <w:t>（4）投标人违反</w:t>
      </w:r>
      <w:r>
        <w:rPr>
          <w:rFonts w:ascii="宋体" w:hAnsi="宋体"/>
          <w:color w:val="auto"/>
          <w:sz w:val="24"/>
          <w:szCs w:val="24"/>
          <w:highlight w:val="none"/>
        </w:rPr>
        <w:t>招标文件规定</w:t>
      </w:r>
      <w:r>
        <w:rPr>
          <w:rFonts w:hint="eastAsia" w:ascii="宋体" w:hAnsi="宋体"/>
          <w:color w:val="auto"/>
          <w:sz w:val="24"/>
          <w:szCs w:val="24"/>
          <w:highlight w:val="none"/>
        </w:rPr>
        <w:t>的其他</w:t>
      </w:r>
      <w:r>
        <w:rPr>
          <w:rFonts w:ascii="宋体" w:hAnsi="宋体"/>
          <w:color w:val="auto"/>
          <w:sz w:val="24"/>
          <w:szCs w:val="24"/>
          <w:highlight w:val="none"/>
        </w:rPr>
        <w:t>情形。</w:t>
      </w:r>
    </w:p>
    <w:p w14:paraId="47B1CB56">
      <w:pPr>
        <w:spacing w:line="360" w:lineRule="auto"/>
        <w:rPr>
          <w:rFonts w:ascii="宋体" w:hAnsi="宋体"/>
          <w:color w:val="auto"/>
          <w:sz w:val="24"/>
          <w:highlight w:val="none"/>
        </w:rPr>
      </w:pPr>
      <w:r>
        <w:rPr>
          <w:rFonts w:hint="eastAsia" w:ascii="宋体" w:hAnsi="宋体"/>
          <w:color w:val="auto"/>
          <w:sz w:val="24"/>
          <w:highlight w:val="none"/>
        </w:rPr>
        <w:t xml:space="preserve">    三、本保函为</w:t>
      </w:r>
      <w:r>
        <w:rPr>
          <w:rFonts w:ascii="宋体" w:hAnsi="宋体"/>
          <w:color w:val="auto"/>
          <w:sz w:val="24"/>
          <w:highlight w:val="none"/>
        </w:rPr>
        <w:t>不可撤销、</w:t>
      </w:r>
      <w:r>
        <w:rPr>
          <w:rFonts w:hint="eastAsia" w:ascii="宋体" w:hAnsi="宋体"/>
          <w:color w:val="auto"/>
          <w:sz w:val="24"/>
          <w:highlight w:val="none"/>
        </w:rPr>
        <w:t>不可转让的见索即付</w:t>
      </w:r>
      <w:r>
        <w:rPr>
          <w:rFonts w:ascii="宋体" w:hAnsi="宋体"/>
          <w:color w:val="auto"/>
          <w:sz w:val="24"/>
          <w:highlight w:val="none"/>
        </w:rPr>
        <w:t>独立</w:t>
      </w:r>
      <w:r>
        <w:rPr>
          <w:rFonts w:hint="eastAsia" w:ascii="宋体" w:hAnsi="宋体"/>
          <w:color w:val="auto"/>
          <w:sz w:val="24"/>
          <w:highlight w:val="none"/>
        </w:rPr>
        <w:t>保函</w:t>
      </w:r>
      <w:r>
        <w:rPr>
          <w:rFonts w:ascii="宋体" w:hAnsi="宋体"/>
          <w:color w:val="auto"/>
          <w:sz w:val="24"/>
          <w:highlight w:val="none"/>
        </w:rPr>
        <w:t>。</w:t>
      </w:r>
      <w:r>
        <w:rPr>
          <w:rFonts w:hint="eastAsia" w:ascii="宋体" w:hAnsi="宋体"/>
          <w:color w:val="auto"/>
          <w:sz w:val="24"/>
          <w:highlight w:val="none"/>
        </w:rPr>
        <w:t>本保函</w:t>
      </w:r>
      <w:r>
        <w:rPr>
          <w:rFonts w:ascii="宋体" w:hAnsi="宋体"/>
          <w:color w:val="auto"/>
          <w:sz w:val="24"/>
          <w:highlight w:val="none"/>
        </w:rPr>
        <w:t>有效期自</w:t>
      </w:r>
      <w:r>
        <w:rPr>
          <w:rFonts w:hint="eastAsia" w:ascii="宋体" w:hAnsi="宋体"/>
          <w:color w:val="auto"/>
          <w:sz w:val="24"/>
          <w:highlight w:val="none"/>
        </w:rPr>
        <w:t>开立之日起</w:t>
      </w:r>
      <w:r>
        <w:rPr>
          <w:rFonts w:ascii="宋体" w:hAnsi="宋体"/>
          <w:color w:val="auto"/>
          <w:sz w:val="24"/>
          <w:highlight w:val="none"/>
        </w:rPr>
        <w:t>至</w:t>
      </w:r>
      <w:r>
        <w:rPr>
          <w:rFonts w:hint="eastAsia" w:ascii="宋体" w:hAnsi="宋体"/>
          <w:color w:val="auto"/>
          <w:sz w:val="24"/>
          <w:highlight w:val="none"/>
        </w:rPr>
        <w:t>投标有效期届满之日后的</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日</w:t>
      </w:r>
      <w:r>
        <w:rPr>
          <w:rFonts w:ascii="宋体" w:hAnsi="宋体"/>
          <w:color w:val="auto"/>
          <w:sz w:val="24"/>
          <w:highlight w:val="none"/>
        </w:rPr>
        <w:t>。</w:t>
      </w:r>
      <w:r>
        <w:rPr>
          <w:rFonts w:hint="eastAsia" w:ascii="宋体" w:hAnsi="宋体"/>
          <w:color w:val="auto"/>
          <w:sz w:val="24"/>
          <w:highlight w:val="none"/>
        </w:rPr>
        <w:t>投标有效期延长的，本保函有效期相应顺延</w:t>
      </w:r>
      <w:bookmarkStart w:id="175" w:name="_Hlk58489417"/>
      <w:r>
        <w:rPr>
          <w:rFonts w:hint="eastAsia" w:ascii="宋体" w:hAnsi="宋体"/>
          <w:color w:val="auto"/>
          <w:sz w:val="24"/>
          <w:highlight w:val="none"/>
        </w:rPr>
        <w:t>，最迟不超过</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日</w:t>
      </w:r>
      <w:bookmarkEnd w:id="175"/>
      <w:r>
        <w:rPr>
          <w:rFonts w:hint="eastAsia" w:ascii="宋体" w:hAnsi="宋体"/>
          <w:color w:val="auto"/>
          <w:sz w:val="24"/>
          <w:highlight w:val="none"/>
        </w:rPr>
        <w:t>。</w:t>
      </w:r>
    </w:p>
    <w:p w14:paraId="11A57D61">
      <w:pPr>
        <w:spacing w:line="360" w:lineRule="auto"/>
        <w:ind w:firstLine="480"/>
        <w:rPr>
          <w:rFonts w:ascii="宋体" w:hAnsi="宋体"/>
          <w:color w:val="auto"/>
          <w:sz w:val="24"/>
          <w:highlight w:val="none"/>
        </w:rPr>
      </w:pPr>
      <w:bookmarkStart w:id="176" w:name="_Hlk40302764"/>
      <w:r>
        <w:rPr>
          <w:rFonts w:hint="eastAsia" w:ascii="宋体" w:hAnsi="宋体"/>
          <w:color w:val="auto"/>
          <w:sz w:val="24"/>
          <w:highlight w:val="none"/>
        </w:rPr>
        <w:t>四、我方承诺，在收到受益人发来的书面付款通知后的</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日内无条件支付，前述书面付款通知即为付款要求之单据，且应满足以下要求：</w:t>
      </w:r>
    </w:p>
    <w:p w14:paraId="3D3815EB">
      <w:pPr>
        <w:spacing w:line="360" w:lineRule="auto"/>
        <w:ind w:firstLine="480"/>
        <w:rPr>
          <w:rFonts w:ascii="宋体" w:hAnsi="宋体"/>
          <w:color w:val="auto"/>
          <w:sz w:val="24"/>
          <w:highlight w:val="none"/>
        </w:rPr>
      </w:pPr>
      <w:r>
        <w:rPr>
          <w:rFonts w:hint="eastAsia" w:ascii="宋体" w:hAnsi="宋体"/>
          <w:color w:val="auto"/>
          <w:sz w:val="24"/>
          <w:highlight w:val="none"/>
        </w:rPr>
        <w:t>（1）付款通知到达的日期在本保函的有效期内；</w:t>
      </w:r>
    </w:p>
    <w:p w14:paraId="470FF3B7">
      <w:pPr>
        <w:spacing w:line="360" w:lineRule="auto"/>
        <w:ind w:firstLine="480"/>
        <w:rPr>
          <w:rFonts w:ascii="宋体" w:hAnsi="宋体"/>
          <w:color w:val="auto"/>
          <w:sz w:val="24"/>
          <w:highlight w:val="none"/>
        </w:rPr>
      </w:pPr>
      <w:r>
        <w:rPr>
          <w:rFonts w:hint="eastAsia" w:ascii="宋体" w:hAnsi="宋体"/>
          <w:color w:val="auto"/>
          <w:sz w:val="24"/>
          <w:highlight w:val="none"/>
        </w:rPr>
        <w:t>（2）载明要求支付的金额；</w:t>
      </w:r>
    </w:p>
    <w:p w14:paraId="5308201C">
      <w:pPr>
        <w:spacing w:line="360" w:lineRule="auto"/>
        <w:ind w:firstLine="480"/>
        <w:rPr>
          <w:rFonts w:ascii="宋体" w:hAnsi="宋体"/>
          <w:color w:val="auto"/>
          <w:sz w:val="24"/>
          <w:highlight w:val="none"/>
        </w:rPr>
      </w:pPr>
      <w:r>
        <w:rPr>
          <w:rFonts w:hint="eastAsia" w:ascii="宋体" w:hAnsi="宋体"/>
          <w:color w:val="auto"/>
          <w:sz w:val="24"/>
          <w:highlight w:val="none"/>
        </w:rPr>
        <w:t>（3）</w:t>
      </w:r>
      <w:bookmarkStart w:id="177" w:name="_Hlk40354215"/>
      <w:r>
        <w:rPr>
          <w:rFonts w:hint="eastAsia" w:ascii="宋体" w:hAnsi="宋体"/>
          <w:color w:val="auto"/>
          <w:sz w:val="24"/>
          <w:highlight w:val="none"/>
        </w:rPr>
        <w:t>载明申请人违反招投标文件规定的义务内容和具体条款；</w:t>
      </w:r>
      <w:bookmarkEnd w:id="177"/>
    </w:p>
    <w:p w14:paraId="2A60CD68">
      <w:pPr>
        <w:spacing w:line="360" w:lineRule="auto"/>
        <w:ind w:firstLine="480"/>
        <w:rPr>
          <w:rFonts w:ascii="宋体" w:hAnsi="宋体"/>
          <w:color w:val="auto"/>
          <w:sz w:val="24"/>
          <w:highlight w:val="none"/>
        </w:rPr>
      </w:pPr>
      <w:r>
        <w:rPr>
          <w:rFonts w:hint="eastAsia" w:ascii="宋体" w:hAnsi="宋体"/>
          <w:color w:val="auto"/>
          <w:sz w:val="24"/>
          <w:highlight w:val="none"/>
        </w:rPr>
        <w:t>（4）</w:t>
      </w:r>
      <w:bookmarkStart w:id="178" w:name="_Hlk40354839"/>
      <w:r>
        <w:rPr>
          <w:rFonts w:hint="eastAsia" w:ascii="宋体" w:hAnsi="宋体"/>
          <w:color w:val="auto"/>
          <w:sz w:val="24"/>
          <w:highlight w:val="none"/>
        </w:rPr>
        <w:t>声明不存在招标文件规定或我国法律规定免除申请人或我方支付责任的情形；</w:t>
      </w:r>
      <w:bookmarkEnd w:id="178"/>
    </w:p>
    <w:p w14:paraId="3AD6B28D">
      <w:pPr>
        <w:spacing w:line="360" w:lineRule="auto"/>
        <w:ind w:firstLine="480"/>
        <w:rPr>
          <w:rFonts w:ascii="宋体" w:hAnsi="宋体"/>
          <w:color w:val="auto"/>
          <w:sz w:val="24"/>
          <w:highlight w:val="none"/>
        </w:rPr>
      </w:pPr>
      <w:r>
        <w:rPr>
          <w:rFonts w:hint="eastAsia" w:ascii="宋体" w:hAnsi="宋体"/>
          <w:color w:val="auto"/>
          <w:sz w:val="24"/>
          <w:highlight w:val="none"/>
        </w:rPr>
        <w:t>（5）书面付款通知应在本保函有效期内到达的地址是：</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w:t>
      </w:r>
    </w:p>
    <w:bookmarkEnd w:id="176"/>
    <w:p w14:paraId="1545BBEA">
      <w:pPr>
        <w:spacing w:line="360" w:lineRule="auto"/>
        <w:rPr>
          <w:rFonts w:ascii="宋体" w:hAnsi="宋体"/>
          <w:color w:val="auto"/>
          <w:sz w:val="24"/>
          <w:highlight w:val="none"/>
        </w:rPr>
      </w:pPr>
      <w:r>
        <w:rPr>
          <w:rFonts w:hint="eastAsia" w:ascii="宋体" w:hAnsi="宋体"/>
          <w:color w:val="auto"/>
          <w:sz w:val="24"/>
          <w:highlight w:val="none"/>
        </w:rPr>
        <w:t xml:space="preserve">    </w:t>
      </w:r>
      <w:bookmarkStart w:id="179" w:name="_Hlk40303486"/>
      <w:r>
        <w:rPr>
          <w:rFonts w:hint="eastAsia" w:ascii="宋体" w:hAnsi="宋体"/>
          <w:color w:val="auto"/>
          <w:sz w:val="24"/>
          <w:highlight w:val="none"/>
        </w:rPr>
        <w:t>受益人发出的书面付款通知应由其为鉴明受益人法定代表人（负责人）或授权代理人签字并加盖公章。</w:t>
      </w:r>
      <w:bookmarkEnd w:id="179"/>
    </w:p>
    <w:p w14:paraId="045AAB2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五、</w:t>
      </w:r>
      <w:r>
        <w:rPr>
          <w:rFonts w:ascii="宋体" w:hAnsi="宋体"/>
          <w:color w:val="auto"/>
          <w:sz w:val="24"/>
          <w:highlight w:val="none"/>
        </w:rPr>
        <w:t>本保函项下的权利不得转让，不得设定担保。</w:t>
      </w:r>
      <w:r>
        <w:rPr>
          <w:rFonts w:hint="eastAsia" w:ascii="宋体" w:hAnsi="宋体"/>
          <w:color w:val="auto"/>
          <w:sz w:val="24"/>
          <w:highlight w:val="none"/>
        </w:rPr>
        <w:t>贵方</w:t>
      </w:r>
      <w:r>
        <w:rPr>
          <w:rFonts w:ascii="宋体" w:hAnsi="宋体"/>
          <w:color w:val="auto"/>
          <w:sz w:val="24"/>
          <w:highlight w:val="none"/>
        </w:rPr>
        <w:t>未经我方书面同意转让本保函或其项下任何权利，</w:t>
      </w:r>
      <w:r>
        <w:rPr>
          <w:rFonts w:hint="eastAsia" w:ascii="宋体" w:hAnsi="宋体"/>
          <w:color w:val="auto"/>
          <w:sz w:val="24"/>
          <w:highlight w:val="none"/>
        </w:rPr>
        <w:t>对我方不发生法律效力</w:t>
      </w:r>
      <w:r>
        <w:rPr>
          <w:rFonts w:ascii="宋体" w:hAnsi="宋体"/>
          <w:color w:val="auto"/>
          <w:sz w:val="24"/>
          <w:highlight w:val="none"/>
        </w:rPr>
        <w:t xml:space="preserve">。 </w:t>
      </w:r>
    </w:p>
    <w:p w14:paraId="2D8CA97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六、</w:t>
      </w:r>
      <w:r>
        <w:rPr>
          <w:rFonts w:ascii="宋体" w:hAnsi="宋体"/>
          <w:color w:val="auto"/>
          <w:sz w:val="24"/>
          <w:highlight w:val="none"/>
        </w:rPr>
        <w:t xml:space="preserve">本保函项下的基础交易不成立、不生效、无效、被撤销、被解除，不影响本保函的独立有效。 </w:t>
      </w:r>
    </w:p>
    <w:p w14:paraId="3F7A0E3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七、受益人</w:t>
      </w:r>
      <w:r>
        <w:rPr>
          <w:rFonts w:ascii="宋体" w:hAnsi="宋体"/>
          <w:color w:val="auto"/>
          <w:sz w:val="24"/>
          <w:highlight w:val="none"/>
        </w:rPr>
        <w:t>应在本保函到期后的</w:t>
      </w:r>
      <w:r>
        <w:rPr>
          <w:rFonts w:hint="eastAsia" w:ascii="宋体" w:hAnsi="宋体"/>
          <w:color w:val="auto"/>
          <w:sz w:val="24"/>
          <w:highlight w:val="none"/>
        </w:rPr>
        <w:t>七</w:t>
      </w:r>
      <w:r>
        <w:rPr>
          <w:rFonts w:ascii="宋体" w:hAnsi="宋体"/>
          <w:color w:val="auto"/>
          <w:sz w:val="24"/>
          <w:highlight w:val="none"/>
        </w:rPr>
        <w:t>日内将本保函正本退回我方</w:t>
      </w:r>
      <w:r>
        <w:rPr>
          <w:rFonts w:hint="eastAsia" w:ascii="宋体" w:hAnsi="宋体"/>
          <w:color w:val="auto"/>
          <w:sz w:val="24"/>
          <w:highlight w:val="none"/>
        </w:rPr>
        <w:t>注销</w:t>
      </w:r>
      <w:r>
        <w:rPr>
          <w:rFonts w:ascii="宋体" w:hAnsi="宋体"/>
          <w:color w:val="auto"/>
          <w:sz w:val="24"/>
          <w:highlight w:val="none"/>
        </w:rPr>
        <w:t>，但是不论</w:t>
      </w:r>
      <w:r>
        <w:rPr>
          <w:rFonts w:hint="eastAsia" w:ascii="宋体" w:hAnsi="宋体"/>
          <w:color w:val="auto"/>
          <w:sz w:val="24"/>
          <w:highlight w:val="none"/>
        </w:rPr>
        <w:t>受益人</w:t>
      </w:r>
      <w:r>
        <w:rPr>
          <w:rFonts w:ascii="宋体" w:hAnsi="宋体"/>
          <w:color w:val="auto"/>
          <w:sz w:val="24"/>
          <w:highlight w:val="none"/>
        </w:rPr>
        <w:t>是否按此要求将本保函正本退回我方，我方在本保函项下的义务和责任均在保函</w:t>
      </w:r>
      <w:r>
        <w:rPr>
          <w:rFonts w:hint="eastAsia" w:ascii="宋体" w:hAnsi="宋体"/>
          <w:color w:val="auto"/>
          <w:sz w:val="24"/>
          <w:highlight w:val="none"/>
        </w:rPr>
        <w:t>有效期</w:t>
      </w:r>
      <w:r>
        <w:rPr>
          <w:rFonts w:ascii="宋体" w:hAnsi="宋体"/>
          <w:color w:val="auto"/>
          <w:sz w:val="24"/>
          <w:highlight w:val="none"/>
        </w:rPr>
        <w:t xml:space="preserve">到期后自动消灭。 </w:t>
      </w:r>
    </w:p>
    <w:p w14:paraId="27235E64">
      <w:pPr>
        <w:spacing w:line="360" w:lineRule="auto"/>
        <w:ind w:firstLine="480" w:firstLineChars="200"/>
        <w:rPr>
          <w:rFonts w:ascii="宋体" w:hAnsi="宋体"/>
          <w:color w:val="auto"/>
          <w:sz w:val="24"/>
          <w:highlight w:val="none"/>
        </w:rPr>
      </w:pPr>
      <w:bookmarkStart w:id="180" w:name="_Hlk40303383"/>
      <w:bookmarkStart w:id="181" w:name="_Hlk40354981"/>
      <w:r>
        <w:rPr>
          <w:rFonts w:hint="eastAsia" w:ascii="宋体" w:hAnsi="宋体"/>
          <w:color w:val="auto"/>
          <w:sz w:val="24"/>
          <w:highlight w:val="none"/>
        </w:rPr>
        <w:t>八、</w:t>
      </w:r>
      <w:r>
        <w:rPr>
          <w:rFonts w:ascii="宋体" w:hAnsi="宋体"/>
          <w:color w:val="auto"/>
          <w:sz w:val="24"/>
          <w:highlight w:val="none"/>
        </w:rPr>
        <w:t>本保函</w:t>
      </w:r>
      <w:r>
        <w:rPr>
          <w:rFonts w:hint="eastAsia" w:ascii="宋体" w:hAnsi="宋体"/>
          <w:color w:val="auto"/>
          <w:sz w:val="24"/>
          <w:highlight w:val="none"/>
        </w:rPr>
        <w:t>适用的法律为中华人民共和国法律，争议裁判管辖地为中华人民共和国</w:t>
      </w:r>
      <w:bookmarkEnd w:id="180"/>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w:t>
      </w:r>
      <w:r>
        <w:rPr>
          <w:rFonts w:ascii="宋体" w:hAnsi="宋体"/>
          <w:color w:val="auto"/>
          <w:sz w:val="24"/>
          <w:highlight w:val="none"/>
        </w:rPr>
        <w:t xml:space="preserve"> </w:t>
      </w:r>
    </w:p>
    <w:bookmarkEnd w:id="181"/>
    <w:p w14:paraId="37815BB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九、</w:t>
      </w:r>
      <w:r>
        <w:rPr>
          <w:rFonts w:ascii="宋体" w:hAnsi="宋体"/>
          <w:color w:val="auto"/>
          <w:sz w:val="24"/>
          <w:highlight w:val="none"/>
        </w:rPr>
        <w:t>本保函自我方法定代表人</w:t>
      </w:r>
      <w:r>
        <w:rPr>
          <w:rFonts w:hint="eastAsia" w:ascii="宋体" w:hAnsi="宋体"/>
          <w:color w:val="auto"/>
          <w:sz w:val="24"/>
          <w:highlight w:val="none"/>
        </w:rPr>
        <w:t>或授权代表</w:t>
      </w:r>
      <w:r>
        <w:rPr>
          <w:rFonts w:ascii="宋体" w:hAnsi="宋体"/>
          <w:color w:val="auto"/>
          <w:sz w:val="24"/>
          <w:highlight w:val="none"/>
        </w:rPr>
        <w:t>签字</w:t>
      </w:r>
      <w:r>
        <w:rPr>
          <w:rFonts w:hint="eastAsia" w:ascii="宋体" w:hAnsi="宋体"/>
          <w:color w:val="auto"/>
          <w:sz w:val="24"/>
          <w:highlight w:val="none"/>
        </w:rPr>
        <w:t>并</w:t>
      </w:r>
      <w:r>
        <w:rPr>
          <w:rFonts w:ascii="宋体" w:hAnsi="宋体"/>
          <w:color w:val="auto"/>
          <w:sz w:val="24"/>
          <w:highlight w:val="none"/>
        </w:rPr>
        <w:t xml:space="preserve">加盖公章之日起生效。 </w:t>
      </w:r>
    </w:p>
    <w:p w14:paraId="3AF39FBC">
      <w:pPr>
        <w:spacing w:line="360" w:lineRule="auto"/>
        <w:ind w:firstLine="480" w:firstLineChars="200"/>
        <w:rPr>
          <w:rFonts w:ascii="宋体" w:hAnsi="宋体"/>
          <w:color w:val="auto"/>
          <w:sz w:val="24"/>
          <w:highlight w:val="none"/>
        </w:rPr>
      </w:pPr>
    </w:p>
    <w:p w14:paraId="13E5602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开 立 人</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w:t>
      </w:r>
      <w:r>
        <w:rPr>
          <w:rFonts w:hint="eastAsia" w:ascii="宋体" w:hAnsi="宋体"/>
          <w:color w:val="auto"/>
          <w:sz w:val="24"/>
          <w:highlight w:val="none"/>
        </w:rPr>
        <w:t>公</w:t>
      </w:r>
      <w:r>
        <w:rPr>
          <w:rFonts w:ascii="宋体" w:hAnsi="宋体"/>
          <w:color w:val="auto"/>
          <w:sz w:val="24"/>
          <w:highlight w:val="none"/>
        </w:rPr>
        <w:t xml:space="preserve">章） </w:t>
      </w:r>
    </w:p>
    <w:p w14:paraId="27C76BD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法定代表人（或授权代表） ：</w:t>
      </w:r>
      <w:r>
        <w:rPr>
          <w:rFonts w:ascii="宋体" w:hAnsi="宋体"/>
          <w:color w:val="auto"/>
          <w:sz w:val="24"/>
          <w:highlight w:val="none"/>
        </w:rPr>
        <w:t xml:space="preserve">               （签字） </w:t>
      </w:r>
    </w:p>
    <w:p w14:paraId="4D3EB9B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地</w:t>
      </w:r>
      <w:r>
        <w:rPr>
          <w:rFonts w:ascii="宋体" w:hAnsi="宋体"/>
          <w:color w:val="auto"/>
          <w:sz w:val="24"/>
          <w:highlight w:val="none"/>
        </w:rPr>
        <w:t xml:space="preserve">    址：                                       </w:t>
      </w:r>
    </w:p>
    <w:p w14:paraId="34689A7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邮政编码：</w:t>
      </w:r>
      <w:r>
        <w:rPr>
          <w:rFonts w:ascii="宋体" w:hAnsi="宋体"/>
          <w:color w:val="auto"/>
          <w:sz w:val="24"/>
          <w:highlight w:val="none"/>
        </w:rPr>
        <w:t xml:space="preserve">                 </w:t>
      </w:r>
    </w:p>
    <w:p w14:paraId="63C83C4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w:t>
      </w:r>
      <w:r>
        <w:rPr>
          <w:rFonts w:ascii="宋体" w:hAnsi="宋体"/>
          <w:color w:val="auto"/>
          <w:sz w:val="24"/>
          <w:highlight w:val="none"/>
        </w:rPr>
        <w:t xml:space="preserve">    话：                 </w:t>
      </w:r>
    </w:p>
    <w:p w14:paraId="6288BC5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传</w:t>
      </w:r>
      <w:r>
        <w:rPr>
          <w:rFonts w:ascii="宋体" w:hAnsi="宋体"/>
          <w:color w:val="auto"/>
          <w:sz w:val="24"/>
          <w:highlight w:val="none"/>
        </w:rPr>
        <w:t xml:space="preserve">    真：                 </w:t>
      </w:r>
    </w:p>
    <w:p w14:paraId="71A508EB">
      <w:pPr>
        <w:spacing w:line="360" w:lineRule="auto"/>
        <w:ind w:firstLine="480" w:firstLineChars="200"/>
        <w:rPr>
          <w:color w:val="auto"/>
          <w:highlight w:val="none"/>
        </w:rPr>
      </w:pPr>
      <w:r>
        <w:rPr>
          <w:rFonts w:hint="eastAsia" w:ascii="宋体" w:hAnsi="宋体"/>
          <w:color w:val="auto"/>
          <w:sz w:val="24"/>
          <w:highlight w:val="none"/>
        </w:rPr>
        <w:t>开立时间：</w:t>
      </w:r>
      <w:r>
        <w:rPr>
          <w:rFonts w:ascii="宋体" w:hAnsi="宋体"/>
          <w:color w:val="auto"/>
          <w:sz w:val="24"/>
          <w:highlight w:val="none"/>
        </w:rPr>
        <w:t xml:space="preserve">      年      月   </w:t>
      </w:r>
      <w:r>
        <w:rPr>
          <w:rFonts w:hint="eastAsia" w:ascii="宋体" w:hAnsi="宋体"/>
          <w:color w:val="auto"/>
          <w:sz w:val="24"/>
          <w:highlight w:val="none"/>
        </w:rPr>
        <w:t>日</w:t>
      </w:r>
    </w:p>
    <w:p w14:paraId="4E3142B7">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投标保函示范文本</w:t>
      </w:r>
    </w:p>
    <w:p w14:paraId="792ED428">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01B73BD0">
      <w:pPr>
        <w:wordWrap w:val="0"/>
        <w:spacing w:line="360" w:lineRule="auto"/>
        <w:jc w:val="right"/>
        <w:rPr>
          <w:rFonts w:ascii="宋体" w:hAnsi="宋体"/>
          <w:color w:val="auto"/>
          <w:szCs w:val="21"/>
          <w:highlight w:val="none"/>
        </w:rPr>
      </w:pPr>
      <w:r>
        <w:rPr>
          <w:rFonts w:hint="eastAsia" w:ascii="宋体" w:hAnsi="宋体"/>
          <w:color w:val="auto"/>
          <w:szCs w:val="21"/>
          <w:highlight w:val="none"/>
        </w:rPr>
        <w:t xml:space="preserve">编号： </w:t>
      </w:r>
      <w:r>
        <w:rPr>
          <w:rFonts w:ascii="宋体" w:hAnsi="宋体"/>
          <w:color w:val="auto"/>
          <w:szCs w:val="21"/>
          <w:highlight w:val="none"/>
        </w:rPr>
        <w:t xml:space="preserve">          </w:t>
      </w:r>
    </w:p>
    <w:p w14:paraId="1D53AC8C">
      <w:pPr>
        <w:spacing w:line="360" w:lineRule="auto"/>
        <w:jc w:val="right"/>
        <w:rPr>
          <w:rFonts w:ascii="宋体" w:hAnsi="宋体"/>
          <w:color w:val="auto"/>
          <w:szCs w:val="21"/>
          <w:highlight w:val="none"/>
        </w:rPr>
      </w:pPr>
    </w:p>
    <w:p w14:paraId="4BE40737">
      <w:pPr>
        <w:spacing w:line="360" w:lineRule="auto"/>
        <w:rPr>
          <w:rFonts w:ascii="宋体" w:hAnsi="宋体"/>
          <w:color w:val="auto"/>
          <w:sz w:val="24"/>
          <w:highlight w:val="none"/>
        </w:rPr>
      </w:pPr>
      <w:r>
        <w:rPr>
          <w:rFonts w:hint="eastAsia" w:ascii="宋体" w:hAnsi="宋体"/>
          <w:color w:val="auto"/>
          <w:sz w:val="24"/>
          <w:highlight w:val="none"/>
        </w:rPr>
        <w:t>投标人：</w:t>
      </w:r>
    </w:p>
    <w:p w14:paraId="1A0535A3">
      <w:pPr>
        <w:spacing w:line="360" w:lineRule="auto"/>
        <w:rPr>
          <w:rFonts w:ascii="宋体" w:hAnsi="宋体"/>
          <w:color w:val="auto"/>
          <w:sz w:val="24"/>
          <w:highlight w:val="none"/>
        </w:rPr>
      </w:pPr>
      <w:r>
        <w:rPr>
          <w:rFonts w:hint="eastAsia" w:ascii="宋体" w:hAnsi="宋体"/>
          <w:color w:val="auto"/>
          <w:sz w:val="24"/>
          <w:highlight w:val="none"/>
        </w:rPr>
        <w:t>地址</w:t>
      </w:r>
      <w:r>
        <w:rPr>
          <w:rFonts w:ascii="宋体" w:hAnsi="宋体"/>
          <w:color w:val="auto"/>
          <w:sz w:val="24"/>
          <w:highlight w:val="none"/>
        </w:rPr>
        <w:t>：</w:t>
      </w:r>
    </w:p>
    <w:p w14:paraId="7CC4AE7F">
      <w:pPr>
        <w:spacing w:line="360" w:lineRule="auto"/>
        <w:rPr>
          <w:rFonts w:ascii="宋体" w:hAnsi="宋体"/>
          <w:color w:val="auto"/>
          <w:sz w:val="24"/>
          <w:highlight w:val="none"/>
        </w:rPr>
      </w:pPr>
      <w:r>
        <w:rPr>
          <w:rFonts w:hint="eastAsia" w:ascii="宋体" w:hAnsi="宋体"/>
          <w:color w:val="auto"/>
          <w:sz w:val="24"/>
          <w:highlight w:val="none"/>
        </w:rPr>
        <w:t>担保权人/招标人：</w:t>
      </w:r>
      <w:r>
        <w:rPr>
          <w:rFonts w:ascii="宋体" w:hAnsi="宋体"/>
          <w:color w:val="auto"/>
          <w:sz w:val="24"/>
          <w:highlight w:val="none"/>
        </w:rPr>
        <w:t xml:space="preserve"> </w:t>
      </w:r>
    </w:p>
    <w:p w14:paraId="2FB66ABC">
      <w:pPr>
        <w:spacing w:line="360" w:lineRule="auto"/>
        <w:rPr>
          <w:rFonts w:ascii="宋体" w:hAnsi="宋体"/>
          <w:color w:val="auto"/>
          <w:sz w:val="24"/>
          <w:highlight w:val="none"/>
        </w:rPr>
      </w:pPr>
      <w:r>
        <w:rPr>
          <w:rFonts w:hint="eastAsia" w:ascii="宋体" w:hAnsi="宋体"/>
          <w:color w:val="auto"/>
          <w:sz w:val="24"/>
          <w:highlight w:val="none"/>
        </w:rPr>
        <w:t>地址：</w:t>
      </w:r>
    </w:p>
    <w:p w14:paraId="5E7B9EB3">
      <w:pPr>
        <w:spacing w:line="360" w:lineRule="auto"/>
        <w:rPr>
          <w:rFonts w:ascii="宋体" w:hAnsi="宋体"/>
          <w:color w:val="auto"/>
          <w:sz w:val="24"/>
          <w:highlight w:val="none"/>
        </w:rPr>
      </w:pPr>
      <w:r>
        <w:rPr>
          <w:rFonts w:hint="eastAsia" w:ascii="宋体" w:hAnsi="宋体"/>
          <w:color w:val="auto"/>
          <w:sz w:val="24"/>
          <w:highlight w:val="none"/>
        </w:rPr>
        <w:t>保证人：</w:t>
      </w:r>
    </w:p>
    <w:p w14:paraId="6EF8E9CB">
      <w:pPr>
        <w:spacing w:line="360" w:lineRule="auto"/>
        <w:rPr>
          <w:rFonts w:ascii="宋体" w:hAnsi="宋体"/>
          <w:color w:val="auto"/>
          <w:sz w:val="24"/>
          <w:highlight w:val="none"/>
        </w:rPr>
      </w:pPr>
      <w:r>
        <w:rPr>
          <w:rFonts w:hint="eastAsia" w:ascii="宋体" w:hAnsi="宋体"/>
          <w:color w:val="auto"/>
          <w:sz w:val="24"/>
          <w:highlight w:val="none"/>
        </w:rPr>
        <w:t>地址：</w:t>
      </w:r>
    </w:p>
    <w:p w14:paraId="00849BC3">
      <w:pPr>
        <w:spacing w:line="360" w:lineRule="auto"/>
        <w:rPr>
          <w:rFonts w:ascii="宋体" w:hAnsi="宋体"/>
          <w:color w:val="auto"/>
          <w:sz w:val="24"/>
          <w:highlight w:val="none"/>
        </w:rPr>
      </w:pPr>
    </w:p>
    <w:p w14:paraId="64B886A8">
      <w:pPr>
        <w:spacing w:line="360" w:lineRule="auto"/>
        <w:rPr>
          <w:rFonts w:ascii="宋体" w:hAnsi="宋体"/>
          <w:color w:val="auto"/>
          <w:sz w:val="24"/>
          <w:highlight w:val="none"/>
        </w:rPr>
      </w:pPr>
      <w:r>
        <w:rPr>
          <w:rFonts w:ascii="宋体" w:hAnsi="宋体"/>
          <w:color w:val="auto"/>
          <w:sz w:val="24"/>
          <w:highlight w:val="none"/>
          <w:u w:val="single"/>
        </w:rPr>
        <w:t xml:space="preserve">              </w:t>
      </w:r>
      <w:r>
        <w:rPr>
          <w:rFonts w:ascii="宋体" w:hAnsi="宋体"/>
          <w:color w:val="auto"/>
          <w:sz w:val="24"/>
          <w:highlight w:val="none"/>
        </w:rPr>
        <w:t>（</w:t>
      </w:r>
      <w:r>
        <w:rPr>
          <w:rFonts w:hint="eastAsia" w:ascii="宋体" w:hAnsi="宋体"/>
          <w:color w:val="auto"/>
          <w:sz w:val="24"/>
          <w:highlight w:val="none"/>
        </w:rPr>
        <w:t>招标人</w:t>
      </w:r>
      <w:r>
        <w:rPr>
          <w:rFonts w:ascii="宋体" w:hAnsi="宋体"/>
          <w:color w:val="auto"/>
          <w:sz w:val="24"/>
          <w:highlight w:val="none"/>
        </w:rPr>
        <w:t xml:space="preserve">名称）： </w:t>
      </w:r>
    </w:p>
    <w:p w14:paraId="63FCCF1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鉴于</w:t>
      </w:r>
      <w:r>
        <w:rPr>
          <w:rFonts w:ascii="宋体" w:hAnsi="宋体"/>
          <w:color w:val="auto"/>
          <w:sz w:val="24"/>
          <w:highlight w:val="none"/>
          <w:u w:val="single"/>
        </w:rPr>
        <w:t xml:space="preserve">        </w:t>
      </w:r>
      <w:r>
        <w:rPr>
          <w:rFonts w:ascii="宋体" w:hAnsi="宋体"/>
          <w:color w:val="auto"/>
          <w:sz w:val="24"/>
          <w:highlight w:val="none"/>
        </w:rPr>
        <w:t>（以下简称“投标人”）参加</w:t>
      </w:r>
      <w:r>
        <w:rPr>
          <w:rFonts w:hint="eastAsia" w:ascii="宋体" w:hAnsi="宋体"/>
          <w:color w:val="auto"/>
          <w:sz w:val="24"/>
          <w:highlight w:val="none"/>
        </w:rPr>
        <w:t>招标人</w:t>
      </w:r>
      <w:r>
        <w:rPr>
          <w:rFonts w:ascii="宋体" w:hAnsi="宋体"/>
          <w:color w:val="auto"/>
          <w:sz w:val="24"/>
          <w:highlight w:val="none"/>
        </w:rPr>
        <w:t>就</w:t>
      </w:r>
      <w:r>
        <w:rPr>
          <w:rFonts w:ascii="宋体" w:hAnsi="宋体"/>
          <w:color w:val="auto"/>
          <w:sz w:val="24"/>
          <w:highlight w:val="none"/>
          <w:u w:val="single"/>
        </w:rPr>
        <w:t xml:space="preserve">       </w:t>
      </w:r>
      <w:r>
        <w:rPr>
          <w:rFonts w:ascii="宋体" w:hAnsi="宋体"/>
          <w:color w:val="auto"/>
          <w:sz w:val="24"/>
          <w:highlight w:val="none"/>
        </w:rPr>
        <w:t>项目组织的招 标，招标编号为</w:t>
      </w:r>
      <w:r>
        <w:rPr>
          <w:rFonts w:ascii="宋体" w:hAnsi="宋体"/>
          <w:color w:val="auto"/>
          <w:sz w:val="24"/>
          <w:highlight w:val="none"/>
          <w:u w:val="single"/>
        </w:rPr>
        <w:t xml:space="preserve">         </w:t>
      </w:r>
      <w:r>
        <w:rPr>
          <w:rFonts w:ascii="宋体" w:hAnsi="宋体"/>
          <w:color w:val="auto"/>
          <w:sz w:val="24"/>
          <w:highlight w:val="none"/>
        </w:rPr>
        <w:t>。</w:t>
      </w:r>
      <w:r>
        <w:rPr>
          <w:rFonts w:hint="eastAsia" w:ascii="宋体" w:hAnsi="宋体"/>
          <w:color w:val="auto"/>
          <w:sz w:val="24"/>
          <w:highlight w:val="none"/>
        </w:rPr>
        <w:t>应</w:t>
      </w:r>
      <w:r>
        <w:rPr>
          <w:rFonts w:ascii="宋体" w:hAnsi="宋体"/>
          <w:color w:val="auto"/>
          <w:sz w:val="24"/>
          <w:highlight w:val="none"/>
        </w:rPr>
        <w:t>投标人的</w:t>
      </w:r>
      <w:r>
        <w:rPr>
          <w:rFonts w:hint="eastAsia" w:ascii="宋体" w:hAnsi="宋体"/>
          <w:color w:val="auto"/>
          <w:sz w:val="24"/>
          <w:highlight w:val="none"/>
        </w:rPr>
        <w:t>申请</w:t>
      </w:r>
      <w:r>
        <w:rPr>
          <w:rFonts w:ascii="宋体" w:hAnsi="宋体"/>
          <w:color w:val="auto"/>
          <w:sz w:val="24"/>
          <w:highlight w:val="none"/>
        </w:rPr>
        <w:t>，我方</w:t>
      </w:r>
      <w:r>
        <w:rPr>
          <w:rFonts w:hint="eastAsia" w:ascii="宋体" w:hAnsi="宋体"/>
          <w:color w:val="auto"/>
          <w:sz w:val="24"/>
          <w:highlight w:val="none"/>
        </w:rPr>
        <w:t>即保证人</w:t>
      </w:r>
      <w:r>
        <w:rPr>
          <w:rFonts w:ascii="宋体" w:hAnsi="宋体"/>
          <w:color w:val="auto"/>
          <w:sz w:val="24"/>
          <w:highlight w:val="none"/>
        </w:rPr>
        <w:t>同意就投标人履行招投标文件项下的义务</w:t>
      </w:r>
      <w:r>
        <w:rPr>
          <w:rFonts w:hint="eastAsia" w:ascii="宋体" w:hAnsi="宋体"/>
          <w:color w:val="auto"/>
          <w:sz w:val="24"/>
          <w:highlight w:val="none"/>
        </w:rPr>
        <w:t>以保证的方式</w:t>
      </w:r>
      <w:r>
        <w:rPr>
          <w:rFonts w:ascii="宋体" w:hAnsi="宋体"/>
          <w:color w:val="auto"/>
          <w:sz w:val="24"/>
          <w:highlight w:val="none"/>
        </w:rPr>
        <w:t>向</w:t>
      </w:r>
      <w:r>
        <w:rPr>
          <w:rFonts w:hint="eastAsia" w:ascii="宋体" w:hAnsi="宋体"/>
          <w:color w:val="auto"/>
          <w:sz w:val="24"/>
          <w:highlight w:val="none"/>
        </w:rPr>
        <w:t>招标人</w:t>
      </w:r>
      <w:r>
        <w:rPr>
          <w:rFonts w:ascii="宋体" w:hAnsi="宋体"/>
          <w:color w:val="auto"/>
          <w:sz w:val="24"/>
          <w:highlight w:val="none"/>
        </w:rPr>
        <w:t>提供</w:t>
      </w:r>
      <w:r>
        <w:rPr>
          <w:rFonts w:hint="eastAsia" w:ascii="宋体" w:hAnsi="宋体"/>
          <w:color w:val="auto"/>
          <w:sz w:val="24"/>
          <w:highlight w:val="none"/>
        </w:rPr>
        <w:t>如下保证担保（以下简称“本保证担保”）</w:t>
      </w:r>
      <w:r>
        <w:rPr>
          <w:rFonts w:ascii="宋体" w:hAnsi="宋体"/>
          <w:color w:val="auto"/>
          <w:sz w:val="24"/>
          <w:highlight w:val="none"/>
        </w:rPr>
        <w:t xml:space="preserve">。 </w:t>
      </w:r>
    </w:p>
    <w:p w14:paraId="11EC82BE">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一、保证担保的范围及保证担保金额</w:t>
      </w:r>
    </w:p>
    <w:p w14:paraId="3FB7C197">
      <w:pPr>
        <w:spacing w:line="360" w:lineRule="auto"/>
        <w:rPr>
          <w:rFonts w:ascii="宋体" w:hAnsi="宋体"/>
          <w:color w:val="auto"/>
          <w:sz w:val="24"/>
          <w:highlight w:val="none"/>
        </w:rPr>
      </w:pPr>
      <w:r>
        <w:rPr>
          <w:rFonts w:hint="eastAsia" w:ascii="宋体" w:hAnsi="宋体"/>
          <w:color w:val="auto"/>
          <w:sz w:val="24"/>
          <w:highlight w:val="none"/>
        </w:rPr>
        <w:t xml:space="preserve">    1</w:t>
      </w:r>
      <w:r>
        <w:rPr>
          <w:rFonts w:ascii="宋体" w:hAnsi="宋体"/>
          <w:color w:val="auto"/>
          <w:sz w:val="24"/>
          <w:highlight w:val="none"/>
        </w:rPr>
        <w:t>.</w:t>
      </w:r>
      <w:r>
        <w:rPr>
          <w:rFonts w:hint="eastAsia" w:ascii="宋体" w:hAnsi="宋体"/>
          <w:color w:val="auto"/>
          <w:sz w:val="24"/>
          <w:highlight w:val="none"/>
        </w:rPr>
        <w:t>我方在投标人发生以下情形时承担保证担保责任：</w:t>
      </w:r>
      <w:r>
        <w:rPr>
          <w:rFonts w:ascii="宋体" w:hAnsi="宋体"/>
          <w:color w:val="auto"/>
          <w:sz w:val="24"/>
          <w:highlight w:val="none"/>
        </w:rPr>
        <w:t xml:space="preserve"> </w:t>
      </w:r>
    </w:p>
    <w:p w14:paraId="4FF12465">
      <w:pPr>
        <w:pStyle w:val="144"/>
        <w:spacing w:line="360" w:lineRule="auto"/>
        <w:ind w:firstLine="0" w:firstLineChars="0"/>
        <w:rPr>
          <w:rFonts w:ascii="宋体" w:hAnsi="宋体"/>
          <w:color w:val="auto"/>
          <w:sz w:val="24"/>
          <w:szCs w:val="24"/>
          <w:highlight w:val="none"/>
        </w:rPr>
      </w:pPr>
      <w:r>
        <w:rPr>
          <w:rFonts w:hint="eastAsia" w:ascii="宋体" w:hAnsi="宋体"/>
          <w:color w:val="auto"/>
          <w:sz w:val="24"/>
          <w:szCs w:val="24"/>
          <w:highlight w:val="none"/>
        </w:rPr>
        <w:t xml:space="preserve">    （1）</w:t>
      </w:r>
      <w:r>
        <w:rPr>
          <w:rFonts w:ascii="宋体" w:hAnsi="宋体"/>
          <w:color w:val="auto"/>
          <w:sz w:val="24"/>
          <w:szCs w:val="24"/>
          <w:highlight w:val="none"/>
        </w:rPr>
        <w:t xml:space="preserve">投标人在开标后和投标有效期满之前撤销投标的； </w:t>
      </w:r>
    </w:p>
    <w:p w14:paraId="6EB24D47">
      <w:pPr>
        <w:pStyle w:val="144"/>
        <w:spacing w:line="360" w:lineRule="auto"/>
        <w:ind w:firstLine="480" w:firstLineChars="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投标人在收到中标通知后，</w:t>
      </w:r>
      <w:r>
        <w:rPr>
          <w:rFonts w:hint="eastAsia" w:ascii="宋体" w:hAnsi="宋体"/>
          <w:color w:val="auto"/>
          <w:sz w:val="24"/>
          <w:szCs w:val="24"/>
          <w:highlight w:val="none"/>
        </w:rPr>
        <w:t>不能或拒绝</w:t>
      </w:r>
      <w:r>
        <w:rPr>
          <w:rFonts w:ascii="宋体" w:hAnsi="宋体"/>
          <w:color w:val="auto"/>
          <w:sz w:val="24"/>
          <w:szCs w:val="24"/>
          <w:highlight w:val="none"/>
        </w:rPr>
        <w:t>在中标通知书规定的时间内与贵方签订合同；</w:t>
      </w:r>
    </w:p>
    <w:p w14:paraId="15ED7DD5">
      <w:pPr>
        <w:pStyle w:val="144"/>
        <w:spacing w:line="360" w:lineRule="auto"/>
        <w:ind w:firstLine="480" w:firstLineChars="0"/>
        <w:rPr>
          <w:rFonts w:ascii="宋体" w:hAnsi="宋体"/>
          <w:color w:val="auto"/>
          <w:sz w:val="24"/>
          <w:szCs w:val="24"/>
          <w:highlight w:val="none"/>
        </w:rPr>
      </w:pPr>
      <w:r>
        <w:rPr>
          <w:rFonts w:hint="eastAsia" w:ascii="宋体" w:hAnsi="宋体"/>
          <w:color w:val="auto"/>
          <w:sz w:val="24"/>
          <w:szCs w:val="24"/>
          <w:highlight w:val="none"/>
        </w:rPr>
        <w:t>（3）投标人在与贵方签订合同后，未在规定的时间内提交符合招标文件要求的履约担保；</w:t>
      </w:r>
    </w:p>
    <w:p w14:paraId="76567106">
      <w:pPr>
        <w:pStyle w:val="144"/>
        <w:spacing w:line="360" w:lineRule="auto"/>
        <w:ind w:firstLine="480" w:firstLineChars="0"/>
        <w:rPr>
          <w:rFonts w:ascii="宋体" w:hAnsi="宋体"/>
          <w:color w:val="auto"/>
          <w:sz w:val="24"/>
          <w:szCs w:val="24"/>
          <w:highlight w:val="none"/>
        </w:rPr>
      </w:pPr>
      <w:r>
        <w:rPr>
          <w:rFonts w:hint="eastAsia" w:ascii="宋体" w:hAnsi="宋体"/>
          <w:color w:val="auto"/>
          <w:sz w:val="24"/>
          <w:szCs w:val="24"/>
          <w:highlight w:val="none"/>
        </w:rPr>
        <w:t>（4）投标人违反</w:t>
      </w:r>
      <w:r>
        <w:rPr>
          <w:rFonts w:ascii="宋体" w:hAnsi="宋体"/>
          <w:color w:val="auto"/>
          <w:sz w:val="24"/>
          <w:szCs w:val="24"/>
          <w:highlight w:val="none"/>
        </w:rPr>
        <w:t>招标文件规定</w:t>
      </w:r>
      <w:r>
        <w:rPr>
          <w:rFonts w:hint="eastAsia" w:ascii="宋体" w:hAnsi="宋体"/>
          <w:color w:val="auto"/>
          <w:sz w:val="24"/>
          <w:szCs w:val="24"/>
          <w:highlight w:val="none"/>
        </w:rPr>
        <w:t>的其他</w:t>
      </w:r>
      <w:r>
        <w:rPr>
          <w:rFonts w:ascii="宋体" w:hAnsi="宋体"/>
          <w:color w:val="auto"/>
          <w:sz w:val="24"/>
          <w:szCs w:val="24"/>
          <w:highlight w:val="none"/>
        </w:rPr>
        <w:t>情形。</w:t>
      </w:r>
    </w:p>
    <w:p w14:paraId="16496406">
      <w:pPr>
        <w:spacing w:line="360" w:lineRule="auto"/>
        <w:rPr>
          <w:rFonts w:ascii="宋体" w:hAnsi="宋体"/>
          <w:color w:val="auto"/>
          <w:sz w:val="24"/>
          <w:highlight w:val="none"/>
        </w:rPr>
      </w:pPr>
      <w:r>
        <w:rPr>
          <w:rFonts w:hint="eastAsia" w:ascii="宋体" w:hAnsi="宋体"/>
          <w:color w:val="auto"/>
          <w:sz w:val="24"/>
          <w:highlight w:val="none"/>
        </w:rPr>
        <w:t xml:space="preserve">    2</w:t>
      </w:r>
      <w:r>
        <w:rPr>
          <w:rFonts w:ascii="宋体" w:hAnsi="宋体"/>
          <w:color w:val="auto"/>
          <w:sz w:val="24"/>
          <w:highlight w:val="none"/>
        </w:rPr>
        <w:t>.</w:t>
      </w:r>
      <w:r>
        <w:rPr>
          <w:rFonts w:hint="eastAsia" w:ascii="宋体" w:hAnsi="宋体"/>
          <w:color w:val="auto"/>
          <w:sz w:val="24"/>
          <w:highlight w:val="none"/>
        </w:rPr>
        <w:t>保证担保金额最高不超过</w:t>
      </w:r>
      <w:r>
        <w:rPr>
          <w:rFonts w:ascii="宋体" w:hAnsi="宋体"/>
          <w:color w:val="auto"/>
          <w:sz w:val="24"/>
          <w:highlight w:val="none"/>
        </w:rPr>
        <w:t>人民币（大写）</w:t>
      </w:r>
      <w:r>
        <w:rPr>
          <w:rFonts w:ascii="宋体" w:hAnsi="宋体"/>
          <w:color w:val="auto"/>
          <w:sz w:val="24"/>
          <w:highlight w:val="none"/>
          <w:u w:val="single"/>
        </w:rPr>
        <w:t xml:space="preserve">          </w:t>
      </w:r>
      <w:r>
        <w:rPr>
          <w:rFonts w:ascii="宋体" w:hAnsi="宋体"/>
          <w:color w:val="auto"/>
          <w:sz w:val="24"/>
          <w:highlight w:val="none"/>
        </w:rPr>
        <w:t>元（¥</w:t>
      </w:r>
      <w:r>
        <w:rPr>
          <w:rFonts w:ascii="宋体" w:hAnsi="宋体"/>
          <w:color w:val="auto"/>
          <w:sz w:val="24"/>
          <w:highlight w:val="none"/>
          <w:u w:val="single"/>
        </w:rPr>
        <w:t xml:space="preserve">       </w:t>
      </w:r>
      <w:r>
        <w:rPr>
          <w:rFonts w:ascii="宋体" w:hAnsi="宋体"/>
          <w:color w:val="auto"/>
          <w:sz w:val="24"/>
          <w:highlight w:val="none"/>
        </w:rPr>
        <w:t xml:space="preserve">）。 </w:t>
      </w:r>
    </w:p>
    <w:p w14:paraId="5CF06AFB">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二、保证担保的方式及保证期间</w:t>
      </w:r>
      <w:r>
        <w:rPr>
          <w:rFonts w:ascii="宋体" w:hAnsi="宋体"/>
          <w:b/>
          <w:bCs/>
          <w:color w:val="auto"/>
          <w:sz w:val="24"/>
          <w:highlight w:val="none"/>
        </w:rPr>
        <w:t xml:space="preserve"> </w:t>
      </w:r>
    </w:p>
    <w:p w14:paraId="0D81E38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1.保证担保方式：连带责任保证。</w:t>
      </w:r>
    </w:p>
    <w:p w14:paraId="1F58B62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保证期间：</w:t>
      </w:r>
      <w:r>
        <w:rPr>
          <w:rFonts w:ascii="宋体" w:hAnsi="宋体"/>
          <w:color w:val="auto"/>
          <w:sz w:val="24"/>
          <w:highlight w:val="none"/>
        </w:rPr>
        <w:t>自</w:t>
      </w:r>
      <w:r>
        <w:rPr>
          <w:rFonts w:hint="eastAsia" w:ascii="宋体" w:hAnsi="宋体"/>
          <w:color w:val="auto"/>
          <w:sz w:val="24"/>
          <w:highlight w:val="none"/>
        </w:rPr>
        <w:t>出具之日起</w:t>
      </w:r>
      <w:r>
        <w:rPr>
          <w:rFonts w:ascii="宋体" w:hAnsi="宋体"/>
          <w:color w:val="auto"/>
          <w:sz w:val="24"/>
          <w:highlight w:val="none"/>
        </w:rPr>
        <w:t>至</w:t>
      </w:r>
      <w:r>
        <w:rPr>
          <w:rFonts w:hint="eastAsia" w:ascii="宋体" w:hAnsi="宋体"/>
          <w:color w:val="auto"/>
          <w:sz w:val="24"/>
          <w:highlight w:val="none"/>
        </w:rPr>
        <w:t>招标文件规定的投标有效期届满后</w:t>
      </w:r>
      <w:r>
        <w:rPr>
          <w:rFonts w:ascii="宋体" w:hAnsi="宋体"/>
          <w:color w:val="auto"/>
          <w:sz w:val="24"/>
          <w:highlight w:val="none"/>
          <w:u w:val="single"/>
        </w:rPr>
        <w:t xml:space="preserve">   </w:t>
      </w:r>
      <w:r>
        <w:rPr>
          <w:rFonts w:hint="eastAsia" w:ascii="宋体" w:hAnsi="宋体"/>
          <w:color w:val="auto"/>
          <w:sz w:val="24"/>
          <w:highlight w:val="none"/>
        </w:rPr>
        <w:t>日</w:t>
      </w:r>
      <w:r>
        <w:rPr>
          <w:rFonts w:ascii="宋体" w:hAnsi="宋体"/>
          <w:color w:val="auto"/>
          <w:sz w:val="24"/>
          <w:highlight w:val="none"/>
        </w:rPr>
        <w:t>。</w:t>
      </w:r>
      <w:r>
        <w:rPr>
          <w:rFonts w:hint="eastAsia" w:ascii="宋体" w:hAnsi="宋体"/>
          <w:color w:val="auto"/>
          <w:sz w:val="24"/>
          <w:highlight w:val="none"/>
        </w:rPr>
        <w:t>投标有效期延长的，本保函保证期间相应顺延，最迟不超过</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日。</w:t>
      </w:r>
    </w:p>
    <w:p w14:paraId="54603F95">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三、承担保证担保责任的形式</w:t>
      </w:r>
    </w:p>
    <w:p w14:paraId="5C6BE3B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我方按照贵方的要求以下列方式之一承担保证责任：</w:t>
      </w:r>
      <w:r>
        <w:rPr>
          <w:rFonts w:ascii="宋体" w:hAnsi="宋体"/>
          <w:color w:val="auto"/>
          <w:sz w:val="24"/>
          <w:highlight w:val="none"/>
        </w:rPr>
        <w:t xml:space="preserve"> </w:t>
      </w:r>
    </w:p>
    <w:p w14:paraId="18A3E6F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1.代投标人向贵方支付投标保证金为人民币</w:t>
      </w:r>
      <w:r>
        <w:rPr>
          <w:rFonts w:ascii="宋体" w:hAnsi="宋体"/>
          <w:color w:val="auto"/>
          <w:sz w:val="24"/>
          <w:highlight w:val="none"/>
          <w:u w:val="single"/>
        </w:rPr>
        <w:t xml:space="preserve">    </w:t>
      </w:r>
      <w:r>
        <w:rPr>
          <w:rFonts w:ascii="宋体" w:hAnsi="宋体"/>
          <w:color w:val="auto"/>
          <w:sz w:val="24"/>
          <w:highlight w:val="none"/>
        </w:rPr>
        <w:t>元</w:t>
      </w:r>
      <w:r>
        <w:rPr>
          <w:rFonts w:hint="eastAsia" w:ascii="宋体" w:hAnsi="宋体"/>
          <w:color w:val="auto"/>
          <w:sz w:val="24"/>
          <w:highlight w:val="none"/>
        </w:rPr>
        <w:t>；</w:t>
      </w:r>
    </w:p>
    <w:p w14:paraId="108D0D2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2.给贵方造成损失的，在保证担保最高金额范围内向贵方支付赔偿金、利息、律师费、诉讼费用等实现债权的费用。</w:t>
      </w:r>
    </w:p>
    <w:p w14:paraId="7506633F">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四、代偿的安排</w:t>
      </w:r>
      <w:r>
        <w:rPr>
          <w:rFonts w:ascii="宋体" w:hAnsi="宋体"/>
          <w:b/>
          <w:bCs/>
          <w:color w:val="auto"/>
          <w:sz w:val="24"/>
          <w:highlight w:val="none"/>
        </w:rPr>
        <w:t xml:space="preserve"> </w:t>
      </w:r>
    </w:p>
    <w:p w14:paraId="53F2928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1.贵方要求我方承担保证责任的，应向我方发出书面索赔通知。索赔通知应写明要求索赔的金额，支付款项应到达的账号，并附有说明投标人违约造成贵方损失情况的证明材料。</w:t>
      </w:r>
    </w:p>
    <w:p w14:paraId="730AAFF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2.我方收到贵方的书面索赔通知及相应证明材料后，在</w:t>
      </w:r>
      <w:r>
        <w:rPr>
          <w:rFonts w:ascii="宋体" w:hAnsi="宋体"/>
          <w:color w:val="auto"/>
          <w:sz w:val="24"/>
          <w:highlight w:val="none"/>
          <w:u w:val="single"/>
        </w:rPr>
        <w:t xml:space="preserve">    </w:t>
      </w:r>
      <w:r>
        <w:rPr>
          <w:rFonts w:hint="eastAsia" w:ascii="宋体" w:hAnsi="宋体"/>
          <w:color w:val="auto"/>
          <w:sz w:val="24"/>
          <w:highlight w:val="none"/>
        </w:rPr>
        <w:t>工作日内进行核定后按照本保函的承诺承担保证责任。</w:t>
      </w:r>
    </w:p>
    <w:p w14:paraId="6A09A2AE">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五、保证担保责任的解除</w:t>
      </w:r>
      <w:r>
        <w:rPr>
          <w:rFonts w:ascii="宋体" w:hAnsi="宋体"/>
          <w:b/>
          <w:bCs/>
          <w:color w:val="auto"/>
          <w:sz w:val="24"/>
          <w:highlight w:val="none"/>
        </w:rPr>
        <w:t xml:space="preserve"> </w:t>
      </w:r>
    </w:p>
    <w:p w14:paraId="31017F2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 xml:space="preserve">保证期间届满贵方未向我方书面主张保证责任的，自保证期间届满次日起，我方解除保证责任。 </w:t>
      </w:r>
    </w:p>
    <w:p w14:paraId="63946D3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我方按照本</w:t>
      </w:r>
      <w:r>
        <w:rPr>
          <w:rFonts w:hint="eastAsia" w:ascii="宋体" w:hAnsi="宋体"/>
          <w:color w:val="auto"/>
          <w:sz w:val="24"/>
          <w:highlight w:val="none"/>
        </w:rPr>
        <w:t>保证担保</w:t>
      </w:r>
      <w:r>
        <w:rPr>
          <w:rFonts w:ascii="宋体" w:hAnsi="宋体"/>
          <w:color w:val="auto"/>
          <w:sz w:val="24"/>
          <w:highlight w:val="none"/>
        </w:rPr>
        <w:t>向贵方履行了</w:t>
      </w:r>
      <w:r>
        <w:rPr>
          <w:rFonts w:hint="eastAsia" w:ascii="宋体" w:hAnsi="宋体"/>
          <w:color w:val="auto"/>
          <w:sz w:val="24"/>
          <w:highlight w:val="none"/>
        </w:rPr>
        <w:t>保证担保责任</w:t>
      </w:r>
      <w:r>
        <w:rPr>
          <w:rFonts w:ascii="宋体" w:hAnsi="宋体"/>
          <w:color w:val="auto"/>
          <w:sz w:val="24"/>
          <w:highlight w:val="none"/>
        </w:rPr>
        <w:t>后，自我方向贵方支付</w:t>
      </w:r>
      <w:r>
        <w:rPr>
          <w:rFonts w:hint="eastAsia" w:ascii="宋体" w:hAnsi="宋体"/>
          <w:color w:val="auto"/>
          <w:sz w:val="24"/>
          <w:highlight w:val="none"/>
        </w:rPr>
        <w:t>的金额达到最高保证担保金额</w:t>
      </w:r>
      <w:r>
        <w:rPr>
          <w:rFonts w:ascii="宋体" w:hAnsi="宋体"/>
          <w:color w:val="auto"/>
          <w:sz w:val="24"/>
          <w:highlight w:val="none"/>
        </w:rPr>
        <w:t>之日起，</w:t>
      </w:r>
      <w:r>
        <w:rPr>
          <w:rFonts w:hint="eastAsia" w:ascii="宋体" w:hAnsi="宋体"/>
          <w:color w:val="auto"/>
          <w:sz w:val="24"/>
          <w:highlight w:val="none"/>
        </w:rPr>
        <w:t>保证担保责任</w:t>
      </w:r>
      <w:r>
        <w:rPr>
          <w:rFonts w:ascii="宋体" w:hAnsi="宋体"/>
          <w:color w:val="auto"/>
          <w:sz w:val="24"/>
          <w:highlight w:val="none"/>
        </w:rPr>
        <w:t xml:space="preserve">解除。 </w:t>
      </w:r>
    </w:p>
    <w:p w14:paraId="645A6AE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按照法律法规的规定应解除我方保证</w:t>
      </w:r>
      <w:r>
        <w:rPr>
          <w:rFonts w:hint="eastAsia" w:ascii="宋体" w:hAnsi="宋体"/>
          <w:color w:val="auto"/>
          <w:sz w:val="24"/>
          <w:highlight w:val="none"/>
        </w:rPr>
        <w:t>担保</w:t>
      </w:r>
      <w:r>
        <w:rPr>
          <w:rFonts w:ascii="宋体" w:hAnsi="宋体"/>
          <w:color w:val="auto"/>
          <w:sz w:val="24"/>
          <w:highlight w:val="none"/>
        </w:rPr>
        <w:t>责任的其它情形的，我方在本保证担保项下的保证</w:t>
      </w:r>
      <w:r>
        <w:rPr>
          <w:rFonts w:hint="eastAsia" w:ascii="宋体" w:hAnsi="宋体"/>
          <w:color w:val="auto"/>
          <w:sz w:val="24"/>
          <w:highlight w:val="none"/>
        </w:rPr>
        <w:t>担保</w:t>
      </w:r>
      <w:r>
        <w:rPr>
          <w:rFonts w:ascii="宋体" w:hAnsi="宋体"/>
          <w:color w:val="auto"/>
          <w:sz w:val="24"/>
          <w:highlight w:val="none"/>
        </w:rPr>
        <w:t xml:space="preserve">责任亦解除。 </w:t>
      </w:r>
    </w:p>
    <w:p w14:paraId="67C3351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4.我方解除保证责任后，贵方应按上述约定，自我方保证担保责任解除之日起七</w:t>
      </w:r>
      <w:r>
        <w:rPr>
          <w:rFonts w:ascii="宋体" w:hAnsi="宋体"/>
          <w:color w:val="auto"/>
          <w:sz w:val="24"/>
          <w:highlight w:val="none"/>
        </w:rPr>
        <w:t>日内，将本保证担保原件返还我方。但是不论贵方是否按此要求将本保证担保</w:t>
      </w:r>
      <w:r>
        <w:rPr>
          <w:rFonts w:hint="eastAsia" w:ascii="宋体" w:hAnsi="宋体"/>
          <w:color w:val="auto"/>
          <w:sz w:val="24"/>
          <w:highlight w:val="none"/>
        </w:rPr>
        <w:t>原件</w:t>
      </w:r>
      <w:r>
        <w:rPr>
          <w:rFonts w:ascii="宋体" w:hAnsi="宋体"/>
          <w:color w:val="auto"/>
          <w:sz w:val="24"/>
          <w:highlight w:val="none"/>
        </w:rPr>
        <w:t>退回我方，我方在本保证担保项下的义务和责任均</w:t>
      </w:r>
      <w:r>
        <w:rPr>
          <w:rFonts w:hint="eastAsia" w:ascii="宋体" w:hAnsi="宋体"/>
          <w:color w:val="auto"/>
          <w:sz w:val="24"/>
          <w:highlight w:val="none"/>
        </w:rPr>
        <w:t>自保证担保责任解除之日</w:t>
      </w:r>
      <w:r>
        <w:rPr>
          <w:rFonts w:ascii="宋体" w:hAnsi="宋体"/>
          <w:color w:val="auto"/>
          <w:sz w:val="24"/>
          <w:highlight w:val="none"/>
        </w:rPr>
        <w:t>自动消灭。</w:t>
      </w:r>
    </w:p>
    <w:p w14:paraId="17ABE0A3">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六、免责条款</w:t>
      </w:r>
      <w:r>
        <w:rPr>
          <w:rFonts w:ascii="宋体" w:hAnsi="宋体"/>
          <w:b/>
          <w:bCs/>
          <w:color w:val="auto"/>
          <w:sz w:val="24"/>
          <w:highlight w:val="none"/>
        </w:rPr>
        <w:t xml:space="preserve"> </w:t>
      </w:r>
    </w:p>
    <w:p w14:paraId="36B449C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 xml:space="preserve"> 因贵方</w:t>
      </w:r>
      <w:r>
        <w:rPr>
          <w:rFonts w:hint="eastAsia" w:ascii="宋体" w:hAnsi="宋体"/>
          <w:color w:val="auto"/>
          <w:sz w:val="24"/>
          <w:highlight w:val="none"/>
        </w:rPr>
        <w:t>原因</w:t>
      </w:r>
      <w:r>
        <w:rPr>
          <w:rFonts w:ascii="宋体" w:hAnsi="宋体"/>
          <w:color w:val="auto"/>
          <w:sz w:val="24"/>
          <w:highlight w:val="none"/>
        </w:rPr>
        <w:t>致使投标人</w:t>
      </w:r>
      <w:r>
        <w:rPr>
          <w:rFonts w:hint="eastAsia" w:ascii="宋体" w:hAnsi="宋体"/>
          <w:color w:val="auto"/>
          <w:sz w:val="24"/>
          <w:highlight w:val="none"/>
        </w:rPr>
        <w:t>违反</w:t>
      </w:r>
      <w:r>
        <w:rPr>
          <w:rFonts w:ascii="宋体" w:hAnsi="宋体"/>
          <w:color w:val="auto"/>
          <w:sz w:val="24"/>
          <w:highlight w:val="none"/>
        </w:rPr>
        <w:t>招</w:t>
      </w:r>
      <w:r>
        <w:rPr>
          <w:rFonts w:hint="eastAsia" w:ascii="宋体" w:hAnsi="宋体"/>
          <w:color w:val="auto"/>
          <w:sz w:val="24"/>
          <w:highlight w:val="none"/>
        </w:rPr>
        <w:t>投</w:t>
      </w:r>
      <w:r>
        <w:rPr>
          <w:rFonts w:ascii="宋体" w:hAnsi="宋体"/>
          <w:color w:val="auto"/>
          <w:sz w:val="24"/>
          <w:highlight w:val="none"/>
        </w:rPr>
        <w:t>标文件的，我方不承担保证</w:t>
      </w:r>
      <w:r>
        <w:rPr>
          <w:rFonts w:hint="eastAsia" w:ascii="宋体" w:hAnsi="宋体"/>
          <w:color w:val="auto"/>
          <w:sz w:val="24"/>
          <w:highlight w:val="none"/>
        </w:rPr>
        <w:t>担保</w:t>
      </w:r>
      <w:r>
        <w:rPr>
          <w:rFonts w:ascii="宋体" w:hAnsi="宋体"/>
          <w:color w:val="auto"/>
          <w:sz w:val="24"/>
          <w:highlight w:val="none"/>
        </w:rPr>
        <w:t xml:space="preserve">责任。 </w:t>
      </w:r>
    </w:p>
    <w:p w14:paraId="18B31AA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 xml:space="preserve"> 依照法律规定或贵方与投标人的另行约定，免除投标人部分或全部义务的，我方亦免除其相应的保证</w:t>
      </w:r>
      <w:r>
        <w:rPr>
          <w:rFonts w:hint="eastAsia" w:ascii="宋体" w:hAnsi="宋体"/>
          <w:color w:val="auto"/>
          <w:sz w:val="24"/>
          <w:highlight w:val="none"/>
        </w:rPr>
        <w:t>担保</w:t>
      </w:r>
      <w:r>
        <w:rPr>
          <w:rFonts w:ascii="宋体" w:hAnsi="宋体"/>
          <w:color w:val="auto"/>
          <w:sz w:val="24"/>
          <w:highlight w:val="none"/>
        </w:rPr>
        <w:t xml:space="preserve">责任。 </w:t>
      </w:r>
    </w:p>
    <w:p w14:paraId="13E8D15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 xml:space="preserve"> 因不可抗力造成投标人</w:t>
      </w:r>
      <w:r>
        <w:rPr>
          <w:rFonts w:hint="eastAsia" w:ascii="宋体" w:hAnsi="宋体"/>
          <w:color w:val="auto"/>
          <w:sz w:val="24"/>
          <w:highlight w:val="none"/>
        </w:rPr>
        <w:t>违反</w:t>
      </w:r>
      <w:r>
        <w:rPr>
          <w:rFonts w:ascii="宋体" w:hAnsi="宋体"/>
          <w:color w:val="auto"/>
          <w:sz w:val="24"/>
          <w:highlight w:val="none"/>
        </w:rPr>
        <w:t>招</w:t>
      </w:r>
      <w:r>
        <w:rPr>
          <w:rFonts w:hint="eastAsia" w:ascii="宋体" w:hAnsi="宋体"/>
          <w:color w:val="auto"/>
          <w:sz w:val="24"/>
          <w:highlight w:val="none"/>
        </w:rPr>
        <w:t>投</w:t>
      </w:r>
      <w:r>
        <w:rPr>
          <w:rFonts w:ascii="宋体" w:hAnsi="宋体"/>
          <w:color w:val="auto"/>
          <w:sz w:val="24"/>
          <w:highlight w:val="none"/>
        </w:rPr>
        <w:t>标文件</w:t>
      </w:r>
      <w:r>
        <w:rPr>
          <w:rFonts w:hint="eastAsia" w:ascii="宋体" w:hAnsi="宋体"/>
          <w:color w:val="auto"/>
          <w:sz w:val="24"/>
          <w:highlight w:val="none"/>
        </w:rPr>
        <w:t>的</w:t>
      </w:r>
      <w:r>
        <w:rPr>
          <w:rFonts w:ascii="宋体" w:hAnsi="宋体"/>
          <w:color w:val="auto"/>
          <w:sz w:val="24"/>
          <w:highlight w:val="none"/>
        </w:rPr>
        <w:t>，我方不承担保证</w:t>
      </w:r>
      <w:r>
        <w:rPr>
          <w:rFonts w:hint="eastAsia" w:ascii="宋体" w:hAnsi="宋体"/>
          <w:color w:val="auto"/>
          <w:sz w:val="24"/>
          <w:highlight w:val="none"/>
        </w:rPr>
        <w:t>担保</w:t>
      </w:r>
      <w:r>
        <w:rPr>
          <w:rFonts w:ascii="宋体" w:hAnsi="宋体"/>
          <w:color w:val="auto"/>
          <w:sz w:val="24"/>
          <w:highlight w:val="none"/>
        </w:rPr>
        <w:t>责任。</w:t>
      </w:r>
    </w:p>
    <w:p w14:paraId="0CE211C0">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七、其他</w:t>
      </w:r>
    </w:p>
    <w:p w14:paraId="20FBC96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本保证担保项下的权利不得转让，不得设定担保。贵方未经我方书面同意转让本保证担保或其项下任何权利，</w:t>
      </w:r>
      <w:r>
        <w:rPr>
          <w:rFonts w:hint="eastAsia" w:ascii="宋体" w:hAnsi="宋体"/>
          <w:color w:val="auto"/>
          <w:sz w:val="24"/>
          <w:highlight w:val="none"/>
        </w:rPr>
        <w:t>对我方不发生法律效力</w:t>
      </w:r>
      <w:r>
        <w:rPr>
          <w:rFonts w:ascii="宋体" w:hAnsi="宋体"/>
          <w:color w:val="auto"/>
          <w:sz w:val="24"/>
          <w:highlight w:val="none"/>
        </w:rPr>
        <w:t xml:space="preserve">。 </w:t>
      </w:r>
    </w:p>
    <w:p w14:paraId="5BBA683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.本</w:t>
      </w:r>
      <w:r>
        <w:rPr>
          <w:rFonts w:hint="eastAsia" w:ascii="宋体" w:hAnsi="宋体"/>
          <w:color w:val="auto"/>
          <w:sz w:val="24"/>
          <w:highlight w:val="none"/>
        </w:rPr>
        <w:t>保证担保适用的法律为中华人民共和国法律，争议裁判管辖地为中华人民共和国</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w:t>
      </w:r>
      <w:r>
        <w:rPr>
          <w:rFonts w:ascii="宋体" w:hAnsi="宋体"/>
          <w:color w:val="auto"/>
          <w:sz w:val="24"/>
          <w:highlight w:val="none"/>
        </w:rPr>
        <w:t xml:space="preserve"> </w:t>
      </w:r>
    </w:p>
    <w:p w14:paraId="514B8DC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.本</w:t>
      </w:r>
      <w:r>
        <w:rPr>
          <w:rFonts w:hint="eastAsia" w:ascii="宋体" w:hAnsi="宋体"/>
          <w:color w:val="auto"/>
          <w:sz w:val="24"/>
          <w:highlight w:val="none"/>
        </w:rPr>
        <w:t>保证担保</w:t>
      </w:r>
      <w:r>
        <w:rPr>
          <w:rFonts w:ascii="宋体" w:hAnsi="宋体"/>
          <w:color w:val="auto"/>
          <w:sz w:val="24"/>
          <w:highlight w:val="none"/>
        </w:rPr>
        <w:t>自我方法定代表</w:t>
      </w:r>
      <w:r>
        <w:rPr>
          <w:rFonts w:hint="eastAsia" w:ascii="宋体" w:hAnsi="宋体"/>
          <w:color w:val="auto"/>
          <w:sz w:val="24"/>
          <w:highlight w:val="none"/>
        </w:rPr>
        <w:t>人或授权代表</w:t>
      </w:r>
      <w:r>
        <w:rPr>
          <w:rFonts w:ascii="宋体" w:hAnsi="宋体"/>
          <w:color w:val="auto"/>
          <w:sz w:val="24"/>
          <w:highlight w:val="none"/>
        </w:rPr>
        <w:t>签字</w:t>
      </w:r>
      <w:r>
        <w:rPr>
          <w:rFonts w:hint="eastAsia" w:ascii="宋体" w:hAnsi="宋体"/>
          <w:color w:val="auto"/>
          <w:sz w:val="24"/>
          <w:highlight w:val="none"/>
        </w:rPr>
        <w:t>并</w:t>
      </w:r>
      <w:r>
        <w:rPr>
          <w:rFonts w:ascii="宋体" w:hAnsi="宋体"/>
          <w:color w:val="auto"/>
          <w:sz w:val="24"/>
          <w:highlight w:val="none"/>
        </w:rPr>
        <w:t xml:space="preserve">加盖公章之日起生效。 </w:t>
      </w:r>
    </w:p>
    <w:p w14:paraId="4AB6049B">
      <w:pPr>
        <w:spacing w:line="360" w:lineRule="auto"/>
        <w:ind w:firstLine="480" w:firstLineChars="200"/>
        <w:rPr>
          <w:rFonts w:ascii="宋体" w:hAnsi="宋体"/>
          <w:color w:val="auto"/>
          <w:sz w:val="24"/>
          <w:highlight w:val="none"/>
        </w:rPr>
      </w:pPr>
    </w:p>
    <w:p w14:paraId="4FEFABD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保 证 人</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（公</w:t>
      </w:r>
      <w:r>
        <w:rPr>
          <w:rFonts w:ascii="宋体" w:hAnsi="宋体"/>
          <w:color w:val="auto"/>
          <w:sz w:val="24"/>
          <w:highlight w:val="none"/>
        </w:rPr>
        <w:t xml:space="preserve">章） </w:t>
      </w:r>
    </w:p>
    <w:p w14:paraId="53ADE5C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法定代表人（或授权代表）：</w:t>
      </w:r>
      <w:r>
        <w:rPr>
          <w:rFonts w:ascii="宋体" w:hAnsi="宋体"/>
          <w:color w:val="auto"/>
          <w:sz w:val="24"/>
          <w:highlight w:val="none"/>
        </w:rPr>
        <w:t xml:space="preserve">               （签字） </w:t>
      </w:r>
    </w:p>
    <w:p w14:paraId="3B5681C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地</w:t>
      </w:r>
      <w:r>
        <w:rPr>
          <w:rFonts w:ascii="宋体" w:hAnsi="宋体"/>
          <w:color w:val="auto"/>
          <w:sz w:val="24"/>
          <w:highlight w:val="none"/>
        </w:rPr>
        <w:t xml:space="preserve">    址：                                       </w:t>
      </w:r>
    </w:p>
    <w:p w14:paraId="59D6C87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邮政编码：</w:t>
      </w:r>
      <w:r>
        <w:rPr>
          <w:rFonts w:ascii="宋体" w:hAnsi="宋体"/>
          <w:color w:val="auto"/>
          <w:sz w:val="24"/>
          <w:highlight w:val="none"/>
        </w:rPr>
        <w:t xml:space="preserve">                 </w:t>
      </w:r>
    </w:p>
    <w:p w14:paraId="1C85E58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w:t>
      </w:r>
      <w:r>
        <w:rPr>
          <w:rFonts w:ascii="宋体" w:hAnsi="宋体"/>
          <w:color w:val="auto"/>
          <w:sz w:val="24"/>
          <w:highlight w:val="none"/>
        </w:rPr>
        <w:t xml:space="preserve">    话：                 </w:t>
      </w:r>
    </w:p>
    <w:p w14:paraId="3422BCE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传</w:t>
      </w:r>
      <w:r>
        <w:rPr>
          <w:rFonts w:ascii="宋体" w:hAnsi="宋体"/>
          <w:color w:val="auto"/>
          <w:sz w:val="24"/>
          <w:highlight w:val="none"/>
        </w:rPr>
        <w:t xml:space="preserve">    真：                 </w:t>
      </w:r>
    </w:p>
    <w:p w14:paraId="2191F124">
      <w:pPr>
        <w:ind w:firstLine="480" w:firstLineChars="200"/>
        <w:rPr>
          <w:color w:val="auto"/>
          <w:highlight w:val="none"/>
        </w:rPr>
      </w:pPr>
      <w:r>
        <w:rPr>
          <w:rFonts w:hint="eastAsia" w:ascii="宋体" w:hAnsi="宋体"/>
          <w:color w:val="auto"/>
          <w:sz w:val="24"/>
          <w:highlight w:val="none"/>
        </w:rPr>
        <w:t xml:space="preserve">时 </w:t>
      </w:r>
      <w:r>
        <w:rPr>
          <w:rFonts w:ascii="宋体" w:hAnsi="宋体"/>
          <w:color w:val="auto"/>
          <w:sz w:val="24"/>
          <w:highlight w:val="none"/>
        </w:rPr>
        <w:t xml:space="preserve">   </w:t>
      </w:r>
      <w:r>
        <w:rPr>
          <w:rFonts w:hint="eastAsia" w:ascii="宋体" w:hAnsi="宋体"/>
          <w:color w:val="auto"/>
          <w:sz w:val="24"/>
          <w:highlight w:val="none"/>
        </w:rPr>
        <w:t>间：</w:t>
      </w:r>
      <w:r>
        <w:rPr>
          <w:rFonts w:ascii="宋体" w:hAnsi="宋体"/>
          <w:color w:val="auto"/>
          <w:sz w:val="24"/>
          <w:highlight w:val="none"/>
        </w:rPr>
        <w:t xml:space="preserve">      年      月        日</w:t>
      </w:r>
    </w:p>
    <w:p w14:paraId="6C15D24B">
      <w:pPr>
        <w:spacing w:line="360" w:lineRule="auto"/>
        <w:jc w:val="left"/>
        <w:rPr>
          <w:rFonts w:ascii="宋体" w:hAnsi="宋体"/>
          <w:color w:val="auto"/>
          <w:highlight w:val="none"/>
        </w:rPr>
      </w:pPr>
    </w:p>
    <w:p w14:paraId="77838906">
      <w:pPr>
        <w:spacing w:line="400" w:lineRule="exact"/>
        <w:ind w:firstLine="420" w:firstLineChars="200"/>
        <w:jc w:val="left"/>
        <w:rPr>
          <w:color w:val="auto"/>
          <w:szCs w:val="21"/>
          <w:highlight w:val="none"/>
        </w:rPr>
      </w:pPr>
    </w:p>
    <w:p w14:paraId="091A7F8E">
      <w:pPr>
        <w:spacing w:line="240" w:lineRule="exact"/>
        <w:ind w:left="1800"/>
        <w:rPr>
          <w:color w:val="auto"/>
          <w:highlight w:val="none"/>
        </w:rPr>
      </w:pPr>
    </w:p>
    <w:p w14:paraId="1809CADF">
      <w:pPr>
        <w:spacing w:line="240" w:lineRule="exact"/>
        <w:ind w:left="1800"/>
        <w:rPr>
          <w:color w:val="auto"/>
          <w:highlight w:val="none"/>
        </w:rPr>
      </w:pPr>
    </w:p>
    <w:p w14:paraId="51CB8A28">
      <w:pPr>
        <w:spacing w:line="240" w:lineRule="exact"/>
        <w:ind w:left="1800"/>
        <w:rPr>
          <w:color w:val="auto"/>
          <w:highlight w:val="none"/>
        </w:rPr>
      </w:pPr>
    </w:p>
    <w:p w14:paraId="643541A6">
      <w:pPr>
        <w:spacing w:line="240" w:lineRule="exact"/>
        <w:ind w:left="1800"/>
        <w:rPr>
          <w:color w:val="auto"/>
          <w:highlight w:val="none"/>
        </w:rPr>
      </w:pPr>
    </w:p>
    <w:p w14:paraId="1326DEDB">
      <w:pPr>
        <w:spacing w:line="240" w:lineRule="exact"/>
        <w:ind w:left="1800"/>
        <w:rPr>
          <w:color w:val="auto"/>
          <w:highlight w:val="none"/>
        </w:rPr>
      </w:pPr>
    </w:p>
    <w:p w14:paraId="40493BFE">
      <w:pPr>
        <w:spacing w:line="240" w:lineRule="exact"/>
        <w:ind w:left="1800"/>
        <w:rPr>
          <w:color w:val="auto"/>
          <w:highlight w:val="none"/>
        </w:rPr>
      </w:pPr>
    </w:p>
    <w:p w14:paraId="16B2DB6E">
      <w:pPr>
        <w:spacing w:line="240" w:lineRule="exact"/>
        <w:ind w:left="1800"/>
        <w:rPr>
          <w:color w:val="auto"/>
          <w:highlight w:val="none"/>
        </w:rPr>
      </w:pPr>
    </w:p>
    <w:p w14:paraId="61B230A4">
      <w:pPr>
        <w:spacing w:line="240" w:lineRule="exact"/>
        <w:ind w:left="1800"/>
        <w:rPr>
          <w:color w:val="auto"/>
          <w:highlight w:val="none"/>
        </w:rPr>
      </w:pPr>
    </w:p>
    <w:p w14:paraId="6459F4C9">
      <w:pPr>
        <w:spacing w:line="240" w:lineRule="exact"/>
        <w:ind w:left="1800"/>
        <w:rPr>
          <w:color w:val="auto"/>
          <w:highlight w:val="none"/>
        </w:rPr>
      </w:pPr>
    </w:p>
    <w:p w14:paraId="0C7C3F20">
      <w:pPr>
        <w:spacing w:line="240" w:lineRule="exact"/>
        <w:ind w:left="1800"/>
        <w:rPr>
          <w:color w:val="auto"/>
          <w:highlight w:val="none"/>
        </w:rPr>
      </w:pPr>
    </w:p>
    <w:p w14:paraId="01D4405B">
      <w:pPr>
        <w:spacing w:line="240" w:lineRule="exact"/>
        <w:ind w:left="1800"/>
        <w:rPr>
          <w:color w:val="auto"/>
          <w:highlight w:val="none"/>
        </w:rPr>
      </w:pPr>
    </w:p>
    <w:p w14:paraId="676F03DB">
      <w:pPr>
        <w:spacing w:line="240" w:lineRule="exact"/>
        <w:ind w:left="1800"/>
        <w:rPr>
          <w:color w:val="auto"/>
          <w:highlight w:val="none"/>
        </w:rPr>
      </w:pPr>
    </w:p>
    <w:p w14:paraId="5F05CC9C">
      <w:pPr>
        <w:spacing w:line="240" w:lineRule="exact"/>
        <w:ind w:left="1800"/>
        <w:rPr>
          <w:color w:val="auto"/>
          <w:highlight w:val="none"/>
        </w:rPr>
      </w:pPr>
    </w:p>
    <w:p w14:paraId="691958FC">
      <w:pPr>
        <w:spacing w:line="240" w:lineRule="exact"/>
        <w:ind w:left="1800"/>
        <w:rPr>
          <w:color w:val="auto"/>
          <w:highlight w:val="none"/>
        </w:rPr>
      </w:pPr>
    </w:p>
    <w:p w14:paraId="5143C2C5">
      <w:pPr>
        <w:spacing w:line="240" w:lineRule="exact"/>
        <w:ind w:left="1800"/>
        <w:rPr>
          <w:color w:val="auto"/>
          <w:highlight w:val="none"/>
        </w:rPr>
      </w:pPr>
    </w:p>
    <w:p w14:paraId="30899038">
      <w:pPr>
        <w:spacing w:line="240" w:lineRule="exact"/>
        <w:ind w:left="1800"/>
        <w:rPr>
          <w:color w:val="auto"/>
          <w:highlight w:val="none"/>
        </w:rPr>
      </w:pPr>
    </w:p>
    <w:p w14:paraId="6145F03E">
      <w:pPr>
        <w:spacing w:line="240" w:lineRule="exact"/>
        <w:ind w:left="1800"/>
        <w:rPr>
          <w:color w:val="auto"/>
          <w:highlight w:val="none"/>
        </w:rPr>
      </w:pPr>
    </w:p>
    <w:p w14:paraId="4D27A1BE">
      <w:pPr>
        <w:spacing w:line="240" w:lineRule="exact"/>
        <w:ind w:left="1800"/>
        <w:rPr>
          <w:color w:val="auto"/>
          <w:highlight w:val="none"/>
        </w:rPr>
      </w:pPr>
    </w:p>
    <w:p w14:paraId="6653C98F">
      <w:pPr>
        <w:spacing w:line="240" w:lineRule="exact"/>
        <w:ind w:left="1800"/>
        <w:rPr>
          <w:color w:val="auto"/>
          <w:highlight w:val="none"/>
        </w:rPr>
      </w:pPr>
    </w:p>
    <w:p w14:paraId="60678190">
      <w:pPr>
        <w:spacing w:line="240" w:lineRule="exact"/>
        <w:ind w:left="1800"/>
        <w:rPr>
          <w:color w:val="auto"/>
          <w:highlight w:val="none"/>
        </w:rPr>
      </w:pPr>
    </w:p>
    <w:p w14:paraId="43329ABF">
      <w:pPr>
        <w:spacing w:line="240" w:lineRule="exact"/>
        <w:ind w:left="1800"/>
        <w:rPr>
          <w:color w:val="auto"/>
          <w:highlight w:val="none"/>
        </w:rPr>
      </w:pPr>
    </w:p>
    <w:p w14:paraId="3AAD4C2F">
      <w:pPr>
        <w:spacing w:line="240" w:lineRule="exact"/>
        <w:ind w:left="1800"/>
        <w:rPr>
          <w:color w:val="auto"/>
          <w:highlight w:val="none"/>
        </w:rPr>
      </w:pPr>
    </w:p>
    <w:p w14:paraId="28037B3D">
      <w:pPr>
        <w:spacing w:line="240" w:lineRule="exact"/>
        <w:ind w:left="1800"/>
        <w:rPr>
          <w:color w:val="auto"/>
          <w:highlight w:val="none"/>
        </w:rPr>
      </w:pPr>
    </w:p>
    <w:p w14:paraId="57F31B08">
      <w:pPr>
        <w:spacing w:line="240" w:lineRule="exact"/>
        <w:ind w:left="1800"/>
        <w:rPr>
          <w:color w:val="auto"/>
          <w:highlight w:val="none"/>
        </w:rPr>
      </w:pPr>
    </w:p>
    <w:p w14:paraId="7D4A023A">
      <w:pPr>
        <w:rPr>
          <w:color w:val="auto"/>
          <w:highlight w:val="none"/>
        </w:rPr>
      </w:pPr>
    </w:p>
    <w:p w14:paraId="69BCD3D4">
      <w:pPr>
        <w:rPr>
          <w:color w:val="auto"/>
          <w:highlight w:val="none"/>
        </w:rPr>
      </w:pPr>
    </w:p>
    <w:p w14:paraId="1FF2D649">
      <w:pPr>
        <w:rPr>
          <w:color w:val="auto"/>
          <w:highlight w:val="none"/>
        </w:rPr>
      </w:pPr>
    </w:p>
    <w:p w14:paraId="78863A47">
      <w:pPr>
        <w:rPr>
          <w:color w:val="auto"/>
          <w:highlight w:val="none"/>
        </w:rPr>
      </w:pPr>
    </w:p>
    <w:p w14:paraId="340B2EEA">
      <w:pPr>
        <w:rPr>
          <w:color w:val="auto"/>
          <w:highlight w:val="none"/>
        </w:rPr>
      </w:pPr>
    </w:p>
    <w:p w14:paraId="2D28DBB2">
      <w:pPr>
        <w:rPr>
          <w:color w:val="auto"/>
          <w:highlight w:val="none"/>
        </w:rPr>
      </w:pPr>
    </w:p>
    <w:p w14:paraId="13826750">
      <w:pPr>
        <w:rPr>
          <w:color w:val="auto"/>
          <w:highlight w:val="none"/>
        </w:rPr>
      </w:pPr>
    </w:p>
    <w:p w14:paraId="747ECF92">
      <w:pPr>
        <w:rPr>
          <w:color w:val="auto"/>
          <w:highlight w:val="none"/>
        </w:rPr>
      </w:pPr>
    </w:p>
    <w:p w14:paraId="2B217C90">
      <w:pPr>
        <w:rPr>
          <w:color w:val="auto"/>
          <w:highlight w:val="none"/>
        </w:rPr>
      </w:pPr>
    </w:p>
    <w:p w14:paraId="389B0CB2">
      <w:pPr>
        <w:rPr>
          <w:color w:val="auto"/>
          <w:highlight w:val="none"/>
        </w:rPr>
      </w:pPr>
    </w:p>
    <w:p w14:paraId="222946E9">
      <w:pPr>
        <w:rPr>
          <w:color w:val="auto"/>
          <w:highlight w:val="none"/>
        </w:rPr>
      </w:pPr>
    </w:p>
    <w:p w14:paraId="2AEF547D">
      <w:pPr>
        <w:spacing w:line="367" w:lineRule="exact"/>
        <w:jc w:val="center"/>
        <w:rPr>
          <w:rFonts w:ascii="微软雅黑" w:hAnsi="微软雅黑" w:cs="微软雅黑"/>
          <w:b/>
          <w:color w:val="auto"/>
          <w:sz w:val="28"/>
          <w:szCs w:val="28"/>
          <w:highlight w:val="none"/>
        </w:rPr>
      </w:pPr>
      <w:r>
        <w:rPr>
          <w:rFonts w:ascii="微软雅黑" w:hAnsi="微软雅黑" w:cs="微软雅黑"/>
          <w:b/>
          <w:color w:val="auto"/>
          <w:sz w:val="28"/>
          <w:szCs w:val="28"/>
          <w:highlight w:val="none"/>
        </w:rPr>
        <w:t>四</w:t>
      </w:r>
      <w:r>
        <w:rPr>
          <w:rFonts w:hint="eastAsia" w:ascii="微软雅黑" w:hAnsi="微软雅黑" w:cs="微软雅黑"/>
          <w:b/>
          <w:color w:val="auto"/>
          <w:sz w:val="28"/>
          <w:szCs w:val="28"/>
          <w:highlight w:val="none"/>
        </w:rPr>
        <w:t>、拟派项目负责人基本情况</w:t>
      </w:r>
    </w:p>
    <w:p w14:paraId="15A1C799">
      <w:pPr>
        <w:rPr>
          <w:color w:val="auto"/>
          <w:highlight w:val="none"/>
        </w:r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276"/>
        <w:gridCol w:w="80"/>
        <w:gridCol w:w="204"/>
        <w:gridCol w:w="1417"/>
        <w:gridCol w:w="1276"/>
        <w:gridCol w:w="1843"/>
        <w:gridCol w:w="1548"/>
      </w:tblGrid>
      <w:tr w14:paraId="3DE6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242" w:type="dxa"/>
            <w:vAlign w:val="center"/>
          </w:tcPr>
          <w:p w14:paraId="79332403">
            <w:pPr>
              <w:pStyle w:val="137"/>
              <w:jc w:val="center"/>
              <w:outlineLvl w:val="0"/>
              <w:rPr>
                <w:color w:val="auto"/>
                <w:szCs w:val="21"/>
                <w:highlight w:val="none"/>
              </w:rPr>
            </w:pPr>
            <w:r>
              <w:rPr>
                <w:color w:val="auto"/>
                <w:szCs w:val="21"/>
                <w:highlight w:val="none"/>
              </w:rPr>
              <w:t>姓  名</w:t>
            </w:r>
          </w:p>
        </w:tc>
        <w:tc>
          <w:tcPr>
            <w:tcW w:w="1560" w:type="dxa"/>
            <w:gridSpan w:val="3"/>
            <w:vAlign w:val="center"/>
          </w:tcPr>
          <w:p w14:paraId="178B15B4">
            <w:pPr>
              <w:pStyle w:val="137"/>
              <w:jc w:val="center"/>
              <w:outlineLvl w:val="0"/>
              <w:rPr>
                <w:color w:val="auto"/>
                <w:szCs w:val="21"/>
                <w:highlight w:val="none"/>
              </w:rPr>
            </w:pPr>
          </w:p>
        </w:tc>
        <w:tc>
          <w:tcPr>
            <w:tcW w:w="1417" w:type="dxa"/>
            <w:vAlign w:val="center"/>
          </w:tcPr>
          <w:p w14:paraId="00942FC9">
            <w:pPr>
              <w:pStyle w:val="137"/>
              <w:jc w:val="center"/>
              <w:outlineLvl w:val="0"/>
              <w:rPr>
                <w:rFonts w:ascii="宋体" w:hAnsi="宋体" w:cs="宋体"/>
                <w:color w:val="auto"/>
                <w:spacing w:val="-7"/>
                <w:highlight w:val="none"/>
              </w:rPr>
            </w:pPr>
            <w:r>
              <w:rPr>
                <w:rFonts w:ascii="宋体" w:hAnsi="宋体" w:cs="宋体"/>
                <w:color w:val="auto"/>
                <w:spacing w:val="-7"/>
                <w:highlight w:val="none"/>
              </w:rPr>
              <w:t>拟在本项目</w:t>
            </w:r>
          </w:p>
          <w:p w14:paraId="61AB83A9">
            <w:pPr>
              <w:pStyle w:val="137"/>
              <w:jc w:val="center"/>
              <w:outlineLvl w:val="0"/>
              <w:rPr>
                <w:color w:val="auto"/>
                <w:szCs w:val="21"/>
                <w:highlight w:val="none"/>
              </w:rPr>
            </w:pPr>
            <w:r>
              <w:rPr>
                <w:rFonts w:ascii="宋体" w:hAnsi="宋体" w:cs="宋体"/>
                <w:color w:val="auto"/>
                <w:spacing w:val="-7"/>
                <w:highlight w:val="none"/>
              </w:rPr>
              <w:t>任职</w:t>
            </w:r>
          </w:p>
        </w:tc>
        <w:tc>
          <w:tcPr>
            <w:tcW w:w="1276" w:type="dxa"/>
            <w:vAlign w:val="center"/>
          </w:tcPr>
          <w:p w14:paraId="5B8063B0">
            <w:pPr>
              <w:pStyle w:val="137"/>
              <w:jc w:val="center"/>
              <w:outlineLvl w:val="0"/>
              <w:rPr>
                <w:color w:val="auto"/>
                <w:szCs w:val="21"/>
                <w:highlight w:val="none"/>
              </w:rPr>
            </w:pPr>
            <w:r>
              <w:rPr>
                <w:color w:val="auto"/>
                <w:szCs w:val="21"/>
                <w:highlight w:val="none"/>
              </w:rPr>
              <w:t>项目</w:t>
            </w:r>
          </w:p>
          <w:p w14:paraId="30B9CA81">
            <w:pPr>
              <w:pStyle w:val="137"/>
              <w:jc w:val="center"/>
              <w:outlineLvl w:val="0"/>
              <w:rPr>
                <w:color w:val="auto"/>
                <w:szCs w:val="21"/>
                <w:highlight w:val="none"/>
              </w:rPr>
            </w:pPr>
            <w:r>
              <w:rPr>
                <w:color w:val="auto"/>
                <w:szCs w:val="21"/>
                <w:highlight w:val="none"/>
              </w:rPr>
              <w:t>负责人</w:t>
            </w:r>
          </w:p>
        </w:tc>
        <w:tc>
          <w:tcPr>
            <w:tcW w:w="1843" w:type="dxa"/>
            <w:vAlign w:val="center"/>
          </w:tcPr>
          <w:p w14:paraId="1A01C5E9">
            <w:pPr>
              <w:pStyle w:val="137"/>
              <w:jc w:val="center"/>
              <w:outlineLvl w:val="0"/>
              <w:rPr>
                <w:color w:val="auto"/>
                <w:szCs w:val="21"/>
                <w:highlight w:val="none"/>
              </w:rPr>
            </w:pPr>
            <w:r>
              <w:rPr>
                <w:rFonts w:hint="eastAsia" w:ascii="宋体" w:hAnsi="宋体" w:cs="宋体"/>
                <w:color w:val="auto"/>
                <w:spacing w:val="-7"/>
                <w:highlight w:val="none"/>
              </w:rPr>
              <w:t>从业</w:t>
            </w:r>
            <w:r>
              <w:rPr>
                <w:rFonts w:ascii="宋体" w:hAnsi="宋体" w:cs="宋体"/>
                <w:color w:val="auto"/>
                <w:spacing w:val="-7"/>
                <w:highlight w:val="none"/>
              </w:rPr>
              <w:t>时间</w:t>
            </w:r>
          </w:p>
        </w:tc>
        <w:tc>
          <w:tcPr>
            <w:tcW w:w="1548" w:type="dxa"/>
          </w:tcPr>
          <w:p w14:paraId="799F5803">
            <w:pPr>
              <w:pStyle w:val="137"/>
              <w:outlineLvl w:val="0"/>
              <w:rPr>
                <w:color w:val="auto"/>
                <w:szCs w:val="21"/>
                <w:highlight w:val="none"/>
              </w:rPr>
            </w:pPr>
          </w:p>
        </w:tc>
      </w:tr>
      <w:tr w14:paraId="70C9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242" w:type="dxa"/>
            <w:vAlign w:val="center"/>
          </w:tcPr>
          <w:p w14:paraId="3A8FF5A0">
            <w:pPr>
              <w:pStyle w:val="137"/>
              <w:jc w:val="center"/>
              <w:outlineLvl w:val="0"/>
              <w:rPr>
                <w:color w:val="auto"/>
                <w:szCs w:val="21"/>
                <w:highlight w:val="none"/>
              </w:rPr>
            </w:pPr>
            <w:r>
              <w:rPr>
                <w:color w:val="auto"/>
                <w:szCs w:val="21"/>
                <w:highlight w:val="none"/>
              </w:rPr>
              <w:t>学</w:t>
            </w:r>
            <w:r>
              <w:rPr>
                <w:rFonts w:hint="eastAsia"/>
                <w:color w:val="auto"/>
                <w:szCs w:val="21"/>
                <w:highlight w:val="none"/>
              </w:rPr>
              <w:t xml:space="preserve"> </w:t>
            </w:r>
            <w:r>
              <w:rPr>
                <w:color w:val="auto"/>
                <w:szCs w:val="21"/>
                <w:highlight w:val="none"/>
              </w:rPr>
              <w:t xml:space="preserve"> 历</w:t>
            </w:r>
          </w:p>
        </w:tc>
        <w:tc>
          <w:tcPr>
            <w:tcW w:w="1560" w:type="dxa"/>
            <w:gridSpan w:val="3"/>
            <w:vAlign w:val="center"/>
          </w:tcPr>
          <w:p w14:paraId="6080BC75">
            <w:pPr>
              <w:pStyle w:val="137"/>
              <w:jc w:val="center"/>
              <w:outlineLvl w:val="0"/>
              <w:rPr>
                <w:color w:val="auto"/>
                <w:szCs w:val="21"/>
                <w:highlight w:val="none"/>
              </w:rPr>
            </w:pPr>
          </w:p>
        </w:tc>
        <w:tc>
          <w:tcPr>
            <w:tcW w:w="1417" w:type="dxa"/>
            <w:vAlign w:val="center"/>
          </w:tcPr>
          <w:p w14:paraId="3E4327C4">
            <w:pPr>
              <w:pStyle w:val="137"/>
              <w:jc w:val="center"/>
              <w:outlineLvl w:val="0"/>
              <w:rPr>
                <w:color w:val="auto"/>
                <w:szCs w:val="21"/>
                <w:highlight w:val="none"/>
              </w:rPr>
            </w:pPr>
            <w:r>
              <w:rPr>
                <w:rFonts w:hint="eastAsia" w:ascii="宋体" w:hAnsi="宋体" w:cs="宋体"/>
                <w:color w:val="auto"/>
                <w:spacing w:val="-7"/>
                <w:highlight w:val="none"/>
              </w:rPr>
              <w:t xml:space="preserve">专 </w:t>
            </w:r>
            <w:r>
              <w:rPr>
                <w:rFonts w:ascii="宋体" w:hAnsi="宋体" w:cs="宋体"/>
                <w:color w:val="auto"/>
                <w:spacing w:val="-7"/>
                <w:highlight w:val="none"/>
              </w:rPr>
              <w:t xml:space="preserve"> </w:t>
            </w:r>
            <w:r>
              <w:rPr>
                <w:rFonts w:hint="eastAsia" w:ascii="宋体" w:hAnsi="宋体" w:cs="宋体"/>
                <w:color w:val="auto"/>
                <w:spacing w:val="-7"/>
                <w:highlight w:val="none"/>
              </w:rPr>
              <w:t>业</w:t>
            </w:r>
          </w:p>
        </w:tc>
        <w:tc>
          <w:tcPr>
            <w:tcW w:w="1276" w:type="dxa"/>
            <w:vAlign w:val="center"/>
          </w:tcPr>
          <w:p w14:paraId="5E62F68C">
            <w:pPr>
              <w:pStyle w:val="137"/>
              <w:jc w:val="center"/>
              <w:outlineLvl w:val="0"/>
              <w:rPr>
                <w:color w:val="auto"/>
                <w:szCs w:val="21"/>
                <w:highlight w:val="none"/>
              </w:rPr>
            </w:pPr>
          </w:p>
        </w:tc>
        <w:tc>
          <w:tcPr>
            <w:tcW w:w="1843" w:type="dxa"/>
            <w:vAlign w:val="center"/>
          </w:tcPr>
          <w:p w14:paraId="014A08F8">
            <w:pPr>
              <w:pStyle w:val="137"/>
              <w:jc w:val="center"/>
              <w:outlineLvl w:val="0"/>
              <w:rPr>
                <w:color w:val="auto"/>
                <w:szCs w:val="21"/>
                <w:highlight w:val="none"/>
              </w:rPr>
            </w:pPr>
            <w:r>
              <w:rPr>
                <w:color w:val="auto"/>
                <w:szCs w:val="21"/>
                <w:highlight w:val="none"/>
              </w:rPr>
              <w:t>职</w:t>
            </w:r>
            <w:r>
              <w:rPr>
                <w:rFonts w:hint="eastAsia"/>
                <w:color w:val="auto"/>
                <w:szCs w:val="21"/>
                <w:highlight w:val="none"/>
              </w:rPr>
              <w:t xml:space="preserve"> </w:t>
            </w:r>
            <w:r>
              <w:rPr>
                <w:color w:val="auto"/>
                <w:szCs w:val="21"/>
                <w:highlight w:val="none"/>
              </w:rPr>
              <w:t xml:space="preserve"> 称</w:t>
            </w:r>
          </w:p>
        </w:tc>
        <w:tc>
          <w:tcPr>
            <w:tcW w:w="1548" w:type="dxa"/>
            <w:vAlign w:val="center"/>
          </w:tcPr>
          <w:p w14:paraId="62A10B76">
            <w:pPr>
              <w:pStyle w:val="137"/>
              <w:jc w:val="center"/>
              <w:outlineLvl w:val="0"/>
              <w:rPr>
                <w:color w:val="auto"/>
                <w:szCs w:val="21"/>
                <w:highlight w:val="none"/>
              </w:rPr>
            </w:pPr>
          </w:p>
        </w:tc>
      </w:tr>
      <w:tr w14:paraId="2BDF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242" w:type="dxa"/>
            <w:vAlign w:val="center"/>
          </w:tcPr>
          <w:p w14:paraId="29D600B8">
            <w:pPr>
              <w:pStyle w:val="137"/>
              <w:jc w:val="center"/>
              <w:outlineLvl w:val="0"/>
              <w:rPr>
                <w:color w:val="auto"/>
                <w:szCs w:val="21"/>
                <w:highlight w:val="none"/>
              </w:rPr>
            </w:pPr>
            <w:r>
              <w:rPr>
                <w:color w:val="auto"/>
                <w:szCs w:val="21"/>
                <w:highlight w:val="none"/>
              </w:rPr>
              <w:t>身份证号</w:t>
            </w:r>
          </w:p>
        </w:tc>
        <w:tc>
          <w:tcPr>
            <w:tcW w:w="4253" w:type="dxa"/>
            <w:gridSpan w:val="5"/>
            <w:vAlign w:val="center"/>
          </w:tcPr>
          <w:p w14:paraId="53CEA371">
            <w:pPr>
              <w:pStyle w:val="137"/>
              <w:jc w:val="center"/>
              <w:outlineLvl w:val="0"/>
              <w:rPr>
                <w:color w:val="auto"/>
                <w:szCs w:val="21"/>
                <w:highlight w:val="none"/>
              </w:rPr>
            </w:pPr>
          </w:p>
        </w:tc>
        <w:tc>
          <w:tcPr>
            <w:tcW w:w="1843" w:type="dxa"/>
            <w:vAlign w:val="center"/>
          </w:tcPr>
          <w:p w14:paraId="44E77289">
            <w:pPr>
              <w:pStyle w:val="137"/>
              <w:jc w:val="center"/>
              <w:outlineLvl w:val="0"/>
              <w:rPr>
                <w:color w:val="auto"/>
                <w:szCs w:val="21"/>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48" w:type="dxa"/>
            <w:vAlign w:val="center"/>
          </w:tcPr>
          <w:p w14:paraId="106EF6F5">
            <w:pPr>
              <w:pStyle w:val="137"/>
              <w:jc w:val="center"/>
              <w:outlineLvl w:val="0"/>
              <w:rPr>
                <w:color w:val="auto"/>
                <w:szCs w:val="21"/>
                <w:highlight w:val="none"/>
              </w:rPr>
            </w:pPr>
          </w:p>
        </w:tc>
      </w:tr>
      <w:tr w14:paraId="7CDF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242" w:type="dxa"/>
            <w:vAlign w:val="center"/>
          </w:tcPr>
          <w:p w14:paraId="6FDD5A33">
            <w:pPr>
              <w:pStyle w:val="137"/>
              <w:jc w:val="center"/>
              <w:outlineLvl w:val="0"/>
              <w:rPr>
                <w:rFonts w:ascii="宋体" w:hAnsi="宋体" w:cs="宋体"/>
                <w:color w:val="auto"/>
                <w:spacing w:val="-7"/>
                <w:highlight w:val="none"/>
              </w:rPr>
            </w:pPr>
            <w:r>
              <w:rPr>
                <w:color w:val="auto"/>
                <w:szCs w:val="21"/>
                <w:highlight w:val="none"/>
              </w:rPr>
              <w:t>毕业学校</w:t>
            </w:r>
          </w:p>
        </w:tc>
        <w:tc>
          <w:tcPr>
            <w:tcW w:w="4253" w:type="dxa"/>
            <w:gridSpan w:val="5"/>
            <w:vAlign w:val="center"/>
          </w:tcPr>
          <w:p w14:paraId="69355CC0">
            <w:pPr>
              <w:pStyle w:val="137"/>
              <w:jc w:val="center"/>
              <w:outlineLvl w:val="0"/>
              <w:rPr>
                <w:color w:val="auto"/>
                <w:szCs w:val="21"/>
                <w:highlight w:val="none"/>
              </w:rPr>
            </w:pPr>
          </w:p>
        </w:tc>
        <w:tc>
          <w:tcPr>
            <w:tcW w:w="1843" w:type="dxa"/>
            <w:vAlign w:val="center"/>
          </w:tcPr>
          <w:p w14:paraId="5E49896B">
            <w:pPr>
              <w:pStyle w:val="137"/>
              <w:jc w:val="center"/>
              <w:outlineLvl w:val="0"/>
              <w:rPr>
                <w:rFonts w:ascii="宋体" w:hAnsi="宋体" w:cs="宋体"/>
                <w:color w:val="auto"/>
                <w:spacing w:val="-7"/>
                <w:highlight w:val="none"/>
              </w:rPr>
            </w:pPr>
            <w:r>
              <w:rPr>
                <w:rFonts w:ascii="宋体" w:hAnsi="宋体" w:cs="宋体"/>
                <w:color w:val="auto"/>
                <w:spacing w:val="-7"/>
                <w:highlight w:val="none"/>
              </w:rPr>
              <w:t>毕业时间</w:t>
            </w:r>
          </w:p>
        </w:tc>
        <w:tc>
          <w:tcPr>
            <w:tcW w:w="1548" w:type="dxa"/>
            <w:vAlign w:val="center"/>
          </w:tcPr>
          <w:p w14:paraId="3F1338E3">
            <w:pPr>
              <w:pStyle w:val="137"/>
              <w:jc w:val="center"/>
              <w:outlineLvl w:val="0"/>
              <w:rPr>
                <w:color w:val="auto"/>
                <w:szCs w:val="21"/>
                <w:highlight w:val="none"/>
              </w:rPr>
            </w:pPr>
          </w:p>
        </w:tc>
      </w:tr>
      <w:tr w14:paraId="65F5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98" w:type="dxa"/>
            <w:gridSpan w:val="3"/>
            <w:vAlign w:val="center"/>
          </w:tcPr>
          <w:p w14:paraId="03A89223">
            <w:pPr>
              <w:pStyle w:val="137"/>
              <w:jc w:val="center"/>
              <w:outlineLvl w:val="0"/>
              <w:rPr>
                <w:color w:val="auto"/>
                <w:szCs w:val="21"/>
                <w:highlight w:val="none"/>
              </w:rPr>
            </w:pPr>
            <w:r>
              <w:rPr>
                <w:rFonts w:hint="eastAsia" w:ascii="宋体" w:hAnsi="宋体" w:cs="宋体"/>
                <w:color w:val="auto"/>
                <w:spacing w:val="-7"/>
                <w:highlight w:val="none"/>
              </w:rPr>
              <w:t>注册类型及等级</w:t>
            </w:r>
          </w:p>
        </w:tc>
        <w:tc>
          <w:tcPr>
            <w:tcW w:w="2897" w:type="dxa"/>
            <w:gridSpan w:val="3"/>
            <w:vAlign w:val="center"/>
          </w:tcPr>
          <w:p w14:paraId="32D85AD7">
            <w:pPr>
              <w:pStyle w:val="137"/>
              <w:jc w:val="center"/>
              <w:outlineLvl w:val="0"/>
              <w:rPr>
                <w:color w:val="auto"/>
                <w:szCs w:val="21"/>
                <w:highlight w:val="none"/>
              </w:rPr>
            </w:pPr>
            <w:r>
              <w:rPr>
                <w:rFonts w:hint="eastAsia"/>
                <w:color w:val="auto"/>
                <w:szCs w:val="21"/>
                <w:highlight w:val="none"/>
              </w:rPr>
              <w:t>注册</w:t>
            </w:r>
            <w:r>
              <w:rPr>
                <w:color w:val="auto"/>
                <w:szCs w:val="21"/>
                <w:highlight w:val="none"/>
              </w:rPr>
              <w:t>证书编号</w:t>
            </w:r>
          </w:p>
        </w:tc>
        <w:tc>
          <w:tcPr>
            <w:tcW w:w="1843" w:type="dxa"/>
            <w:vAlign w:val="center"/>
          </w:tcPr>
          <w:p w14:paraId="022A0FB2">
            <w:pPr>
              <w:pStyle w:val="137"/>
              <w:jc w:val="center"/>
              <w:outlineLvl w:val="0"/>
              <w:rPr>
                <w:rFonts w:ascii="宋体" w:hAnsi="宋体" w:cs="宋体"/>
                <w:color w:val="auto"/>
                <w:spacing w:val="-7"/>
                <w:highlight w:val="none"/>
              </w:rPr>
            </w:pPr>
            <w:r>
              <w:rPr>
                <w:rFonts w:hint="eastAsia"/>
                <w:color w:val="auto"/>
                <w:szCs w:val="21"/>
                <w:highlight w:val="none"/>
              </w:rPr>
              <w:t>发证</w:t>
            </w:r>
            <w:r>
              <w:rPr>
                <w:color w:val="auto"/>
                <w:szCs w:val="21"/>
                <w:highlight w:val="none"/>
              </w:rPr>
              <w:t>日期</w:t>
            </w:r>
          </w:p>
        </w:tc>
        <w:tc>
          <w:tcPr>
            <w:tcW w:w="1548" w:type="dxa"/>
            <w:vAlign w:val="center"/>
          </w:tcPr>
          <w:p w14:paraId="47D2E9ED">
            <w:pPr>
              <w:pStyle w:val="137"/>
              <w:jc w:val="center"/>
              <w:outlineLvl w:val="0"/>
              <w:rPr>
                <w:color w:val="auto"/>
                <w:szCs w:val="21"/>
                <w:highlight w:val="none"/>
              </w:rPr>
            </w:pPr>
            <w:r>
              <w:rPr>
                <w:rFonts w:hint="eastAsia"/>
                <w:color w:val="auto"/>
                <w:szCs w:val="21"/>
                <w:highlight w:val="none"/>
              </w:rPr>
              <w:t>有效</w:t>
            </w:r>
            <w:r>
              <w:rPr>
                <w:color w:val="auto"/>
                <w:szCs w:val="21"/>
                <w:highlight w:val="none"/>
              </w:rPr>
              <w:t>期</w:t>
            </w:r>
          </w:p>
        </w:tc>
      </w:tr>
      <w:tr w14:paraId="338E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98" w:type="dxa"/>
            <w:gridSpan w:val="3"/>
            <w:vAlign w:val="center"/>
          </w:tcPr>
          <w:p w14:paraId="0FF82DA4">
            <w:pPr>
              <w:pStyle w:val="137"/>
              <w:jc w:val="center"/>
              <w:outlineLvl w:val="0"/>
              <w:rPr>
                <w:rFonts w:ascii="宋体" w:hAnsi="宋体" w:cs="宋体"/>
                <w:color w:val="auto"/>
                <w:spacing w:val="-7"/>
                <w:highlight w:val="none"/>
              </w:rPr>
            </w:pPr>
          </w:p>
        </w:tc>
        <w:tc>
          <w:tcPr>
            <w:tcW w:w="2897" w:type="dxa"/>
            <w:gridSpan w:val="3"/>
            <w:vAlign w:val="center"/>
          </w:tcPr>
          <w:p w14:paraId="6B3BEC72">
            <w:pPr>
              <w:pStyle w:val="137"/>
              <w:jc w:val="center"/>
              <w:outlineLvl w:val="0"/>
              <w:rPr>
                <w:color w:val="auto"/>
                <w:szCs w:val="21"/>
                <w:highlight w:val="none"/>
              </w:rPr>
            </w:pPr>
          </w:p>
        </w:tc>
        <w:tc>
          <w:tcPr>
            <w:tcW w:w="1843" w:type="dxa"/>
            <w:vAlign w:val="center"/>
          </w:tcPr>
          <w:p w14:paraId="4ADECEC1">
            <w:pPr>
              <w:pStyle w:val="137"/>
              <w:jc w:val="center"/>
              <w:outlineLvl w:val="0"/>
              <w:rPr>
                <w:color w:val="auto"/>
                <w:szCs w:val="21"/>
                <w:highlight w:val="none"/>
              </w:rPr>
            </w:pPr>
          </w:p>
        </w:tc>
        <w:tc>
          <w:tcPr>
            <w:tcW w:w="1548" w:type="dxa"/>
            <w:vAlign w:val="center"/>
          </w:tcPr>
          <w:p w14:paraId="2818030A">
            <w:pPr>
              <w:pStyle w:val="137"/>
              <w:jc w:val="center"/>
              <w:outlineLvl w:val="0"/>
              <w:rPr>
                <w:color w:val="auto"/>
                <w:szCs w:val="21"/>
                <w:highlight w:val="none"/>
              </w:rPr>
            </w:pPr>
          </w:p>
        </w:tc>
      </w:tr>
      <w:tr w14:paraId="6176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886" w:type="dxa"/>
            <w:gridSpan w:val="8"/>
            <w:vAlign w:val="center"/>
          </w:tcPr>
          <w:p w14:paraId="7703DD36">
            <w:pPr>
              <w:pStyle w:val="137"/>
              <w:jc w:val="center"/>
              <w:outlineLvl w:val="0"/>
              <w:rPr>
                <w:color w:val="auto"/>
                <w:szCs w:val="21"/>
                <w:highlight w:val="none"/>
              </w:rPr>
            </w:pPr>
            <w:r>
              <w:rPr>
                <w:rFonts w:ascii="宋体" w:hAnsi="宋体" w:cs="宋体"/>
                <w:color w:val="auto"/>
                <w:spacing w:val="-7"/>
                <w:highlight w:val="none"/>
              </w:rPr>
              <w:t>已完成和正在实施或新承接的类似</w:t>
            </w:r>
            <w:r>
              <w:rPr>
                <w:rFonts w:hint="eastAsia" w:ascii="宋体" w:hAnsi="宋体" w:cs="宋体"/>
                <w:color w:val="auto"/>
                <w:spacing w:val="-7"/>
                <w:highlight w:val="none"/>
              </w:rPr>
              <w:t>项目</w:t>
            </w:r>
            <w:r>
              <w:rPr>
                <w:rFonts w:ascii="宋体" w:hAnsi="宋体" w:cs="宋体"/>
                <w:color w:val="auto"/>
                <w:spacing w:val="-7"/>
                <w:highlight w:val="none"/>
              </w:rPr>
              <w:t>情况</w:t>
            </w:r>
          </w:p>
        </w:tc>
      </w:tr>
      <w:tr w14:paraId="3273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59BB1D9B">
            <w:pPr>
              <w:pStyle w:val="137"/>
              <w:jc w:val="center"/>
              <w:outlineLvl w:val="0"/>
              <w:rPr>
                <w:color w:val="auto"/>
                <w:szCs w:val="21"/>
                <w:highlight w:val="none"/>
              </w:rPr>
            </w:pPr>
            <w:r>
              <w:rPr>
                <w:color w:val="auto"/>
                <w:szCs w:val="21"/>
                <w:highlight w:val="none"/>
              </w:rPr>
              <w:t>合同签订时间</w:t>
            </w:r>
          </w:p>
        </w:tc>
        <w:tc>
          <w:tcPr>
            <w:tcW w:w="1276" w:type="dxa"/>
            <w:vAlign w:val="center"/>
          </w:tcPr>
          <w:p w14:paraId="4B64102C">
            <w:pPr>
              <w:pStyle w:val="137"/>
              <w:jc w:val="center"/>
              <w:outlineLvl w:val="0"/>
              <w:rPr>
                <w:color w:val="auto"/>
                <w:szCs w:val="21"/>
                <w:highlight w:val="none"/>
              </w:rPr>
            </w:pPr>
            <w:r>
              <w:rPr>
                <w:rFonts w:hint="eastAsia"/>
                <w:color w:val="auto"/>
                <w:szCs w:val="21"/>
                <w:highlight w:val="none"/>
              </w:rPr>
              <w:t>项目完成</w:t>
            </w:r>
            <w:r>
              <w:rPr>
                <w:color w:val="auto"/>
                <w:szCs w:val="21"/>
                <w:highlight w:val="none"/>
              </w:rPr>
              <w:t>时间</w:t>
            </w:r>
          </w:p>
        </w:tc>
        <w:tc>
          <w:tcPr>
            <w:tcW w:w="1701" w:type="dxa"/>
            <w:gridSpan w:val="3"/>
            <w:vAlign w:val="center"/>
          </w:tcPr>
          <w:p w14:paraId="1AE77D67">
            <w:pPr>
              <w:pStyle w:val="137"/>
              <w:jc w:val="center"/>
              <w:outlineLvl w:val="0"/>
              <w:rPr>
                <w:color w:val="auto"/>
                <w:szCs w:val="21"/>
                <w:highlight w:val="none"/>
              </w:rPr>
            </w:pPr>
            <w:r>
              <w:rPr>
                <w:color w:val="auto"/>
                <w:szCs w:val="21"/>
                <w:highlight w:val="none"/>
              </w:rPr>
              <w:t>项目名称</w:t>
            </w:r>
          </w:p>
        </w:tc>
        <w:tc>
          <w:tcPr>
            <w:tcW w:w="1276" w:type="dxa"/>
            <w:vAlign w:val="center"/>
          </w:tcPr>
          <w:p w14:paraId="4492C8FC">
            <w:pPr>
              <w:pStyle w:val="137"/>
              <w:jc w:val="center"/>
              <w:outlineLvl w:val="0"/>
              <w:rPr>
                <w:color w:val="auto"/>
                <w:szCs w:val="21"/>
                <w:highlight w:val="none"/>
              </w:rPr>
            </w:pPr>
            <w:r>
              <w:rPr>
                <w:color w:val="auto"/>
                <w:szCs w:val="21"/>
                <w:highlight w:val="none"/>
              </w:rPr>
              <w:t>担任角色</w:t>
            </w:r>
          </w:p>
        </w:tc>
        <w:tc>
          <w:tcPr>
            <w:tcW w:w="1843" w:type="dxa"/>
            <w:vAlign w:val="center"/>
          </w:tcPr>
          <w:p w14:paraId="5011CB52">
            <w:pPr>
              <w:pStyle w:val="137"/>
              <w:jc w:val="center"/>
              <w:outlineLvl w:val="0"/>
              <w:rPr>
                <w:color w:val="auto"/>
                <w:szCs w:val="21"/>
                <w:highlight w:val="none"/>
              </w:rPr>
            </w:pPr>
            <w:r>
              <w:rPr>
                <w:color w:val="auto"/>
                <w:szCs w:val="21"/>
                <w:highlight w:val="none"/>
              </w:rPr>
              <w:t>合同金额</w:t>
            </w:r>
            <w:r>
              <w:rPr>
                <w:rFonts w:hint="eastAsia"/>
                <w:color w:val="auto"/>
                <w:szCs w:val="21"/>
                <w:highlight w:val="none"/>
              </w:rPr>
              <w:t>（元）</w:t>
            </w:r>
          </w:p>
        </w:tc>
        <w:tc>
          <w:tcPr>
            <w:tcW w:w="1548" w:type="dxa"/>
            <w:vAlign w:val="center"/>
          </w:tcPr>
          <w:p w14:paraId="3381F673">
            <w:pPr>
              <w:pStyle w:val="137"/>
              <w:jc w:val="center"/>
              <w:outlineLvl w:val="0"/>
              <w:rPr>
                <w:color w:val="auto"/>
                <w:szCs w:val="21"/>
                <w:highlight w:val="none"/>
              </w:rPr>
            </w:pPr>
            <w:r>
              <w:rPr>
                <w:color w:val="auto"/>
                <w:szCs w:val="21"/>
                <w:highlight w:val="none"/>
              </w:rPr>
              <w:t>项目规模</w:t>
            </w:r>
          </w:p>
        </w:tc>
      </w:tr>
      <w:tr w14:paraId="5D28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7F386121">
            <w:pPr>
              <w:pStyle w:val="137"/>
              <w:jc w:val="center"/>
              <w:outlineLvl w:val="0"/>
              <w:rPr>
                <w:color w:val="auto"/>
                <w:szCs w:val="21"/>
                <w:highlight w:val="none"/>
              </w:rPr>
            </w:pPr>
          </w:p>
        </w:tc>
        <w:tc>
          <w:tcPr>
            <w:tcW w:w="1276" w:type="dxa"/>
            <w:vAlign w:val="center"/>
          </w:tcPr>
          <w:p w14:paraId="21CC6A41">
            <w:pPr>
              <w:pStyle w:val="137"/>
              <w:jc w:val="center"/>
              <w:outlineLvl w:val="0"/>
              <w:rPr>
                <w:color w:val="auto"/>
                <w:szCs w:val="21"/>
                <w:highlight w:val="none"/>
              </w:rPr>
            </w:pPr>
          </w:p>
        </w:tc>
        <w:tc>
          <w:tcPr>
            <w:tcW w:w="1701" w:type="dxa"/>
            <w:gridSpan w:val="3"/>
            <w:vAlign w:val="center"/>
          </w:tcPr>
          <w:p w14:paraId="66C7E719">
            <w:pPr>
              <w:pStyle w:val="137"/>
              <w:jc w:val="center"/>
              <w:outlineLvl w:val="0"/>
              <w:rPr>
                <w:color w:val="auto"/>
                <w:szCs w:val="21"/>
                <w:highlight w:val="none"/>
              </w:rPr>
            </w:pPr>
          </w:p>
        </w:tc>
        <w:tc>
          <w:tcPr>
            <w:tcW w:w="1276" w:type="dxa"/>
            <w:vAlign w:val="center"/>
          </w:tcPr>
          <w:p w14:paraId="2CFAEA2A">
            <w:pPr>
              <w:pStyle w:val="137"/>
              <w:jc w:val="center"/>
              <w:outlineLvl w:val="0"/>
              <w:rPr>
                <w:color w:val="auto"/>
                <w:szCs w:val="21"/>
                <w:highlight w:val="none"/>
              </w:rPr>
            </w:pPr>
          </w:p>
        </w:tc>
        <w:tc>
          <w:tcPr>
            <w:tcW w:w="1843" w:type="dxa"/>
            <w:vAlign w:val="center"/>
          </w:tcPr>
          <w:p w14:paraId="1329C810">
            <w:pPr>
              <w:pStyle w:val="137"/>
              <w:jc w:val="center"/>
              <w:outlineLvl w:val="0"/>
              <w:rPr>
                <w:color w:val="auto"/>
                <w:szCs w:val="21"/>
                <w:highlight w:val="none"/>
              </w:rPr>
            </w:pPr>
          </w:p>
        </w:tc>
        <w:tc>
          <w:tcPr>
            <w:tcW w:w="1548" w:type="dxa"/>
            <w:vAlign w:val="center"/>
          </w:tcPr>
          <w:p w14:paraId="23E4BE0A">
            <w:pPr>
              <w:pStyle w:val="137"/>
              <w:jc w:val="center"/>
              <w:outlineLvl w:val="0"/>
              <w:rPr>
                <w:color w:val="auto"/>
                <w:szCs w:val="21"/>
                <w:highlight w:val="none"/>
              </w:rPr>
            </w:pPr>
          </w:p>
        </w:tc>
      </w:tr>
      <w:tr w14:paraId="7663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406B656D">
            <w:pPr>
              <w:pStyle w:val="137"/>
              <w:jc w:val="center"/>
              <w:outlineLvl w:val="0"/>
              <w:rPr>
                <w:color w:val="auto"/>
                <w:szCs w:val="21"/>
                <w:highlight w:val="none"/>
              </w:rPr>
            </w:pPr>
          </w:p>
        </w:tc>
        <w:tc>
          <w:tcPr>
            <w:tcW w:w="1276" w:type="dxa"/>
            <w:vAlign w:val="center"/>
          </w:tcPr>
          <w:p w14:paraId="73088CDD">
            <w:pPr>
              <w:pStyle w:val="137"/>
              <w:jc w:val="center"/>
              <w:outlineLvl w:val="0"/>
              <w:rPr>
                <w:color w:val="auto"/>
                <w:szCs w:val="21"/>
                <w:highlight w:val="none"/>
              </w:rPr>
            </w:pPr>
          </w:p>
        </w:tc>
        <w:tc>
          <w:tcPr>
            <w:tcW w:w="1701" w:type="dxa"/>
            <w:gridSpan w:val="3"/>
            <w:vAlign w:val="center"/>
          </w:tcPr>
          <w:p w14:paraId="1C64F5C9">
            <w:pPr>
              <w:pStyle w:val="137"/>
              <w:jc w:val="center"/>
              <w:outlineLvl w:val="0"/>
              <w:rPr>
                <w:color w:val="auto"/>
                <w:szCs w:val="21"/>
                <w:highlight w:val="none"/>
              </w:rPr>
            </w:pPr>
          </w:p>
        </w:tc>
        <w:tc>
          <w:tcPr>
            <w:tcW w:w="1276" w:type="dxa"/>
            <w:vAlign w:val="center"/>
          </w:tcPr>
          <w:p w14:paraId="18892950">
            <w:pPr>
              <w:pStyle w:val="137"/>
              <w:jc w:val="center"/>
              <w:outlineLvl w:val="0"/>
              <w:rPr>
                <w:color w:val="auto"/>
                <w:szCs w:val="21"/>
                <w:highlight w:val="none"/>
              </w:rPr>
            </w:pPr>
          </w:p>
        </w:tc>
        <w:tc>
          <w:tcPr>
            <w:tcW w:w="1843" w:type="dxa"/>
            <w:vAlign w:val="center"/>
          </w:tcPr>
          <w:p w14:paraId="30459619">
            <w:pPr>
              <w:pStyle w:val="137"/>
              <w:jc w:val="center"/>
              <w:outlineLvl w:val="0"/>
              <w:rPr>
                <w:color w:val="auto"/>
                <w:szCs w:val="21"/>
                <w:highlight w:val="none"/>
              </w:rPr>
            </w:pPr>
          </w:p>
        </w:tc>
        <w:tc>
          <w:tcPr>
            <w:tcW w:w="1548" w:type="dxa"/>
            <w:vAlign w:val="center"/>
          </w:tcPr>
          <w:p w14:paraId="51C37A00">
            <w:pPr>
              <w:pStyle w:val="137"/>
              <w:jc w:val="center"/>
              <w:outlineLvl w:val="0"/>
              <w:rPr>
                <w:color w:val="auto"/>
                <w:szCs w:val="21"/>
                <w:highlight w:val="none"/>
              </w:rPr>
            </w:pPr>
          </w:p>
        </w:tc>
      </w:tr>
      <w:tr w14:paraId="2162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0D7F5EAC">
            <w:pPr>
              <w:pStyle w:val="137"/>
              <w:jc w:val="center"/>
              <w:outlineLvl w:val="0"/>
              <w:rPr>
                <w:color w:val="auto"/>
                <w:szCs w:val="21"/>
                <w:highlight w:val="none"/>
              </w:rPr>
            </w:pPr>
          </w:p>
        </w:tc>
        <w:tc>
          <w:tcPr>
            <w:tcW w:w="1276" w:type="dxa"/>
            <w:vAlign w:val="center"/>
          </w:tcPr>
          <w:p w14:paraId="74504B9C">
            <w:pPr>
              <w:pStyle w:val="137"/>
              <w:jc w:val="center"/>
              <w:outlineLvl w:val="0"/>
              <w:rPr>
                <w:color w:val="auto"/>
                <w:szCs w:val="21"/>
                <w:highlight w:val="none"/>
              </w:rPr>
            </w:pPr>
          </w:p>
        </w:tc>
        <w:tc>
          <w:tcPr>
            <w:tcW w:w="1701" w:type="dxa"/>
            <w:gridSpan w:val="3"/>
            <w:vAlign w:val="center"/>
          </w:tcPr>
          <w:p w14:paraId="77DFF9B2">
            <w:pPr>
              <w:pStyle w:val="137"/>
              <w:jc w:val="center"/>
              <w:outlineLvl w:val="0"/>
              <w:rPr>
                <w:color w:val="auto"/>
                <w:szCs w:val="21"/>
                <w:highlight w:val="none"/>
              </w:rPr>
            </w:pPr>
          </w:p>
        </w:tc>
        <w:tc>
          <w:tcPr>
            <w:tcW w:w="1276" w:type="dxa"/>
            <w:vAlign w:val="center"/>
          </w:tcPr>
          <w:p w14:paraId="5ED1D8B1">
            <w:pPr>
              <w:pStyle w:val="137"/>
              <w:jc w:val="center"/>
              <w:outlineLvl w:val="0"/>
              <w:rPr>
                <w:color w:val="auto"/>
                <w:szCs w:val="21"/>
                <w:highlight w:val="none"/>
              </w:rPr>
            </w:pPr>
          </w:p>
        </w:tc>
        <w:tc>
          <w:tcPr>
            <w:tcW w:w="1843" w:type="dxa"/>
            <w:vAlign w:val="center"/>
          </w:tcPr>
          <w:p w14:paraId="0EFF7F28">
            <w:pPr>
              <w:pStyle w:val="137"/>
              <w:jc w:val="center"/>
              <w:outlineLvl w:val="0"/>
              <w:rPr>
                <w:color w:val="auto"/>
                <w:szCs w:val="21"/>
                <w:highlight w:val="none"/>
              </w:rPr>
            </w:pPr>
          </w:p>
        </w:tc>
        <w:tc>
          <w:tcPr>
            <w:tcW w:w="1548" w:type="dxa"/>
            <w:vAlign w:val="center"/>
          </w:tcPr>
          <w:p w14:paraId="4998D0D2">
            <w:pPr>
              <w:pStyle w:val="137"/>
              <w:jc w:val="center"/>
              <w:outlineLvl w:val="0"/>
              <w:rPr>
                <w:color w:val="auto"/>
                <w:szCs w:val="21"/>
                <w:highlight w:val="none"/>
              </w:rPr>
            </w:pPr>
          </w:p>
        </w:tc>
      </w:tr>
      <w:tr w14:paraId="2CCC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10B672E3">
            <w:pPr>
              <w:pStyle w:val="137"/>
              <w:jc w:val="center"/>
              <w:outlineLvl w:val="0"/>
              <w:rPr>
                <w:color w:val="auto"/>
                <w:szCs w:val="21"/>
                <w:highlight w:val="none"/>
              </w:rPr>
            </w:pPr>
          </w:p>
        </w:tc>
        <w:tc>
          <w:tcPr>
            <w:tcW w:w="1276" w:type="dxa"/>
            <w:vAlign w:val="center"/>
          </w:tcPr>
          <w:p w14:paraId="1F5EC1C7">
            <w:pPr>
              <w:pStyle w:val="137"/>
              <w:jc w:val="center"/>
              <w:outlineLvl w:val="0"/>
              <w:rPr>
                <w:color w:val="auto"/>
                <w:szCs w:val="21"/>
                <w:highlight w:val="none"/>
              </w:rPr>
            </w:pPr>
          </w:p>
        </w:tc>
        <w:tc>
          <w:tcPr>
            <w:tcW w:w="1701" w:type="dxa"/>
            <w:gridSpan w:val="3"/>
            <w:vAlign w:val="center"/>
          </w:tcPr>
          <w:p w14:paraId="3F6CE56A">
            <w:pPr>
              <w:pStyle w:val="137"/>
              <w:jc w:val="center"/>
              <w:outlineLvl w:val="0"/>
              <w:rPr>
                <w:color w:val="auto"/>
                <w:szCs w:val="21"/>
                <w:highlight w:val="none"/>
              </w:rPr>
            </w:pPr>
          </w:p>
        </w:tc>
        <w:tc>
          <w:tcPr>
            <w:tcW w:w="1276" w:type="dxa"/>
            <w:vAlign w:val="center"/>
          </w:tcPr>
          <w:p w14:paraId="2BC67C1E">
            <w:pPr>
              <w:pStyle w:val="137"/>
              <w:jc w:val="center"/>
              <w:outlineLvl w:val="0"/>
              <w:rPr>
                <w:color w:val="auto"/>
                <w:szCs w:val="21"/>
                <w:highlight w:val="none"/>
              </w:rPr>
            </w:pPr>
          </w:p>
        </w:tc>
        <w:tc>
          <w:tcPr>
            <w:tcW w:w="1843" w:type="dxa"/>
            <w:vAlign w:val="center"/>
          </w:tcPr>
          <w:p w14:paraId="594D49C0">
            <w:pPr>
              <w:pStyle w:val="137"/>
              <w:jc w:val="center"/>
              <w:outlineLvl w:val="0"/>
              <w:rPr>
                <w:color w:val="auto"/>
                <w:szCs w:val="21"/>
                <w:highlight w:val="none"/>
              </w:rPr>
            </w:pPr>
          </w:p>
        </w:tc>
        <w:tc>
          <w:tcPr>
            <w:tcW w:w="1548" w:type="dxa"/>
            <w:vAlign w:val="center"/>
          </w:tcPr>
          <w:p w14:paraId="0272281A">
            <w:pPr>
              <w:pStyle w:val="137"/>
              <w:jc w:val="center"/>
              <w:outlineLvl w:val="0"/>
              <w:rPr>
                <w:color w:val="auto"/>
                <w:szCs w:val="21"/>
                <w:highlight w:val="none"/>
              </w:rPr>
            </w:pPr>
          </w:p>
        </w:tc>
      </w:tr>
      <w:tr w14:paraId="01E9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5D6D592A">
            <w:pPr>
              <w:pStyle w:val="137"/>
              <w:jc w:val="center"/>
              <w:outlineLvl w:val="0"/>
              <w:rPr>
                <w:color w:val="auto"/>
                <w:szCs w:val="21"/>
                <w:highlight w:val="none"/>
              </w:rPr>
            </w:pPr>
          </w:p>
        </w:tc>
        <w:tc>
          <w:tcPr>
            <w:tcW w:w="1276" w:type="dxa"/>
            <w:vAlign w:val="center"/>
          </w:tcPr>
          <w:p w14:paraId="3A027DFC">
            <w:pPr>
              <w:pStyle w:val="137"/>
              <w:jc w:val="center"/>
              <w:outlineLvl w:val="0"/>
              <w:rPr>
                <w:color w:val="auto"/>
                <w:szCs w:val="21"/>
                <w:highlight w:val="none"/>
              </w:rPr>
            </w:pPr>
          </w:p>
        </w:tc>
        <w:tc>
          <w:tcPr>
            <w:tcW w:w="1701" w:type="dxa"/>
            <w:gridSpan w:val="3"/>
            <w:vAlign w:val="center"/>
          </w:tcPr>
          <w:p w14:paraId="04F75895">
            <w:pPr>
              <w:pStyle w:val="137"/>
              <w:jc w:val="center"/>
              <w:outlineLvl w:val="0"/>
              <w:rPr>
                <w:color w:val="auto"/>
                <w:szCs w:val="21"/>
                <w:highlight w:val="none"/>
              </w:rPr>
            </w:pPr>
          </w:p>
        </w:tc>
        <w:tc>
          <w:tcPr>
            <w:tcW w:w="1276" w:type="dxa"/>
            <w:vAlign w:val="center"/>
          </w:tcPr>
          <w:p w14:paraId="31EF7C63">
            <w:pPr>
              <w:pStyle w:val="137"/>
              <w:jc w:val="center"/>
              <w:outlineLvl w:val="0"/>
              <w:rPr>
                <w:color w:val="auto"/>
                <w:szCs w:val="21"/>
                <w:highlight w:val="none"/>
              </w:rPr>
            </w:pPr>
          </w:p>
        </w:tc>
        <w:tc>
          <w:tcPr>
            <w:tcW w:w="1843" w:type="dxa"/>
            <w:vAlign w:val="center"/>
          </w:tcPr>
          <w:p w14:paraId="31728A0B">
            <w:pPr>
              <w:pStyle w:val="137"/>
              <w:jc w:val="center"/>
              <w:outlineLvl w:val="0"/>
              <w:rPr>
                <w:color w:val="auto"/>
                <w:szCs w:val="21"/>
                <w:highlight w:val="none"/>
              </w:rPr>
            </w:pPr>
          </w:p>
        </w:tc>
        <w:tc>
          <w:tcPr>
            <w:tcW w:w="1548" w:type="dxa"/>
            <w:vAlign w:val="center"/>
          </w:tcPr>
          <w:p w14:paraId="7A1AEAAF">
            <w:pPr>
              <w:pStyle w:val="137"/>
              <w:jc w:val="center"/>
              <w:outlineLvl w:val="0"/>
              <w:rPr>
                <w:color w:val="auto"/>
                <w:szCs w:val="21"/>
                <w:highlight w:val="none"/>
              </w:rPr>
            </w:pPr>
          </w:p>
        </w:tc>
      </w:tr>
    </w:tbl>
    <w:p w14:paraId="1AE0E28B">
      <w:pPr>
        <w:rPr>
          <w:color w:val="auto"/>
          <w:highlight w:val="none"/>
        </w:rPr>
      </w:pPr>
    </w:p>
    <w:p w14:paraId="72875129">
      <w:pPr>
        <w:spacing w:line="360" w:lineRule="auto"/>
        <w:ind w:firstLine="422" w:firstLineChars="200"/>
        <w:rPr>
          <w:rFonts w:eastAsia="楷体_GB2312" w:cs="楷体_GB2312"/>
          <w:b/>
          <w:bCs/>
          <w:color w:val="auto"/>
          <w:highlight w:val="none"/>
        </w:rPr>
      </w:pPr>
      <w:r>
        <w:rPr>
          <w:rFonts w:hint="eastAsia" w:eastAsia="楷体_GB2312" w:cs="楷体_GB2312"/>
          <w:b/>
          <w:bCs/>
          <w:color w:val="auto"/>
          <w:highlight w:val="none"/>
        </w:rPr>
        <w:t>备注：</w:t>
      </w:r>
      <w:r>
        <w:rPr>
          <w:rFonts w:eastAsia="楷体_GB2312"/>
          <w:b/>
          <w:bCs/>
          <w:color w:val="auto"/>
          <w:highlight w:val="none"/>
        </w:rPr>
        <w:t>1</w:t>
      </w:r>
      <w:r>
        <w:rPr>
          <w:rFonts w:hint="eastAsia" w:eastAsia="楷体_GB2312" w:cs="楷体_GB2312"/>
          <w:b/>
          <w:bCs/>
          <w:color w:val="auto"/>
          <w:highlight w:val="none"/>
        </w:rPr>
        <w:t>、相关信息应与“桂建云”系统信息一致，</w:t>
      </w:r>
      <w:r>
        <w:rPr>
          <w:rFonts w:eastAsia="楷体_GB2312" w:cs="楷体_GB2312"/>
          <w:b/>
          <w:bCs/>
          <w:color w:val="auto"/>
          <w:highlight w:val="none"/>
        </w:rPr>
        <w:t>否则</w:t>
      </w:r>
      <w:r>
        <w:rPr>
          <w:rFonts w:hint="eastAsia" w:eastAsia="楷体_GB2312" w:cs="楷体_GB2312"/>
          <w:b/>
          <w:bCs/>
          <w:color w:val="auto"/>
          <w:highlight w:val="none"/>
        </w:rPr>
        <w:t>评审时不予承认。</w:t>
      </w:r>
    </w:p>
    <w:p w14:paraId="29B2F702">
      <w:pPr>
        <w:numPr>
          <w:ilvl w:val="0"/>
          <w:numId w:val="2"/>
        </w:numPr>
        <w:spacing w:line="360" w:lineRule="auto"/>
        <w:ind w:firstLine="1054" w:firstLineChars="500"/>
        <w:rPr>
          <w:rFonts w:eastAsia="楷体_GB2312"/>
          <w:b/>
          <w:bCs/>
          <w:color w:val="auto"/>
          <w:highlight w:val="none"/>
        </w:rPr>
      </w:pPr>
      <w:r>
        <w:rPr>
          <w:rFonts w:hint="eastAsia" w:eastAsia="楷体_GB2312"/>
          <w:b/>
          <w:bCs/>
          <w:color w:val="auto"/>
          <w:highlight w:val="none"/>
        </w:rPr>
        <w:t>项目</w:t>
      </w:r>
      <w:r>
        <w:rPr>
          <w:rFonts w:eastAsia="楷体_GB2312"/>
          <w:b/>
          <w:bCs/>
          <w:color w:val="auto"/>
          <w:highlight w:val="none"/>
        </w:rPr>
        <w:t>数</w:t>
      </w:r>
      <w:r>
        <w:rPr>
          <w:rFonts w:hint="eastAsia" w:eastAsia="楷体_GB2312"/>
          <w:b/>
          <w:bCs/>
          <w:color w:val="auto"/>
          <w:highlight w:val="none"/>
        </w:rPr>
        <w:t>可</w:t>
      </w:r>
      <w:r>
        <w:rPr>
          <w:rFonts w:eastAsia="楷体_GB2312"/>
          <w:b/>
          <w:bCs/>
          <w:color w:val="auto"/>
          <w:highlight w:val="none"/>
        </w:rPr>
        <w:t>根据需要增加</w:t>
      </w:r>
      <w:r>
        <w:rPr>
          <w:rFonts w:hint="eastAsia" w:eastAsia="楷体_GB2312"/>
          <w:b/>
          <w:bCs/>
          <w:color w:val="auto"/>
          <w:highlight w:val="none"/>
        </w:rPr>
        <w:t>。</w:t>
      </w:r>
    </w:p>
    <w:p w14:paraId="38056494">
      <w:pPr>
        <w:numPr>
          <w:ilvl w:val="0"/>
          <w:numId w:val="2"/>
        </w:numPr>
        <w:spacing w:line="360" w:lineRule="auto"/>
        <w:ind w:firstLine="1054" w:firstLineChars="500"/>
        <w:rPr>
          <w:rFonts w:eastAsia="楷体_GB2312"/>
          <w:b/>
          <w:bCs/>
          <w:color w:val="auto"/>
          <w:highlight w:val="none"/>
        </w:rPr>
      </w:pPr>
      <w:r>
        <w:rPr>
          <w:rFonts w:hint="eastAsia" w:eastAsia="楷体_GB2312"/>
          <w:b/>
          <w:bCs/>
          <w:color w:val="auto"/>
          <w:highlight w:val="none"/>
        </w:rPr>
        <w:t>除有特殊要求项目，项目完成时间，指的是设计文件取得施工图审查</w:t>
      </w:r>
      <w:r>
        <w:rPr>
          <w:rFonts w:hint="eastAsia" w:ascii="楷体" w:hAnsi="楷体" w:eastAsia="楷体"/>
          <w:b/>
          <w:bCs/>
          <w:color w:val="auto"/>
          <w:szCs w:val="21"/>
          <w:highlight w:val="none"/>
        </w:rPr>
        <w:t>合格报告书</w:t>
      </w:r>
      <w:r>
        <w:rPr>
          <w:rFonts w:hint="eastAsia" w:eastAsia="楷体_GB2312"/>
          <w:b/>
          <w:bCs/>
          <w:color w:val="auto"/>
          <w:highlight w:val="none"/>
        </w:rPr>
        <w:t>的时间。如进行设计方案招标（不含施工图部分内容）的，项目完成时间，指的是方案或初步设计批复文件的时间。</w:t>
      </w:r>
    </w:p>
    <w:p w14:paraId="21A9C3FE">
      <w:pPr>
        <w:spacing w:line="360" w:lineRule="auto"/>
        <w:rPr>
          <w:rFonts w:eastAsia="楷体_GB2312"/>
          <w:b/>
          <w:bCs/>
          <w:color w:val="auto"/>
          <w:highlight w:val="none"/>
        </w:rPr>
      </w:pPr>
    </w:p>
    <w:p w14:paraId="7EAF943F">
      <w:pPr>
        <w:rPr>
          <w:b/>
          <w:bCs/>
          <w:color w:val="auto"/>
          <w:highlight w:val="none"/>
        </w:rPr>
      </w:pPr>
    </w:p>
    <w:p w14:paraId="2E6C05E7">
      <w:pPr>
        <w:rPr>
          <w:b/>
          <w:bCs/>
          <w:color w:val="auto"/>
          <w:highlight w:val="none"/>
        </w:rPr>
      </w:pPr>
    </w:p>
    <w:p w14:paraId="28078E2C">
      <w:pPr>
        <w:rPr>
          <w:b/>
          <w:bCs/>
          <w:color w:val="auto"/>
          <w:highlight w:val="none"/>
        </w:rPr>
      </w:pPr>
    </w:p>
    <w:p w14:paraId="5A9A77E2">
      <w:pPr>
        <w:rPr>
          <w:b/>
          <w:bCs/>
          <w:color w:val="auto"/>
          <w:highlight w:val="none"/>
        </w:rPr>
      </w:pPr>
    </w:p>
    <w:p w14:paraId="0431BC00">
      <w:pPr>
        <w:rPr>
          <w:b/>
          <w:bCs/>
          <w:color w:val="auto"/>
          <w:highlight w:val="none"/>
        </w:rPr>
      </w:pPr>
    </w:p>
    <w:p w14:paraId="0E92B42E">
      <w:pPr>
        <w:rPr>
          <w:color w:val="auto"/>
          <w:highlight w:val="none"/>
        </w:rPr>
      </w:pPr>
    </w:p>
    <w:p w14:paraId="4814AD9B">
      <w:pPr>
        <w:rPr>
          <w:color w:val="auto"/>
          <w:highlight w:val="none"/>
        </w:rPr>
      </w:pPr>
    </w:p>
    <w:p w14:paraId="2384DDC4">
      <w:pPr>
        <w:rPr>
          <w:color w:val="auto"/>
          <w:highlight w:val="none"/>
        </w:rPr>
      </w:pPr>
    </w:p>
    <w:p w14:paraId="30063C14">
      <w:pPr>
        <w:rPr>
          <w:color w:val="auto"/>
          <w:highlight w:val="none"/>
        </w:rPr>
      </w:pPr>
    </w:p>
    <w:p w14:paraId="546ED857">
      <w:pPr>
        <w:rPr>
          <w:color w:val="auto"/>
          <w:highlight w:val="none"/>
        </w:rPr>
      </w:pPr>
    </w:p>
    <w:p w14:paraId="3911D504">
      <w:pPr>
        <w:spacing w:line="360" w:lineRule="auto"/>
        <w:ind w:right="420"/>
        <w:jc w:val="center"/>
        <w:rPr>
          <w:rFonts w:ascii="宋体" w:hAnsi="宋体"/>
          <w:b/>
          <w:color w:val="auto"/>
          <w:sz w:val="28"/>
          <w:szCs w:val="28"/>
          <w:highlight w:val="none"/>
        </w:rPr>
      </w:pPr>
      <w:r>
        <w:rPr>
          <w:rFonts w:hint="eastAsia" w:ascii="宋体" w:hAnsi="宋体"/>
          <w:b/>
          <w:color w:val="auto"/>
          <w:sz w:val="28"/>
          <w:szCs w:val="28"/>
          <w:highlight w:val="none"/>
        </w:rPr>
        <w:t>五、</w:t>
      </w:r>
      <w:r>
        <w:rPr>
          <w:rFonts w:ascii="宋体" w:hAnsi="宋体"/>
          <w:b/>
          <w:color w:val="auto"/>
          <w:sz w:val="28"/>
          <w:szCs w:val="28"/>
          <w:highlight w:val="none"/>
        </w:rPr>
        <w:t>项目组人员配备情况表</w:t>
      </w:r>
    </w:p>
    <w:tbl>
      <w:tblPr>
        <w:tblStyle w:val="40"/>
        <w:tblW w:w="9889" w:type="dxa"/>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34"/>
        <w:gridCol w:w="1152"/>
        <w:gridCol w:w="1258"/>
        <w:gridCol w:w="992"/>
        <w:gridCol w:w="992"/>
        <w:gridCol w:w="1560"/>
        <w:gridCol w:w="1557"/>
        <w:gridCol w:w="569"/>
      </w:tblGrid>
      <w:tr w14:paraId="7D2B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5AFB85A">
            <w:pPr>
              <w:pStyle w:val="137"/>
              <w:jc w:val="center"/>
              <w:outlineLvl w:val="0"/>
              <w:rPr>
                <w:b/>
                <w:color w:val="auto"/>
                <w:szCs w:val="21"/>
                <w:highlight w:val="none"/>
              </w:rPr>
            </w:pPr>
            <w:r>
              <w:rPr>
                <w:b/>
                <w:color w:val="auto"/>
                <w:szCs w:val="21"/>
                <w:highlight w:val="none"/>
              </w:rPr>
              <w:t>序号</w:t>
            </w:r>
          </w:p>
        </w:tc>
        <w:tc>
          <w:tcPr>
            <w:tcW w:w="1134" w:type="dxa"/>
            <w:vAlign w:val="center"/>
          </w:tcPr>
          <w:p w14:paraId="791E2135">
            <w:pPr>
              <w:pStyle w:val="137"/>
              <w:jc w:val="center"/>
              <w:outlineLvl w:val="0"/>
              <w:rPr>
                <w:b/>
                <w:color w:val="auto"/>
                <w:szCs w:val="21"/>
                <w:highlight w:val="none"/>
              </w:rPr>
            </w:pPr>
            <w:r>
              <w:rPr>
                <w:rFonts w:hint="eastAsia"/>
                <w:b/>
                <w:color w:val="auto"/>
                <w:szCs w:val="21"/>
                <w:highlight w:val="none"/>
              </w:rPr>
              <w:t>姓名</w:t>
            </w:r>
          </w:p>
        </w:tc>
        <w:tc>
          <w:tcPr>
            <w:tcW w:w="1152" w:type="dxa"/>
            <w:vAlign w:val="center"/>
          </w:tcPr>
          <w:p w14:paraId="6668693C">
            <w:pPr>
              <w:pStyle w:val="137"/>
              <w:jc w:val="center"/>
              <w:outlineLvl w:val="0"/>
              <w:rPr>
                <w:b/>
                <w:color w:val="auto"/>
                <w:szCs w:val="21"/>
                <w:highlight w:val="none"/>
              </w:rPr>
            </w:pPr>
            <w:r>
              <w:rPr>
                <w:rFonts w:hint="eastAsia"/>
                <w:b/>
                <w:color w:val="auto"/>
                <w:szCs w:val="21"/>
                <w:highlight w:val="none"/>
              </w:rPr>
              <w:t>身份证</w:t>
            </w:r>
          </w:p>
          <w:p w14:paraId="7641F9AB">
            <w:pPr>
              <w:pStyle w:val="137"/>
              <w:jc w:val="center"/>
              <w:outlineLvl w:val="0"/>
              <w:rPr>
                <w:b/>
                <w:color w:val="auto"/>
                <w:szCs w:val="21"/>
                <w:highlight w:val="none"/>
              </w:rPr>
            </w:pPr>
            <w:r>
              <w:rPr>
                <w:rFonts w:hint="eastAsia"/>
                <w:b/>
                <w:color w:val="auto"/>
                <w:szCs w:val="21"/>
                <w:highlight w:val="none"/>
              </w:rPr>
              <w:t>号码</w:t>
            </w:r>
          </w:p>
        </w:tc>
        <w:tc>
          <w:tcPr>
            <w:tcW w:w="1258" w:type="dxa"/>
            <w:vAlign w:val="center"/>
          </w:tcPr>
          <w:p w14:paraId="6A551537">
            <w:pPr>
              <w:pStyle w:val="137"/>
              <w:jc w:val="center"/>
              <w:outlineLvl w:val="0"/>
              <w:rPr>
                <w:b/>
                <w:color w:val="auto"/>
                <w:szCs w:val="21"/>
                <w:highlight w:val="none"/>
              </w:rPr>
            </w:pPr>
            <w:r>
              <w:rPr>
                <w:b/>
                <w:color w:val="auto"/>
                <w:szCs w:val="21"/>
                <w:highlight w:val="none"/>
              </w:rPr>
              <w:t>拟在本项目任职</w:t>
            </w:r>
          </w:p>
        </w:tc>
        <w:tc>
          <w:tcPr>
            <w:tcW w:w="992" w:type="dxa"/>
            <w:vAlign w:val="center"/>
          </w:tcPr>
          <w:p w14:paraId="27688256">
            <w:pPr>
              <w:pStyle w:val="137"/>
              <w:jc w:val="center"/>
              <w:outlineLvl w:val="0"/>
              <w:rPr>
                <w:b/>
                <w:color w:val="auto"/>
                <w:szCs w:val="21"/>
                <w:highlight w:val="none"/>
              </w:rPr>
            </w:pPr>
            <w:r>
              <w:rPr>
                <w:b/>
                <w:color w:val="auto"/>
                <w:szCs w:val="21"/>
                <w:highlight w:val="none"/>
              </w:rPr>
              <w:t>职</w:t>
            </w:r>
            <w:r>
              <w:rPr>
                <w:rFonts w:hint="eastAsia"/>
                <w:b/>
                <w:color w:val="auto"/>
                <w:szCs w:val="21"/>
                <w:highlight w:val="none"/>
              </w:rPr>
              <w:t xml:space="preserve"> </w:t>
            </w:r>
            <w:r>
              <w:rPr>
                <w:b/>
                <w:color w:val="auto"/>
                <w:szCs w:val="21"/>
                <w:highlight w:val="none"/>
              </w:rPr>
              <w:t>称</w:t>
            </w:r>
          </w:p>
        </w:tc>
        <w:tc>
          <w:tcPr>
            <w:tcW w:w="992" w:type="dxa"/>
            <w:vAlign w:val="center"/>
          </w:tcPr>
          <w:p w14:paraId="7E8F334C">
            <w:pPr>
              <w:pStyle w:val="137"/>
              <w:jc w:val="center"/>
              <w:outlineLvl w:val="0"/>
              <w:rPr>
                <w:b/>
                <w:color w:val="auto"/>
                <w:szCs w:val="21"/>
                <w:highlight w:val="none"/>
              </w:rPr>
            </w:pPr>
            <w:r>
              <w:rPr>
                <w:b/>
                <w:color w:val="auto"/>
                <w:szCs w:val="21"/>
                <w:highlight w:val="none"/>
              </w:rPr>
              <w:t>专</w:t>
            </w:r>
            <w:r>
              <w:rPr>
                <w:rFonts w:hint="eastAsia"/>
                <w:b/>
                <w:color w:val="auto"/>
                <w:szCs w:val="21"/>
                <w:highlight w:val="none"/>
              </w:rPr>
              <w:t xml:space="preserve"> </w:t>
            </w:r>
            <w:r>
              <w:rPr>
                <w:b/>
                <w:color w:val="auto"/>
                <w:szCs w:val="21"/>
                <w:highlight w:val="none"/>
              </w:rPr>
              <w:t>业</w:t>
            </w:r>
          </w:p>
        </w:tc>
        <w:tc>
          <w:tcPr>
            <w:tcW w:w="1560" w:type="dxa"/>
            <w:vAlign w:val="center"/>
          </w:tcPr>
          <w:p w14:paraId="08605433">
            <w:pPr>
              <w:pStyle w:val="137"/>
              <w:jc w:val="center"/>
              <w:outlineLvl w:val="0"/>
              <w:rPr>
                <w:b/>
                <w:color w:val="auto"/>
                <w:szCs w:val="21"/>
                <w:highlight w:val="none"/>
              </w:rPr>
            </w:pPr>
            <w:r>
              <w:rPr>
                <w:b/>
                <w:color w:val="auto"/>
                <w:szCs w:val="21"/>
                <w:highlight w:val="none"/>
              </w:rPr>
              <w:t>执业</w:t>
            </w:r>
            <w:r>
              <w:rPr>
                <w:rFonts w:hint="eastAsia"/>
                <w:b/>
                <w:color w:val="auto"/>
                <w:szCs w:val="21"/>
                <w:highlight w:val="none"/>
              </w:rPr>
              <w:t>注册</w:t>
            </w:r>
            <w:r>
              <w:rPr>
                <w:b/>
                <w:color w:val="auto"/>
                <w:szCs w:val="21"/>
                <w:highlight w:val="none"/>
              </w:rPr>
              <w:t>资格</w:t>
            </w:r>
            <w:r>
              <w:rPr>
                <w:rFonts w:hint="eastAsia"/>
                <w:b/>
                <w:color w:val="auto"/>
                <w:szCs w:val="21"/>
                <w:highlight w:val="none"/>
              </w:rPr>
              <w:t>（如有）</w:t>
            </w:r>
          </w:p>
        </w:tc>
        <w:tc>
          <w:tcPr>
            <w:tcW w:w="1557" w:type="dxa"/>
            <w:vAlign w:val="center"/>
          </w:tcPr>
          <w:p w14:paraId="62723920">
            <w:pPr>
              <w:pStyle w:val="137"/>
              <w:jc w:val="center"/>
              <w:outlineLvl w:val="0"/>
              <w:rPr>
                <w:b/>
                <w:color w:val="auto"/>
                <w:szCs w:val="21"/>
                <w:highlight w:val="none"/>
              </w:rPr>
            </w:pPr>
            <w:r>
              <w:rPr>
                <w:b/>
                <w:color w:val="auto"/>
                <w:szCs w:val="21"/>
                <w:highlight w:val="none"/>
              </w:rPr>
              <w:t>证书编号</w:t>
            </w:r>
          </w:p>
        </w:tc>
        <w:tc>
          <w:tcPr>
            <w:tcW w:w="569" w:type="dxa"/>
            <w:vAlign w:val="center"/>
          </w:tcPr>
          <w:p w14:paraId="33F0746C">
            <w:pPr>
              <w:pStyle w:val="137"/>
              <w:jc w:val="center"/>
              <w:outlineLvl w:val="0"/>
              <w:rPr>
                <w:b/>
                <w:color w:val="auto"/>
                <w:szCs w:val="21"/>
                <w:highlight w:val="none"/>
              </w:rPr>
            </w:pPr>
            <w:r>
              <w:rPr>
                <w:b/>
                <w:color w:val="auto"/>
                <w:szCs w:val="21"/>
                <w:highlight w:val="none"/>
              </w:rPr>
              <w:t>备注</w:t>
            </w:r>
          </w:p>
        </w:tc>
      </w:tr>
      <w:tr w14:paraId="1009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58B3366C">
            <w:pPr>
              <w:pStyle w:val="137"/>
              <w:jc w:val="center"/>
              <w:outlineLvl w:val="0"/>
              <w:rPr>
                <w:color w:val="auto"/>
                <w:szCs w:val="21"/>
                <w:highlight w:val="none"/>
              </w:rPr>
            </w:pPr>
          </w:p>
        </w:tc>
        <w:tc>
          <w:tcPr>
            <w:tcW w:w="1134" w:type="dxa"/>
          </w:tcPr>
          <w:p w14:paraId="392B4FA5">
            <w:pPr>
              <w:pStyle w:val="137"/>
              <w:jc w:val="center"/>
              <w:outlineLvl w:val="0"/>
              <w:rPr>
                <w:color w:val="auto"/>
                <w:szCs w:val="21"/>
                <w:highlight w:val="none"/>
              </w:rPr>
            </w:pPr>
          </w:p>
        </w:tc>
        <w:tc>
          <w:tcPr>
            <w:tcW w:w="1152" w:type="dxa"/>
          </w:tcPr>
          <w:p w14:paraId="519273C7">
            <w:pPr>
              <w:pStyle w:val="137"/>
              <w:jc w:val="center"/>
              <w:outlineLvl w:val="0"/>
              <w:rPr>
                <w:color w:val="auto"/>
                <w:szCs w:val="21"/>
                <w:highlight w:val="none"/>
              </w:rPr>
            </w:pPr>
          </w:p>
        </w:tc>
        <w:tc>
          <w:tcPr>
            <w:tcW w:w="1258" w:type="dxa"/>
          </w:tcPr>
          <w:p w14:paraId="74157D78">
            <w:pPr>
              <w:pStyle w:val="137"/>
              <w:jc w:val="center"/>
              <w:outlineLvl w:val="0"/>
              <w:rPr>
                <w:color w:val="auto"/>
                <w:szCs w:val="21"/>
                <w:highlight w:val="none"/>
              </w:rPr>
            </w:pPr>
          </w:p>
        </w:tc>
        <w:tc>
          <w:tcPr>
            <w:tcW w:w="992" w:type="dxa"/>
          </w:tcPr>
          <w:p w14:paraId="57A73B63">
            <w:pPr>
              <w:pStyle w:val="137"/>
              <w:jc w:val="center"/>
              <w:outlineLvl w:val="0"/>
              <w:rPr>
                <w:color w:val="auto"/>
                <w:szCs w:val="21"/>
                <w:highlight w:val="none"/>
              </w:rPr>
            </w:pPr>
          </w:p>
        </w:tc>
        <w:tc>
          <w:tcPr>
            <w:tcW w:w="992" w:type="dxa"/>
          </w:tcPr>
          <w:p w14:paraId="0D6B0275">
            <w:pPr>
              <w:pStyle w:val="137"/>
              <w:jc w:val="center"/>
              <w:outlineLvl w:val="0"/>
              <w:rPr>
                <w:color w:val="auto"/>
                <w:szCs w:val="21"/>
                <w:highlight w:val="none"/>
              </w:rPr>
            </w:pPr>
          </w:p>
        </w:tc>
        <w:tc>
          <w:tcPr>
            <w:tcW w:w="1560" w:type="dxa"/>
          </w:tcPr>
          <w:p w14:paraId="2F801FF2">
            <w:pPr>
              <w:pStyle w:val="137"/>
              <w:jc w:val="center"/>
              <w:outlineLvl w:val="0"/>
              <w:rPr>
                <w:color w:val="auto"/>
                <w:szCs w:val="21"/>
                <w:highlight w:val="none"/>
              </w:rPr>
            </w:pPr>
          </w:p>
        </w:tc>
        <w:tc>
          <w:tcPr>
            <w:tcW w:w="1557" w:type="dxa"/>
          </w:tcPr>
          <w:p w14:paraId="7624F465">
            <w:pPr>
              <w:pStyle w:val="137"/>
              <w:jc w:val="center"/>
              <w:outlineLvl w:val="0"/>
              <w:rPr>
                <w:color w:val="auto"/>
                <w:szCs w:val="21"/>
                <w:highlight w:val="none"/>
              </w:rPr>
            </w:pPr>
          </w:p>
        </w:tc>
        <w:tc>
          <w:tcPr>
            <w:tcW w:w="569" w:type="dxa"/>
          </w:tcPr>
          <w:p w14:paraId="0D95D6D4">
            <w:pPr>
              <w:pStyle w:val="137"/>
              <w:jc w:val="center"/>
              <w:outlineLvl w:val="0"/>
              <w:rPr>
                <w:color w:val="auto"/>
                <w:szCs w:val="21"/>
                <w:highlight w:val="none"/>
              </w:rPr>
            </w:pPr>
          </w:p>
        </w:tc>
      </w:tr>
      <w:tr w14:paraId="4042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53E17A37">
            <w:pPr>
              <w:pStyle w:val="137"/>
              <w:jc w:val="center"/>
              <w:outlineLvl w:val="0"/>
              <w:rPr>
                <w:color w:val="auto"/>
                <w:szCs w:val="21"/>
                <w:highlight w:val="none"/>
              </w:rPr>
            </w:pPr>
          </w:p>
        </w:tc>
        <w:tc>
          <w:tcPr>
            <w:tcW w:w="1134" w:type="dxa"/>
          </w:tcPr>
          <w:p w14:paraId="2DB5D75E">
            <w:pPr>
              <w:pStyle w:val="137"/>
              <w:jc w:val="center"/>
              <w:outlineLvl w:val="0"/>
              <w:rPr>
                <w:color w:val="auto"/>
                <w:szCs w:val="21"/>
                <w:highlight w:val="none"/>
              </w:rPr>
            </w:pPr>
          </w:p>
        </w:tc>
        <w:tc>
          <w:tcPr>
            <w:tcW w:w="1152" w:type="dxa"/>
          </w:tcPr>
          <w:p w14:paraId="648EE0C1">
            <w:pPr>
              <w:pStyle w:val="137"/>
              <w:jc w:val="center"/>
              <w:outlineLvl w:val="0"/>
              <w:rPr>
                <w:color w:val="auto"/>
                <w:szCs w:val="21"/>
                <w:highlight w:val="none"/>
              </w:rPr>
            </w:pPr>
          </w:p>
        </w:tc>
        <w:tc>
          <w:tcPr>
            <w:tcW w:w="1258" w:type="dxa"/>
          </w:tcPr>
          <w:p w14:paraId="38F88F80">
            <w:pPr>
              <w:pStyle w:val="137"/>
              <w:jc w:val="center"/>
              <w:outlineLvl w:val="0"/>
              <w:rPr>
                <w:color w:val="auto"/>
                <w:szCs w:val="21"/>
                <w:highlight w:val="none"/>
              </w:rPr>
            </w:pPr>
          </w:p>
        </w:tc>
        <w:tc>
          <w:tcPr>
            <w:tcW w:w="992" w:type="dxa"/>
          </w:tcPr>
          <w:p w14:paraId="431EAA86">
            <w:pPr>
              <w:pStyle w:val="137"/>
              <w:jc w:val="center"/>
              <w:outlineLvl w:val="0"/>
              <w:rPr>
                <w:color w:val="auto"/>
                <w:szCs w:val="21"/>
                <w:highlight w:val="none"/>
              </w:rPr>
            </w:pPr>
          </w:p>
        </w:tc>
        <w:tc>
          <w:tcPr>
            <w:tcW w:w="992" w:type="dxa"/>
          </w:tcPr>
          <w:p w14:paraId="2AB09B98">
            <w:pPr>
              <w:pStyle w:val="137"/>
              <w:jc w:val="center"/>
              <w:outlineLvl w:val="0"/>
              <w:rPr>
                <w:color w:val="auto"/>
                <w:szCs w:val="21"/>
                <w:highlight w:val="none"/>
              </w:rPr>
            </w:pPr>
          </w:p>
        </w:tc>
        <w:tc>
          <w:tcPr>
            <w:tcW w:w="1560" w:type="dxa"/>
          </w:tcPr>
          <w:p w14:paraId="02872321">
            <w:pPr>
              <w:pStyle w:val="137"/>
              <w:jc w:val="center"/>
              <w:outlineLvl w:val="0"/>
              <w:rPr>
                <w:color w:val="auto"/>
                <w:szCs w:val="21"/>
                <w:highlight w:val="none"/>
              </w:rPr>
            </w:pPr>
          </w:p>
        </w:tc>
        <w:tc>
          <w:tcPr>
            <w:tcW w:w="1557" w:type="dxa"/>
          </w:tcPr>
          <w:p w14:paraId="19517790">
            <w:pPr>
              <w:pStyle w:val="137"/>
              <w:jc w:val="center"/>
              <w:outlineLvl w:val="0"/>
              <w:rPr>
                <w:color w:val="auto"/>
                <w:szCs w:val="21"/>
                <w:highlight w:val="none"/>
              </w:rPr>
            </w:pPr>
          </w:p>
        </w:tc>
        <w:tc>
          <w:tcPr>
            <w:tcW w:w="569" w:type="dxa"/>
          </w:tcPr>
          <w:p w14:paraId="7B709735">
            <w:pPr>
              <w:pStyle w:val="137"/>
              <w:jc w:val="center"/>
              <w:outlineLvl w:val="0"/>
              <w:rPr>
                <w:color w:val="auto"/>
                <w:szCs w:val="21"/>
                <w:highlight w:val="none"/>
              </w:rPr>
            </w:pPr>
          </w:p>
        </w:tc>
      </w:tr>
      <w:tr w14:paraId="61F5D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390FE3FC">
            <w:pPr>
              <w:pStyle w:val="137"/>
              <w:jc w:val="center"/>
              <w:outlineLvl w:val="0"/>
              <w:rPr>
                <w:color w:val="auto"/>
                <w:szCs w:val="21"/>
                <w:highlight w:val="none"/>
              </w:rPr>
            </w:pPr>
          </w:p>
        </w:tc>
        <w:tc>
          <w:tcPr>
            <w:tcW w:w="1134" w:type="dxa"/>
          </w:tcPr>
          <w:p w14:paraId="1766F09E">
            <w:pPr>
              <w:pStyle w:val="137"/>
              <w:jc w:val="center"/>
              <w:outlineLvl w:val="0"/>
              <w:rPr>
                <w:color w:val="auto"/>
                <w:szCs w:val="21"/>
                <w:highlight w:val="none"/>
              </w:rPr>
            </w:pPr>
          </w:p>
        </w:tc>
        <w:tc>
          <w:tcPr>
            <w:tcW w:w="1152" w:type="dxa"/>
          </w:tcPr>
          <w:p w14:paraId="0E6C38AE">
            <w:pPr>
              <w:pStyle w:val="137"/>
              <w:jc w:val="center"/>
              <w:outlineLvl w:val="0"/>
              <w:rPr>
                <w:color w:val="auto"/>
                <w:szCs w:val="21"/>
                <w:highlight w:val="none"/>
              </w:rPr>
            </w:pPr>
          </w:p>
        </w:tc>
        <w:tc>
          <w:tcPr>
            <w:tcW w:w="1258" w:type="dxa"/>
          </w:tcPr>
          <w:p w14:paraId="591B60BF">
            <w:pPr>
              <w:pStyle w:val="137"/>
              <w:jc w:val="center"/>
              <w:outlineLvl w:val="0"/>
              <w:rPr>
                <w:color w:val="auto"/>
                <w:szCs w:val="21"/>
                <w:highlight w:val="none"/>
              </w:rPr>
            </w:pPr>
          </w:p>
        </w:tc>
        <w:tc>
          <w:tcPr>
            <w:tcW w:w="992" w:type="dxa"/>
          </w:tcPr>
          <w:p w14:paraId="14C18DA5">
            <w:pPr>
              <w:pStyle w:val="137"/>
              <w:jc w:val="center"/>
              <w:outlineLvl w:val="0"/>
              <w:rPr>
                <w:color w:val="auto"/>
                <w:szCs w:val="21"/>
                <w:highlight w:val="none"/>
              </w:rPr>
            </w:pPr>
          </w:p>
        </w:tc>
        <w:tc>
          <w:tcPr>
            <w:tcW w:w="992" w:type="dxa"/>
          </w:tcPr>
          <w:p w14:paraId="2F54ACD4">
            <w:pPr>
              <w:pStyle w:val="137"/>
              <w:jc w:val="center"/>
              <w:outlineLvl w:val="0"/>
              <w:rPr>
                <w:color w:val="auto"/>
                <w:szCs w:val="21"/>
                <w:highlight w:val="none"/>
              </w:rPr>
            </w:pPr>
          </w:p>
        </w:tc>
        <w:tc>
          <w:tcPr>
            <w:tcW w:w="1560" w:type="dxa"/>
          </w:tcPr>
          <w:p w14:paraId="66A5DDC6">
            <w:pPr>
              <w:pStyle w:val="137"/>
              <w:jc w:val="center"/>
              <w:outlineLvl w:val="0"/>
              <w:rPr>
                <w:color w:val="auto"/>
                <w:szCs w:val="21"/>
                <w:highlight w:val="none"/>
              </w:rPr>
            </w:pPr>
          </w:p>
        </w:tc>
        <w:tc>
          <w:tcPr>
            <w:tcW w:w="1557" w:type="dxa"/>
          </w:tcPr>
          <w:p w14:paraId="1FE08663">
            <w:pPr>
              <w:pStyle w:val="137"/>
              <w:jc w:val="center"/>
              <w:outlineLvl w:val="0"/>
              <w:rPr>
                <w:color w:val="auto"/>
                <w:szCs w:val="21"/>
                <w:highlight w:val="none"/>
              </w:rPr>
            </w:pPr>
          </w:p>
        </w:tc>
        <w:tc>
          <w:tcPr>
            <w:tcW w:w="569" w:type="dxa"/>
          </w:tcPr>
          <w:p w14:paraId="4FBCA072">
            <w:pPr>
              <w:pStyle w:val="137"/>
              <w:jc w:val="center"/>
              <w:outlineLvl w:val="0"/>
              <w:rPr>
                <w:color w:val="auto"/>
                <w:szCs w:val="21"/>
                <w:highlight w:val="none"/>
              </w:rPr>
            </w:pPr>
          </w:p>
        </w:tc>
      </w:tr>
      <w:tr w14:paraId="739D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313520B6">
            <w:pPr>
              <w:pStyle w:val="137"/>
              <w:jc w:val="center"/>
              <w:outlineLvl w:val="0"/>
              <w:rPr>
                <w:color w:val="auto"/>
                <w:szCs w:val="21"/>
                <w:highlight w:val="none"/>
              </w:rPr>
            </w:pPr>
          </w:p>
        </w:tc>
        <w:tc>
          <w:tcPr>
            <w:tcW w:w="1134" w:type="dxa"/>
          </w:tcPr>
          <w:p w14:paraId="160EB55B">
            <w:pPr>
              <w:pStyle w:val="137"/>
              <w:jc w:val="center"/>
              <w:outlineLvl w:val="0"/>
              <w:rPr>
                <w:color w:val="auto"/>
                <w:szCs w:val="21"/>
                <w:highlight w:val="none"/>
              </w:rPr>
            </w:pPr>
          </w:p>
        </w:tc>
        <w:tc>
          <w:tcPr>
            <w:tcW w:w="1152" w:type="dxa"/>
          </w:tcPr>
          <w:p w14:paraId="4C49A628">
            <w:pPr>
              <w:pStyle w:val="137"/>
              <w:jc w:val="center"/>
              <w:outlineLvl w:val="0"/>
              <w:rPr>
                <w:color w:val="auto"/>
                <w:szCs w:val="21"/>
                <w:highlight w:val="none"/>
              </w:rPr>
            </w:pPr>
          </w:p>
        </w:tc>
        <w:tc>
          <w:tcPr>
            <w:tcW w:w="1258" w:type="dxa"/>
          </w:tcPr>
          <w:p w14:paraId="191F21E9">
            <w:pPr>
              <w:pStyle w:val="137"/>
              <w:jc w:val="center"/>
              <w:outlineLvl w:val="0"/>
              <w:rPr>
                <w:color w:val="auto"/>
                <w:szCs w:val="21"/>
                <w:highlight w:val="none"/>
              </w:rPr>
            </w:pPr>
          </w:p>
        </w:tc>
        <w:tc>
          <w:tcPr>
            <w:tcW w:w="992" w:type="dxa"/>
          </w:tcPr>
          <w:p w14:paraId="164CED1F">
            <w:pPr>
              <w:pStyle w:val="137"/>
              <w:jc w:val="center"/>
              <w:outlineLvl w:val="0"/>
              <w:rPr>
                <w:color w:val="auto"/>
                <w:szCs w:val="21"/>
                <w:highlight w:val="none"/>
              </w:rPr>
            </w:pPr>
          </w:p>
        </w:tc>
        <w:tc>
          <w:tcPr>
            <w:tcW w:w="992" w:type="dxa"/>
          </w:tcPr>
          <w:p w14:paraId="207EB38C">
            <w:pPr>
              <w:pStyle w:val="137"/>
              <w:jc w:val="center"/>
              <w:outlineLvl w:val="0"/>
              <w:rPr>
                <w:color w:val="auto"/>
                <w:szCs w:val="21"/>
                <w:highlight w:val="none"/>
              </w:rPr>
            </w:pPr>
          </w:p>
        </w:tc>
        <w:tc>
          <w:tcPr>
            <w:tcW w:w="1560" w:type="dxa"/>
          </w:tcPr>
          <w:p w14:paraId="113E7566">
            <w:pPr>
              <w:pStyle w:val="137"/>
              <w:jc w:val="center"/>
              <w:outlineLvl w:val="0"/>
              <w:rPr>
                <w:color w:val="auto"/>
                <w:szCs w:val="21"/>
                <w:highlight w:val="none"/>
              </w:rPr>
            </w:pPr>
          </w:p>
        </w:tc>
        <w:tc>
          <w:tcPr>
            <w:tcW w:w="1557" w:type="dxa"/>
          </w:tcPr>
          <w:p w14:paraId="142C982D">
            <w:pPr>
              <w:pStyle w:val="137"/>
              <w:jc w:val="center"/>
              <w:outlineLvl w:val="0"/>
              <w:rPr>
                <w:color w:val="auto"/>
                <w:szCs w:val="21"/>
                <w:highlight w:val="none"/>
              </w:rPr>
            </w:pPr>
          </w:p>
        </w:tc>
        <w:tc>
          <w:tcPr>
            <w:tcW w:w="569" w:type="dxa"/>
          </w:tcPr>
          <w:p w14:paraId="65690902">
            <w:pPr>
              <w:pStyle w:val="137"/>
              <w:jc w:val="center"/>
              <w:outlineLvl w:val="0"/>
              <w:rPr>
                <w:color w:val="auto"/>
                <w:szCs w:val="21"/>
                <w:highlight w:val="none"/>
              </w:rPr>
            </w:pPr>
          </w:p>
        </w:tc>
      </w:tr>
      <w:tr w14:paraId="57163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30A6A055">
            <w:pPr>
              <w:pStyle w:val="137"/>
              <w:jc w:val="center"/>
              <w:outlineLvl w:val="0"/>
              <w:rPr>
                <w:color w:val="auto"/>
                <w:szCs w:val="21"/>
                <w:highlight w:val="none"/>
              </w:rPr>
            </w:pPr>
          </w:p>
        </w:tc>
        <w:tc>
          <w:tcPr>
            <w:tcW w:w="1134" w:type="dxa"/>
          </w:tcPr>
          <w:p w14:paraId="662DC361">
            <w:pPr>
              <w:pStyle w:val="137"/>
              <w:jc w:val="center"/>
              <w:outlineLvl w:val="0"/>
              <w:rPr>
                <w:color w:val="auto"/>
                <w:szCs w:val="21"/>
                <w:highlight w:val="none"/>
              </w:rPr>
            </w:pPr>
          </w:p>
        </w:tc>
        <w:tc>
          <w:tcPr>
            <w:tcW w:w="1152" w:type="dxa"/>
          </w:tcPr>
          <w:p w14:paraId="5C96E6E6">
            <w:pPr>
              <w:pStyle w:val="137"/>
              <w:jc w:val="center"/>
              <w:outlineLvl w:val="0"/>
              <w:rPr>
                <w:color w:val="auto"/>
                <w:szCs w:val="21"/>
                <w:highlight w:val="none"/>
              </w:rPr>
            </w:pPr>
          </w:p>
        </w:tc>
        <w:tc>
          <w:tcPr>
            <w:tcW w:w="1258" w:type="dxa"/>
          </w:tcPr>
          <w:p w14:paraId="0BE2F19C">
            <w:pPr>
              <w:pStyle w:val="137"/>
              <w:jc w:val="center"/>
              <w:outlineLvl w:val="0"/>
              <w:rPr>
                <w:color w:val="auto"/>
                <w:szCs w:val="21"/>
                <w:highlight w:val="none"/>
              </w:rPr>
            </w:pPr>
          </w:p>
        </w:tc>
        <w:tc>
          <w:tcPr>
            <w:tcW w:w="992" w:type="dxa"/>
          </w:tcPr>
          <w:p w14:paraId="6110D53C">
            <w:pPr>
              <w:pStyle w:val="137"/>
              <w:jc w:val="center"/>
              <w:outlineLvl w:val="0"/>
              <w:rPr>
                <w:color w:val="auto"/>
                <w:szCs w:val="21"/>
                <w:highlight w:val="none"/>
              </w:rPr>
            </w:pPr>
          </w:p>
        </w:tc>
        <w:tc>
          <w:tcPr>
            <w:tcW w:w="992" w:type="dxa"/>
          </w:tcPr>
          <w:p w14:paraId="0984E937">
            <w:pPr>
              <w:pStyle w:val="137"/>
              <w:jc w:val="center"/>
              <w:outlineLvl w:val="0"/>
              <w:rPr>
                <w:color w:val="auto"/>
                <w:szCs w:val="21"/>
                <w:highlight w:val="none"/>
              </w:rPr>
            </w:pPr>
          </w:p>
        </w:tc>
        <w:tc>
          <w:tcPr>
            <w:tcW w:w="1560" w:type="dxa"/>
          </w:tcPr>
          <w:p w14:paraId="06C22AB4">
            <w:pPr>
              <w:pStyle w:val="137"/>
              <w:jc w:val="center"/>
              <w:outlineLvl w:val="0"/>
              <w:rPr>
                <w:color w:val="auto"/>
                <w:szCs w:val="21"/>
                <w:highlight w:val="none"/>
              </w:rPr>
            </w:pPr>
          </w:p>
        </w:tc>
        <w:tc>
          <w:tcPr>
            <w:tcW w:w="1557" w:type="dxa"/>
          </w:tcPr>
          <w:p w14:paraId="748E8F1F">
            <w:pPr>
              <w:pStyle w:val="137"/>
              <w:jc w:val="center"/>
              <w:outlineLvl w:val="0"/>
              <w:rPr>
                <w:color w:val="auto"/>
                <w:szCs w:val="21"/>
                <w:highlight w:val="none"/>
              </w:rPr>
            </w:pPr>
          </w:p>
        </w:tc>
        <w:tc>
          <w:tcPr>
            <w:tcW w:w="569" w:type="dxa"/>
          </w:tcPr>
          <w:p w14:paraId="74AD6051">
            <w:pPr>
              <w:pStyle w:val="137"/>
              <w:jc w:val="center"/>
              <w:outlineLvl w:val="0"/>
              <w:rPr>
                <w:color w:val="auto"/>
                <w:szCs w:val="21"/>
                <w:highlight w:val="none"/>
              </w:rPr>
            </w:pPr>
          </w:p>
        </w:tc>
      </w:tr>
      <w:tr w14:paraId="094C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4882EB93">
            <w:pPr>
              <w:pStyle w:val="137"/>
              <w:jc w:val="center"/>
              <w:outlineLvl w:val="0"/>
              <w:rPr>
                <w:color w:val="auto"/>
                <w:szCs w:val="21"/>
                <w:highlight w:val="none"/>
              </w:rPr>
            </w:pPr>
          </w:p>
        </w:tc>
        <w:tc>
          <w:tcPr>
            <w:tcW w:w="1134" w:type="dxa"/>
          </w:tcPr>
          <w:p w14:paraId="3123F09B">
            <w:pPr>
              <w:pStyle w:val="137"/>
              <w:jc w:val="center"/>
              <w:outlineLvl w:val="0"/>
              <w:rPr>
                <w:color w:val="auto"/>
                <w:szCs w:val="21"/>
                <w:highlight w:val="none"/>
              </w:rPr>
            </w:pPr>
          </w:p>
        </w:tc>
        <w:tc>
          <w:tcPr>
            <w:tcW w:w="1152" w:type="dxa"/>
          </w:tcPr>
          <w:p w14:paraId="0B2C1C76">
            <w:pPr>
              <w:pStyle w:val="137"/>
              <w:jc w:val="center"/>
              <w:outlineLvl w:val="0"/>
              <w:rPr>
                <w:color w:val="auto"/>
                <w:szCs w:val="21"/>
                <w:highlight w:val="none"/>
              </w:rPr>
            </w:pPr>
          </w:p>
        </w:tc>
        <w:tc>
          <w:tcPr>
            <w:tcW w:w="1258" w:type="dxa"/>
          </w:tcPr>
          <w:p w14:paraId="270DA1A8">
            <w:pPr>
              <w:pStyle w:val="137"/>
              <w:jc w:val="center"/>
              <w:outlineLvl w:val="0"/>
              <w:rPr>
                <w:color w:val="auto"/>
                <w:szCs w:val="21"/>
                <w:highlight w:val="none"/>
              </w:rPr>
            </w:pPr>
          </w:p>
        </w:tc>
        <w:tc>
          <w:tcPr>
            <w:tcW w:w="992" w:type="dxa"/>
          </w:tcPr>
          <w:p w14:paraId="5F16D358">
            <w:pPr>
              <w:pStyle w:val="137"/>
              <w:jc w:val="center"/>
              <w:outlineLvl w:val="0"/>
              <w:rPr>
                <w:color w:val="auto"/>
                <w:szCs w:val="21"/>
                <w:highlight w:val="none"/>
              </w:rPr>
            </w:pPr>
          </w:p>
        </w:tc>
        <w:tc>
          <w:tcPr>
            <w:tcW w:w="992" w:type="dxa"/>
          </w:tcPr>
          <w:p w14:paraId="2B9BE634">
            <w:pPr>
              <w:pStyle w:val="137"/>
              <w:jc w:val="center"/>
              <w:outlineLvl w:val="0"/>
              <w:rPr>
                <w:color w:val="auto"/>
                <w:szCs w:val="21"/>
                <w:highlight w:val="none"/>
              </w:rPr>
            </w:pPr>
          </w:p>
        </w:tc>
        <w:tc>
          <w:tcPr>
            <w:tcW w:w="1560" w:type="dxa"/>
          </w:tcPr>
          <w:p w14:paraId="458E8872">
            <w:pPr>
              <w:pStyle w:val="137"/>
              <w:jc w:val="center"/>
              <w:outlineLvl w:val="0"/>
              <w:rPr>
                <w:color w:val="auto"/>
                <w:szCs w:val="21"/>
                <w:highlight w:val="none"/>
              </w:rPr>
            </w:pPr>
          </w:p>
        </w:tc>
        <w:tc>
          <w:tcPr>
            <w:tcW w:w="1557" w:type="dxa"/>
          </w:tcPr>
          <w:p w14:paraId="2CD1DD4C">
            <w:pPr>
              <w:pStyle w:val="137"/>
              <w:jc w:val="center"/>
              <w:outlineLvl w:val="0"/>
              <w:rPr>
                <w:color w:val="auto"/>
                <w:szCs w:val="21"/>
                <w:highlight w:val="none"/>
              </w:rPr>
            </w:pPr>
          </w:p>
        </w:tc>
        <w:tc>
          <w:tcPr>
            <w:tcW w:w="569" w:type="dxa"/>
          </w:tcPr>
          <w:p w14:paraId="245125D4">
            <w:pPr>
              <w:pStyle w:val="137"/>
              <w:jc w:val="center"/>
              <w:outlineLvl w:val="0"/>
              <w:rPr>
                <w:color w:val="auto"/>
                <w:szCs w:val="21"/>
                <w:highlight w:val="none"/>
              </w:rPr>
            </w:pPr>
          </w:p>
        </w:tc>
      </w:tr>
      <w:tr w14:paraId="1295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26BA5DEE">
            <w:pPr>
              <w:pStyle w:val="137"/>
              <w:jc w:val="center"/>
              <w:outlineLvl w:val="0"/>
              <w:rPr>
                <w:color w:val="auto"/>
                <w:szCs w:val="21"/>
                <w:highlight w:val="none"/>
              </w:rPr>
            </w:pPr>
          </w:p>
        </w:tc>
        <w:tc>
          <w:tcPr>
            <w:tcW w:w="1134" w:type="dxa"/>
          </w:tcPr>
          <w:p w14:paraId="46B44D14">
            <w:pPr>
              <w:pStyle w:val="137"/>
              <w:jc w:val="center"/>
              <w:outlineLvl w:val="0"/>
              <w:rPr>
                <w:color w:val="auto"/>
                <w:szCs w:val="21"/>
                <w:highlight w:val="none"/>
              </w:rPr>
            </w:pPr>
          </w:p>
        </w:tc>
        <w:tc>
          <w:tcPr>
            <w:tcW w:w="1152" w:type="dxa"/>
          </w:tcPr>
          <w:p w14:paraId="0FC93D81">
            <w:pPr>
              <w:pStyle w:val="137"/>
              <w:jc w:val="center"/>
              <w:outlineLvl w:val="0"/>
              <w:rPr>
                <w:color w:val="auto"/>
                <w:szCs w:val="21"/>
                <w:highlight w:val="none"/>
              </w:rPr>
            </w:pPr>
          </w:p>
        </w:tc>
        <w:tc>
          <w:tcPr>
            <w:tcW w:w="1258" w:type="dxa"/>
          </w:tcPr>
          <w:p w14:paraId="49A73E9E">
            <w:pPr>
              <w:pStyle w:val="137"/>
              <w:jc w:val="center"/>
              <w:outlineLvl w:val="0"/>
              <w:rPr>
                <w:color w:val="auto"/>
                <w:szCs w:val="21"/>
                <w:highlight w:val="none"/>
              </w:rPr>
            </w:pPr>
          </w:p>
        </w:tc>
        <w:tc>
          <w:tcPr>
            <w:tcW w:w="992" w:type="dxa"/>
          </w:tcPr>
          <w:p w14:paraId="7BEE13D8">
            <w:pPr>
              <w:pStyle w:val="137"/>
              <w:jc w:val="center"/>
              <w:outlineLvl w:val="0"/>
              <w:rPr>
                <w:color w:val="auto"/>
                <w:szCs w:val="21"/>
                <w:highlight w:val="none"/>
              </w:rPr>
            </w:pPr>
          </w:p>
        </w:tc>
        <w:tc>
          <w:tcPr>
            <w:tcW w:w="992" w:type="dxa"/>
          </w:tcPr>
          <w:p w14:paraId="19FEE43B">
            <w:pPr>
              <w:pStyle w:val="137"/>
              <w:jc w:val="center"/>
              <w:outlineLvl w:val="0"/>
              <w:rPr>
                <w:color w:val="auto"/>
                <w:szCs w:val="21"/>
                <w:highlight w:val="none"/>
              </w:rPr>
            </w:pPr>
          </w:p>
        </w:tc>
        <w:tc>
          <w:tcPr>
            <w:tcW w:w="1560" w:type="dxa"/>
          </w:tcPr>
          <w:p w14:paraId="38866C0A">
            <w:pPr>
              <w:pStyle w:val="137"/>
              <w:jc w:val="center"/>
              <w:outlineLvl w:val="0"/>
              <w:rPr>
                <w:color w:val="auto"/>
                <w:szCs w:val="21"/>
                <w:highlight w:val="none"/>
              </w:rPr>
            </w:pPr>
          </w:p>
        </w:tc>
        <w:tc>
          <w:tcPr>
            <w:tcW w:w="1557" w:type="dxa"/>
          </w:tcPr>
          <w:p w14:paraId="09F446AF">
            <w:pPr>
              <w:pStyle w:val="137"/>
              <w:jc w:val="center"/>
              <w:outlineLvl w:val="0"/>
              <w:rPr>
                <w:color w:val="auto"/>
                <w:szCs w:val="21"/>
                <w:highlight w:val="none"/>
              </w:rPr>
            </w:pPr>
          </w:p>
        </w:tc>
        <w:tc>
          <w:tcPr>
            <w:tcW w:w="569" w:type="dxa"/>
          </w:tcPr>
          <w:p w14:paraId="71BBD052">
            <w:pPr>
              <w:pStyle w:val="137"/>
              <w:jc w:val="center"/>
              <w:outlineLvl w:val="0"/>
              <w:rPr>
                <w:color w:val="auto"/>
                <w:szCs w:val="21"/>
                <w:highlight w:val="none"/>
              </w:rPr>
            </w:pPr>
          </w:p>
        </w:tc>
      </w:tr>
    </w:tbl>
    <w:p w14:paraId="2FF4272F">
      <w:pPr>
        <w:spacing w:line="360" w:lineRule="auto"/>
        <w:ind w:firstLine="420" w:firstLineChars="200"/>
        <w:rPr>
          <w:color w:val="auto"/>
          <w:szCs w:val="21"/>
          <w:highlight w:val="none"/>
        </w:rPr>
      </w:pPr>
    </w:p>
    <w:p w14:paraId="4BE55F51">
      <w:pPr>
        <w:spacing w:line="360" w:lineRule="auto"/>
        <w:ind w:firstLine="422" w:firstLineChars="200"/>
        <w:rPr>
          <w:rFonts w:eastAsia="楷体_GB2312" w:cs="楷体_GB2312"/>
          <w:b/>
          <w:bCs/>
          <w:color w:val="auto"/>
          <w:highlight w:val="none"/>
        </w:rPr>
      </w:pPr>
      <w:r>
        <w:rPr>
          <w:rFonts w:hint="eastAsia" w:eastAsia="楷体_GB2312" w:cs="楷体_GB2312"/>
          <w:b/>
          <w:bCs/>
          <w:color w:val="auto"/>
          <w:highlight w:val="none"/>
        </w:rPr>
        <w:t>备注：1.相关信息应与“桂建云”系统信息一致，</w:t>
      </w:r>
      <w:r>
        <w:rPr>
          <w:rFonts w:eastAsia="楷体_GB2312" w:cs="楷体_GB2312"/>
          <w:b/>
          <w:bCs/>
          <w:color w:val="auto"/>
          <w:highlight w:val="none"/>
        </w:rPr>
        <w:t>否则</w:t>
      </w:r>
      <w:r>
        <w:rPr>
          <w:rFonts w:hint="eastAsia" w:eastAsia="楷体_GB2312" w:cs="楷体_GB2312"/>
          <w:b/>
          <w:bCs/>
          <w:color w:val="auto"/>
          <w:highlight w:val="none"/>
        </w:rPr>
        <w:t>评审时不予承认。</w:t>
      </w:r>
    </w:p>
    <w:p w14:paraId="61FE4DAC">
      <w:pPr>
        <w:spacing w:line="360" w:lineRule="auto"/>
        <w:ind w:firstLine="422" w:firstLineChars="200"/>
        <w:rPr>
          <w:rFonts w:eastAsia="楷体_GB2312" w:cs="楷体_GB2312"/>
          <w:b/>
          <w:bCs/>
          <w:color w:val="auto"/>
          <w:highlight w:val="none"/>
          <w:lang w:val="en"/>
        </w:rPr>
      </w:pPr>
      <w:r>
        <w:rPr>
          <w:rFonts w:hint="eastAsia" w:eastAsia="楷体_GB2312" w:cs="楷体_GB2312"/>
          <w:b/>
          <w:bCs/>
          <w:color w:val="auto"/>
          <w:highlight w:val="none"/>
        </w:rPr>
        <w:t>2.</w:t>
      </w:r>
      <w:r>
        <w:rPr>
          <w:rFonts w:hint="eastAsia" w:ascii="楷体" w:hAnsi="楷体" w:eastAsia="楷体" w:cs="宋体"/>
          <w:b/>
          <w:color w:val="auto"/>
          <w:highlight w:val="none"/>
        </w:rPr>
        <w:t>注册城乡规划师，咨询工程师，注册土木工程师（道路）等未在住建部注册或者未实施注册制度的资格证书，在人员信息中备注一栏填写该人员为某专业注册人员，并在投标人认为的其他材料内补充上传电子证书，</w:t>
      </w:r>
      <w:r>
        <w:rPr>
          <w:rFonts w:ascii="楷体" w:hAnsi="楷体" w:eastAsia="楷体" w:cs="宋体"/>
          <w:b/>
          <w:color w:val="auto"/>
          <w:highlight w:val="none"/>
          <w:lang w:val="en"/>
        </w:rPr>
        <w:t>非电子证书，均不予以认可。</w:t>
      </w:r>
    </w:p>
    <w:p w14:paraId="1F8337B2">
      <w:pPr>
        <w:rPr>
          <w:color w:val="auto"/>
          <w:highlight w:val="none"/>
          <w:lang w:val="en"/>
        </w:rPr>
      </w:pPr>
    </w:p>
    <w:p w14:paraId="1850FE71">
      <w:pPr>
        <w:rPr>
          <w:color w:val="auto"/>
          <w:highlight w:val="none"/>
        </w:rPr>
      </w:pPr>
    </w:p>
    <w:p w14:paraId="35DC4484">
      <w:pPr>
        <w:rPr>
          <w:color w:val="auto"/>
          <w:highlight w:val="none"/>
        </w:rPr>
      </w:pPr>
    </w:p>
    <w:p w14:paraId="57836A83">
      <w:pPr>
        <w:rPr>
          <w:color w:val="auto"/>
          <w:highlight w:val="none"/>
        </w:rPr>
      </w:pPr>
    </w:p>
    <w:p w14:paraId="16D1BC02">
      <w:pPr>
        <w:rPr>
          <w:color w:val="auto"/>
          <w:highlight w:val="none"/>
        </w:rPr>
      </w:pPr>
    </w:p>
    <w:p w14:paraId="656FD97D">
      <w:pPr>
        <w:rPr>
          <w:color w:val="auto"/>
          <w:highlight w:val="none"/>
        </w:rPr>
      </w:pPr>
    </w:p>
    <w:p w14:paraId="4206EE67">
      <w:pPr>
        <w:rPr>
          <w:color w:val="auto"/>
          <w:highlight w:val="none"/>
        </w:rPr>
      </w:pPr>
    </w:p>
    <w:p w14:paraId="2F59ED8D">
      <w:pPr>
        <w:rPr>
          <w:color w:val="auto"/>
          <w:highlight w:val="none"/>
        </w:rPr>
      </w:pPr>
    </w:p>
    <w:p w14:paraId="18666141">
      <w:pPr>
        <w:rPr>
          <w:color w:val="auto"/>
          <w:highlight w:val="none"/>
        </w:rPr>
      </w:pPr>
    </w:p>
    <w:p w14:paraId="42B16B97">
      <w:pPr>
        <w:rPr>
          <w:color w:val="auto"/>
          <w:highlight w:val="none"/>
        </w:rPr>
      </w:pPr>
    </w:p>
    <w:p w14:paraId="36EEE532">
      <w:pPr>
        <w:rPr>
          <w:color w:val="auto"/>
          <w:highlight w:val="none"/>
        </w:rPr>
      </w:pPr>
    </w:p>
    <w:p w14:paraId="00302B96">
      <w:pPr>
        <w:rPr>
          <w:color w:val="auto"/>
          <w:highlight w:val="none"/>
        </w:rPr>
      </w:pPr>
    </w:p>
    <w:p w14:paraId="671C219B">
      <w:pPr>
        <w:rPr>
          <w:color w:val="auto"/>
          <w:highlight w:val="none"/>
        </w:rPr>
      </w:pPr>
    </w:p>
    <w:p w14:paraId="3DD2F811">
      <w:pPr>
        <w:rPr>
          <w:color w:val="auto"/>
          <w:highlight w:val="none"/>
        </w:rPr>
      </w:pPr>
    </w:p>
    <w:p w14:paraId="2E32A6DB">
      <w:pPr>
        <w:rPr>
          <w:color w:val="auto"/>
          <w:highlight w:val="none"/>
        </w:rPr>
      </w:pPr>
    </w:p>
    <w:p w14:paraId="36F1E8F9">
      <w:pPr>
        <w:rPr>
          <w:color w:val="auto"/>
          <w:highlight w:val="none"/>
        </w:rPr>
      </w:pPr>
    </w:p>
    <w:p w14:paraId="37E56BEA">
      <w:pPr>
        <w:rPr>
          <w:color w:val="auto"/>
          <w:highlight w:val="none"/>
        </w:rPr>
      </w:pPr>
    </w:p>
    <w:p w14:paraId="72853913">
      <w:pPr>
        <w:rPr>
          <w:color w:val="auto"/>
          <w:highlight w:val="none"/>
        </w:rPr>
      </w:pPr>
    </w:p>
    <w:p w14:paraId="1E166EC4">
      <w:pPr>
        <w:rPr>
          <w:color w:val="auto"/>
          <w:highlight w:val="none"/>
        </w:rPr>
      </w:pPr>
    </w:p>
    <w:p w14:paraId="4C5C3A46">
      <w:pPr>
        <w:rPr>
          <w:color w:val="auto"/>
          <w:highlight w:val="none"/>
        </w:rPr>
      </w:pPr>
    </w:p>
    <w:p w14:paraId="5C91559C">
      <w:pPr>
        <w:rPr>
          <w:color w:val="auto"/>
          <w:highlight w:val="none"/>
        </w:rPr>
      </w:pPr>
    </w:p>
    <w:p w14:paraId="3F9F37BF">
      <w:pPr>
        <w:rPr>
          <w:color w:val="auto"/>
          <w:highlight w:val="none"/>
        </w:rPr>
      </w:pPr>
    </w:p>
    <w:p w14:paraId="6250351A">
      <w:pPr>
        <w:rPr>
          <w:color w:val="auto"/>
          <w:highlight w:val="none"/>
        </w:rPr>
      </w:pPr>
    </w:p>
    <w:p w14:paraId="7ECD063B">
      <w:pPr>
        <w:rPr>
          <w:color w:val="auto"/>
          <w:highlight w:val="none"/>
        </w:rPr>
      </w:pPr>
    </w:p>
    <w:p w14:paraId="20FCAE1B">
      <w:pPr>
        <w:rPr>
          <w:color w:val="auto"/>
          <w:highlight w:val="none"/>
        </w:rPr>
      </w:pPr>
    </w:p>
    <w:p w14:paraId="159DE517">
      <w:pPr>
        <w:rPr>
          <w:color w:val="auto"/>
          <w:highlight w:val="none"/>
        </w:rPr>
      </w:pPr>
    </w:p>
    <w:p w14:paraId="16A54A69">
      <w:pPr>
        <w:rPr>
          <w:color w:val="auto"/>
          <w:highlight w:val="none"/>
        </w:rPr>
      </w:pPr>
    </w:p>
    <w:p w14:paraId="3448BFAF">
      <w:pPr>
        <w:rPr>
          <w:color w:val="auto"/>
          <w:highlight w:val="none"/>
        </w:rPr>
      </w:pPr>
    </w:p>
    <w:p w14:paraId="59E9171D">
      <w:pPr>
        <w:rPr>
          <w:color w:val="auto"/>
          <w:highlight w:val="none"/>
        </w:rPr>
      </w:pPr>
    </w:p>
    <w:p w14:paraId="59FE6B20">
      <w:pPr>
        <w:spacing w:line="360" w:lineRule="auto"/>
        <w:jc w:val="left"/>
        <w:rPr>
          <w:rFonts w:ascii="楷体" w:hAnsi="楷体" w:eastAsia="楷体"/>
          <w:b/>
          <w:color w:val="auto"/>
          <w:highlight w:val="none"/>
        </w:rPr>
      </w:pPr>
      <w:r>
        <w:rPr>
          <w:rFonts w:hint="eastAsia" w:ascii="宋体" w:hAnsi="宋体"/>
          <w:b/>
          <w:color w:val="auto"/>
          <w:sz w:val="28"/>
          <w:szCs w:val="28"/>
          <w:highlight w:val="none"/>
        </w:rPr>
        <w:t>六、企业近</w:t>
      </w:r>
      <w:r>
        <w:rPr>
          <w:rFonts w:hint="eastAsia" w:ascii="宋体" w:hAnsi="宋体"/>
          <w:b/>
          <w:color w:val="auto"/>
          <w:sz w:val="28"/>
          <w:szCs w:val="28"/>
          <w:highlight w:val="none"/>
          <w:u w:val="single"/>
        </w:rPr>
        <w:t>3（即：2022年、2023年、2024年）</w:t>
      </w:r>
      <w:r>
        <w:rPr>
          <w:rFonts w:hint="eastAsia" w:ascii="宋体" w:hAnsi="宋体"/>
          <w:b/>
          <w:color w:val="auto"/>
          <w:sz w:val="28"/>
          <w:szCs w:val="28"/>
          <w:highlight w:val="none"/>
        </w:rPr>
        <w:t>年财务状况表</w:t>
      </w:r>
      <w:r>
        <w:rPr>
          <w:rFonts w:hint="eastAsia" w:ascii="楷体" w:hAnsi="楷体" w:eastAsia="楷体" w:cs="楷体_GB2312"/>
          <w:b/>
          <w:color w:val="auto"/>
          <w:highlight w:val="none"/>
        </w:rPr>
        <w:t>【备注：财务状况表指：经会计师事务所或审计机构审计的财务会计报表，包括资产负债表、现金流量表、利润表的扫描件。具体年份要求见第二章</w:t>
      </w:r>
      <w:r>
        <w:rPr>
          <w:rFonts w:ascii="楷体" w:hAnsi="楷体" w:eastAsia="楷体"/>
          <w:b/>
          <w:color w:val="auto"/>
          <w:highlight w:val="none"/>
        </w:rPr>
        <w:t>“</w:t>
      </w:r>
      <w:r>
        <w:rPr>
          <w:rFonts w:hint="eastAsia" w:ascii="楷体" w:hAnsi="楷体" w:eastAsia="楷体" w:cs="楷体_GB2312"/>
          <w:b/>
          <w:color w:val="auto"/>
          <w:highlight w:val="none"/>
        </w:rPr>
        <w:t>投标人须知</w:t>
      </w:r>
      <w:r>
        <w:rPr>
          <w:rFonts w:ascii="楷体" w:hAnsi="楷体" w:eastAsia="楷体"/>
          <w:b/>
          <w:color w:val="auto"/>
          <w:highlight w:val="none"/>
        </w:rPr>
        <w:t>”</w:t>
      </w:r>
      <w:r>
        <w:rPr>
          <w:rFonts w:hint="eastAsia" w:ascii="楷体" w:hAnsi="楷体" w:eastAsia="楷体" w:cs="楷体_GB2312"/>
          <w:b/>
          <w:color w:val="auto"/>
          <w:highlight w:val="none"/>
        </w:rPr>
        <w:t>的规定，提供的扫描件均为原件的扫描件。】</w:t>
      </w:r>
      <w:r>
        <w:rPr>
          <w:rFonts w:hint="eastAsia" w:cs="宋体"/>
          <w:b/>
          <w:bCs/>
          <w:color w:val="auto"/>
          <w:sz w:val="28"/>
          <w:szCs w:val="28"/>
          <w:highlight w:val="none"/>
        </w:rPr>
        <w:t>、《中小企业声明函》或者《残疾人福利性单位声明函》或者省级以上监狱管理局、戒毒管理局（含新疆生产建设兵团）出具的属于监狱企业的证明文件扫描件（预留份额专门面向中小企业采购的项目须提供）、</w:t>
      </w:r>
      <w:r>
        <w:rPr>
          <w:rFonts w:hint="eastAsia" w:cs="宋体"/>
          <w:b/>
          <w:bCs/>
          <w:color w:val="auto"/>
          <w:sz w:val="28"/>
          <w:szCs w:val="28"/>
          <w:highlight w:val="none"/>
          <w:lang w:val="en"/>
        </w:rPr>
        <w:t>近年来完成的类似工程业绩【备注：如招标公告无业绩要求，可不包含此项】</w:t>
      </w:r>
      <w:r>
        <w:rPr>
          <w:rFonts w:hint="eastAsia" w:ascii="宋体" w:hAnsi="宋体"/>
          <w:b/>
          <w:color w:val="auto"/>
          <w:sz w:val="28"/>
          <w:szCs w:val="28"/>
          <w:highlight w:val="none"/>
        </w:rPr>
        <w:t>。</w:t>
      </w:r>
    </w:p>
    <w:p w14:paraId="575A0BCE">
      <w:pPr>
        <w:rPr>
          <w:color w:val="auto"/>
          <w:highlight w:val="none"/>
        </w:rPr>
      </w:pPr>
    </w:p>
    <w:p w14:paraId="6EC5E48F">
      <w:pPr>
        <w:rPr>
          <w:color w:val="auto"/>
          <w:highlight w:val="none"/>
        </w:rPr>
      </w:pPr>
    </w:p>
    <w:p w14:paraId="7C9B55F9">
      <w:pPr>
        <w:spacing w:line="360" w:lineRule="auto"/>
        <w:ind w:firstLine="562" w:firstLineChars="200"/>
        <w:rPr>
          <w:rFonts w:cs="宋体"/>
          <w:b/>
          <w:bCs/>
          <w:color w:val="auto"/>
          <w:sz w:val="28"/>
          <w:szCs w:val="28"/>
          <w:highlight w:val="none"/>
        </w:rPr>
      </w:pPr>
      <w:r>
        <w:rPr>
          <w:rFonts w:hint="eastAsia" w:cs="宋体"/>
          <w:b/>
          <w:bCs/>
          <w:color w:val="auto"/>
          <w:sz w:val="28"/>
          <w:szCs w:val="28"/>
          <w:highlight w:val="none"/>
        </w:rPr>
        <w:t>（一）中小企业声明函</w:t>
      </w:r>
    </w:p>
    <w:p w14:paraId="29309F12">
      <w:pPr>
        <w:pStyle w:val="36"/>
        <w:snapToGrid w:val="0"/>
        <w:spacing w:line="300" w:lineRule="auto"/>
        <w:jc w:val="center"/>
        <w:rPr>
          <w:rFonts w:cs="黑体"/>
          <w:b/>
          <w:snapToGrid w:val="0"/>
          <w:color w:val="auto"/>
          <w:highlight w:val="none"/>
        </w:rPr>
      </w:pPr>
      <w:r>
        <w:rPr>
          <w:rFonts w:hint="eastAsia" w:cs="黑体"/>
          <w:b/>
          <w:snapToGrid w:val="0"/>
          <w:color w:val="auto"/>
          <w:highlight w:val="none"/>
        </w:rPr>
        <w:t>中小企业声明函（工程）</w:t>
      </w:r>
    </w:p>
    <w:p w14:paraId="1F608669">
      <w:pPr>
        <w:spacing w:line="360" w:lineRule="auto"/>
        <w:ind w:firstLine="420"/>
        <w:rPr>
          <w:bCs/>
          <w:color w:val="auto"/>
          <w:highlight w:val="none"/>
        </w:rPr>
      </w:pPr>
      <w:r>
        <w:rPr>
          <w:rFonts w:hint="eastAsia"/>
          <w:bCs/>
          <w:color w:val="auto"/>
          <w:highlight w:val="none"/>
        </w:rPr>
        <w:t>本公司（联合体）郑重声明，根据《政府采购促进中小企业发展管理办法》（财库﹝</w:t>
      </w:r>
      <w:r>
        <w:rPr>
          <w:bCs/>
          <w:color w:val="auto"/>
          <w:highlight w:val="none"/>
        </w:rPr>
        <w:t>2020</w:t>
      </w:r>
      <w:r>
        <w:rPr>
          <w:rFonts w:hint="eastAsia"/>
          <w:bCs/>
          <w:color w:val="auto"/>
          <w:highlight w:val="none"/>
        </w:rPr>
        <w:t>﹞</w:t>
      </w:r>
      <w:r>
        <w:rPr>
          <w:bCs/>
          <w:color w:val="auto"/>
          <w:highlight w:val="none"/>
        </w:rPr>
        <w:t xml:space="preserve">46 </w:t>
      </w:r>
      <w:r>
        <w:rPr>
          <w:rFonts w:hint="eastAsia"/>
          <w:bCs/>
          <w:color w:val="auto"/>
          <w:highlight w:val="none"/>
        </w:rPr>
        <w:t>号）的规定，本公司（联合体）参加</w:t>
      </w:r>
      <w:r>
        <w:rPr>
          <w:rFonts w:hint="eastAsia"/>
          <w:bCs/>
          <w:color w:val="auto"/>
          <w:highlight w:val="none"/>
          <w:u w:val="single"/>
        </w:rPr>
        <w:t>（单位名称）</w:t>
      </w:r>
      <w:r>
        <w:rPr>
          <w:rFonts w:hint="eastAsia"/>
          <w:bCs/>
          <w:color w:val="auto"/>
          <w:highlight w:val="none"/>
        </w:rPr>
        <w:t>的</w:t>
      </w:r>
      <w:r>
        <w:rPr>
          <w:rFonts w:hint="eastAsia"/>
          <w:bCs/>
          <w:color w:val="auto"/>
          <w:highlight w:val="none"/>
          <w:u w:val="single"/>
        </w:rPr>
        <w:t>（项目名称）</w:t>
      </w:r>
      <w:r>
        <w:rPr>
          <w:rFonts w:hint="eastAsia"/>
          <w:bCs/>
          <w:color w:val="auto"/>
          <w:highlight w:val="none"/>
        </w:rPr>
        <w:t>采购活动，工程的施工单位全部为符合政策要求的中小企业。相关企业（含联合体中的中小企业、签订分包意向协议的中小企业）的具体情况如下：</w:t>
      </w:r>
    </w:p>
    <w:p w14:paraId="7EFA97B3">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w:t>
      </w:r>
      <w:r>
        <w:rPr>
          <w:bCs/>
          <w:color w:val="auto"/>
          <w:highlight w:val="none"/>
          <w:u w:val="single"/>
        </w:rPr>
        <w:t>10.1.5</w:t>
      </w:r>
      <w:r>
        <w:rPr>
          <w:rFonts w:hint="eastAsia"/>
          <w:bCs/>
          <w:color w:val="auto"/>
          <w:highlight w:val="none"/>
          <w:u w:val="single"/>
        </w:rPr>
        <w:t>中明确的所属行业）</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31EA7A90">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w:t>
      </w:r>
      <w:r>
        <w:rPr>
          <w:bCs/>
          <w:color w:val="auto"/>
          <w:highlight w:val="none"/>
          <w:u w:val="single"/>
        </w:rPr>
        <w:t>10.1.5</w:t>
      </w:r>
      <w:r>
        <w:rPr>
          <w:rFonts w:hint="eastAsia"/>
          <w:bCs/>
          <w:color w:val="auto"/>
          <w:highlight w:val="none"/>
          <w:u w:val="single"/>
        </w:rPr>
        <w:t>中明确的所属行业）</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6EC6D7DE">
      <w:pPr>
        <w:spacing w:line="360" w:lineRule="auto"/>
        <w:ind w:firstLine="420"/>
        <w:rPr>
          <w:bCs/>
          <w:color w:val="auto"/>
          <w:highlight w:val="none"/>
        </w:rPr>
      </w:pPr>
      <w:r>
        <w:rPr>
          <w:rFonts w:hint="eastAsia"/>
          <w:bCs/>
          <w:color w:val="auto"/>
          <w:highlight w:val="none"/>
        </w:rPr>
        <w:t>……</w:t>
      </w:r>
    </w:p>
    <w:p w14:paraId="055F62B4">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282DCC43">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7D018227">
      <w:pPr>
        <w:spacing w:line="360" w:lineRule="auto"/>
        <w:ind w:firstLine="3150" w:firstLineChars="1500"/>
        <w:rPr>
          <w:bCs/>
          <w:color w:val="auto"/>
          <w:highlight w:val="none"/>
        </w:rPr>
      </w:pPr>
      <w:r>
        <w:rPr>
          <w:rFonts w:hint="eastAsia"/>
          <w:bCs/>
          <w:color w:val="auto"/>
          <w:highlight w:val="none"/>
        </w:rPr>
        <w:t>企业名称（盖章）：</w:t>
      </w:r>
    </w:p>
    <w:p w14:paraId="0B046A33">
      <w:pPr>
        <w:spacing w:line="360" w:lineRule="auto"/>
        <w:ind w:firstLine="3150" w:firstLineChars="1500"/>
        <w:rPr>
          <w:bCs/>
          <w:color w:val="auto"/>
          <w:highlight w:val="none"/>
        </w:rPr>
      </w:pPr>
      <w:r>
        <w:rPr>
          <w:rFonts w:hint="eastAsia"/>
          <w:bCs/>
          <w:color w:val="auto"/>
          <w:highlight w:val="none"/>
        </w:rPr>
        <w:t>日期：</w:t>
      </w:r>
    </w:p>
    <w:p w14:paraId="3CD91A2C">
      <w:pPr>
        <w:spacing w:line="360" w:lineRule="auto"/>
        <w:jc w:val="left"/>
        <w:rPr>
          <w:bCs/>
          <w:color w:val="auto"/>
          <w:highlight w:val="none"/>
        </w:rPr>
      </w:pPr>
    </w:p>
    <w:p w14:paraId="5848B513">
      <w:pPr>
        <w:spacing w:line="360" w:lineRule="auto"/>
        <w:jc w:val="left"/>
        <w:rPr>
          <w:bCs/>
          <w:color w:val="auto"/>
          <w:highlight w:val="none"/>
        </w:rPr>
      </w:pPr>
      <w:r>
        <w:rPr>
          <w:rFonts w:hint="eastAsia"/>
          <w:bCs/>
          <w:color w:val="auto"/>
          <w:highlight w:val="none"/>
        </w:rPr>
        <w:t>注：（</w:t>
      </w:r>
      <w:r>
        <w:rPr>
          <w:bCs/>
          <w:color w:val="auto"/>
          <w:highlight w:val="none"/>
        </w:rPr>
        <w:t>1</w:t>
      </w:r>
      <w:r>
        <w:rPr>
          <w:rFonts w:hint="eastAsia"/>
          <w:bCs/>
          <w:color w:val="auto"/>
          <w:highlight w:val="none"/>
        </w:rPr>
        <w:t>）如投标人为联合体或分包的，声明函中“项目名称”应填写联合体中中小企业承担的具体内容或者中小企业具体分包内容。</w:t>
      </w:r>
    </w:p>
    <w:p w14:paraId="5CD78BF6">
      <w:pPr>
        <w:spacing w:line="360" w:lineRule="auto"/>
        <w:jc w:val="left"/>
        <w:rPr>
          <w:bCs/>
          <w:color w:val="auto"/>
          <w:highlight w:val="none"/>
        </w:rPr>
      </w:pPr>
      <w:r>
        <w:rPr>
          <w:rFonts w:hint="eastAsia"/>
          <w:bCs/>
          <w:color w:val="auto"/>
          <w:highlight w:val="none"/>
        </w:rPr>
        <w:t>（</w:t>
      </w:r>
      <w:r>
        <w:rPr>
          <w:bCs/>
          <w:color w:val="auto"/>
          <w:highlight w:val="none"/>
        </w:rPr>
        <w:t>2</w:t>
      </w:r>
      <w:r>
        <w:rPr>
          <w:rFonts w:hint="eastAsia"/>
          <w:bCs/>
          <w:color w:val="auto"/>
          <w:highlight w:val="none"/>
        </w:rPr>
        <w:t>）请根据真实情况出具《中小企业声明函》。</w:t>
      </w:r>
      <w:r>
        <w:rPr>
          <w:rFonts w:hint="eastAsia"/>
          <w:color w:val="auto"/>
          <w:highlight w:val="none"/>
        </w:rPr>
        <w:t>中标候选人享受《政府采购促进中小企业发展管理办法》（财库〔2020〕46号）规定的中小企业扶持政策的，招标人</w:t>
      </w:r>
      <w:r>
        <w:rPr>
          <w:rFonts w:hint="eastAsia" w:cs="宋体"/>
          <w:color w:val="auto"/>
          <w:highlight w:val="none"/>
        </w:rPr>
        <w:t>或者其委托的招标代理机构</w:t>
      </w:r>
      <w:r>
        <w:rPr>
          <w:rFonts w:hint="eastAsia"/>
          <w:color w:val="auto"/>
          <w:highlight w:val="none"/>
        </w:rPr>
        <w:t>应当在公示中标候选人时公开中标候选人的《中小企业声明函》</w:t>
      </w:r>
      <w:r>
        <w:rPr>
          <w:rFonts w:hint="eastAsia"/>
          <w:bCs/>
          <w:color w:val="auto"/>
          <w:highlight w:val="none"/>
        </w:rPr>
        <w:t>，接受社会监督。</w:t>
      </w:r>
    </w:p>
    <w:p w14:paraId="669DEF29">
      <w:pPr>
        <w:spacing w:line="360" w:lineRule="auto"/>
        <w:rPr>
          <w:bCs/>
          <w:color w:val="auto"/>
          <w:highlight w:val="none"/>
        </w:rPr>
      </w:pPr>
      <w:r>
        <w:rPr>
          <w:rFonts w:hint="eastAsia"/>
          <w:bCs/>
          <w:color w:val="auto"/>
          <w:highlight w:val="none"/>
        </w:rPr>
        <w:t>（</w:t>
      </w:r>
      <w:r>
        <w:rPr>
          <w:bCs/>
          <w:color w:val="auto"/>
          <w:highlight w:val="none"/>
        </w:rPr>
        <w:t>3</w:t>
      </w:r>
      <w:r>
        <w:rPr>
          <w:rFonts w:hint="eastAsia"/>
          <w:bCs/>
          <w:color w:val="auto"/>
          <w:highlight w:val="none"/>
        </w:rPr>
        <w:t>）从业人员、营业收入、资产总额填报上一年度数据，无上一年度数据的新成立企业可不填报。</w:t>
      </w:r>
    </w:p>
    <w:p w14:paraId="1D582917">
      <w:pPr>
        <w:spacing w:line="360" w:lineRule="auto"/>
        <w:rPr>
          <w:bCs/>
          <w:color w:val="auto"/>
          <w:highlight w:val="none"/>
        </w:rPr>
      </w:pPr>
    </w:p>
    <w:p w14:paraId="3416448D">
      <w:pPr>
        <w:spacing w:line="360" w:lineRule="auto"/>
        <w:ind w:firstLine="420" w:firstLineChars="200"/>
        <w:rPr>
          <w:rFonts w:cs="宋体"/>
          <w:b/>
          <w:bCs/>
          <w:color w:val="auto"/>
          <w:sz w:val="28"/>
          <w:szCs w:val="28"/>
          <w:highlight w:val="none"/>
        </w:rPr>
      </w:pPr>
      <w:r>
        <w:rPr>
          <w:color w:val="auto"/>
          <w:highlight w:val="none"/>
        </w:rPr>
        <w:br w:type="page"/>
      </w:r>
      <w:r>
        <w:rPr>
          <w:rFonts w:hint="eastAsia" w:cs="宋体"/>
          <w:b/>
          <w:bCs/>
          <w:color w:val="auto"/>
          <w:sz w:val="28"/>
          <w:szCs w:val="28"/>
          <w:highlight w:val="none"/>
        </w:rPr>
        <w:t>（二）残疾人福利性单位声明函</w:t>
      </w:r>
    </w:p>
    <w:p w14:paraId="6DAC2B26">
      <w:pPr>
        <w:spacing w:line="360" w:lineRule="auto"/>
        <w:rPr>
          <w:color w:val="auto"/>
          <w:highlight w:val="none"/>
        </w:rPr>
      </w:pPr>
    </w:p>
    <w:p w14:paraId="4E72FF38">
      <w:pPr>
        <w:spacing w:line="588" w:lineRule="exact"/>
        <w:jc w:val="center"/>
        <w:rPr>
          <w:rFonts w:ascii="宋体" w:hAnsi="宋体" w:cs="方正小标宋简体"/>
          <w:b/>
          <w:bCs/>
          <w:color w:val="auto"/>
          <w:spacing w:val="6"/>
          <w:sz w:val="24"/>
          <w:highlight w:val="none"/>
        </w:rPr>
      </w:pPr>
      <w:r>
        <w:rPr>
          <w:rFonts w:hint="eastAsia" w:ascii="宋体" w:hAnsi="宋体" w:cs="方正小标宋简体"/>
          <w:b/>
          <w:bCs/>
          <w:color w:val="auto"/>
          <w:spacing w:val="6"/>
          <w:sz w:val="24"/>
          <w:highlight w:val="none"/>
        </w:rPr>
        <w:t>残疾人福利性单位声明函</w:t>
      </w:r>
    </w:p>
    <w:p w14:paraId="1221AC2D">
      <w:pPr>
        <w:spacing w:line="360" w:lineRule="auto"/>
        <w:rPr>
          <w:rFonts w:ascii="仿宋_GB2312" w:eastAsia="仿宋_GB2312"/>
          <w:bCs/>
          <w:color w:val="auto"/>
          <w:spacing w:val="6"/>
          <w:sz w:val="30"/>
          <w:szCs w:val="30"/>
          <w:highlight w:val="none"/>
        </w:rPr>
      </w:pPr>
    </w:p>
    <w:p w14:paraId="13C187FF">
      <w:pPr>
        <w:spacing w:line="360" w:lineRule="auto"/>
        <w:ind w:firstLine="444" w:firstLineChars="200"/>
        <w:rPr>
          <w:rFonts w:ascii="宋体" w:hAnsi="宋体"/>
          <w:color w:val="auto"/>
          <w:spacing w:val="6"/>
          <w:highlight w:val="none"/>
        </w:rPr>
      </w:pPr>
      <w:r>
        <w:rPr>
          <w:rFonts w:hint="eastAsia" w:ascii="宋体" w:hAnsi="宋体"/>
          <w:color w:val="auto"/>
          <w:spacing w:val="6"/>
          <w:highlight w:val="none"/>
        </w:rPr>
        <w:t>本单位郑重声明，根据《财政部 民政部 中国残疾人联合会关于促进残疾人就业政府采购政策的通知》（财库</w:t>
      </w:r>
      <w:r>
        <w:rPr>
          <w:rFonts w:hint="eastAsia" w:ascii="宋体" w:hAnsi="宋体"/>
          <w:color w:val="auto"/>
          <w:highlight w:val="none"/>
        </w:rPr>
        <w:t>〔2017〕 141</w:t>
      </w:r>
      <w:r>
        <w:rPr>
          <w:rFonts w:hint="eastAsia" w:ascii="宋体" w:hAnsi="宋体"/>
          <w:color w:val="auto"/>
          <w:spacing w:val="6"/>
          <w:highlight w:val="none"/>
        </w:rPr>
        <w:t>号）的规定，本单位为符合条件的残疾人福利性单位，且本单位参加</w:t>
      </w:r>
      <w:r>
        <w:rPr>
          <w:rFonts w:hint="eastAsia" w:ascii="宋体" w:hAnsi="宋体"/>
          <w:color w:val="auto"/>
          <w:spacing w:val="6"/>
          <w:highlight w:val="none"/>
          <w:u w:val="single"/>
        </w:rPr>
        <w:t>______</w:t>
      </w:r>
      <w:r>
        <w:rPr>
          <w:rFonts w:hint="eastAsia" w:ascii="宋体" w:hAnsi="宋体"/>
          <w:color w:val="auto"/>
          <w:spacing w:val="6"/>
          <w:highlight w:val="none"/>
        </w:rPr>
        <w:t>单位的</w:t>
      </w:r>
      <w:r>
        <w:rPr>
          <w:rFonts w:hint="eastAsia" w:ascii="宋体" w:hAnsi="宋体"/>
          <w:color w:val="auto"/>
          <w:spacing w:val="6"/>
          <w:highlight w:val="none"/>
          <w:u w:val="single"/>
        </w:rPr>
        <w:t>______</w:t>
      </w:r>
      <w:r>
        <w:rPr>
          <w:rFonts w:hint="eastAsia" w:ascii="宋体" w:hAnsi="宋体"/>
          <w:color w:val="auto"/>
          <w:spacing w:val="6"/>
          <w:highlight w:val="none"/>
        </w:rPr>
        <w:t>项目招标活动由本单位承担工程</w:t>
      </w:r>
      <w:r>
        <w:rPr>
          <w:rFonts w:hint="eastAsia" w:ascii="宋体" w:hAnsi="宋体"/>
          <w:color w:val="auto"/>
          <w:spacing w:val="-6"/>
          <w:highlight w:val="none"/>
        </w:rPr>
        <w:t>。</w:t>
      </w:r>
    </w:p>
    <w:p w14:paraId="7E753386">
      <w:pPr>
        <w:spacing w:line="360" w:lineRule="auto"/>
        <w:ind w:firstLine="444" w:firstLineChars="200"/>
        <w:rPr>
          <w:rFonts w:ascii="宋体" w:hAnsi="宋体"/>
          <w:color w:val="auto"/>
          <w:spacing w:val="6"/>
          <w:highlight w:val="none"/>
        </w:rPr>
      </w:pPr>
      <w:r>
        <w:rPr>
          <w:rFonts w:hint="eastAsia" w:ascii="宋体" w:hAnsi="宋体"/>
          <w:color w:val="auto"/>
          <w:spacing w:val="6"/>
          <w:highlight w:val="none"/>
        </w:rPr>
        <w:t>本单位对上述声明的真实性负责。如有虚假，将依法承担相应责任。</w:t>
      </w:r>
    </w:p>
    <w:p w14:paraId="73994D18">
      <w:pPr>
        <w:spacing w:line="360" w:lineRule="auto"/>
        <w:ind w:firstLine="444" w:firstLineChars="200"/>
        <w:rPr>
          <w:rFonts w:ascii="宋体" w:hAnsi="宋体"/>
          <w:color w:val="auto"/>
          <w:spacing w:val="6"/>
          <w:highlight w:val="none"/>
        </w:rPr>
      </w:pPr>
    </w:p>
    <w:p w14:paraId="545E768F">
      <w:pPr>
        <w:spacing w:line="360" w:lineRule="auto"/>
        <w:ind w:firstLine="444" w:firstLineChars="200"/>
        <w:rPr>
          <w:rFonts w:ascii="宋体" w:hAnsi="宋体"/>
          <w:color w:val="auto"/>
          <w:spacing w:val="6"/>
          <w:highlight w:val="none"/>
        </w:rPr>
      </w:pPr>
    </w:p>
    <w:p w14:paraId="758A64C7">
      <w:pPr>
        <w:tabs>
          <w:tab w:val="left" w:pos="4860"/>
        </w:tabs>
        <w:spacing w:line="360" w:lineRule="auto"/>
        <w:ind w:right="1560" w:firstLine="444" w:firstLineChars="200"/>
        <w:contextualSpacing/>
        <w:jc w:val="center"/>
        <w:rPr>
          <w:rFonts w:ascii="宋体" w:hAnsi="宋体"/>
          <w:color w:val="auto"/>
          <w:spacing w:val="6"/>
          <w:highlight w:val="none"/>
        </w:rPr>
      </w:pPr>
      <w:r>
        <w:rPr>
          <w:rFonts w:hint="eastAsia" w:ascii="宋体" w:hAnsi="宋体"/>
          <w:color w:val="auto"/>
          <w:spacing w:val="6"/>
          <w:highlight w:val="none"/>
        </w:rPr>
        <w:t>单位名称（盖公章）：</w:t>
      </w:r>
    </w:p>
    <w:p w14:paraId="6035B1A5">
      <w:pPr>
        <w:tabs>
          <w:tab w:val="left" w:pos="4860"/>
        </w:tabs>
        <w:spacing w:line="360" w:lineRule="auto"/>
        <w:ind w:right="1560" w:firstLine="444" w:firstLineChars="200"/>
        <w:contextualSpacing/>
        <w:jc w:val="center"/>
        <w:rPr>
          <w:rFonts w:ascii="宋体" w:hAnsi="宋体"/>
          <w:color w:val="auto"/>
          <w:spacing w:val="6"/>
          <w:highlight w:val="none"/>
        </w:rPr>
      </w:pPr>
      <w:r>
        <w:rPr>
          <w:rFonts w:hint="eastAsia" w:ascii="宋体" w:hAnsi="宋体"/>
          <w:color w:val="auto"/>
          <w:spacing w:val="6"/>
          <w:highlight w:val="none"/>
        </w:rPr>
        <w:t>日  期：</w:t>
      </w:r>
    </w:p>
    <w:p w14:paraId="0EB2C7ED">
      <w:pPr>
        <w:tabs>
          <w:tab w:val="left" w:pos="4860"/>
        </w:tabs>
        <w:spacing w:line="360" w:lineRule="auto"/>
        <w:ind w:right="1560" w:firstLine="444" w:firstLineChars="200"/>
        <w:contextualSpacing/>
        <w:jc w:val="center"/>
        <w:rPr>
          <w:rFonts w:ascii="宋体" w:hAnsi="宋体"/>
          <w:color w:val="auto"/>
          <w:spacing w:val="6"/>
          <w:highlight w:val="none"/>
        </w:rPr>
      </w:pPr>
    </w:p>
    <w:p w14:paraId="20229142">
      <w:pPr>
        <w:tabs>
          <w:tab w:val="left" w:pos="4860"/>
        </w:tabs>
        <w:spacing w:line="360" w:lineRule="auto"/>
        <w:ind w:right="1560" w:firstLine="444" w:firstLineChars="200"/>
        <w:contextualSpacing/>
        <w:jc w:val="center"/>
        <w:rPr>
          <w:rFonts w:ascii="宋体" w:hAnsi="宋体"/>
          <w:color w:val="auto"/>
          <w:spacing w:val="6"/>
          <w:highlight w:val="none"/>
        </w:rPr>
      </w:pPr>
    </w:p>
    <w:p w14:paraId="512CADC4">
      <w:pPr>
        <w:tabs>
          <w:tab w:val="left" w:pos="4860"/>
        </w:tabs>
        <w:spacing w:line="360" w:lineRule="auto"/>
        <w:ind w:right="1560" w:firstLine="444" w:firstLineChars="200"/>
        <w:contextualSpacing/>
        <w:jc w:val="center"/>
        <w:rPr>
          <w:rFonts w:ascii="宋体" w:hAnsi="宋体"/>
          <w:color w:val="auto"/>
          <w:spacing w:val="6"/>
          <w:highlight w:val="none"/>
        </w:rPr>
      </w:pPr>
    </w:p>
    <w:p w14:paraId="4472C5F0">
      <w:pPr>
        <w:tabs>
          <w:tab w:val="left" w:pos="4860"/>
        </w:tabs>
        <w:spacing w:line="360" w:lineRule="auto"/>
        <w:ind w:right="1560" w:firstLine="444" w:firstLineChars="200"/>
        <w:contextualSpacing/>
        <w:jc w:val="center"/>
        <w:rPr>
          <w:rFonts w:ascii="宋体" w:hAnsi="宋体"/>
          <w:color w:val="auto"/>
          <w:spacing w:val="6"/>
          <w:highlight w:val="none"/>
        </w:rPr>
      </w:pPr>
    </w:p>
    <w:p w14:paraId="2BCB71BF">
      <w:pPr>
        <w:tabs>
          <w:tab w:val="left" w:pos="4860"/>
        </w:tabs>
        <w:spacing w:line="360" w:lineRule="auto"/>
        <w:ind w:right="1560" w:firstLine="444" w:firstLineChars="200"/>
        <w:contextualSpacing/>
        <w:jc w:val="center"/>
        <w:rPr>
          <w:rFonts w:ascii="宋体" w:hAnsi="宋体"/>
          <w:color w:val="auto"/>
          <w:spacing w:val="6"/>
          <w:highlight w:val="none"/>
        </w:rPr>
      </w:pPr>
    </w:p>
    <w:p w14:paraId="3A2762DE">
      <w:pPr>
        <w:tabs>
          <w:tab w:val="left" w:pos="4860"/>
        </w:tabs>
        <w:spacing w:line="360" w:lineRule="auto"/>
        <w:ind w:right="1560" w:firstLine="444" w:firstLineChars="200"/>
        <w:contextualSpacing/>
        <w:jc w:val="center"/>
        <w:rPr>
          <w:rFonts w:ascii="宋体" w:hAnsi="宋体"/>
          <w:color w:val="auto"/>
          <w:spacing w:val="6"/>
          <w:highlight w:val="none"/>
        </w:rPr>
      </w:pPr>
    </w:p>
    <w:p w14:paraId="5D3F7EC8">
      <w:pPr>
        <w:tabs>
          <w:tab w:val="left" w:pos="4860"/>
        </w:tabs>
        <w:spacing w:line="360" w:lineRule="auto"/>
        <w:ind w:right="1560" w:firstLine="444" w:firstLineChars="200"/>
        <w:contextualSpacing/>
        <w:jc w:val="center"/>
        <w:rPr>
          <w:rFonts w:ascii="宋体" w:hAnsi="宋体"/>
          <w:color w:val="auto"/>
          <w:spacing w:val="6"/>
          <w:highlight w:val="none"/>
        </w:rPr>
      </w:pPr>
    </w:p>
    <w:p w14:paraId="67DAA987">
      <w:pPr>
        <w:tabs>
          <w:tab w:val="left" w:pos="4860"/>
        </w:tabs>
        <w:spacing w:line="360" w:lineRule="auto"/>
        <w:ind w:right="1560" w:firstLine="444" w:firstLineChars="200"/>
        <w:contextualSpacing/>
        <w:jc w:val="center"/>
        <w:rPr>
          <w:rFonts w:ascii="宋体" w:hAnsi="宋体"/>
          <w:color w:val="auto"/>
          <w:spacing w:val="6"/>
          <w:highlight w:val="none"/>
        </w:rPr>
      </w:pPr>
    </w:p>
    <w:p w14:paraId="0A5D1F3E">
      <w:pPr>
        <w:tabs>
          <w:tab w:val="left" w:pos="4860"/>
        </w:tabs>
        <w:spacing w:line="360" w:lineRule="auto"/>
        <w:ind w:right="1560" w:firstLine="444" w:firstLineChars="200"/>
        <w:contextualSpacing/>
        <w:jc w:val="center"/>
        <w:rPr>
          <w:rFonts w:ascii="宋体" w:hAnsi="宋体"/>
          <w:color w:val="auto"/>
          <w:spacing w:val="6"/>
          <w:highlight w:val="none"/>
        </w:rPr>
      </w:pPr>
    </w:p>
    <w:p w14:paraId="432A877E">
      <w:pPr>
        <w:tabs>
          <w:tab w:val="left" w:pos="4860"/>
        </w:tabs>
        <w:spacing w:line="360" w:lineRule="auto"/>
        <w:ind w:right="1560" w:firstLine="444" w:firstLineChars="200"/>
        <w:contextualSpacing/>
        <w:jc w:val="center"/>
        <w:rPr>
          <w:rFonts w:ascii="宋体" w:hAnsi="宋体"/>
          <w:color w:val="auto"/>
          <w:spacing w:val="6"/>
          <w:highlight w:val="none"/>
        </w:rPr>
      </w:pPr>
    </w:p>
    <w:p w14:paraId="4C77B3D9">
      <w:pPr>
        <w:tabs>
          <w:tab w:val="left" w:pos="4860"/>
        </w:tabs>
        <w:spacing w:line="360" w:lineRule="auto"/>
        <w:ind w:right="1560" w:firstLine="444" w:firstLineChars="200"/>
        <w:contextualSpacing/>
        <w:jc w:val="center"/>
        <w:rPr>
          <w:rFonts w:ascii="宋体" w:hAnsi="宋体"/>
          <w:color w:val="auto"/>
          <w:spacing w:val="6"/>
          <w:highlight w:val="none"/>
        </w:rPr>
      </w:pPr>
    </w:p>
    <w:p w14:paraId="459224B8">
      <w:pPr>
        <w:tabs>
          <w:tab w:val="left" w:pos="4860"/>
        </w:tabs>
        <w:spacing w:line="360" w:lineRule="auto"/>
        <w:ind w:right="1560" w:firstLine="444" w:firstLineChars="200"/>
        <w:contextualSpacing/>
        <w:jc w:val="center"/>
        <w:rPr>
          <w:rFonts w:ascii="宋体" w:hAnsi="宋体"/>
          <w:color w:val="auto"/>
          <w:spacing w:val="6"/>
          <w:highlight w:val="none"/>
        </w:rPr>
      </w:pPr>
    </w:p>
    <w:p w14:paraId="182342CC">
      <w:pPr>
        <w:tabs>
          <w:tab w:val="left" w:pos="4860"/>
        </w:tabs>
        <w:spacing w:line="360" w:lineRule="auto"/>
        <w:ind w:right="1560" w:firstLine="444" w:firstLineChars="200"/>
        <w:contextualSpacing/>
        <w:jc w:val="center"/>
        <w:rPr>
          <w:rFonts w:ascii="宋体" w:hAnsi="宋体"/>
          <w:color w:val="auto"/>
          <w:spacing w:val="6"/>
          <w:highlight w:val="none"/>
        </w:rPr>
      </w:pPr>
    </w:p>
    <w:p w14:paraId="0D561266">
      <w:pPr>
        <w:tabs>
          <w:tab w:val="left" w:pos="4860"/>
        </w:tabs>
        <w:spacing w:line="360" w:lineRule="auto"/>
        <w:ind w:right="1560" w:firstLine="444" w:firstLineChars="200"/>
        <w:contextualSpacing/>
        <w:jc w:val="center"/>
        <w:rPr>
          <w:rFonts w:ascii="宋体" w:hAnsi="宋体"/>
          <w:color w:val="auto"/>
          <w:spacing w:val="6"/>
          <w:highlight w:val="none"/>
        </w:rPr>
      </w:pPr>
    </w:p>
    <w:p w14:paraId="3DC95E0F">
      <w:pPr>
        <w:tabs>
          <w:tab w:val="left" w:pos="4860"/>
        </w:tabs>
        <w:spacing w:line="360" w:lineRule="auto"/>
        <w:ind w:right="1560" w:firstLine="444" w:firstLineChars="200"/>
        <w:contextualSpacing/>
        <w:jc w:val="center"/>
        <w:rPr>
          <w:rFonts w:ascii="宋体" w:hAnsi="宋体"/>
          <w:color w:val="auto"/>
          <w:spacing w:val="6"/>
          <w:highlight w:val="none"/>
        </w:rPr>
      </w:pPr>
    </w:p>
    <w:p w14:paraId="534D484E">
      <w:pPr>
        <w:tabs>
          <w:tab w:val="left" w:pos="4860"/>
        </w:tabs>
        <w:spacing w:line="360" w:lineRule="auto"/>
        <w:ind w:right="1560" w:firstLine="444" w:firstLineChars="200"/>
        <w:contextualSpacing/>
        <w:jc w:val="center"/>
        <w:rPr>
          <w:rFonts w:ascii="宋体" w:hAnsi="宋体"/>
          <w:color w:val="auto"/>
          <w:spacing w:val="6"/>
          <w:highlight w:val="none"/>
        </w:rPr>
      </w:pPr>
    </w:p>
    <w:p w14:paraId="7792B018">
      <w:pPr>
        <w:tabs>
          <w:tab w:val="left" w:pos="4860"/>
        </w:tabs>
        <w:spacing w:line="360" w:lineRule="auto"/>
        <w:ind w:right="1560" w:firstLine="444" w:firstLineChars="200"/>
        <w:contextualSpacing/>
        <w:jc w:val="center"/>
        <w:rPr>
          <w:rFonts w:ascii="宋体" w:hAnsi="宋体"/>
          <w:color w:val="auto"/>
          <w:spacing w:val="6"/>
          <w:highlight w:val="none"/>
        </w:rPr>
      </w:pPr>
    </w:p>
    <w:p w14:paraId="11FED3C1">
      <w:pPr>
        <w:tabs>
          <w:tab w:val="left" w:pos="4860"/>
        </w:tabs>
        <w:spacing w:line="360" w:lineRule="auto"/>
        <w:ind w:right="1560" w:firstLine="444" w:firstLineChars="200"/>
        <w:contextualSpacing/>
        <w:jc w:val="center"/>
        <w:rPr>
          <w:rFonts w:ascii="宋体" w:hAnsi="宋体"/>
          <w:color w:val="auto"/>
          <w:spacing w:val="6"/>
          <w:highlight w:val="none"/>
        </w:rPr>
      </w:pPr>
    </w:p>
    <w:p w14:paraId="39F71C66">
      <w:pPr>
        <w:tabs>
          <w:tab w:val="left" w:pos="4860"/>
        </w:tabs>
        <w:spacing w:line="360" w:lineRule="auto"/>
        <w:ind w:right="1560" w:firstLine="444" w:firstLineChars="200"/>
        <w:contextualSpacing/>
        <w:jc w:val="center"/>
        <w:rPr>
          <w:rFonts w:ascii="宋体" w:hAnsi="宋体"/>
          <w:color w:val="auto"/>
          <w:spacing w:val="6"/>
          <w:highlight w:val="none"/>
        </w:rPr>
      </w:pPr>
    </w:p>
    <w:p w14:paraId="1A982D33">
      <w:pPr>
        <w:tabs>
          <w:tab w:val="left" w:pos="4860"/>
        </w:tabs>
        <w:spacing w:line="360" w:lineRule="auto"/>
        <w:ind w:right="1560" w:firstLine="444" w:firstLineChars="200"/>
        <w:contextualSpacing/>
        <w:jc w:val="center"/>
        <w:rPr>
          <w:rFonts w:ascii="宋体" w:hAnsi="宋体"/>
          <w:color w:val="auto"/>
          <w:spacing w:val="6"/>
          <w:highlight w:val="none"/>
        </w:rPr>
      </w:pPr>
    </w:p>
    <w:p w14:paraId="731211FC">
      <w:pPr>
        <w:rPr>
          <w:color w:val="auto"/>
          <w:highlight w:val="none"/>
        </w:rPr>
      </w:pPr>
    </w:p>
    <w:p w14:paraId="2BEEF40E">
      <w:pPr>
        <w:spacing w:line="360" w:lineRule="auto"/>
        <w:ind w:right="420"/>
        <w:jc w:val="center"/>
        <w:rPr>
          <w:color w:val="auto"/>
          <w:szCs w:val="21"/>
          <w:highlight w:val="none"/>
        </w:rPr>
      </w:pPr>
      <w:r>
        <w:rPr>
          <w:rFonts w:hint="eastAsia" w:ascii="宋体" w:hAnsi="宋体"/>
          <w:b/>
          <w:color w:val="auto"/>
          <w:sz w:val="28"/>
          <w:szCs w:val="28"/>
          <w:highlight w:val="none"/>
        </w:rPr>
        <w:t>（三）</w:t>
      </w:r>
      <w:r>
        <w:rPr>
          <w:rFonts w:hint="eastAsia"/>
          <w:b/>
          <w:color w:val="auto"/>
          <w:sz w:val="28"/>
          <w:szCs w:val="28"/>
          <w:highlight w:val="none"/>
        </w:rPr>
        <w:t>近年</w:t>
      </w:r>
      <w:r>
        <w:rPr>
          <w:rFonts w:ascii="宋体" w:hAnsi="宋体"/>
          <w:b/>
          <w:color w:val="auto"/>
          <w:sz w:val="28"/>
          <w:szCs w:val="28"/>
          <w:highlight w:val="none"/>
        </w:rPr>
        <w:t>完成的类似工程设计项目</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6651"/>
      </w:tblGrid>
      <w:tr w14:paraId="7DB4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57999960">
            <w:pPr>
              <w:pStyle w:val="137"/>
              <w:jc w:val="center"/>
              <w:outlineLvl w:val="0"/>
              <w:rPr>
                <w:color w:val="auto"/>
                <w:szCs w:val="21"/>
                <w:highlight w:val="none"/>
              </w:rPr>
            </w:pPr>
            <w:r>
              <w:rPr>
                <w:color w:val="auto"/>
                <w:szCs w:val="21"/>
                <w:highlight w:val="none"/>
              </w:rPr>
              <w:t>项目名称</w:t>
            </w:r>
          </w:p>
        </w:tc>
        <w:tc>
          <w:tcPr>
            <w:tcW w:w="6651" w:type="dxa"/>
            <w:vAlign w:val="center"/>
          </w:tcPr>
          <w:p w14:paraId="36088DFE">
            <w:pPr>
              <w:pStyle w:val="137"/>
              <w:jc w:val="center"/>
              <w:outlineLvl w:val="0"/>
              <w:rPr>
                <w:color w:val="auto"/>
                <w:szCs w:val="21"/>
                <w:highlight w:val="none"/>
              </w:rPr>
            </w:pPr>
          </w:p>
        </w:tc>
      </w:tr>
      <w:tr w14:paraId="523B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08A835A0">
            <w:pPr>
              <w:pStyle w:val="137"/>
              <w:jc w:val="center"/>
              <w:outlineLvl w:val="0"/>
              <w:rPr>
                <w:color w:val="auto"/>
                <w:szCs w:val="21"/>
                <w:highlight w:val="none"/>
              </w:rPr>
            </w:pPr>
            <w:r>
              <w:rPr>
                <w:color w:val="auto"/>
                <w:szCs w:val="21"/>
                <w:highlight w:val="none"/>
              </w:rPr>
              <w:t>项目所在地</w:t>
            </w:r>
          </w:p>
        </w:tc>
        <w:tc>
          <w:tcPr>
            <w:tcW w:w="6651" w:type="dxa"/>
            <w:vAlign w:val="center"/>
          </w:tcPr>
          <w:p w14:paraId="671BEC77">
            <w:pPr>
              <w:pStyle w:val="137"/>
              <w:jc w:val="center"/>
              <w:outlineLvl w:val="0"/>
              <w:rPr>
                <w:color w:val="auto"/>
                <w:szCs w:val="21"/>
                <w:highlight w:val="none"/>
              </w:rPr>
            </w:pPr>
          </w:p>
        </w:tc>
      </w:tr>
      <w:tr w14:paraId="5A95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4E4F0780">
            <w:pPr>
              <w:pStyle w:val="137"/>
              <w:jc w:val="center"/>
              <w:outlineLvl w:val="0"/>
              <w:rPr>
                <w:color w:val="auto"/>
                <w:szCs w:val="21"/>
                <w:highlight w:val="none"/>
              </w:rPr>
            </w:pPr>
            <w:r>
              <w:rPr>
                <w:color w:val="auto"/>
                <w:szCs w:val="21"/>
                <w:highlight w:val="none"/>
              </w:rPr>
              <w:t>建设单位</w:t>
            </w:r>
          </w:p>
        </w:tc>
        <w:tc>
          <w:tcPr>
            <w:tcW w:w="6651" w:type="dxa"/>
            <w:vAlign w:val="center"/>
          </w:tcPr>
          <w:p w14:paraId="25B38618">
            <w:pPr>
              <w:pStyle w:val="137"/>
              <w:jc w:val="center"/>
              <w:outlineLvl w:val="0"/>
              <w:rPr>
                <w:color w:val="auto"/>
                <w:szCs w:val="21"/>
                <w:highlight w:val="none"/>
              </w:rPr>
            </w:pPr>
          </w:p>
        </w:tc>
      </w:tr>
      <w:tr w14:paraId="1014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6879F964">
            <w:pPr>
              <w:pStyle w:val="137"/>
              <w:jc w:val="center"/>
              <w:outlineLvl w:val="0"/>
              <w:rPr>
                <w:color w:val="auto"/>
                <w:szCs w:val="21"/>
                <w:highlight w:val="none"/>
              </w:rPr>
            </w:pPr>
            <w:r>
              <w:rPr>
                <w:color w:val="auto"/>
                <w:szCs w:val="21"/>
                <w:highlight w:val="none"/>
              </w:rPr>
              <w:t>合同签订时间</w:t>
            </w:r>
          </w:p>
        </w:tc>
        <w:tc>
          <w:tcPr>
            <w:tcW w:w="6651" w:type="dxa"/>
            <w:vAlign w:val="center"/>
          </w:tcPr>
          <w:p w14:paraId="4E0E95BC">
            <w:pPr>
              <w:pStyle w:val="137"/>
              <w:jc w:val="center"/>
              <w:outlineLvl w:val="0"/>
              <w:rPr>
                <w:color w:val="auto"/>
                <w:szCs w:val="21"/>
                <w:highlight w:val="none"/>
              </w:rPr>
            </w:pPr>
          </w:p>
        </w:tc>
      </w:tr>
      <w:tr w14:paraId="460D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1EF3745F">
            <w:pPr>
              <w:pStyle w:val="137"/>
              <w:jc w:val="center"/>
              <w:outlineLvl w:val="0"/>
              <w:rPr>
                <w:color w:val="auto"/>
                <w:szCs w:val="21"/>
                <w:highlight w:val="none"/>
              </w:rPr>
            </w:pPr>
            <w:r>
              <w:rPr>
                <w:color w:val="auto"/>
                <w:szCs w:val="21"/>
                <w:highlight w:val="none"/>
              </w:rPr>
              <w:t>项目</w:t>
            </w:r>
            <w:r>
              <w:rPr>
                <w:rFonts w:hint="eastAsia"/>
                <w:color w:val="auto"/>
                <w:szCs w:val="21"/>
                <w:highlight w:val="none"/>
              </w:rPr>
              <w:t>完成</w:t>
            </w:r>
            <w:r>
              <w:rPr>
                <w:color w:val="auto"/>
                <w:szCs w:val="21"/>
                <w:highlight w:val="none"/>
              </w:rPr>
              <w:t>时间</w:t>
            </w:r>
          </w:p>
        </w:tc>
        <w:tc>
          <w:tcPr>
            <w:tcW w:w="6651" w:type="dxa"/>
            <w:vAlign w:val="center"/>
          </w:tcPr>
          <w:p w14:paraId="2DC2D68A">
            <w:pPr>
              <w:pStyle w:val="137"/>
              <w:jc w:val="center"/>
              <w:outlineLvl w:val="0"/>
              <w:rPr>
                <w:color w:val="auto"/>
                <w:szCs w:val="21"/>
                <w:highlight w:val="none"/>
              </w:rPr>
            </w:pPr>
          </w:p>
        </w:tc>
      </w:tr>
      <w:tr w14:paraId="26D9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454BE16B">
            <w:pPr>
              <w:pStyle w:val="137"/>
              <w:jc w:val="center"/>
              <w:outlineLvl w:val="0"/>
              <w:rPr>
                <w:color w:val="auto"/>
                <w:szCs w:val="21"/>
                <w:highlight w:val="none"/>
              </w:rPr>
            </w:pPr>
            <w:r>
              <w:rPr>
                <w:color w:val="auto"/>
                <w:szCs w:val="21"/>
                <w:highlight w:val="none"/>
              </w:rPr>
              <w:t>项目规模</w:t>
            </w:r>
          </w:p>
        </w:tc>
        <w:tc>
          <w:tcPr>
            <w:tcW w:w="6651" w:type="dxa"/>
            <w:vAlign w:val="center"/>
          </w:tcPr>
          <w:p w14:paraId="63353BE6">
            <w:pPr>
              <w:pStyle w:val="137"/>
              <w:jc w:val="center"/>
              <w:outlineLvl w:val="0"/>
              <w:rPr>
                <w:color w:val="auto"/>
                <w:szCs w:val="21"/>
                <w:highlight w:val="none"/>
              </w:rPr>
            </w:pPr>
          </w:p>
        </w:tc>
      </w:tr>
      <w:tr w14:paraId="0F88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32F98A2F">
            <w:pPr>
              <w:pStyle w:val="137"/>
              <w:jc w:val="center"/>
              <w:outlineLvl w:val="0"/>
              <w:rPr>
                <w:color w:val="auto"/>
                <w:szCs w:val="21"/>
                <w:highlight w:val="none"/>
              </w:rPr>
            </w:pPr>
            <w:r>
              <w:rPr>
                <w:color w:val="auto"/>
                <w:szCs w:val="21"/>
                <w:highlight w:val="none"/>
              </w:rPr>
              <w:t>合同金额</w:t>
            </w:r>
            <w:r>
              <w:rPr>
                <w:rFonts w:hint="eastAsia"/>
                <w:color w:val="auto"/>
                <w:szCs w:val="21"/>
                <w:highlight w:val="none"/>
              </w:rPr>
              <w:t>（元）</w:t>
            </w:r>
          </w:p>
        </w:tc>
        <w:tc>
          <w:tcPr>
            <w:tcW w:w="6651" w:type="dxa"/>
            <w:vAlign w:val="center"/>
          </w:tcPr>
          <w:p w14:paraId="05A6571E">
            <w:pPr>
              <w:pStyle w:val="137"/>
              <w:jc w:val="center"/>
              <w:outlineLvl w:val="0"/>
              <w:rPr>
                <w:color w:val="auto"/>
                <w:szCs w:val="21"/>
                <w:highlight w:val="none"/>
              </w:rPr>
            </w:pPr>
          </w:p>
        </w:tc>
      </w:tr>
      <w:tr w14:paraId="5EEA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34D12634">
            <w:pPr>
              <w:pStyle w:val="137"/>
              <w:jc w:val="center"/>
              <w:outlineLvl w:val="0"/>
              <w:rPr>
                <w:color w:val="auto"/>
                <w:szCs w:val="21"/>
                <w:highlight w:val="none"/>
              </w:rPr>
            </w:pPr>
            <w:r>
              <w:rPr>
                <w:color w:val="auto"/>
                <w:szCs w:val="21"/>
                <w:highlight w:val="none"/>
              </w:rPr>
              <w:t>项目负责人</w:t>
            </w:r>
          </w:p>
        </w:tc>
        <w:tc>
          <w:tcPr>
            <w:tcW w:w="6651" w:type="dxa"/>
            <w:vAlign w:val="center"/>
          </w:tcPr>
          <w:p w14:paraId="75A53D9F">
            <w:pPr>
              <w:pStyle w:val="137"/>
              <w:jc w:val="center"/>
              <w:outlineLvl w:val="0"/>
              <w:rPr>
                <w:color w:val="auto"/>
                <w:szCs w:val="21"/>
                <w:highlight w:val="none"/>
              </w:rPr>
            </w:pPr>
          </w:p>
        </w:tc>
      </w:tr>
      <w:tr w14:paraId="45D7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2235" w:type="dxa"/>
            <w:vAlign w:val="center"/>
          </w:tcPr>
          <w:p w14:paraId="2BA09AB5">
            <w:pPr>
              <w:pStyle w:val="137"/>
              <w:jc w:val="center"/>
              <w:outlineLvl w:val="0"/>
              <w:rPr>
                <w:color w:val="auto"/>
                <w:szCs w:val="21"/>
                <w:highlight w:val="none"/>
              </w:rPr>
            </w:pPr>
            <w:r>
              <w:rPr>
                <w:color w:val="auto"/>
                <w:szCs w:val="21"/>
                <w:highlight w:val="none"/>
              </w:rPr>
              <w:t>设计内容</w:t>
            </w:r>
          </w:p>
        </w:tc>
        <w:tc>
          <w:tcPr>
            <w:tcW w:w="6651" w:type="dxa"/>
            <w:vAlign w:val="center"/>
          </w:tcPr>
          <w:p w14:paraId="01F0B177">
            <w:pPr>
              <w:pStyle w:val="137"/>
              <w:jc w:val="center"/>
              <w:outlineLvl w:val="0"/>
              <w:rPr>
                <w:color w:val="auto"/>
                <w:szCs w:val="21"/>
                <w:highlight w:val="none"/>
              </w:rPr>
            </w:pPr>
          </w:p>
        </w:tc>
      </w:tr>
      <w:tr w14:paraId="3FBB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7CDA12FF">
            <w:pPr>
              <w:pStyle w:val="137"/>
              <w:jc w:val="center"/>
              <w:outlineLvl w:val="0"/>
              <w:rPr>
                <w:color w:val="auto"/>
                <w:szCs w:val="21"/>
                <w:highlight w:val="none"/>
              </w:rPr>
            </w:pPr>
            <w:r>
              <w:rPr>
                <w:color w:val="auto"/>
                <w:szCs w:val="21"/>
                <w:highlight w:val="none"/>
              </w:rPr>
              <w:t>备注</w:t>
            </w:r>
          </w:p>
        </w:tc>
        <w:tc>
          <w:tcPr>
            <w:tcW w:w="6651" w:type="dxa"/>
            <w:vAlign w:val="center"/>
          </w:tcPr>
          <w:p w14:paraId="25844735">
            <w:pPr>
              <w:pStyle w:val="137"/>
              <w:jc w:val="center"/>
              <w:outlineLvl w:val="0"/>
              <w:rPr>
                <w:color w:val="auto"/>
                <w:szCs w:val="21"/>
                <w:highlight w:val="none"/>
              </w:rPr>
            </w:pPr>
          </w:p>
        </w:tc>
      </w:tr>
    </w:tbl>
    <w:p w14:paraId="0716065C">
      <w:pPr>
        <w:rPr>
          <w:rFonts w:ascii="楷体" w:hAnsi="楷体" w:eastAsia="楷体"/>
          <w:b/>
          <w:bCs/>
          <w:color w:val="auto"/>
          <w:szCs w:val="21"/>
          <w:highlight w:val="none"/>
        </w:rPr>
      </w:pPr>
      <w:r>
        <w:rPr>
          <w:rFonts w:ascii="楷体" w:hAnsi="楷体" w:eastAsia="楷体"/>
          <w:b/>
          <w:bCs/>
          <w:color w:val="auto"/>
          <w:szCs w:val="21"/>
          <w:highlight w:val="none"/>
        </w:rPr>
        <w:t>备注</w:t>
      </w:r>
      <w:r>
        <w:rPr>
          <w:rFonts w:hint="eastAsia" w:ascii="楷体" w:hAnsi="楷体" w:eastAsia="楷体"/>
          <w:b/>
          <w:bCs/>
          <w:color w:val="auto"/>
          <w:szCs w:val="21"/>
          <w:highlight w:val="none"/>
        </w:rPr>
        <w:t>：</w:t>
      </w:r>
    </w:p>
    <w:p w14:paraId="540C753E">
      <w:pPr>
        <w:ind w:firstLine="422" w:firstLineChars="200"/>
        <w:rPr>
          <w:rFonts w:ascii="楷体" w:hAnsi="楷体" w:eastAsia="楷体"/>
          <w:b/>
          <w:bCs/>
          <w:color w:val="auto"/>
          <w:szCs w:val="21"/>
          <w:highlight w:val="none"/>
        </w:rPr>
      </w:pPr>
      <w:r>
        <w:rPr>
          <w:rFonts w:hint="eastAsia" w:ascii="楷体" w:hAnsi="楷体" w:eastAsia="楷体"/>
          <w:b/>
          <w:bCs/>
          <w:color w:val="auto"/>
          <w:szCs w:val="21"/>
          <w:highlight w:val="none"/>
        </w:rPr>
        <w:t>1、完成的工程业绩需从“桂建云”平台导入相关证明材料，内容包括施工图审查合格报告书等证明、中标通知书或直接发包通知书、项目合同或协议书等。如进行设计方案招标（不含施工图部分内容）的，对应的方案或初步设计批复文件可作为已完成项目依据。</w:t>
      </w:r>
    </w:p>
    <w:p w14:paraId="5936D912">
      <w:pPr>
        <w:ind w:firstLine="422" w:firstLineChars="200"/>
        <w:rPr>
          <w:rFonts w:ascii="楷体" w:hAnsi="楷体" w:eastAsia="楷体_GB2312"/>
          <w:b/>
          <w:bCs/>
          <w:color w:val="auto"/>
          <w:szCs w:val="21"/>
          <w:highlight w:val="none"/>
        </w:rPr>
      </w:pPr>
      <w:r>
        <w:rPr>
          <w:rFonts w:hint="eastAsia" w:ascii="楷体" w:hAnsi="楷体" w:eastAsia="楷体"/>
          <w:b/>
          <w:bCs/>
          <w:color w:val="auto"/>
          <w:szCs w:val="21"/>
          <w:highlight w:val="none"/>
        </w:rPr>
        <w:t>2、</w:t>
      </w:r>
      <w:r>
        <w:rPr>
          <w:rFonts w:hint="eastAsia" w:eastAsia="楷体_GB2312"/>
          <w:b/>
          <w:bCs/>
          <w:color w:val="auto"/>
          <w:highlight w:val="none"/>
        </w:rPr>
        <w:t>项目</w:t>
      </w:r>
      <w:r>
        <w:rPr>
          <w:rFonts w:eastAsia="楷体_GB2312"/>
          <w:b/>
          <w:bCs/>
          <w:color w:val="auto"/>
          <w:highlight w:val="none"/>
        </w:rPr>
        <w:t>数</w:t>
      </w:r>
      <w:r>
        <w:rPr>
          <w:rFonts w:hint="eastAsia" w:eastAsia="楷体_GB2312"/>
          <w:b/>
          <w:bCs/>
          <w:color w:val="auto"/>
          <w:highlight w:val="none"/>
        </w:rPr>
        <w:t>可</w:t>
      </w:r>
      <w:r>
        <w:rPr>
          <w:rFonts w:eastAsia="楷体_GB2312"/>
          <w:b/>
          <w:bCs/>
          <w:color w:val="auto"/>
          <w:highlight w:val="none"/>
        </w:rPr>
        <w:t>根据需要增加</w:t>
      </w:r>
      <w:r>
        <w:rPr>
          <w:rFonts w:hint="eastAsia" w:eastAsia="楷体_GB2312"/>
          <w:b/>
          <w:bCs/>
          <w:color w:val="auto"/>
          <w:highlight w:val="none"/>
        </w:rPr>
        <w:t>。</w:t>
      </w:r>
    </w:p>
    <w:p w14:paraId="4FB0FBF2">
      <w:pPr>
        <w:ind w:firstLine="422" w:firstLineChars="200"/>
        <w:rPr>
          <w:rFonts w:ascii="楷体" w:hAnsi="楷体" w:eastAsia="楷体"/>
          <w:b/>
          <w:bCs/>
          <w:color w:val="auto"/>
          <w:szCs w:val="21"/>
          <w:highlight w:val="none"/>
        </w:rPr>
      </w:pPr>
      <w:r>
        <w:rPr>
          <w:rFonts w:hint="eastAsia" w:ascii="楷体" w:hAnsi="楷体" w:eastAsia="楷体"/>
          <w:b/>
          <w:bCs/>
          <w:color w:val="auto"/>
          <w:szCs w:val="21"/>
          <w:highlight w:val="none"/>
        </w:rPr>
        <w:t>3、相关信息应与“桂建云”系统信息一致，否则评审时不予承认。</w:t>
      </w:r>
    </w:p>
    <w:p w14:paraId="116B7795">
      <w:pPr>
        <w:ind w:firstLine="420" w:firstLineChars="200"/>
        <w:rPr>
          <w:rFonts w:ascii="楷体" w:hAnsi="楷体" w:eastAsia="楷体"/>
          <w:color w:val="auto"/>
          <w:szCs w:val="21"/>
          <w:highlight w:val="none"/>
        </w:rPr>
        <w:sectPr>
          <w:pgSz w:w="11907" w:h="16840"/>
          <w:pgMar w:top="1440" w:right="1440" w:bottom="1440" w:left="1797" w:header="851" w:footer="851" w:gutter="0"/>
          <w:cols w:space="720" w:num="1"/>
          <w:docGrid w:linePitch="312" w:charSpace="0"/>
        </w:sectPr>
      </w:pPr>
    </w:p>
    <w:p w14:paraId="42AC2A91">
      <w:pPr>
        <w:spacing w:line="360" w:lineRule="auto"/>
        <w:ind w:right="420"/>
        <w:jc w:val="center"/>
        <w:rPr>
          <w:color w:val="auto"/>
          <w:szCs w:val="21"/>
          <w:highlight w:val="none"/>
        </w:rPr>
      </w:pPr>
      <w:r>
        <w:rPr>
          <w:rFonts w:hint="eastAsia" w:ascii="宋体" w:hAnsi="宋体"/>
          <w:b/>
          <w:color w:val="auto"/>
          <w:sz w:val="28"/>
          <w:szCs w:val="28"/>
          <w:highlight w:val="none"/>
        </w:rPr>
        <w:t>（四）正在实施和新承接的</w:t>
      </w:r>
      <w:r>
        <w:rPr>
          <w:rFonts w:ascii="宋体" w:hAnsi="宋体"/>
          <w:b/>
          <w:color w:val="auto"/>
          <w:sz w:val="28"/>
          <w:szCs w:val="28"/>
          <w:highlight w:val="none"/>
        </w:rPr>
        <w:t>类似工程设计项目</w:t>
      </w:r>
      <w:r>
        <w:rPr>
          <w:rFonts w:hint="eastAsia" w:ascii="宋体" w:hAnsi="宋体"/>
          <w:b/>
          <w:color w:val="auto"/>
          <w:sz w:val="28"/>
          <w:szCs w:val="28"/>
          <w:highlight w:val="none"/>
        </w:rPr>
        <w:t>（如有）</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6651"/>
      </w:tblGrid>
      <w:tr w14:paraId="12CF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52B5CFAD">
            <w:pPr>
              <w:pStyle w:val="137"/>
              <w:jc w:val="center"/>
              <w:outlineLvl w:val="0"/>
              <w:rPr>
                <w:color w:val="auto"/>
                <w:szCs w:val="21"/>
                <w:highlight w:val="none"/>
              </w:rPr>
            </w:pPr>
            <w:r>
              <w:rPr>
                <w:color w:val="auto"/>
                <w:szCs w:val="21"/>
                <w:highlight w:val="none"/>
              </w:rPr>
              <w:t>项目名称</w:t>
            </w:r>
          </w:p>
        </w:tc>
        <w:tc>
          <w:tcPr>
            <w:tcW w:w="6651" w:type="dxa"/>
            <w:vAlign w:val="center"/>
          </w:tcPr>
          <w:p w14:paraId="40CB3E21">
            <w:pPr>
              <w:pStyle w:val="137"/>
              <w:jc w:val="center"/>
              <w:outlineLvl w:val="0"/>
              <w:rPr>
                <w:color w:val="auto"/>
                <w:szCs w:val="21"/>
                <w:highlight w:val="none"/>
              </w:rPr>
            </w:pPr>
          </w:p>
        </w:tc>
      </w:tr>
      <w:tr w14:paraId="2CB9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01B21079">
            <w:pPr>
              <w:pStyle w:val="137"/>
              <w:jc w:val="center"/>
              <w:outlineLvl w:val="0"/>
              <w:rPr>
                <w:color w:val="auto"/>
                <w:szCs w:val="21"/>
                <w:highlight w:val="none"/>
              </w:rPr>
            </w:pPr>
            <w:r>
              <w:rPr>
                <w:color w:val="auto"/>
                <w:szCs w:val="21"/>
                <w:highlight w:val="none"/>
              </w:rPr>
              <w:t>项目所在地</w:t>
            </w:r>
          </w:p>
        </w:tc>
        <w:tc>
          <w:tcPr>
            <w:tcW w:w="6651" w:type="dxa"/>
            <w:vAlign w:val="center"/>
          </w:tcPr>
          <w:p w14:paraId="2BAB06DB">
            <w:pPr>
              <w:pStyle w:val="137"/>
              <w:jc w:val="center"/>
              <w:outlineLvl w:val="0"/>
              <w:rPr>
                <w:color w:val="auto"/>
                <w:szCs w:val="21"/>
                <w:highlight w:val="none"/>
              </w:rPr>
            </w:pPr>
          </w:p>
        </w:tc>
      </w:tr>
      <w:tr w14:paraId="504C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799CBA2A">
            <w:pPr>
              <w:pStyle w:val="137"/>
              <w:jc w:val="center"/>
              <w:outlineLvl w:val="0"/>
              <w:rPr>
                <w:color w:val="auto"/>
                <w:szCs w:val="21"/>
                <w:highlight w:val="none"/>
              </w:rPr>
            </w:pPr>
            <w:r>
              <w:rPr>
                <w:color w:val="auto"/>
                <w:szCs w:val="21"/>
                <w:highlight w:val="none"/>
              </w:rPr>
              <w:t>建设单位</w:t>
            </w:r>
          </w:p>
        </w:tc>
        <w:tc>
          <w:tcPr>
            <w:tcW w:w="6651" w:type="dxa"/>
            <w:vAlign w:val="center"/>
          </w:tcPr>
          <w:p w14:paraId="427C3698">
            <w:pPr>
              <w:pStyle w:val="137"/>
              <w:jc w:val="center"/>
              <w:outlineLvl w:val="0"/>
              <w:rPr>
                <w:color w:val="auto"/>
                <w:szCs w:val="21"/>
                <w:highlight w:val="none"/>
              </w:rPr>
            </w:pPr>
          </w:p>
        </w:tc>
      </w:tr>
      <w:tr w14:paraId="1BF0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7AC2DE11">
            <w:pPr>
              <w:pStyle w:val="137"/>
              <w:jc w:val="center"/>
              <w:outlineLvl w:val="0"/>
              <w:rPr>
                <w:color w:val="auto"/>
                <w:szCs w:val="21"/>
                <w:highlight w:val="none"/>
              </w:rPr>
            </w:pPr>
            <w:r>
              <w:rPr>
                <w:color w:val="auto"/>
                <w:szCs w:val="21"/>
                <w:highlight w:val="none"/>
              </w:rPr>
              <w:t>合同签订时间</w:t>
            </w:r>
          </w:p>
        </w:tc>
        <w:tc>
          <w:tcPr>
            <w:tcW w:w="6651" w:type="dxa"/>
            <w:vAlign w:val="center"/>
          </w:tcPr>
          <w:p w14:paraId="7EFF591B">
            <w:pPr>
              <w:pStyle w:val="137"/>
              <w:jc w:val="center"/>
              <w:outlineLvl w:val="0"/>
              <w:rPr>
                <w:color w:val="auto"/>
                <w:szCs w:val="21"/>
                <w:highlight w:val="none"/>
              </w:rPr>
            </w:pPr>
            <w:r>
              <w:rPr>
                <w:color w:val="auto"/>
                <w:szCs w:val="21"/>
                <w:highlight w:val="none"/>
              </w:rPr>
              <w:t>年</w:t>
            </w:r>
            <w:r>
              <w:rPr>
                <w:rFonts w:hint="eastAsia"/>
                <w:color w:val="auto"/>
                <w:szCs w:val="21"/>
                <w:highlight w:val="none"/>
              </w:rPr>
              <w:t xml:space="preserve"> </w:t>
            </w:r>
            <w:r>
              <w:rPr>
                <w:color w:val="auto"/>
                <w:szCs w:val="21"/>
                <w:highlight w:val="none"/>
              </w:rPr>
              <w:t xml:space="preserve">  月</w:t>
            </w:r>
          </w:p>
        </w:tc>
      </w:tr>
      <w:tr w14:paraId="0D34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0D675687">
            <w:pPr>
              <w:pStyle w:val="137"/>
              <w:jc w:val="center"/>
              <w:outlineLvl w:val="0"/>
              <w:rPr>
                <w:color w:val="auto"/>
                <w:szCs w:val="21"/>
                <w:highlight w:val="none"/>
              </w:rPr>
            </w:pPr>
            <w:r>
              <w:rPr>
                <w:color w:val="auto"/>
                <w:szCs w:val="21"/>
                <w:highlight w:val="none"/>
              </w:rPr>
              <w:t>项目规模</w:t>
            </w:r>
          </w:p>
        </w:tc>
        <w:tc>
          <w:tcPr>
            <w:tcW w:w="6651" w:type="dxa"/>
            <w:vAlign w:val="center"/>
          </w:tcPr>
          <w:p w14:paraId="2F86681E">
            <w:pPr>
              <w:pStyle w:val="137"/>
              <w:jc w:val="center"/>
              <w:outlineLvl w:val="0"/>
              <w:rPr>
                <w:color w:val="auto"/>
                <w:szCs w:val="21"/>
                <w:highlight w:val="none"/>
              </w:rPr>
            </w:pPr>
          </w:p>
        </w:tc>
      </w:tr>
      <w:tr w14:paraId="1805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3A3630B7">
            <w:pPr>
              <w:pStyle w:val="137"/>
              <w:jc w:val="center"/>
              <w:outlineLvl w:val="0"/>
              <w:rPr>
                <w:color w:val="auto"/>
                <w:szCs w:val="21"/>
                <w:highlight w:val="none"/>
              </w:rPr>
            </w:pPr>
            <w:r>
              <w:rPr>
                <w:color w:val="auto"/>
                <w:szCs w:val="21"/>
                <w:highlight w:val="none"/>
              </w:rPr>
              <w:t>合同金额</w:t>
            </w:r>
            <w:r>
              <w:rPr>
                <w:rFonts w:hint="eastAsia"/>
                <w:color w:val="auto"/>
                <w:szCs w:val="21"/>
                <w:highlight w:val="none"/>
              </w:rPr>
              <w:t>（元）</w:t>
            </w:r>
          </w:p>
        </w:tc>
        <w:tc>
          <w:tcPr>
            <w:tcW w:w="6651" w:type="dxa"/>
            <w:vAlign w:val="center"/>
          </w:tcPr>
          <w:p w14:paraId="0902C1A4">
            <w:pPr>
              <w:pStyle w:val="137"/>
              <w:jc w:val="center"/>
              <w:outlineLvl w:val="0"/>
              <w:rPr>
                <w:color w:val="auto"/>
                <w:szCs w:val="21"/>
                <w:highlight w:val="none"/>
              </w:rPr>
            </w:pPr>
          </w:p>
        </w:tc>
      </w:tr>
      <w:tr w14:paraId="58EA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028CFA21">
            <w:pPr>
              <w:pStyle w:val="137"/>
              <w:jc w:val="center"/>
              <w:outlineLvl w:val="0"/>
              <w:rPr>
                <w:color w:val="auto"/>
                <w:szCs w:val="21"/>
                <w:highlight w:val="none"/>
              </w:rPr>
            </w:pPr>
            <w:r>
              <w:rPr>
                <w:color w:val="auto"/>
                <w:szCs w:val="21"/>
                <w:highlight w:val="none"/>
              </w:rPr>
              <w:t>项目负责人</w:t>
            </w:r>
          </w:p>
        </w:tc>
        <w:tc>
          <w:tcPr>
            <w:tcW w:w="6651" w:type="dxa"/>
            <w:vAlign w:val="center"/>
          </w:tcPr>
          <w:p w14:paraId="19829B49">
            <w:pPr>
              <w:pStyle w:val="137"/>
              <w:jc w:val="center"/>
              <w:outlineLvl w:val="0"/>
              <w:rPr>
                <w:color w:val="auto"/>
                <w:szCs w:val="21"/>
                <w:highlight w:val="none"/>
              </w:rPr>
            </w:pPr>
          </w:p>
        </w:tc>
      </w:tr>
      <w:tr w14:paraId="1487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2235" w:type="dxa"/>
            <w:vAlign w:val="center"/>
          </w:tcPr>
          <w:p w14:paraId="39E4A204">
            <w:pPr>
              <w:pStyle w:val="137"/>
              <w:jc w:val="center"/>
              <w:outlineLvl w:val="0"/>
              <w:rPr>
                <w:color w:val="auto"/>
                <w:szCs w:val="21"/>
                <w:highlight w:val="none"/>
              </w:rPr>
            </w:pPr>
            <w:r>
              <w:rPr>
                <w:color w:val="auto"/>
                <w:szCs w:val="21"/>
                <w:highlight w:val="none"/>
              </w:rPr>
              <w:t>设计内容</w:t>
            </w:r>
          </w:p>
        </w:tc>
        <w:tc>
          <w:tcPr>
            <w:tcW w:w="6651" w:type="dxa"/>
            <w:vAlign w:val="center"/>
          </w:tcPr>
          <w:p w14:paraId="627E7D19">
            <w:pPr>
              <w:pStyle w:val="137"/>
              <w:jc w:val="center"/>
              <w:outlineLvl w:val="0"/>
              <w:rPr>
                <w:color w:val="auto"/>
                <w:szCs w:val="21"/>
                <w:highlight w:val="none"/>
              </w:rPr>
            </w:pPr>
          </w:p>
        </w:tc>
      </w:tr>
      <w:tr w14:paraId="3663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2D390F4C">
            <w:pPr>
              <w:pStyle w:val="137"/>
              <w:jc w:val="center"/>
              <w:outlineLvl w:val="0"/>
              <w:rPr>
                <w:color w:val="auto"/>
                <w:szCs w:val="21"/>
                <w:highlight w:val="none"/>
              </w:rPr>
            </w:pPr>
            <w:r>
              <w:rPr>
                <w:color w:val="auto"/>
                <w:szCs w:val="21"/>
                <w:highlight w:val="none"/>
              </w:rPr>
              <w:t>备注</w:t>
            </w:r>
          </w:p>
        </w:tc>
        <w:tc>
          <w:tcPr>
            <w:tcW w:w="6651" w:type="dxa"/>
            <w:vAlign w:val="center"/>
          </w:tcPr>
          <w:p w14:paraId="59FD7026">
            <w:pPr>
              <w:pStyle w:val="137"/>
              <w:jc w:val="center"/>
              <w:outlineLvl w:val="0"/>
              <w:rPr>
                <w:color w:val="auto"/>
                <w:szCs w:val="21"/>
                <w:highlight w:val="none"/>
              </w:rPr>
            </w:pPr>
          </w:p>
        </w:tc>
      </w:tr>
    </w:tbl>
    <w:p w14:paraId="14BBEEDD">
      <w:pPr>
        <w:ind w:firstLine="420" w:firstLineChars="200"/>
        <w:rPr>
          <w:rFonts w:ascii="楷体" w:hAnsi="楷体" w:eastAsia="楷体"/>
          <w:color w:val="auto"/>
          <w:szCs w:val="21"/>
          <w:highlight w:val="none"/>
        </w:rPr>
      </w:pPr>
    </w:p>
    <w:p w14:paraId="472ED530">
      <w:pPr>
        <w:rPr>
          <w:rFonts w:ascii="楷体" w:hAnsi="楷体" w:eastAsia="楷体"/>
          <w:b/>
          <w:bCs/>
          <w:color w:val="auto"/>
          <w:szCs w:val="21"/>
          <w:highlight w:val="none"/>
        </w:rPr>
      </w:pPr>
      <w:r>
        <w:rPr>
          <w:rFonts w:ascii="楷体" w:hAnsi="楷体" w:eastAsia="楷体"/>
          <w:b/>
          <w:bCs/>
          <w:color w:val="auto"/>
          <w:szCs w:val="21"/>
          <w:highlight w:val="none"/>
        </w:rPr>
        <w:t>备注</w:t>
      </w:r>
      <w:r>
        <w:rPr>
          <w:rFonts w:hint="eastAsia" w:ascii="楷体" w:hAnsi="楷体" w:eastAsia="楷体"/>
          <w:b/>
          <w:bCs/>
          <w:color w:val="auto"/>
          <w:szCs w:val="21"/>
          <w:highlight w:val="none"/>
        </w:rPr>
        <w:t>：</w:t>
      </w:r>
    </w:p>
    <w:p w14:paraId="6D40CD3D">
      <w:pPr>
        <w:ind w:firstLine="422" w:firstLineChars="200"/>
        <w:rPr>
          <w:rFonts w:ascii="楷体" w:hAnsi="楷体" w:eastAsia="楷体"/>
          <w:b/>
          <w:bCs/>
          <w:color w:val="auto"/>
          <w:szCs w:val="21"/>
          <w:highlight w:val="none"/>
        </w:rPr>
      </w:pPr>
      <w:r>
        <w:rPr>
          <w:rFonts w:hint="eastAsia" w:ascii="楷体" w:hAnsi="楷体" w:eastAsia="楷体"/>
          <w:b/>
          <w:bCs/>
          <w:color w:val="auto"/>
          <w:szCs w:val="21"/>
          <w:highlight w:val="none"/>
        </w:rPr>
        <w:t>1、正在</w:t>
      </w:r>
      <w:r>
        <w:rPr>
          <w:rFonts w:ascii="楷体" w:hAnsi="楷体" w:eastAsia="楷体"/>
          <w:b/>
          <w:bCs/>
          <w:color w:val="auto"/>
          <w:szCs w:val="21"/>
          <w:highlight w:val="none"/>
        </w:rPr>
        <w:t>实施和新</w:t>
      </w:r>
      <w:r>
        <w:rPr>
          <w:rFonts w:hint="eastAsia" w:ascii="楷体" w:hAnsi="楷体" w:eastAsia="楷体"/>
          <w:b/>
          <w:bCs/>
          <w:color w:val="auto"/>
          <w:szCs w:val="21"/>
          <w:highlight w:val="none"/>
        </w:rPr>
        <w:t>承接</w:t>
      </w:r>
      <w:r>
        <w:rPr>
          <w:rFonts w:ascii="楷体" w:hAnsi="楷体" w:eastAsia="楷体"/>
          <w:b/>
          <w:bCs/>
          <w:color w:val="auto"/>
          <w:szCs w:val="21"/>
          <w:highlight w:val="none"/>
        </w:rPr>
        <w:t>的工程业绩需从</w:t>
      </w:r>
      <w:r>
        <w:rPr>
          <w:rFonts w:hint="eastAsia" w:ascii="楷体" w:hAnsi="楷体" w:eastAsia="楷体"/>
          <w:b/>
          <w:bCs/>
          <w:color w:val="auto"/>
          <w:szCs w:val="21"/>
          <w:highlight w:val="none"/>
        </w:rPr>
        <w:t>“桂建云”系统导入相关证明材料，内容包括中标通知书或直接发包通知书、项目合同或协议书等。</w:t>
      </w:r>
    </w:p>
    <w:p w14:paraId="7717910C">
      <w:pPr>
        <w:ind w:firstLine="422" w:firstLineChars="200"/>
        <w:rPr>
          <w:rFonts w:ascii="楷体" w:hAnsi="楷体" w:eastAsia="楷体_GB2312"/>
          <w:b/>
          <w:bCs/>
          <w:color w:val="auto"/>
          <w:szCs w:val="21"/>
          <w:highlight w:val="none"/>
        </w:rPr>
      </w:pPr>
      <w:r>
        <w:rPr>
          <w:rFonts w:hint="eastAsia" w:ascii="楷体" w:hAnsi="楷体" w:eastAsia="楷体"/>
          <w:b/>
          <w:bCs/>
          <w:color w:val="auto"/>
          <w:szCs w:val="21"/>
          <w:highlight w:val="none"/>
        </w:rPr>
        <w:t>2、</w:t>
      </w:r>
      <w:r>
        <w:rPr>
          <w:rFonts w:hint="eastAsia" w:eastAsia="楷体_GB2312"/>
          <w:b/>
          <w:bCs/>
          <w:color w:val="auto"/>
          <w:highlight w:val="none"/>
        </w:rPr>
        <w:t>项目</w:t>
      </w:r>
      <w:r>
        <w:rPr>
          <w:rFonts w:eastAsia="楷体_GB2312"/>
          <w:b/>
          <w:bCs/>
          <w:color w:val="auto"/>
          <w:highlight w:val="none"/>
        </w:rPr>
        <w:t>数</w:t>
      </w:r>
      <w:r>
        <w:rPr>
          <w:rFonts w:hint="eastAsia" w:eastAsia="楷体_GB2312"/>
          <w:b/>
          <w:bCs/>
          <w:color w:val="auto"/>
          <w:highlight w:val="none"/>
        </w:rPr>
        <w:t>可</w:t>
      </w:r>
      <w:r>
        <w:rPr>
          <w:rFonts w:eastAsia="楷体_GB2312"/>
          <w:b/>
          <w:bCs/>
          <w:color w:val="auto"/>
          <w:highlight w:val="none"/>
        </w:rPr>
        <w:t>根据需要增加</w:t>
      </w:r>
      <w:r>
        <w:rPr>
          <w:rFonts w:hint="eastAsia" w:eastAsia="楷体_GB2312"/>
          <w:b/>
          <w:bCs/>
          <w:color w:val="auto"/>
          <w:highlight w:val="none"/>
        </w:rPr>
        <w:t>。</w:t>
      </w:r>
    </w:p>
    <w:p w14:paraId="06058502">
      <w:pPr>
        <w:ind w:firstLine="422" w:firstLineChars="200"/>
        <w:rPr>
          <w:rFonts w:ascii="楷体" w:hAnsi="楷体" w:eastAsia="楷体"/>
          <w:b/>
          <w:bCs/>
          <w:color w:val="auto"/>
          <w:szCs w:val="21"/>
          <w:highlight w:val="none"/>
        </w:rPr>
      </w:pPr>
      <w:r>
        <w:rPr>
          <w:rFonts w:hint="eastAsia" w:ascii="楷体" w:hAnsi="楷体" w:eastAsia="楷体"/>
          <w:b/>
          <w:bCs/>
          <w:color w:val="auto"/>
          <w:szCs w:val="21"/>
          <w:highlight w:val="none"/>
        </w:rPr>
        <w:t>3、相关信息应与“桂建云”系统信息一致，否则评审时不予承认</w:t>
      </w:r>
    </w:p>
    <w:p w14:paraId="43506209">
      <w:pPr>
        <w:rPr>
          <w:color w:val="auto"/>
          <w:highlight w:val="none"/>
        </w:rPr>
      </w:pPr>
    </w:p>
    <w:p w14:paraId="6975C79E">
      <w:pPr>
        <w:rPr>
          <w:color w:val="auto"/>
          <w:highlight w:val="none"/>
        </w:rPr>
      </w:pPr>
    </w:p>
    <w:p w14:paraId="2D54E584">
      <w:pPr>
        <w:rPr>
          <w:color w:val="auto"/>
          <w:highlight w:val="none"/>
        </w:rPr>
      </w:pPr>
    </w:p>
    <w:p w14:paraId="2B91786F">
      <w:pPr>
        <w:rPr>
          <w:color w:val="auto"/>
          <w:highlight w:val="none"/>
        </w:rPr>
      </w:pPr>
    </w:p>
    <w:p w14:paraId="2B14F937">
      <w:pPr>
        <w:rPr>
          <w:color w:val="auto"/>
          <w:highlight w:val="none"/>
        </w:rPr>
      </w:pPr>
    </w:p>
    <w:p w14:paraId="4FDAD3DB">
      <w:pPr>
        <w:rPr>
          <w:color w:val="auto"/>
          <w:highlight w:val="none"/>
        </w:rPr>
      </w:pPr>
    </w:p>
    <w:p w14:paraId="42DAEF10">
      <w:pPr>
        <w:rPr>
          <w:color w:val="auto"/>
          <w:highlight w:val="none"/>
        </w:rPr>
      </w:pPr>
    </w:p>
    <w:p w14:paraId="3A7D172C">
      <w:pPr>
        <w:rPr>
          <w:color w:val="auto"/>
          <w:highlight w:val="none"/>
        </w:rPr>
      </w:pPr>
    </w:p>
    <w:p w14:paraId="4A8A2251">
      <w:pPr>
        <w:rPr>
          <w:color w:val="auto"/>
          <w:highlight w:val="none"/>
        </w:rPr>
      </w:pPr>
    </w:p>
    <w:p w14:paraId="7F065D94">
      <w:pPr>
        <w:rPr>
          <w:color w:val="auto"/>
          <w:highlight w:val="none"/>
        </w:rPr>
      </w:pPr>
    </w:p>
    <w:p w14:paraId="0E0AD238">
      <w:pPr>
        <w:rPr>
          <w:color w:val="auto"/>
          <w:highlight w:val="none"/>
        </w:rPr>
      </w:pPr>
    </w:p>
    <w:p w14:paraId="703469FB">
      <w:pPr>
        <w:rPr>
          <w:color w:val="auto"/>
          <w:highlight w:val="none"/>
        </w:rPr>
      </w:pPr>
    </w:p>
    <w:p w14:paraId="6E0A42FC">
      <w:pPr>
        <w:rPr>
          <w:color w:val="auto"/>
          <w:highlight w:val="none"/>
        </w:rPr>
      </w:pPr>
    </w:p>
    <w:p w14:paraId="4870C2D8">
      <w:pPr>
        <w:rPr>
          <w:color w:val="auto"/>
          <w:highlight w:val="none"/>
        </w:rPr>
      </w:pPr>
    </w:p>
    <w:p w14:paraId="2F195597">
      <w:pPr>
        <w:rPr>
          <w:color w:val="auto"/>
          <w:highlight w:val="none"/>
        </w:rPr>
      </w:pPr>
    </w:p>
    <w:p w14:paraId="38904CCB">
      <w:pPr>
        <w:rPr>
          <w:color w:val="auto"/>
          <w:highlight w:val="none"/>
        </w:rPr>
      </w:pPr>
    </w:p>
    <w:p w14:paraId="5722CB5C">
      <w:pPr>
        <w:rPr>
          <w:color w:val="auto"/>
          <w:highlight w:val="none"/>
        </w:rPr>
      </w:pPr>
    </w:p>
    <w:p w14:paraId="5DDCF3EB">
      <w:pPr>
        <w:rPr>
          <w:color w:val="auto"/>
          <w:highlight w:val="none"/>
        </w:rPr>
      </w:pPr>
    </w:p>
    <w:p w14:paraId="66371807">
      <w:pPr>
        <w:rPr>
          <w:color w:val="auto"/>
          <w:highlight w:val="none"/>
        </w:rPr>
      </w:pPr>
    </w:p>
    <w:p w14:paraId="63F224B5">
      <w:pPr>
        <w:rPr>
          <w:color w:val="auto"/>
          <w:highlight w:val="none"/>
        </w:rPr>
      </w:pPr>
    </w:p>
    <w:p w14:paraId="2948A5CA">
      <w:pPr>
        <w:rPr>
          <w:color w:val="auto"/>
          <w:highlight w:val="none"/>
        </w:rPr>
      </w:pPr>
    </w:p>
    <w:p w14:paraId="2A311F55">
      <w:pPr>
        <w:rPr>
          <w:color w:val="auto"/>
          <w:highlight w:val="none"/>
        </w:rPr>
      </w:pPr>
    </w:p>
    <w:p w14:paraId="6F519428">
      <w:pPr>
        <w:rPr>
          <w:color w:val="auto"/>
          <w:highlight w:val="none"/>
        </w:rPr>
      </w:pPr>
    </w:p>
    <w:p w14:paraId="57CD5FE1">
      <w:pPr>
        <w:rPr>
          <w:color w:val="auto"/>
          <w:highlight w:val="none"/>
        </w:rPr>
      </w:pPr>
    </w:p>
    <w:p w14:paraId="4E937C0D">
      <w:pPr>
        <w:rPr>
          <w:color w:val="auto"/>
          <w:highlight w:val="none"/>
        </w:rPr>
      </w:pPr>
    </w:p>
    <w:p w14:paraId="408D5432">
      <w:pPr>
        <w:spacing w:line="360" w:lineRule="auto"/>
        <w:rPr>
          <w:rFonts w:ascii="宋体" w:hAnsi="宋体"/>
          <w:b/>
          <w:color w:val="auto"/>
          <w:sz w:val="28"/>
          <w:szCs w:val="28"/>
          <w:highlight w:val="none"/>
        </w:rPr>
      </w:pPr>
      <w:r>
        <w:rPr>
          <w:rFonts w:hint="eastAsia" w:ascii="宋体" w:hAnsi="宋体"/>
          <w:b/>
          <w:color w:val="auto"/>
          <w:sz w:val="28"/>
          <w:szCs w:val="28"/>
          <w:highlight w:val="none"/>
        </w:rPr>
        <w:t>七、</w:t>
      </w:r>
      <w:r>
        <w:rPr>
          <w:rFonts w:ascii="宋体" w:hAnsi="宋体"/>
          <w:b/>
          <w:color w:val="auto"/>
          <w:sz w:val="28"/>
          <w:szCs w:val="28"/>
          <w:highlight w:val="none"/>
        </w:rPr>
        <w:t>投标人认为有必要提交的其他投标资料</w:t>
      </w:r>
      <w:r>
        <w:rPr>
          <w:rFonts w:hint="eastAsia" w:ascii="宋体" w:hAnsi="宋体"/>
          <w:b/>
          <w:color w:val="auto"/>
          <w:sz w:val="28"/>
          <w:szCs w:val="28"/>
          <w:highlight w:val="none"/>
        </w:rPr>
        <w:t>。</w:t>
      </w:r>
    </w:p>
    <w:p w14:paraId="4469750E">
      <w:pPr>
        <w:rPr>
          <w:color w:val="auto"/>
          <w:highlight w:val="none"/>
        </w:rPr>
      </w:pPr>
    </w:p>
    <w:p w14:paraId="396AA1EB">
      <w:pPr>
        <w:rPr>
          <w:color w:val="auto"/>
          <w:highlight w:val="none"/>
        </w:rPr>
      </w:pPr>
    </w:p>
    <w:p w14:paraId="3770AA72">
      <w:pPr>
        <w:rPr>
          <w:color w:val="auto"/>
          <w:highlight w:val="none"/>
        </w:rPr>
      </w:pPr>
    </w:p>
    <w:p w14:paraId="050973B2">
      <w:pPr>
        <w:rPr>
          <w:color w:val="auto"/>
          <w:highlight w:val="none"/>
        </w:rPr>
      </w:pPr>
    </w:p>
    <w:p w14:paraId="696E3E5E">
      <w:pPr>
        <w:rPr>
          <w:color w:val="auto"/>
          <w:highlight w:val="none"/>
        </w:rPr>
      </w:pPr>
    </w:p>
    <w:p w14:paraId="71D53E0E">
      <w:pPr>
        <w:rPr>
          <w:color w:val="auto"/>
          <w:highlight w:val="none"/>
        </w:rPr>
      </w:pPr>
    </w:p>
    <w:p w14:paraId="6CBC13DD">
      <w:pPr>
        <w:rPr>
          <w:color w:val="auto"/>
          <w:highlight w:val="none"/>
        </w:rPr>
      </w:pPr>
    </w:p>
    <w:p w14:paraId="132FEAA1">
      <w:pPr>
        <w:rPr>
          <w:color w:val="auto"/>
          <w:highlight w:val="none"/>
        </w:rPr>
      </w:pPr>
    </w:p>
    <w:p w14:paraId="7FE18D86">
      <w:pPr>
        <w:rPr>
          <w:color w:val="auto"/>
          <w:highlight w:val="none"/>
        </w:rPr>
      </w:pPr>
    </w:p>
    <w:p w14:paraId="4B88B838">
      <w:pPr>
        <w:rPr>
          <w:color w:val="auto"/>
          <w:highlight w:val="none"/>
        </w:rPr>
      </w:pPr>
    </w:p>
    <w:p w14:paraId="5D3B8E00">
      <w:pPr>
        <w:rPr>
          <w:color w:val="auto"/>
          <w:highlight w:val="none"/>
        </w:rPr>
      </w:pPr>
    </w:p>
    <w:p w14:paraId="747636A1">
      <w:pPr>
        <w:rPr>
          <w:color w:val="auto"/>
          <w:highlight w:val="none"/>
        </w:rPr>
      </w:pPr>
    </w:p>
    <w:p w14:paraId="39E82538">
      <w:pPr>
        <w:rPr>
          <w:color w:val="auto"/>
          <w:highlight w:val="none"/>
        </w:rPr>
      </w:pPr>
    </w:p>
    <w:p w14:paraId="0D099693">
      <w:pPr>
        <w:rPr>
          <w:color w:val="auto"/>
          <w:highlight w:val="none"/>
        </w:rPr>
      </w:pPr>
    </w:p>
    <w:p w14:paraId="26749BF0">
      <w:pPr>
        <w:rPr>
          <w:color w:val="auto"/>
          <w:highlight w:val="none"/>
        </w:rPr>
      </w:pPr>
    </w:p>
    <w:p w14:paraId="61DA7940">
      <w:pPr>
        <w:rPr>
          <w:color w:val="auto"/>
          <w:highlight w:val="none"/>
        </w:rPr>
      </w:pPr>
    </w:p>
    <w:p w14:paraId="2FB2D3E8">
      <w:pPr>
        <w:rPr>
          <w:color w:val="auto"/>
          <w:highlight w:val="none"/>
        </w:rPr>
      </w:pPr>
    </w:p>
    <w:p w14:paraId="391E3E18">
      <w:pPr>
        <w:rPr>
          <w:color w:val="auto"/>
          <w:highlight w:val="none"/>
        </w:rPr>
      </w:pPr>
    </w:p>
    <w:p w14:paraId="472884C0">
      <w:pPr>
        <w:rPr>
          <w:color w:val="auto"/>
          <w:highlight w:val="none"/>
        </w:rPr>
      </w:pPr>
    </w:p>
    <w:p w14:paraId="4D8A7A57">
      <w:pPr>
        <w:rPr>
          <w:color w:val="auto"/>
          <w:highlight w:val="none"/>
        </w:rPr>
      </w:pPr>
    </w:p>
    <w:p w14:paraId="15485833">
      <w:pPr>
        <w:rPr>
          <w:color w:val="auto"/>
          <w:highlight w:val="none"/>
        </w:rPr>
      </w:pPr>
    </w:p>
    <w:p w14:paraId="17950218">
      <w:pPr>
        <w:rPr>
          <w:color w:val="auto"/>
          <w:highlight w:val="none"/>
        </w:rPr>
      </w:pPr>
    </w:p>
    <w:p w14:paraId="0FB3CE1D">
      <w:pPr>
        <w:rPr>
          <w:color w:val="auto"/>
          <w:highlight w:val="none"/>
        </w:rPr>
      </w:pPr>
    </w:p>
    <w:p w14:paraId="4D58D245">
      <w:pPr>
        <w:rPr>
          <w:color w:val="auto"/>
          <w:highlight w:val="none"/>
        </w:rPr>
      </w:pPr>
    </w:p>
    <w:p w14:paraId="40D23E6B">
      <w:pPr>
        <w:rPr>
          <w:color w:val="auto"/>
          <w:highlight w:val="none"/>
        </w:rPr>
      </w:pPr>
    </w:p>
    <w:p w14:paraId="20D3F28E">
      <w:pPr>
        <w:rPr>
          <w:color w:val="auto"/>
          <w:highlight w:val="none"/>
        </w:rPr>
      </w:pPr>
    </w:p>
    <w:p w14:paraId="7DD34AD0">
      <w:pPr>
        <w:rPr>
          <w:color w:val="auto"/>
          <w:highlight w:val="none"/>
        </w:rPr>
      </w:pPr>
    </w:p>
    <w:p w14:paraId="7BF72260">
      <w:pPr>
        <w:rPr>
          <w:color w:val="auto"/>
          <w:highlight w:val="none"/>
        </w:rPr>
      </w:pPr>
    </w:p>
    <w:p w14:paraId="7D62D4B5">
      <w:pPr>
        <w:rPr>
          <w:color w:val="auto"/>
          <w:highlight w:val="none"/>
        </w:rPr>
      </w:pPr>
    </w:p>
    <w:p w14:paraId="406DD900">
      <w:pPr>
        <w:rPr>
          <w:color w:val="auto"/>
          <w:highlight w:val="none"/>
        </w:rPr>
      </w:pPr>
    </w:p>
    <w:p w14:paraId="4AB98051">
      <w:pPr>
        <w:rPr>
          <w:color w:val="auto"/>
          <w:highlight w:val="none"/>
        </w:rPr>
      </w:pPr>
    </w:p>
    <w:p w14:paraId="41996736">
      <w:pPr>
        <w:rPr>
          <w:color w:val="auto"/>
          <w:highlight w:val="none"/>
        </w:rPr>
      </w:pPr>
    </w:p>
    <w:p w14:paraId="559073ED">
      <w:pPr>
        <w:rPr>
          <w:color w:val="auto"/>
          <w:highlight w:val="none"/>
        </w:rPr>
      </w:pPr>
    </w:p>
    <w:p w14:paraId="73C10C01">
      <w:pPr>
        <w:rPr>
          <w:color w:val="auto"/>
          <w:highlight w:val="none"/>
        </w:rPr>
      </w:pPr>
    </w:p>
    <w:p w14:paraId="13899A8F">
      <w:pPr>
        <w:rPr>
          <w:color w:val="auto"/>
          <w:highlight w:val="none"/>
        </w:rPr>
      </w:pPr>
    </w:p>
    <w:p w14:paraId="72B3B156">
      <w:pPr>
        <w:rPr>
          <w:color w:val="auto"/>
          <w:highlight w:val="none"/>
        </w:rPr>
      </w:pPr>
    </w:p>
    <w:p w14:paraId="038426B2">
      <w:pPr>
        <w:rPr>
          <w:color w:val="auto"/>
          <w:highlight w:val="none"/>
        </w:rPr>
      </w:pPr>
    </w:p>
    <w:p w14:paraId="73077B29">
      <w:pPr>
        <w:rPr>
          <w:color w:val="auto"/>
          <w:highlight w:val="none"/>
        </w:rPr>
      </w:pPr>
    </w:p>
    <w:p w14:paraId="5345D68E">
      <w:pPr>
        <w:rPr>
          <w:color w:val="auto"/>
          <w:highlight w:val="none"/>
        </w:rPr>
      </w:pPr>
    </w:p>
    <w:p w14:paraId="0A604F56">
      <w:pPr>
        <w:rPr>
          <w:color w:val="auto"/>
          <w:highlight w:val="none"/>
        </w:rPr>
      </w:pPr>
    </w:p>
    <w:p w14:paraId="621185AB">
      <w:pPr>
        <w:rPr>
          <w:color w:val="auto"/>
          <w:highlight w:val="none"/>
        </w:rPr>
      </w:pPr>
    </w:p>
    <w:p w14:paraId="0EF205A1">
      <w:pPr>
        <w:rPr>
          <w:color w:val="auto"/>
          <w:highlight w:val="none"/>
        </w:rPr>
      </w:pPr>
    </w:p>
    <w:p w14:paraId="68FCBE91">
      <w:pPr>
        <w:rPr>
          <w:color w:val="auto"/>
          <w:highlight w:val="none"/>
        </w:rPr>
      </w:pPr>
    </w:p>
    <w:p w14:paraId="6036BC99">
      <w:pPr>
        <w:rPr>
          <w:color w:val="auto"/>
          <w:highlight w:val="none"/>
        </w:rPr>
      </w:pPr>
    </w:p>
    <w:p w14:paraId="7FEEB31C">
      <w:pPr>
        <w:rPr>
          <w:color w:val="auto"/>
          <w:highlight w:val="none"/>
        </w:rPr>
      </w:pPr>
    </w:p>
    <w:p w14:paraId="5D2D7840">
      <w:pPr>
        <w:rPr>
          <w:color w:val="auto"/>
          <w:highlight w:val="none"/>
        </w:rPr>
      </w:pPr>
    </w:p>
    <w:p w14:paraId="7C5D6A98">
      <w:pPr>
        <w:rPr>
          <w:color w:val="auto"/>
          <w:highlight w:val="none"/>
        </w:rPr>
      </w:pPr>
    </w:p>
    <w:p w14:paraId="5BE122F7">
      <w:pPr>
        <w:rPr>
          <w:color w:val="auto"/>
          <w:highlight w:val="none"/>
        </w:rPr>
      </w:pPr>
    </w:p>
    <w:p w14:paraId="69DCCE40">
      <w:pPr>
        <w:rPr>
          <w:color w:val="auto"/>
          <w:highlight w:val="none"/>
        </w:rPr>
      </w:pPr>
    </w:p>
    <w:p w14:paraId="3C8B95F4">
      <w:pPr>
        <w:rPr>
          <w:color w:val="auto"/>
          <w:highlight w:val="none"/>
        </w:rPr>
      </w:pPr>
    </w:p>
    <w:p w14:paraId="2348B52B">
      <w:pPr>
        <w:rPr>
          <w:color w:val="auto"/>
          <w:highlight w:val="none"/>
        </w:rPr>
      </w:pPr>
    </w:p>
    <w:p w14:paraId="01927846">
      <w:pPr>
        <w:rPr>
          <w:color w:val="auto"/>
          <w:highlight w:val="none"/>
        </w:rPr>
      </w:pPr>
    </w:p>
    <w:p w14:paraId="21862D47">
      <w:pPr>
        <w:rPr>
          <w:color w:val="auto"/>
          <w:highlight w:val="none"/>
        </w:rPr>
      </w:pPr>
    </w:p>
    <w:p w14:paraId="6E1723BB">
      <w:pPr>
        <w:rPr>
          <w:color w:val="auto"/>
          <w:highlight w:val="none"/>
        </w:rPr>
      </w:pPr>
    </w:p>
    <w:p w14:paraId="1AC88BEA">
      <w:pPr>
        <w:rPr>
          <w:color w:val="auto"/>
          <w:highlight w:val="none"/>
        </w:rPr>
      </w:pPr>
    </w:p>
    <w:p w14:paraId="55E50A8A">
      <w:pPr>
        <w:rPr>
          <w:color w:val="auto"/>
          <w:highlight w:val="none"/>
        </w:rPr>
      </w:pPr>
    </w:p>
    <w:p w14:paraId="7F22E472">
      <w:pPr>
        <w:rPr>
          <w:color w:val="auto"/>
          <w:highlight w:val="none"/>
        </w:rPr>
      </w:pPr>
    </w:p>
    <w:p w14:paraId="07971D0B">
      <w:pPr>
        <w:rPr>
          <w:color w:val="auto"/>
          <w:highlight w:val="none"/>
        </w:rPr>
      </w:pPr>
    </w:p>
    <w:p w14:paraId="20FDD85C">
      <w:pPr>
        <w:rPr>
          <w:color w:val="auto"/>
          <w:highlight w:val="none"/>
        </w:rPr>
      </w:pPr>
    </w:p>
    <w:p w14:paraId="42AE41EE">
      <w:pPr>
        <w:rPr>
          <w:color w:val="auto"/>
          <w:highlight w:val="none"/>
        </w:rPr>
      </w:pPr>
    </w:p>
    <w:p w14:paraId="2C68E562">
      <w:pPr>
        <w:rPr>
          <w:color w:val="auto"/>
          <w:highlight w:val="none"/>
        </w:rPr>
      </w:pPr>
    </w:p>
    <w:p w14:paraId="6D5994D1">
      <w:pPr>
        <w:jc w:val="center"/>
        <w:rPr>
          <w:color w:val="auto"/>
          <w:sz w:val="28"/>
          <w:szCs w:val="28"/>
          <w:highlight w:val="none"/>
        </w:rPr>
      </w:pPr>
      <w:r>
        <w:rPr>
          <w:color w:val="auto"/>
          <w:sz w:val="32"/>
          <w:szCs w:val="32"/>
          <w:highlight w:val="none"/>
          <w:u w:val="single"/>
        </w:rPr>
        <w:t xml:space="preserve">             </w:t>
      </w:r>
      <w:r>
        <w:rPr>
          <w:color w:val="auto"/>
          <w:sz w:val="28"/>
          <w:szCs w:val="28"/>
          <w:highlight w:val="none"/>
        </w:rPr>
        <w:t>（项目名称）</w:t>
      </w:r>
      <w:r>
        <w:rPr>
          <w:rFonts w:hint="eastAsia"/>
          <w:color w:val="auto"/>
          <w:sz w:val="28"/>
          <w:szCs w:val="28"/>
          <w:highlight w:val="none"/>
        </w:rPr>
        <w:t>设计</w:t>
      </w:r>
      <w:r>
        <w:rPr>
          <w:color w:val="auto"/>
          <w:sz w:val="28"/>
          <w:szCs w:val="28"/>
          <w:highlight w:val="none"/>
        </w:rPr>
        <w:t>招标</w:t>
      </w:r>
      <w:r>
        <w:rPr>
          <w:rFonts w:hint="eastAsia"/>
          <w:color w:val="auto"/>
          <w:sz w:val="28"/>
          <w:szCs w:val="28"/>
          <w:highlight w:val="none"/>
        </w:rPr>
        <w:t>项目</w:t>
      </w:r>
    </w:p>
    <w:p w14:paraId="6F5A2039">
      <w:pPr>
        <w:jc w:val="center"/>
        <w:rPr>
          <w:color w:val="auto"/>
          <w:sz w:val="28"/>
          <w:szCs w:val="28"/>
          <w:highlight w:val="none"/>
        </w:rPr>
      </w:pPr>
    </w:p>
    <w:p w14:paraId="768BFE36">
      <w:pPr>
        <w:spacing w:before="240" w:beforeLines="100"/>
        <w:jc w:val="center"/>
        <w:rPr>
          <w:color w:val="auto"/>
          <w:sz w:val="52"/>
          <w:szCs w:val="52"/>
          <w:highlight w:val="none"/>
        </w:rPr>
      </w:pPr>
      <w:r>
        <w:rPr>
          <w:color w:val="auto"/>
          <w:sz w:val="52"/>
          <w:szCs w:val="52"/>
          <w:highlight w:val="none"/>
        </w:rPr>
        <w:t>投  标  文  件</w:t>
      </w:r>
    </w:p>
    <w:p w14:paraId="64B7E2A7">
      <w:pPr>
        <w:jc w:val="center"/>
        <w:rPr>
          <w:color w:val="auto"/>
          <w:sz w:val="32"/>
          <w:szCs w:val="32"/>
          <w:highlight w:val="none"/>
        </w:rPr>
      </w:pPr>
    </w:p>
    <w:p w14:paraId="343E97C4">
      <w:pPr>
        <w:jc w:val="center"/>
        <w:rPr>
          <w:color w:val="auto"/>
          <w:sz w:val="32"/>
          <w:szCs w:val="32"/>
          <w:highlight w:val="none"/>
        </w:rPr>
      </w:pPr>
    </w:p>
    <w:p w14:paraId="5E6494D7">
      <w:pPr>
        <w:jc w:val="center"/>
        <w:rPr>
          <w:color w:val="auto"/>
          <w:sz w:val="32"/>
          <w:szCs w:val="32"/>
          <w:highlight w:val="none"/>
        </w:rPr>
      </w:pPr>
    </w:p>
    <w:p w14:paraId="45010B56">
      <w:pPr>
        <w:jc w:val="center"/>
        <w:rPr>
          <w:color w:val="auto"/>
          <w:sz w:val="32"/>
          <w:szCs w:val="32"/>
          <w:highlight w:val="none"/>
        </w:rPr>
      </w:pPr>
    </w:p>
    <w:p w14:paraId="37D70183">
      <w:pPr>
        <w:spacing w:line="360" w:lineRule="auto"/>
        <w:ind w:firstLine="2380" w:firstLineChars="850"/>
        <w:rPr>
          <w:color w:val="auto"/>
          <w:sz w:val="28"/>
          <w:szCs w:val="28"/>
          <w:highlight w:val="none"/>
          <w:u w:val="single"/>
        </w:rPr>
      </w:pPr>
      <w:r>
        <w:rPr>
          <w:color w:val="auto"/>
          <w:sz w:val="28"/>
          <w:szCs w:val="28"/>
          <w:highlight w:val="none"/>
        </w:rPr>
        <w:t>项目</w:t>
      </w:r>
      <w:r>
        <w:rPr>
          <w:rFonts w:hint="eastAsia"/>
          <w:color w:val="auto"/>
          <w:sz w:val="28"/>
          <w:szCs w:val="28"/>
          <w:highlight w:val="none"/>
        </w:rPr>
        <w:t>招标</w:t>
      </w:r>
      <w:r>
        <w:rPr>
          <w:color w:val="auto"/>
          <w:sz w:val="28"/>
          <w:szCs w:val="28"/>
          <w:highlight w:val="none"/>
        </w:rPr>
        <w:t>编号：</w:t>
      </w:r>
      <w:r>
        <w:rPr>
          <w:color w:val="auto"/>
          <w:sz w:val="28"/>
          <w:szCs w:val="28"/>
          <w:highlight w:val="none"/>
          <w:u w:val="single"/>
        </w:rPr>
        <w:t xml:space="preserve">                   </w:t>
      </w:r>
    </w:p>
    <w:p w14:paraId="5AC564C3">
      <w:pPr>
        <w:jc w:val="center"/>
        <w:rPr>
          <w:color w:val="auto"/>
          <w:sz w:val="32"/>
          <w:szCs w:val="32"/>
          <w:highlight w:val="none"/>
        </w:rPr>
      </w:pPr>
    </w:p>
    <w:p w14:paraId="4EB1E4B3">
      <w:pPr>
        <w:jc w:val="center"/>
        <w:rPr>
          <w:color w:val="auto"/>
          <w:sz w:val="32"/>
          <w:szCs w:val="32"/>
          <w:highlight w:val="none"/>
        </w:rPr>
      </w:pPr>
    </w:p>
    <w:p w14:paraId="1578ACD7">
      <w:pPr>
        <w:jc w:val="center"/>
        <w:rPr>
          <w:color w:val="auto"/>
          <w:sz w:val="32"/>
          <w:szCs w:val="32"/>
          <w:highlight w:val="none"/>
        </w:rPr>
      </w:pPr>
    </w:p>
    <w:p w14:paraId="05816223">
      <w:pPr>
        <w:jc w:val="center"/>
        <w:rPr>
          <w:color w:val="auto"/>
          <w:sz w:val="32"/>
          <w:szCs w:val="32"/>
          <w:highlight w:val="none"/>
        </w:rPr>
      </w:pPr>
    </w:p>
    <w:p w14:paraId="19A201C5">
      <w:pPr>
        <w:jc w:val="center"/>
        <w:rPr>
          <w:color w:val="auto"/>
          <w:sz w:val="32"/>
          <w:szCs w:val="32"/>
          <w:highlight w:val="none"/>
        </w:rPr>
      </w:pPr>
    </w:p>
    <w:p w14:paraId="62C42DBD">
      <w:pPr>
        <w:jc w:val="center"/>
        <w:rPr>
          <w:color w:val="auto"/>
          <w:sz w:val="32"/>
          <w:szCs w:val="32"/>
          <w:highlight w:val="none"/>
        </w:rPr>
      </w:pPr>
    </w:p>
    <w:p w14:paraId="25D02886">
      <w:pPr>
        <w:jc w:val="center"/>
        <w:rPr>
          <w:color w:val="auto"/>
          <w:sz w:val="32"/>
          <w:szCs w:val="32"/>
          <w:highlight w:val="none"/>
        </w:rPr>
      </w:pPr>
    </w:p>
    <w:p w14:paraId="6C8E7F57">
      <w:pPr>
        <w:jc w:val="center"/>
        <w:rPr>
          <w:color w:val="auto"/>
          <w:sz w:val="32"/>
          <w:szCs w:val="32"/>
          <w:highlight w:val="none"/>
        </w:rPr>
      </w:pPr>
    </w:p>
    <w:p w14:paraId="6878DDE3">
      <w:pPr>
        <w:jc w:val="center"/>
        <w:rPr>
          <w:color w:val="auto"/>
          <w:sz w:val="32"/>
          <w:szCs w:val="32"/>
          <w:highlight w:val="none"/>
        </w:rPr>
      </w:pPr>
    </w:p>
    <w:p w14:paraId="07899D75">
      <w:pPr>
        <w:jc w:val="center"/>
        <w:rPr>
          <w:color w:val="auto"/>
          <w:sz w:val="32"/>
          <w:szCs w:val="32"/>
          <w:highlight w:val="none"/>
        </w:rPr>
      </w:pPr>
    </w:p>
    <w:p w14:paraId="03B75E22">
      <w:pPr>
        <w:jc w:val="center"/>
        <w:rPr>
          <w:color w:val="auto"/>
          <w:sz w:val="32"/>
          <w:szCs w:val="32"/>
          <w:highlight w:val="none"/>
        </w:rPr>
      </w:pPr>
    </w:p>
    <w:p w14:paraId="07172E59">
      <w:pPr>
        <w:jc w:val="center"/>
        <w:rPr>
          <w:color w:val="auto"/>
          <w:sz w:val="32"/>
          <w:szCs w:val="32"/>
          <w:highlight w:val="none"/>
        </w:rPr>
      </w:pPr>
    </w:p>
    <w:p w14:paraId="50031A65">
      <w:pPr>
        <w:jc w:val="center"/>
        <w:rPr>
          <w:color w:val="auto"/>
          <w:sz w:val="32"/>
          <w:szCs w:val="32"/>
          <w:highlight w:val="none"/>
        </w:rPr>
      </w:pPr>
    </w:p>
    <w:p w14:paraId="13475756">
      <w:pPr>
        <w:spacing w:line="360" w:lineRule="auto"/>
        <w:ind w:firstLine="1400" w:firstLineChars="500"/>
        <w:rPr>
          <w:color w:val="auto"/>
          <w:sz w:val="28"/>
          <w:szCs w:val="28"/>
          <w:highlight w:val="none"/>
        </w:rPr>
      </w:pPr>
      <w:r>
        <w:rPr>
          <w:rFonts w:hint="eastAsia"/>
          <w:color w:val="auto"/>
          <w:sz w:val="28"/>
          <w:szCs w:val="28"/>
          <w:highlight w:val="none"/>
        </w:rPr>
        <w:t>投标</w:t>
      </w:r>
      <w:r>
        <w:rPr>
          <w:color w:val="auto"/>
          <w:sz w:val="28"/>
          <w:szCs w:val="28"/>
          <w:highlight w:val="none"/>
        </w:rPr>
        <w:t>内容：</w:t>
      </w:r>
      <w:r>
        <w:rPr>
          <w:color w:val="auto"/>
          <w:sz w:val="28"/>
          <w:szCs w:val="28"/>
          <w:highlight w:val="none"/>
          <w:u w:val="single"/>
        </w:rPr>
        <w:t xml:space="preserve">            </w:t>
      </w:r>
      <w:r>
        <w:rPr>
          <w:rFonts w:hint="eastAsia"/>
          <w:color w:val="auto"/>
          <w:sz w:val="28"/>
          <w:szCs w:val="28"/>
          <w:highlight w:val="none"/>
          <w:u w:val="single"/>
        </w:rPr>
        <w:t>商务标</w:t>
      </w:r>
      <w:r>
        <w:rPr>
          <w:color w:val="auto"/>
          <w:sz w:val="28"/>
          <w:szCs w:val="28"/>
          <w:highlight w:val="none"/>
          <w:u w:val="single"/>
        </w:rPr>
        <w:t xml:space="preserve">           </w:t>
      </w:r>
    </w:p>
    <w:p w14:paraId="5FD334A8">
      <w:pPr>
        <w:spacing w:line="360" w:lineRule="auto"/>
        <w:ind w:firstLine="1400" w:firstLineChars="500"/>
        <w:rPr>
          <w:color w:val="auto"/>
          <w:sz w:val="28"/>
          <w:szCs w:val="28"/>
          <w:highlight w:val="none"/>
        </w:rPr>
      </w:pPr>
      <w:r>
        <w:rPr>
          <w:rFonts w:hint="eastAsia"/>
          <w:color w:val="auto"/>
          <w:sz w:val="28"/>
          <w:szCs w:val="28"/>
          <w:highlight w:val="none"/>
        </w:rPr>
        <w:t>投标</w:t>
      </w:r>
      <w:r>
        <w:rPr>
          <w:color w:val="auto"/>
          <w:sz w:val="28"/>
          <w:szCs w:val="28"/>
          <w:highlight w:val="none"/>
        </w:rPr>
        <w:t>人：</w:t>
      </w:r>
      <w:r>
        <w:rPr>
          <w:color w:val="auto"/>
          <w:sz w:val="28"/>
          <w:szCs w:val="28"/>
          <w:highlight w:val="none"/>
          <w:u w:val="single"/>
        </w:rPr>
        <w:t xml:space="preserve">                               </w:t>
      </w:r>
      <w:r>
        <w:rPr>
          <w:color w:val="auto"/>
          <w:sz w:val="28"/>
          <w:szCs w:val="28"/>
          <w:highlight w:val="none"/>
        </w:rPr>
        <w:t>（</w:t>
      </w:r>
      <w:r>
        <w:rPr>
          <w:rFonts w:hint="eastAsia"/>
          <w:color w:val="auto"/>
          <w:sz w:val="28"/>
          <w:szCs w:val="28"/>
          <w:highlight w:val="none"/>
        </w:rPr>
        <w:t>盖单位章</w:t>
      </w:r>
      <w:r>
        <w:rPr>
          <w:color w:val="auto"/>
          <w:sz w:val="28"/>
          <w:szCs w:val="28"/>
          <w:highlight w:val="none"/>
        </w:rPr>
        <w:t>）</w:t>
      </w:r>
    </w:p>
    <w:p w14:paraId="0EDFB7C3">
      <w:pPr>
        <w:jc w:val="center"/>
        <w:rPr>
          <w:color w:val="auto"/>
          <w:sz w:val="28"/>
          <w:szCs w:val="28"/>
          <w:highlight w:val="none"/>
        </w:rPr>
      </w:pPr>
    </w:p>
    <w:p w14:paraId="2E7D71A2">
      <w:pPr>
        <w:jc w:val="center"/>
        <w:rPr>
          <w:color w:val="auto"/>
          <w:sz w:val="28"/>
          <w:szCs w:val="28"/>
          <w:highlight w:val="none"/>
        </w:rPr>
      </w:pPr>
    </w:p>
    <w:p w14:paraId="35CD54EC">
      <w:pPr>
        <w:jc w:val="center"/>
        <w:rPr>
          <w:color w:val="auto"/>
          <w:sz w:val="28"/>
          <w:szCs w:val="28"/>
          <w:highlight w:val="none"/>
        </w:rPr>
      </w:pPr>
      <w:r>
        <w:rPr>
          <w:color w:val="auto"/>
          <w:sz w:val="28"/>
          <w:szCs w:val="28"/>
          <w:highlight w:val="none"/>
          <w:u w:val="single"/>
        </w:rPr>
        <w:t xml:space="preserve">         </w:t>
      </w:r>
      <w:r>
        <w:rPr>
          <w:color w:val="auto"/>
          <w:sz w:val="28"/>
          <w:szCs w:val="28"/>
          <w:highlight w:val="none"/>
        </w:rPr>
        <w:t>年</w:t>
      </w:r>
      <w:r>
        <w:rPr>
          <w:color w:val="auto"/>
          <w:sz w:val="28"/>
          <w:szCs w:val="28"/>
          <w:highlight w:val="none"/>
          <w:u w:val="single"/>
        </w:rPr>
        <w:t xml:space="preserve">         </w:t>
      </w:r>
      <w:r>
        <w:rPr>
          <w:color w:val="auto"/>
          <w:sz w:val="28"/>
          <w:szCs w:val="28"/>
          <w:highlight w:val="none"/>
        </w:rPr>
        <w:t>月</w:t>
      </w:r>
      <w:r>
        <w:rPr>
          <w:color w:val="auto"/>
          <w:sz w:val="28"/>
          <w:szCs w:val="28"/>
          <w:highlight w:val="none"/>
          <w:u w:val="single"/>
        </w:rPr>
        <w:t xml:space="preserve">         </w:t>
      </w:r>
      <w:r>
        <w:rPr>
          <w:color w:val="auto"/>
          <w:sz w:val="28"/>
          <w:szCs w:val="28"/>
          <w:highlight w:val="none"/>
        </w:rPr>
        <w:t>日</w:t>
      </w:r>
    </w:p>
    <w:p w14:paraId="5B2D8B2A">
      <w:pPr>
        <w:rPr>
          <w:color w:val="auto"/>
          <w:highlight w:val="none"/>
        </w:rPr>
      </w:pPr>
    </w:p>
    <w:p w14:paraId="28303F5C">
      <w:pPr>
        <w:rPr>
          <w:color w:val="auto"/>
          <w:highlight w:val="none"/>
        </w:rPr>
      </w:pPr>
    </w:p>
    <w:p w14:paraId="2ED525B0">
      <w:pPr>
        <w:rPr>
          <w:color w:val="auto"/>
          <w:highlight w:val="none"/>
        </w:rPr>
      </w:pPr>
    </w:p>
    <w:p w14:paraId="06EFF153">
      <w:pPr>
        <w:rPr>
          <w:color w:val="auto"/>
          <w:highlight w:val="none"/>
        </w:rPr>
      </w:pPr>
    </w:p>
    <w:p w14:paraId="509C9C91">
      <w:pPr>
        <w:rPr>
          <w:color w:val="auto"/>
          <w:highlight w:val="none"/>
        </w:rPr>
      </w:pPr>
    </w:p>
    <w:p w14:paraId="2F810CC5">
      <w:pPr>
        <w:rPr>
          <w:color w:val="auto"/>
          <w:highlight w:val="none"/>
        </w:rPr>
      </w:pPr>
    </w:p>
    <w:p w14:paraId="523353A7">
      <w:pPr>
        <w:rPr>
          <w:color w:val="auto"/>
          <w:highlight w:val="none"/>
        </w:rPr>
      </w:pPr>
    </w:p>
    <w:p w14:paraId="2AFB0770">
      <w:pPr>
        <w:rPr>
          <w:color w:val="auto"/>
          <w:highlight w:val="none"/>
        </w:rPr>
      </w:pPr>
    </w:p>
    <w:p w14:paraId="06D7F1D8">
      <w:pPr>
        <w:spacing w:before="240" w:beforeLines="100" w:after="240" w:afterLines="100"/>
        <w:jc w:val="center"/>
        <w:rPr>
          <w:b/>
          <w:color w:val="auto"/>
          <w:sz w:val="28"/>
          <w:szCs w:val="28"/>
          <w:highlight w:val="none"/>
        </w:rPr>
      </w:pPr>
      <w:r>
        <w:rPr>
          <w:b/>
          <w:color w:val="auto"/>
          <w:sz w:val="28"/>
          <w:szCs w:val="28"/>
          <w:highlight w:val="none"/>
        </w:rPr>
        <w:t>目    录</w:t>
      </w:r>
    </w:p>
    <w:p w14:paraId="7C779763">
      <w:pPr>
        <w:rPr>
          <w:color w:val="auto"/>
          <w:highlight w:val="none"/>
        </w:rPr>
      </w:pPr>
    </w:p>
    <w:p w14:paraId="7D68A77F">
      <w:pPr>
        <w:spacing w:line="360" w:lineRule="auto"/>
        <w:rPr>
          <w:color w:val="auto"/>
          <w:highlight w:val="none"/>
        </w:rPr>
      </w:pPr>
      <w:r>
        <w:rPr>
          <w:rFonts w:hint="eastAsia"/>
          <w:color w:val="auto"/>
          <w:highlight w:val="none"/>
        </w:rPr>
        <w:t>一、投标函；</w:t>
      </w:r>
    </w:p>
    <w:p w14:paraId="2E9A4CA2">
      <w:pPr>
        <w:spacing w:line="360" w:lineRule="auto"/>
        <w:rPr>
          <w:color w:val="auto"/>
          <w:highlight w:val="none"/>
        </w:rPr>
      </w:pPr>
      <w:r>
        <w:rPr>
          <w:rFonts w:hint="eastAsia"/>
          <w:color w:val="auto"/>
          <w:highlight w:val="none"/>
        </w:rPr>
        <w:t>二、投标函附录；</w:t>
      </w:r>
    </w:p>
    <w:p w14:paraId="0398EFEE">
      <w:pPr>
        <w:spacing w:line="360" w:lineRule="auto"/>
        <w:rPr>
          <w:color w:val="auto"/>
          <w:highlight w:val="none"/>
        </w:rPr>
      </w:pPr>
      <w:r>
        <w:rPr>
          <w:rFonts w:hint="eastAsia"/>
          <w:color w:val="auto"/>
          <w:highlight w:val="none"/>
        </w:rPr>
        <w:t>三、设计费用清单；</w:t>
      </w:r>
    </w:p>
    <w:p w14:paraId="267BECC9">
      <w:pPr>
        <w:spacing w:line="360" w:lineRule="auto"/>
        <w:rPr>
          <w:color w:val="auto"/>
          <w:highlight w:val="none"/>
        </w:rPr>
      </w:pPr>
      <w:r>
        <w:rPr>
          <w:color w:val="auto"/>
          <w:highlight w:val="none"/>
        </w:rPr>
        <w:t>四</w:t>
      </w:r>
      <w:r>
        <w:rPr>
          <w:rFonts w:hint="eastAsia"/>
          <w:color w:val="auto"/>
          <w:highlight w:val="none"/>
        </w:rPr>
        <w:t>、</w:t>
      </w:r>
      <w:r>
        <w:rPr>
          <w:color w:val="auto"/>
          <w:highlight w:val="none"/>
        </w:rPr>
        <w:t>资信业绩</w:t>
      </w:r>
      <w:r>
        <w:rPr>
          <w:rFonts w:hint="eastAsia"/>
          <w:color w:val="auto"/>
          <w:highlight w:val="none"/>
        </w:rPr>
        <w:t>；</w:t>
      </w:r>
    </w:p>
    <w:p w14:paraId="3B80B7B0">
      <w:pPr>
        <w:spacing w:line="360" w:lineRule="auto"/>
        <w:rPr>
          <w:color w:val="auto"/>
          <w:highlight w:val="none"/>
        </w:rPr>
      </w:pPr>
      <w:r>
        <w:rPr>
          <w:rFonts w:hint="eastAsia"/>
          <w:color w:val="auto"/>
          <w:highlight w:val="none"/>
        </w:rPr>
        <w:t>五、</w:t>
      </w:r>
      <w:r>
        <w:rPr>
          <w:rFonts w:hint="eastAsia" w:hAnsi="宋体" w:cs="宋体"/>
          <w:color w:val="auto"/>
          <w:highlight w:val="none"/>
        </w:rPr>
        <w:t>《中小企业声明函》或者《残疾人福利性单位声明函》或者省级以上监狱管理局、戒毒管理局（含新疆生产建设兵团）出具的属于监狱企业的证明文件扫描件（如有）</w:t>
      </w:r>
    </w:p>
    <w:p w14:paraId="73A148CB">
      <w:pPr>
        <w:spacing w:line="360" w:lineRule="auto"/>
        <w:rPr>
          <w:color w:val="auto"/>
          <w:highlight w:val="none"/>
        </w:rPr>
      </w:pPr>
      <w:r>
        <w:rPr>
          <w:rFonts w:hint="eastAsia"/>
          <w:color w:val="auto"/>
          <w:highlight w:val="none"/>
        </w:rPr>
        <w:t>六、投标人认为应提交的其他投标资料。</w:t>
      </w:r>
    </w:p>
    <w:p w14:paraId="76064546">
      <w:pPr>
        <w:rPr>
          <w:color w:val="auto"/>
          <w:highlight w:val="none"/>
        </w:rPr>
      </w:pPr>
    </w:p>
    <w:p w14:paraId="2AB85432">
      <w:pPr>
        <w:rPr>
          <w:color w:val="auto"/>
          <w:highlight w:val="none"/>
        </w:rPr>
      </w:pPr>
    </w:p>
    <w:p w14:paraId="6F32E9BC">
      <w:pPr>
        <w:rPr>
          <w:color w:val="auto"/>
          <w:highlight w:val="none"/>
        </w:rPr>
      </w:pPr>
    </w:p>
    <w:p w14:paraId="16125111">
      <w:pPr>
        <w:rPr>
          <w:color w:val="auto"/>
          <w:highlight w:val="none"/>
        </w:rPr>
      </w:pPr>
    </w:p>
    <w:p w14:paraId="1F48375C">
      <w:pPr>
        <w:rPr>
          <w:color w:val="auto"/>
          <w:highlight w:val="none"/>
        </w:rPr>
      </w:pPr>
    </w:p>
    <w:p w14:paraId="6D0B09B5">
      <w:pPr>
        <w:rPr>
          <w:color w:val="auto"/>
          <w:highlight w:val="none"/>
        </w:rPr>
      </w:pPr>
    </w:p>
    <w:p w14:paraId="544A5985">
      <w:pPr>
        <w:rPr>
          <w:color w:val="auto"/>
          <w:highlight w:val="none"/>
        </w:rPr>
      </w:pPr>
    </w:p>
    <w:p w14:paraId="581798B6">
      <w:pPr>
        <w:rPr>
          <w:color w:val="auto"/>
          <w:highlight w:val="none"/>
        </w:rPr>
      </w:pPr>
    </w:p>
    <w:p w14:paraId="046704F6">
      <w:pPr>
        <w:rPr>
          <w:color w:val="auto"/>
          <w:highlight w:val="none"/>
        </w:rPr>
      </w:pPr>
    </w:p>
    <w:p w14:paraId="1D9B2B37">
      <w:pPr>
        <w:rPr>
          <w:color w:val="auto"/>
          <w:highlight w:val="none"/>
        </w:rPr>
      </w:pPr>
    </w:p>
    <w:p w14:paraId="59624F3A">
      <w:pPr>
        <w:rPr>
          <w:color w:val="auto"/>
          <w:highlight w:val="none"/>
        </w:rPr>
      </w:pPr>
    </w:p>
    <w:p w14:paraId="67C1AE41">
      <w:pPr>
        <w:rPr>
          <w:color w:val="auto"/>
          <w:highlight w:val="none"/>
        </w:rPr>
      </w:pPr>
    </w:p>
    <w:p w14:paraId="32B651FC">
      <w:pPr>
        <w:rPr>
          <w:color w:val="auto"/>
          <w:highlight w:val="none"/>
        </w:rPr>
      </w:pPr>
    </w:p>
    <w:p w14:paraId="76421DCE">
      <w:pPr>
        <w:rPr>
          <w:color w:val="auto"/>
          <w:highlight w:val="none"/>
        </w:rPr>
      </w:pPr>
    </w:p>
    <w:p w14:paraId="7973DEA1">
      <w:pPr>
        <w:rPr>
          <w:color w:val="auto"/>
          <w:highlight w:val="none"/>
        </w:rPr>
      </w:pPr>
    </w:p>
    <w:p w14:paraId="057C40A1">
      <w:pPr>
        <w:rPr>
          <w:color w:val="auto"/>
          <w:highlight w:val="none"/>
        </w:rPr>
      </w:pPr>
    </w:p>
    <w:p w14:paraId="6BC7447F">
      <w:pPr>
        <w:rPr>
          <w:color w:val="auto"/>
          <w:highlight w:val="none"/>
        </w:rPr>
      </w:pPr>
    </w:p>
    <w:p w14:paraId="666903CB">
      <w:pPr>
        <w:rPr>
          <w:color w:val="auto"/>
          <w:highlight w:val="none"/>
        </w:rPr>
      </w:pPr>
    </w:p>
    <w:p w14:paraId="557540E8">
      <w:pPr>
        <w:rPr>
          <w:color w:val="auto"/>
          <w:highlight w:val="none"/>
        </w:rPr>
      </w:pPr>
    </w:p>
    <w:p w14:paraId="41190A2B">
      <w:pPr>
        <w:rPr>
          <w:color w:val="auto"/>
          <w:highlight w:val="none"/>
        </w:rPr>
      </w:pPr>
    </w:p>
    <w:p w14:paraId="2A7599D9">
      <w:pPr>
        <w:rPr>
          <w:color w:val="auto"/>
          <w:highlight w:val="none"/>
        </w:rPr>
      </w:pPr>
    </w:p>
    <w:p w14:paraId="01F4EBEB">
      <w:pPr>
        <w:rPr>
          <w:color w:val="auto"/>
          <w:highlight w:val="none"/>
        </w:rPr>
      </w:pPr>
    </w:p>
    <w:p w14:paraId="791DC896">
      <w:pPr>
        <w:rPr>
          <w:color w:val="auto"/>
          <w:highlight w:val="none"/>
        </w:rPr>
      </w:pPr>
    </w:p>
    <w:p w14:paraId="7C6EB816">
      <w:pPr>
        <w:rPr>
          <w:color w:val="auto"/>
          <w:highlight w:val="none"/>
        </w:rPr>
      </w:pPr>
    </w:p>
    <w:p w14:paraId="01AA98F1">
      <w:pPr>
        <w:rPr>
          <w:color w:val="auto"/>
          <w:highlight w:val="none"/>
        </w:rPr>
      </w:pPr>
    </w:p>
    <w:p w14:paraId="78826D44">
      <w:pPr>
        <w:rPr>
          <w:color w:val="auto"/>
          <w:highlight w:val="none"/>
        </w:rPr>
      </w:pPr>
    </w:p>
    <w:p w14:paraId="6E401EC3">
      <w:pPr>
        <w:rPr>
          <w:color w:val="auto"/>
          <w:highlight w:val="none"/>
        </w:rPr>
      </w:pPr>
    </w:p>
    <w:p w14:paraId="1C2B0909">
      <w:pPr>
        <w:rPr>
          <w:color w:val="auto"/>
          <w:highlight w:val="none"/>
        </w:rPr>
      </w:pPr>
    </w:p>
    <w:p w14:paraId="5241202A">
      <w:pPr>
        <w:rPr>
          <w:color w:val="auto"/>
          <w:highlight w:val="none"/>
        </w:rPr>
      </w:pPr>
    </w:p>
    <w:p w14:paraId="55233F2D">
      <w:pPr>
        <w:rPr>
          <w:color w:val="auto"/>
          <w:highlight w:val="none"/>
        </w:rPr>
      </w:pPr>
    </w:p>
    <w:p w14:paraId="03125886">
      <w:pPr>
        <w:rPr>
          <w:color w:val="auto"/>
          <w:highlight w:val="none"/>
        </w:rPr>
      </w:pPr>
    </w:p>
    <w:p w14:paraId="7F30515C">
      <w:pPr>
        <w:rPr>
          <w:color w:val="auto"/>
          <w:highlight w:val="none"/>
        </w:rPr>
      </w:pPr>
    </w:p>
    <w:p w14:paraId="03C3AD21">
      <w:pPr>
        <w:rPr>
          <w:color w:val="auto"/>
          <w:highlight w:val="none"/>
        </w:rPr>
      </w:pPr>
    </w:p>
    <w:p w14:paraId="38562363">
      <w:pPr>
        <w:rPr>
          <w:color w:val="auto"/>
          <w:highlight w:val="none"/>
        </w:rPr>
      </w:pPr>
    </w:p>
    <w:p w14:paraId="6F5173D2">
      <w:pPr>
        <w:rPr>
          <w:color w:val="auto"/>
          <w:highlight w:val="none"/>
        </w:rPr>
      </w:pPr>
    </w:p>
    <w:p w14:paraId="66A2C8CD">
      <w:pPr>
        <w:rPr>
          <w:color w:val="auto"/>
          <w:highlight w:val="none"/>
        </w:rPr>
      </w:pPr>
    </w:p>
    <w:p w14:paraId="5CE40111">
      <w:pPr>
        <w:rPr>
          <w:color w:val="auto"/>
          <w:highlight w:val="none"/>
        </w:rPr>
      </w:pPr>
    </w:p>
    <w:p w14:paraId="28E42774">
      <w:pPr>
        <w:rPr>
          <w:color w:val="auto"/>
          <w:highlight w:val="none"/>
        </w:rPr>
      </w:pPr>
    </w:p>
    <w:p w14:paraId="0E24BB63">
      <w:pPr>
        <w:rPr>
          <w:color w:val="auto"/>
          <w:highlight w:val="none"/>
        </w:rPr>
      </w:pPr>
    </w:p>
    <w:p w14:paraId="28760C8B">
      <w:pPr>
        <w:rPr>
          <w:color w:val="auto"/>
          <w:highlight w:val="none"/>
        </w:rPr>
      </w:pPr>
    </w:p>
    <w:p w14:paraId="35345174">
      <w:pPr>
        <w:rPr>
          <w:color w:val="auto"/>
          <w:highlight w:val="none"/>
        </w:rPr>
      </w:pPr>
    </w:p>
    <w:p w14:paraId="1586F29B">
      <w:pPr>
        <w:ind w:right="420"/>
        <w:jc w:val="center"/>
        <w:rPr>
          <w:b/>
          <w:color w:val="auto"/>
          <w:sz w:val="28"/>
          <w:szCs w:val="28"/>
          <w:highlight w:val="none"/>
        </w:rPr>
      </w:pPr>
      <w:r>
        <w:rPr>
          <w:rFonts w:hint="eastAsia"/>
          <w:b/>
          <w:color w:val="auto"/>
          <w:sz w:val="28"/>
          <w:szCs w:val="28"/>
          <w:highlight w:val="none"/>
        </w:rPr>
        <w:t>一、投标函</w:t>
      </w:r>
    </w:p>
    <w:p w14:paraId="518DE658">
      <w:pPr>
        <w:pStyle w:val="137"/>
        <w:jc w:val="center"/>
        <w:rPr>
          <w:color w:val="auto"/>
          <w:highlight w:val="none"/>
        </w:rPr>
      </w:pPr>
    </w:p>
    <w:p w14:paraId="42D220C6">
      <w:pPr>
        <w:tabs>
          <w:tab w:val="left" w:pos="7560"/>
        </w:tabs>
        <w:spacing w:line="320" w:lineRule="exact"/>
        <w:rPr>
          <w:rFonts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（招标人名称）：</w:t>
      </w:r>
    </w:p>
    <w:p w14:paraId="7183AE5E">
      <w:pPr>
        <w:tabs>
          <w:tab w:val="left" w:pos="7560"/>
        </w:tabs>
        <w:spacing w:line="360" w:lineRule="exact"/>
        <w:ind w:firstLine="420" w:firstLineChars="200"/>
        <w:rPr>
          <w:rFonts w:ascii="宋体" w:hAnsi="宋体"/>
          <w:color w:val="auto"/>
          <w:highlight w:val="none"/>
        </w:rPr>
      </w:pPr>
      <w:r>
        <w:rPr>
          <w:rFonts w:ascii="宋体" w:hAnsi="宋体"/>
          <w:color w:val="auto"/>
          <w:highlight w:val="none"/>
        </w:rPr>
        <w:t>1</w:t>
      </w:r>
      <w:r>
        <w:rPr>
          <w:rFonts w:hint="eastAsia" w:ascii="宋体" w:hAnsi="宋体"/>
          <w:color w:val="auto"/>
          <w:highlight w:val="none"/>
        </w:rPr>
        <w:t>、根据你方项目招标编号</w:t>
      </w:r>
      <w:r>
        <w:rPr>
          <w:rFonts w:ascii="宋体" w:hAnsi="宋体"/>
          <w:color w:val="auto"/>
          <w:highlight w:val="none"/>
          <w:u w:val="single"/>
        </w:rPr>
        <w:t xml:space="preserve">  </w:t>
      </w:r>
      <w:r>
        <w:rPr>
          <w:rFonts w:hint="eastAsia" w:ascii="宋体" w:hAnsi="宋体"/>
          <w:color w:val="auto"/>
          <w:highlight w:val="none"/>
          <w:u w:val="single"/>
        </w:rPr>
        <w:t>（项目招标编号）</w:t>
      </w:r>
      <w:r>
        <w:rPr>
          <w:rFonts w:ascii="宋体" w:hAnsi="宋体"/>
          <w:color w:val="auto"/>
          <w:highlight w:val="none"/>
          <w:u w:val="single"/>
        </w:rPr>
        <w:t xml:space="preserve">  </w:t>
      </w:r>
      <w:r>
        <w:rPr>
          <w:rFonts w:hint="eastAsia" w:ascii="宋体" w:hAnsi="宋体"/>
          <w:color w:val="auto"/>
          <w:highlight w:val="none"/>
        </w:rPr>
        <w:t>的</w:t>
      </w:r>
      <w:r>
        <w:rPr>
          <w:rFonts w:ascii="宋体" w:hAnsi="宋体"/>
          <w:color w:val="auto"/>
          <w:highlight w:val="none"/>
          <w:u w:val="single"/>
        </w:rPr>
        <w:t xml:space="preserve">  </w:t>
      </w:r>
      <w:r>
        <w:rPr>
          <w:rFonts w:hint="eastAsia" w:ascii="宋体" w:hAnsi="宋体"/>
          <w:color w:val="auto"/>
          <w:highlight w:val="none"/>
          <w:u w:val="single"/>
        </w:rPr>
        <w:t>（工程项目名称）</w:t>
      </w:r>
      <w:r>
        <w:rPr>
          <w:rFonts w:ascii="宋体" w:hAnsi="宋体"/>
          <w:color w:val="auto"/>
          <w:highlight w:val="none"/>
          <w:u w:val="single"/>
        </w:rPr>
        <w:t xml:space="preserve">  </w:t>
      </w:r>
      <w:r>
        <w:rPr>
          <w:rFonts w:hint="eastAsia" w:ascii="宋体" w:hAnsi="宋体"/>
          <w:color w:val="auto"/>
          <w:highlight w:val="none"/>
        </w:rPr>
        <w:t>工程招标文件，遵照《中华人民共和国招标投标法》等有关规定，我方已仔细研究了</w:t>
      </w:r>
      <w:r>
        <w:rPr>
          <w:rFonts w:hint="eastAsia" w:ascii="宋体" w:hAnsi="宋体"/>
          <w:color w:val="auto"/>
          <w:highlight w:val="none"/>
          <w:u w:val="single"/>
        </w:rPr>
        <w:t>上述</w:t>
      </w:r>
      <w:r>
        <w:rPr>
          <w:rFonts w:hint="eastAsia" w:ascii="宋体" w:hAnsi="宋体"/>
          <w:color w:val="auto"/>
          <w:highlight w:val="none"/>
        </w:rPr>
        <w:t>设计招标项目招标文件的全部内容，愿意以人民币（大写）</w:t>
      </w:r>
      <w:r>
        <w:rPr>
          <w:rFonts w:hint="eastAsia" w:ascii="宋体" w:hAnsi="宋体"/>
          <w:color w:val="auto"/>
          <w:highlight w:val="none"/>
          <w:u w:val="single"/>
        </w:rPr>
        <w:t xml:space="preserve">         </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）的投标总报价【或每平方米    元；或投标费率   %；或其他报价方式：</w:t>
      </w:r>
      <w:r>
        <w:rPr>
          <w:rFonts w:hint="eastAsia" w:ascii="宋体" w:hAnsi="宋体"/>
          <w:color w:val="auto"/>
          <w:highlight w:val="none"/>
          <w:u w:val="single"/>
        </w:rPr>
        <w:t xml:space="preserve">         </w:t>
      </w:r>
      <w:r>
        <w:rPr>
          <w:rFonts w:hint="eastAsia" w:ascii="宋体" w:hAnsi="宋体"/>
          <w:color w:val="auto"/>
          <w:highlight w:val="none"/>
        </w:rPr>
        <w:t>】承接该项目的设计服务工作，设计服务期限：</w:t>
      </w:r>
      <w:r>
        <w:rPr>
          <w:rFonts w:hint="eastAsia" w:ascii="宋体" w:hAnsi="宋体"/>
          <w:color w:val="auto"/>
          <w:highlight w:val="none"/>
          <w:u w:val="single"/>
        </w:rPr>
        <w:t xml:space="preserve">     </w:t>
      </w:r>
      <w:r>
        <w:rPr>
          <w:rFonts w:ascii="宋体" w:hAnsi="宋体"/>
          <w:color w:val="auto"/>
          <w:highlight w:val="none"/>
          <w:u w:val="single"/>
          <w:lang w:val="en"/>
        </w:rPr>
        <w:t xml:space="preserve">   </w:t>
      </w:r>
      <w:r>
        <w:rPr>
          <w:rFonts w:hint="eastAsia" w:ascii="宋体" w:hAnsi="宋体"/>
          <w:color w:val="auto"/>
          <w:highlight w:val="none"/>
        </w:rPr>
        <w:t xml:space="preserve">日历天，按合同约定完成设计工作。设计成果质量符合国家规定的标准和现行技术规范、规程要求，并通过有关部门审查及备案。  </w:t>
      </w:r>
    </w:p>
    <w:p w14:paraId="28A46629">
      <w:pPr>
        <w:tabs>
          <w:tab w:val="left" w:pos="7560"/>
        </w:tabs>
        <w:spacing w:line="320" w:lineRule="exact"/>
        <w:ind w:firstLine="420" w:firstLineChars="200"/>
        <w:rPr>
          <w:rFonts w:ascii="宋体" w:hAnsi="宋体"/>
          <w:color w:val="auto"/>
          <w:highlight w:val="none"/>
        </w:rPr>
      </w:pPr>
      <w:r>
        <w:rPr>
          <w:rFonts w:hint="eastAsia" w:ascii="宋体" w:hAnsi="宋体"/>
          <w:color w:val="auto"/>
          <w:highlight w:val="none"/>
        </w:rPr>
        <w:t>2、我方的投标文件包括下列内容：</w:t>
      </w:r>
    </w:p>
    <w:p w14:paraId="34937C47">
      <w:pPr>
        <w:tabs>
          <w:tab w:val="left" w:pos="7560"/>
        </w:tabs>
        <w:spacing w:line="320" w:lineRule="exact"/>
        <w:ind w:firstLine="420" w:firstLineChars="200"/>
        <w:rPr>
          <w:rFonts w:ascii="宋体" w:hAnsi="宋体"/>
          <w:color w:val="auto"/>
          <w:highlight w:val="none"/>
        </w:rPr>
      </w:pPr>
      <w:r>
        <w:rPr>
          <w:rFonts w:hint="eastAsia" w:ascii="宋体" w:hAnsi="宋体"/>
          <w:color w:val="auto"/>
          <w:highlight w:val="none"/>
        </w:rPr>
        <w:t>（1）投标函及投标函附录；</w:t>
      </w:r>
    </w:p>
    <w:p w14:paraId="6778EE41">
      <w:pPr>
        <w:tabs>
          <w:tab w:val="left" w:pos="7560"/>
        </w:tabs>
        <w:spacing w:line="320" w:lineRule="exact"/>
        <w:ind w:firstLine="420" w:firstLineChars="200"/>
        <w:rPr>
          <w:rFonts w:ascii="宋体" w:hAnsi="宋体"/>
          <w:color w:val="auto"/>
          <w:highlight w:val="none"/>
        </w:rPr>
      </w:pPr>
      <w:r>
        <w:rPr>
          <w:rFonts w:hint="eastAsia" w:ascii="宋体" w:hAnsi="宋体"/>
          <w:color w:val="auto"/>
          <w:highlight w:val="none"/>
        </w:rPr>
        <w:t>（2）联合体协议书（如有）；</w:t>
      </w:r>
    </w:p>
    <w:p w14:paraId="216288C4">
      <w:pPr>
        <w:tabs>
          <w:tab w:val="left" w:pos="7560"/>
        </w:tabs>
        <w:spacing w:line="320" w:lineRule="exact"/>
        <w:ind w:firstLine="420" w:firstLineChars="200"/>
        <w:rPr>
          <w:rFonts w:ascii="宋体" w:hAnsi="宋体"/>
          <w:color w:val="auto"/>
          <w:highlight w:val="none"/>
        </w:rPr>
      </w:pPr>
      <w:r>
        <w:rPr>
          <w:rFonts w:hint="eastAsia" w:ascii="宋体" w:hAnsi="宋体"/>
          <w:color w:val="auto"/>
          <w:highlight w:val="none"/>
        </w:rPr>
        <w:t>（3）投标保证金交纳凭证；</w:t>
      </w:r>
    </w:p>
    <w:p w14:paraId="5146E3C7">
      <w:pPr>
        <w:tabs>
          <w:tab w:val="left" w:pos="7560"/>
        </w:tabs>
        <w:spacing w:line="320" w:lineRule="exact"/>
        <w:ind w:firstLine="420" w:firstLineChars="200"/>
        <w:rPr>
          <w:rFonts w:ascii="宋体" w:hAnsi="宋体"/>
          <w:color w:val="auto"/>
          <w:highlight w:val="none"/>
        </w:rPr>
      </w:pPr>
      <w:r>
        <w:rPr>
          <w:rFonts w:hint="eastAsia" w:ascii="宋体" w:hAnsi="宋体"/>
          <w:color w:val="auto"/>
          <w:highlight w:val="none"/>
        </w:rPr>
        <w:t>（4）设计费用清单；</w:t>
      </w:r>
    </w:p>
    <w:p w14:paraId="11D65D43">
      <w:pPr>
        <w:tabs>
          <w:tab w:val="left" w:pos="7560"/>
        </w:tabs>
        <w:spacing w:line="320" w:lineRule="exact"/>
        <w:ind w:firstLine="420" w:firstLineChars="200"/>
        <w:rPr>
          <w:rFonts w:ascii="宋体" w:hAnsi="宋体"/>
          <w:color w:val="auto"/>
          <w:highlight w:val="none"/>
        </w:rPr>
      </w:pPr>
      <w:r>
        <w:rPr>
          <w:rFonts w:hint="eastAsia" w:ascii="宋体" w:hAnsi="宋体"/>
          <w:color w:val="auto"/>
          <w:highlight w:val="none"/>
        </w:rPr>
        <w:t>（5）资格审查资料；</w:t>
      </w:r>
    </w:p>
    <w:p w14:paraId="35957477">
      <w:pPr>
        <w:tabs>
          <w:tab w:val="left" w:pos="7560"/>
        </w:tabs>
        <w:spacing w:line="320" w:lineRule="exact"/>
        <w:ind w:firstLine="420" w:firstLineChars="200"/>
        <w:rPr>
          <w:rFonts w:ascii="宋体" w:hAnsi="宋体"/>
          <w:color w:val="auto"/>
          <w:highlight w:val="none"/>
        </w:rPr>
      </w:pPr>
      <w:r>
        <w:rPr>
          <w:rFonts w:hint="eastAsia" w:ascii="宋体" w:hAnsi="宋体"/>
          <w:color w:val="auto"/>
          <w:highlight w:val="none"/>
        </w:rPr>
        <w:t>（6）设计服务方案；</w:t>
      </w:r>
    </w:p>
    <w:p w14:paraId="357FB6E1">
      <w:pPr>
        <w:tabs>
          <w:tab w:val="left" w:pos="7560"/>
        </w:tabs>
        <w:spacing w:line="320" w:lineRule="exact"/>
        <w:ind w:firstLine="420" w:firstLineChars="200"/>
        <w:rPr>
          <w:rFonts w:ascii="宋体" w:hAnsi="宋体"/>
          <w:color w:val="auto"/>
          <w:highlight w:val="none"/>
        </w:rPr>
      </w:pPr>
      <w:r>
        <w:rPr>
          <w:rFonts w:hint="eastAsia" w:ascii="宋体" w:hAnsi="宋体"/>
          <w:color w:val="auto"/>
          <w:highlight w:val="none"/>
        </w:rPr>
        <w:t>……</w:t>
      </w:r>
    </w:p>
    <w:p w14:paraId="0153FCB0">
      <w:pPr>
        <w:tabs>
          <w:tab w:val="left" w:pos="7560"/>
        </w:tabs>
        <w:spacing w:line="320" w:lineRule="exact"/>
        <w:ind w:firstLine="420" w:firstLineChars="200"/>
        <w:rPr>
          <w:rFonts w:ascii="宋体" w:hAnsi="宋体"/>
          <w:color w:val="auto"/>
          <w:highlight w:val="none"/>
        </w:rPr>
      </w:pPr>
      <w:r>
        <w:rPr>
          <w:rFonts w:hint="eastAsia" w:ascii="宋体" w:hAnsi="宋体"/>
          <w:color w:val="auto"/>
          <w:highlight w:val="none"/>
        </w:rPr>
        <w:t>投标文件的上述组成部分如存在内容不一致的，以投标函为准。</w:t>
      </w:r>
    </w:p>
    <w:p w14:paraId="77947959">
      <w:pPr>
        <w:tabs>
          <w:tab w:val="left" w:pos="7560"/>
        </w:tabs>
        <w:spacing w:line="460" w:lineRule="exact"/>
        <w:ind w:firstLine="420" w:firstLineChars="200"/>
        <w:rPr>
          <w:color w:val="auto"/>
          <w:highlight w:val="none"/>
        </w:rPr>
      </w:pPr>
      <w:r>
        <w:rPr>
          <w:color w:val="auto"/>
          <w:highlight w:val="none"/>
        </w:rPr>
        <w:t>3</w:t>
      </w:r>
      <w:r>
        <w:rPr>
          <w:rFonts w:hint="eastAsia" w:cs="宋体"/>
          <w:color w:val="auto"/>
          <w:highlight w:val="none"/>
        </w:rPr>
        <w:t>、我方承认投标函附录是我方投标函的组成部分。</w:t>
      </w:r>
    </w:p>
    <w:p w14:paraId="31D8042D">
      <w:pPr>
        <w:tabs>
          <w:tab w:val="left" w:pos="7560"/>
        </w:tabs>
        <w:spacing w:line="320" w:lineRule="exact"/>
        <w:ind w:firstLine="420" w:firstLineChars="200"/>
        <w:rPr>
          <w:rFonts w:ascii="宋体" w:hAnsi="宋体"/>
          <w:color w:val="auto"/>
          <w:highlight w:val="none"/>
        </w:rPr>
      </w:pPr>
      <w:r>
        <w:rPr>
          <w:rFonts w:ascii="宋体" w:hAnsi="宋体"/>
          <w:color w:val="auto"/>
          <w:highlight w:val="none"/>
        </w:rPr>
        <w:t>4</w:t>
      </w:r>
      <w:r>
        <w:rPr>
          <w:rFonts w:hint="eastAsia" w:ascii="宋体" w:hAnsi="宋体"/>
          <w:color w:val="auto"/>
          <w:highlight w:val="none"/>
        </w:rPr>
        <w:t>、我方承诺在招标文件规定的投标有效期内不撤销投标文件。</w:t>
      </w:r>
    </w:p>
    <w:p w14:paraId="10309268">
      <w:pPr>
        <w:tabs>
          <w:tab w:val="left" w:pos="7560"/>
        </w:tabs>
        <w:spacing w:line="320" w:lineRule="exact"/>
        <w:ind w:firstLine="420" w:firstLineChars="200"/>
        <w:rPr>
          <w:rFonts w:ascii="宋体" w:hAnsi="宋体"/>
          <w:color w:val="auto"/>
          <w:highlight w:val="none"/>
        </w:rPr>
      </w:pPr>
      <w:r>
        <w:rPr>
          <w:rFonts w:ascii="宋体" w:hAnsi="宋体"/>
          <w:color w:val="auto"/>
          <w:highlight w:val="none"/>
        </w:rPr>
        <w:t>5</w:t>
      </w:r>
      <w:r>
        <w:rPr>
          <w:rFonts w:hint="eastAsia" w:ascii="宋体" w:hAnsi="宋体"/>
          <w:color w:val="auto"/>
          <w:highlight w:val="none"/>
        </w:rPr>
        <w:t>、如我方中标，我方承诺：</w:t>
      </w:r>
    </w:p>
    <w:p w14:paraId="32EE9B0B">
      <w:pPr>
        <w:tabs>
          <w:tab w:val="left" w:pos="7560"/>
        </w:tabs>
        <w:spacing w:line="320" w:lineRule="exact"/>
        <w:ind w:firstLine="420" w:firstLineChars="200"/>
        <w:rPr>
          <w:rFonts w:ascii="宋体" w:hAnsi="宋体"/>
          <w:color w:val="auto"/>
          <w:highlight w:val="none"/>
        </w:rPr>
      </w:pPr>
      <w:r>
        <w:rPr>
          <w:rFonts w:hint="eastAsia" w:ascii="宋体" w:hAnsi="宋体"/>
          <w:color w:val="auto"/>
          <w:highlight w:val="none"/>
        </w:rPr>
        <w:t>（1）在收到中标通知书后，在中标通知书规定的期限内与你方签订合同；</w:t>
      </w:r>
    </w:p>
    <w:p w14:paraId="3BE57B5F">
      <w:pPr>
        <w:tabs>
          <w:tab w:val="left" w:pos="7560"/>
        </w:tabs>
        <w:spacing w:line="320" w:lineRule="exact"/>
        <w:ind w:firstLine="420" w:firstLineChars="200"/>
        <w:rPr>
          <w:rFonts w:ascii="宋体" w:hAnsi="宋体"/>
          <w:color w:val="auto"/>
          <w:highlight w:val="none"/>
        </w:rPr>
      </w:pPr>
      <w:r>
        <w:rPr>
          <w:rFonts w:hint="eastAsia" w:ascii="宋体" w:hAnsi="宋体"/>
          <w:color w:val="auto"/>
          <w:highlight w:val="none"/>
        </w:rPr>
        <w:t>（2）在签订合同时不向你方提出附加条件；</w:t>
      </w:r>
    </w:p>
    <w:p w14:paraId="6EA2853D">
      <w:pPr>
        <w:tabs>
          <w:tab w:val="left" w:pos="7560"/>
        </w:tabs>
        <w:spacing w:line="320" w:lineRule="exact"/>
        <w:ind w:firstLine="420" w:firstLineChars="200"/>
        <w:rPr>
          <w:rFonts w:ascii="宋体" w:hAnsi="宋体"/>
          <w:color w:val="auto"/>
          <w:highlight w:val="none"/>
        </w:rPr>
      </w:pPr>
      <w:r>
        <w:rPr>
          <w:rFonts w:hint="eastAsia" w:ascii="宋体" w:hAnsi="宋体"/>
          <w:color w:val="auto"/>
          <w:highlight w:val="none"/>
        </w:rPr>
        <w:t>（3）按照招标文件要求提交履约保证金（如有）；</w:t>
      </w:r>
    </w:p>
    <w:p w14:paraId="1B6ED1D7">
      <w:pPr>
        <w:tabs>
          <w:tab w:val="left" w:pos="7560"/>
        </w:tabs>
        <w:spacing w:line="320" w:lineRule="exact"/>
        <w:ind w:firstLine="420" w:firstLineChars="200"/>
        <w:rPr>
          <w:rFonts w:ascii="宋体" w:hAnsi="宋体"/>
          <w:color w:val="auto"/>
          <w:highlight w:val="none"/>
        </w:rPr>
      </w:pPr>
      <w:r>
        <w:rPr>
          <w:rFonts w:hint="eastAsia" w:ascii="宋体" w:hAnsi="宋体"/>
          <w:color w:val="auto"/>
          <w:highlight w:val="none"/>
        </w:rPr>
        <w:t>（4）在合同约定的期限内完成合同规定的全部义务。</w:t>
      </w:r>
    </w:p>
    <w:p w14:paraId="53E72E78">
      <w:pPr>
        <w:tabs>
          <w:tab w:val="left" w:pos="7560"/>
        </w:tabs>
        <w:spacing w:line="320" w:lineRule="exact"/>
        <w:ind w:firstLine="420" w:firstLineChars="200"/>
        <w:rPr>
          <w:rFonts w:ascii="宋体" w:hAnsi="宋体"/>
          <w:color w:val="auto"/>
          <w:highlight w:val="none"/>
        </w:rPr>
      </w:pPr>
      <w:r>
        <w:rPr>
          <w:rFonts w:ascii="宋体" w:hAnsi="宋体"/>
          <w:color w:val="auto"/>
          <w:highlight w:val="none"/>
        </w:rPr>
        <w:t>6</w:t>
      </w:r>
      <w:r>
        <w:rPr>
          <w:rFonts w:hint="eastAsia" w:ascii="宋体" w:hAnsi="宋体"/>
          <w:color w:val="auto"/>
          <w:highlight w:val="none"/>
        </w:rPr>
        <w:t>、我方在此声明，所递交的投标文件及有关资料内容完整、真实和准确，且不存在第二章</w:t>
      </w:r>
    </w:p>
    <w:p w14:paraId="516A9240">
      <w:pPr>
        <w:tabs>
          <w:tab w:val="left" w:pos="7560"/>
        </w:tabs>
        <w:spacing w:line="320" w:lineRule="exact"/>
        <w:ind w:firstLine="420" w:firstLineChars="200"/>
        <w:rPr>
          <w:rFonts w:ascii="宋体" w:hAnsi="宋体"/>
          <w:color w:val="auto"/>
          <w:highlight w:val="none"/>
        </w:rPr>
      </w:pPr>
      <w:r>
        <w:rPr>
          <w:rFonts w:hint="eastAsia" w:ascii="宋体" w:hAnsi="宋体"/>
          <w:color w:val="auto"/>
          <w:highlight w:val="none"/>
        </w:rPr>
        <w:t>“投标人须知”第 1.4.3 项规定的任何一种情形。</w:t>
      </w:r>
    </w:p>
    <w:p w14:paraId="749A3C6D">
      <w:pPr>
        <w:tabs>
          <w:tab w:val="left" w:pos="7560"/>
        </w:tabs>
        <w:spacing w:line="320" w:lineRule="exact"/>
        <w:ind w:firstLine="420" w:firstLineChars="200"/>
        <w:rPr>
          <w:rFonts w:ascii="宋体" w:hAnsi="宋体"/>
          <w:color w:val="auto"/>
          <w:highlight w:val="none"/>
        </w:rPr>
      </w:pPr>
      <w:r>
        <w:rPr>
          <w:rFonts w:ascii="宋体" w:hAnsi="宋体"/>
          <w:color w:val="auto"/>
          <w:highlight w:val="none"/>
        </w:rPr>
        <w:t>7</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（其他补充说明）。</w:t>
      </w:r>
    </w:p>
    <w:p w14:paraId="63D1DEAC">
      <w:pPr>
        <w:tabs>
          <w:tab w:val="left" w:pos="7560"/>
        </w:tabs>
        <w:spacing w:line="460" w:lineRule="exact"/>
        <w:ind w:firstLine="420" w:firstLineChars="200"/>
        <w:rPr>
          <w:color w:val="auto"/>
          <w:highlight w:val="none"/>
        </w:rPr>
      </w:pPr>
    </w:p>
    <w:p w14:paraId="003DCA16">
      <w:pPr>
        <w:spacing w:line="360" w:lineRule="auto"/>
        <w:rPr>
          <w:color w:val="auto"/>
          <w:highlight w:val="none"/>
        </w:rPr>
      </w:pPr>
    </w:p>
    <w:p w14:paraId="2AEE7A59">
      <w:pPr>
        <w:spacing w:line="360" w:lineRule="auto"/>
        <w:rPr>
          <w:color w:val="auto"/>
          <w:highlight w:val="none"/>
        </w:rPr>
      </w:pPr>
    </w:p>
    <w:p w14:paraId="4AE067EB">
      <w:pPr>
        <w:spacing w:line="360" w:lineRule="auto"/>
        <w:ind w:left="1000"/>
        <w:rPr>
          <w:color w:val="auto"/>
          <w:highlight w:val="none"/>
          <w:u w:val="single"/>
        </w:rPr>
      </w:pPr>
      <w:r>
        <w:rPr>
          <w:color w:val="auto"/>
          <w:highlight w:val="none"/>
        </w:rPr>
        <w:t xml:space="preserve">         投 标 人：</w:t>
      </w:r>
      <w:r>
        <w:rPr>
          <w:color w:val="auto"/>
          <w:highlight w:val="none"/>
          <w:u w:val="single"/>
        </w:rPr>
        <w:t xml:space="preserve">                       </w:t>
      </w:r>
      <w:r>
        <w:rPr>
          <w:rFonts w:hint="eastAsia"/>
          <w:color w:val="auto"/>
          <w:highlight w:val="none"/>
          <w:u w:val="single"/>
        </w:rPr>
        <w:t xml:space="preserve">        </w:t>
      </w:r>
      <w:r>
        <w:rPr>
          <w:color w:val="auto"/>
          <w:highlight w:val="none"/>
          <w:u w:val="single"/>
        </w:rPr>
        <w:t>（盖</w:t>
      </w:r>
      <w:r>
        <w:rPr>
          <w:rFonts w:hint="eastAsia"/>
          <w:color w:val="auto"/>
          <w:highlight w:val="none"/>
          <w:u w:val="single"/>
        </w:rPr>
        <w:t>单位</w:t>
      </w:r>
      <w:r>
        <w:rPr>
          <w:color w:val="auto"/>
          <w:highlight w:val="none"/>
          <w:u w:val="single"/>
        </w:rPr>
        <w:t>章</w:t>
      </w:r>
      <w:r>
        <w:rPr>
          <w:rFonts w:hint="eastAsia"/>
          <w:color w:val="auto"/>
          <w:highlight w:val="none"/>
        </w:rPr>
        <w:t>）</w:t>
      </w:r>
    </w:p>
    <w:p w14:paraId="69E98634">
      <w:pPr>
        <w:spacing w:line="360" w:lineRule="auto"/>
        <w:ind w:left="1000" w:leftChars="476" w:firstLine="945" w:firstLineChars="450"/>
        <w:rPr>
          <w:color w:val="auto"/>
          <w:highlight w:val="none"/>
        </w:rPr>
      </w:pPr>
      <w:r>
        <w:rPr>
          <w:rFonts w:hint="eastAsia"/>
          <w:color w:val="auto"/>
          <w:highlight w:val="none"/>
        </w:rPr>
        <w:t>联系</w:t>
      </w:r>
      <w:r>
        <w:rPr>
          <w:color w:val="auto"/>
          <w:highlight w:val="none"/>
        </w:rPr>
        <w:t>地址：</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13253A3A">
      <w:pPr>
        <w:spacing w:line="360" w:lineRule="auto"/>
        <w:ind w:left="1000" w:leftChars="476" w:firstLine="945" w:firstLineChars="450"/>
        <w:rPr>
          <w:color w:val="auto"/>
          <w:highlight w:val="none"/>
        </w:rPr>
      </w:pPr>
      <w:r>
        <w:rPr>
          <w:color w:val="auto"/>
          <w:highlight w:val="none"/>
        </w:rPr>
        <w:t>邮政编码：</w:t>
      </w:r>
      <w:r>
        <w:rPr>
          <w:rFonts w:hint="eastAsia"/>
          <w:color w:val="auto"/>
          <w:highlight w:val="none"/>
          <w:u w:val="single"/>
        </w:rPr>
        <w:t xml:space="preserve">          </w:t>
      </w:r>
      <w:r>
        <w:rPr>
          <w:color w:val="auto"/>
          <w:highlight w:val="none"/>
        </w:rPr>
        <w:t>电话：</w:t>
      </w:r>
      <w:r>
        <w:rPr>
          <w:rFonts w:hint="eastAsia"/>
          <w:color w:val="auto"/>
          <w:highlight w:val="none"/>
          <w:u w:val="single"/>
        </w:rPr>
        <w:t xml:space="preserve">         </w:t>
      </w:r>
      <w:r>
        <w:rPr>
          <w:color w:val="auto"/>
          <w:highlight w:val="none"/>
        </w:rPr>
        <w:t xml:space="preserve"> 传真：</w:t>
      </w:r>
      <w:r>
        <w:rPr>
          <w:rFonts w:hint="eastAsia"/>
          <w:color w:val="auto"/>
          <w:highlight w:val="none"/>
          <w:u w:val="single"/>
        </w:rPr>
        <w:t xml:space="preserve">          </w:t>
      </w:r>
    </w:p>
    <w:p w14:paraId="706CA53F">
      <w:pPr>
        <w:spacing w:line="360" w:lineRule="auto"/>
        <w:ind w:left="1000"/>
        <w:rPr>
          <w:color w:val="auto"/>
          <w:highlight w:val="none"/>
        </w:rPr>
      </w:pPr>
      <w:r>
        <w:rPr>
          <w:color w:val="auto"/>
          <w:highlight w:val="none"/>
        </w:rPr>
        <w:t xml:space="preserve">         开户银行名称：</w:t>
      </w:r>
      <w:r>
        <w:rPr>
          <w:rFonts w:hint="eastAsia"/>
          <w:color w:val="auto"/>
          <w:highlight w:val="none"/>
          <w:u w:val="single"/>
        </w:rPr>
        <w:t xml:space="preserve">                                    </w:t>
      </w:r>
    </w:p>
    <w:p w14:paraId="6B181E8D">
      <w:pPr>
        <w:spacing w:line="360" w:lineRule="auto"/>
        <w:ind w:left="1000"/>
        <w:rPr>
          <w:color w:val="auto"/>
          <w:highlight w:val="none"/>
        </w:rPr>
      </w:pPr>
      <w:r>
        <w:rPr>
          <w:color w:val="auto"/>
          <w:highlight w:val="none"/>
        </w:rPr>
        <w:t xml:space="preserve">         开户银行账号：</w:t>
      </w:r>
      <w:r>
        <w:rPr>
          <w:rFonts w:hint="eastAsia"/>
          <w:color w:val="auto"/>
          <w:highlight w:val="none"/>
          <w:u w:val="single"/>
        </w:rPr>
        <w:t xml:space="preserve">                                    </w:t>
      </w:r>
    </w:p>
    <w:p w14:paraId="34546745">
      <w:pPr>
        <w:spacing w:line="360" w:lineRule="auto"/>
        <w:ind w:left="1000"/>
        <w:rPr>
          <w:color w:val="auto"/>
          <w:highlight w:val="none"/>
        </w:rPr>
      </w:pPr>
      <w:r>
        <w:rPr>
          <w:color w:val="auto"/>
          <w:highlight w:val="none"/>
        </w:rPr>
        <w:t xml:space="preserve">         开户银行地址：</w:t>
      </w:r>
      <w:r>
        <w:rPr>
          <w:rFonts w:hint="eastAsia"/>
          <w:color w:val="auto"/>
          <w:highlight w:val="none"/>
          <w:u w:val="single"/>
        </w:rPr>
        <w:t xml:space="preserve">                                    </w:t>
      </w:r>
    </w:p>
    <w:p w14:paraId="18F17881">
      <w:pPr>
        <w:spacing w:line="360" w:lineRule="auto"/>
        <w:ind w:left="1000"/>
        <w:rPr>
          <w:color w:val="auto"/>
          <w:highlight w:val="none"/>
        </w:rPr>
      </w:pPr>
      <w:r>
        <w:rPr>
          <w:color w:val="auto"/>
          <w:highlight w:val="none"/>
        </w:rPr>
        <w:t xml:space="preserve">         开户银行电话：</w:t>
      </w:r>
      <w:r>
        <w:rPr>
          <w:rFonts w:hint="eastAsia"/>
          <w:color w:val="auto"/>
          <w:highlight w:val="none"/>
          <w:u w:val="single"/>
        </w:rPr>
        <w:t xml:space="preserve">                                    </w:t>
      </w:r>
    </w:p>
    <w:p w14:paraId="3A4A4D67">
      <w:pPr>
        <w:spacing w:line="360" w:lineRule="auto"/>
        <w:ind w:right="420" w:firstLine="1974" w:firstLineChars="940"/>
        <w:rPr>
          <w:color w:val="auto"/>
          <w:szCs w:val="21"/>
          <w:highlight w:val="none"/>
        </w:rPr>
        <w:sectPr>
          <w:pgSz w:w="11907" w:h="16840"/>
          <w:pgMar w:top="1440" w:right="1440" w:bottom="1440" w:left="1797" w:header="851" w:footer="851" w:gutter="0"/>
          <w:cols w:space="720" w:num="1"/>
          <w:docGrid w:linePitch="312" w:charSpace="0"/>
        </w:sectPr>
      </w:pPr>
      <w:r>
        <w:rPr>
          <w:color w:val="auto"/>
          <w:highlight w:val="none"/>
        </w:rPr>
        <w:t>日期：</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14:paraId="0EDB16A0">
      <w:pPr>
        <w:spacing w:line="360" w:lineRule="auto"/>
        <w:ind w:right="420"/>
        <w:jc w:val="center"/>
        <w:rPr>
          <w:b/>
          <w:color w:val="auto"/>
          <w:sz w:val="28"/>
          <w:szCs w:val="28"/>
          <w:highlight w:val="none"/>
        </w:rPr>
      </w:pPr>
      <w:r>
        <w:rPr>
          <w:rFonts w:hint="eastAsia"/>
          <w:b/>
          <w:color w:val="auto"/>
          <w:sz w:val="28"/>
          <w:szCs w:val="28"/>
          <w:highlight w:val="none"/>
        </w:rPr>
        <w:t>二、投标函附录</w:t>
      </w:r>
    </w:p>
    <w:p w14:paraId="37A8E842">
      <w:pPr>
        <w:spacing w:line="360" w:lineRule="auto"/>
        <w:ind w:right="420"/>
        <w:rPr>
          <w:color w:val="auto"/>
          <w:highlight w:val="none"/>
        </w:rPr>
      </w:pPr>
    </w:p>
    <w:tbl>
      <w:tblPr>
        <w:tblStyle w:val="40"/>
        <w:tblpPr w:leftFromText="180" w:rightFromText="180" w:vertAnchor="page" w:horzAnchor="page" w:tblpX="1733" w:tblpY="2328"/>
        <w:tblW w:w="0" w:type="auto"/>
        <w:tblInd w:w="-8" w:type="dxa"/>
        <w:tblLayout w:type="fixed"/>
        <w:tblCellMar>
          <w:top w:w="0" w:type="dxa"/>
          <w:left w:w="108" w:type="dxa"/>
          <w:bottom w:w="0" w:type="dxa"/>
          <w:right w:w="108" w:type="dxa"/>
        </w:tblCellMar>
      </w:tblPr>
      <w:tblGrid>
        <w:gridCol w:w="1356"/>
        <w:gridCol w:w="2161"/>
        <w:gridCol w:w="1514"/>
        <w:gridCol w:w="2268"/>
        <w:gridCol w:w="1474"/>
      </w:tblGrid>
      <w:tr w14:paraId="2AAAB9CD">
        <w:tblPrEx>
          <w:tblCellMar>
            <w:top w:w="0" w:type="dxa"/>
            <w:left w:w="108" w:type="dxa"/>
            <w:bottom w:w="0" w:type="dxa"/>
            <w:right w:w="108" w:type="dxa"/>
          </w:tblCellMar>
        </w:tblPrEx>
        <w:trPr>
          <w:trHeight w:val="866" w:hRule="exact"/>
        </w:trPr>
        <w:tc>
          <w:tcPr>
            <w:tcW w:w="1356"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5ECE5C1">
            <w:pPr>
              <w:spacing w:line="373" w:lineRule="exact"/>
              <w:ind w:left="466"/>
              <w:rPr>
                <w:color w:val="auto"/>
                <w:highlight w:val="none"/>
              </w:rPr>
            </w:pPr>
            <w:r>
              <w:rPr>
                <w:rFonts w:ascii="宋体" w:hAnsi="宋体" w:cs="宋体"/>
                <w:color w:val="auto"/>
                <w:spacing w:val="-2"/>
                <w:highlight w:val="none"/>
              </w:rPr>
              <w:t>序号</w:t>
            </w:r>
          </w:p>
        </w:tc>
        <w:tc>
          <w:tcPr>
            <w:tcW w:w="2161"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76ECA2D">
            <w:pPr>
              <w:spacing w:line="373" w:lineRule="exact"/>
              <w:ind w:left="658"/>
              <w:rPr>
                <w:color w:val="auto"/>
                <w:highlight w:val="none"/>
              </w:rPr>
            </w:pPr>
            <w:r>
              <w:rPr>
                <w:rFonts w:ascii="宋体" w:hAnsi="宋体" w:cs="宋体"/>
                <w:color w:val="auto"/>
                <w:spacing w:val="-2"/>
                <w:highlight w:val="none"/>
              </w:rPr>
              <w:t>条款名称</w:t>
            </w:r>
          </w:p>
        </w:tc>
        <w:tc>
          <w:tcPr>
            <w:tcW w:w="151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48996F5">
            <w:pPr>
              <w:spacing w:line="373" w:lineRule="exact"/>
              <w:jc w:val="center"/>
              <w:rPr>
                <w:rFonts w:ascii="宋体" w:hAnsi="宋体" w:cs="宋体"/>
                <w:color w:val="auto"/>
                <w:spacing w:val="-2"/>
                <w:highlight w:val="none"/>
              </w:rPr>
            </w:pPr>
            <w:r>
              <w:rPr>
                <w:rFonts w:hint="eastAsia" w:ascii="宋体" w:hAnsi="宋体" w:cs="宋体"/>
                <w:color w:val="auto"/>
                <w:spacing w:val="-2"/>
                <w:highlight w:val="none"/>
              </w:rPr>
              <w:t>投标人</w:t>
            </w:r>
            <w:r>
              <w:rPr>
                <w:rFonts w:ascii="宋体" w:hAnsi="宋体" w:cs="宋体"/>
                <w:color w:val="auto"/>
                <w:spacing w:val="-2"/>
                <w:highlight w:val="none"/>
              </w:rPr>
              <w:t>须知前</w:t>
            </w:r>
          </w:p>
          <w:p w14:paraId="490EEA93">
            <w:pPr>
              <w:spacing w:line="373" w:lineRule="exact"/>
              <w:jc w:val="center"/>
              <w:rPr>
                <w:color w:val="auto"/>
                <w:highlight w:val="none"/>
              </w:rPr>
            </w:pPr>
            <w:r>
              <w:rPr>
                <w:rFonts w:ascii="宋体" w:hAnsi="宋体" w:cs="宋体"/>
                <w:color w:val="auto"/>
                <w:spacing w:val="-2"/>
                <w:highlight w:val="none"/>
              </w:rPr>
              <w:t>附表款号</w:t>
            </w:r>
          </w:p>
        </w:tc>
        <w:tc>
          <w:tcPr>
            <w:tcW w:w="2268"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5F46193">
            <w:pPr>
              <w:spacing w:line="373" w:lineRule="exact"/>
              <w:ind w:left="713"/>
              <w:rPr>
                <w:color w:val="auto"/>
                <w:highlight w:val="none"/>
              </w:rPr>
            </w:pPr>
            <w:r>
              <w:rPr>
                <w:rFonts w:ascii="宋体" w:hAnsi="宋体" w:cs="宋体"/>
                <w:color w:val="auto"/>
                <w:spacing w:val="-2"/>
                <w:highlight w:val="none"/>
              </w:rPr>
              <w:t>约定内容</w:t>
            </w:r>
          </w:p>
        </w:tc>
        <w:tc>
          <w:tcPr>
            <w:tcW w:w="147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4A98215">
            <w:pPr>
              <w:spacing w:line="373" w:lineRule="exact"/>
              <w:ind w:left="523"/>
              <w:rPr>
                <w:color w:val="auto"/>
                <w:highlight w:val="none"/>
              </w:rPr>
            </w:pPr>
            <w:r>
              <w:rPr>
                <w:rFonts w:ascii="宋体" w:hAnsi="宋体" w:cs="宋体"/>
                <w:color w:val="auto"/>
                <w:spacing w:val="-2"/>
                <w:highlight w:val="none"/>
              </w:rPr>
              <w:t>备注</w:t>
            </w:r>
          </w:p>
        </w:tc>
      </w:tr>
      <w:tr w14:paraId="79C65B8D">
        <w:tblPrEx>
          <w:tblCellMar>
            <w:top w:w="0" w:type="dxa"/>
            <w:left w:w="108" w:type="dxa"/>
            <w:bottom w:w="0" w:type="dxa"/>
            <w:right w:w="108" w:type="dxa"/>
          </w:tblCellMar>
        </w:tblPrEx>
        <w:trPr>
          <w:trHeight w:val="451" w:hRule="exact"/>
        </w:trPr>
        <w:tc>
          <w:tcPr>
            <w:tcW w:w="1356"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3D1696C">
            <w:pPr>
              <w:spacing w:line="341" w:lineRule="exact"/>
              <w:ind w:left="624"/>
              <w:rPr>
                <w:rFonts w:ascii="宋体" w:hAnsi="宋体"/>
                <w:color w:val="auto"/>
                <w:highlight w:val="none"/>
              </w:rPr>
            </w:pPr>
            <w:r>
              <w:rPr>
                <w:rFonts w:ascii="宋体" w:hAnsi="宋体"/>
                <w:color w:val="auto"/>
                <w:spacing w:val="-7"/>
                <w:highlight w:val="none"/>
              </w:rPr>
              <w:t>1</w:t>
            </w:r>
          </w:p>
        </w:tc>
        <w:tc>
          <w:tcPr>
            <w:tcW w:w="2161"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E766C2E">
            <w:pPr>
              <w:spacing w:line="387" w:lineRule="exact"/>
              <w:ind w:left="554"/>
              <w:rPr>
                <w:rFonts w:ascii="宋体" w:hAnsi="宋体"/>
                <w:color w:val="auto"/>
                <w:highlight w:val="none"/>
              </w:rPr>
            </w:pPr>
            <w:r>
              <w:rPr>
                <w:rFonts w:ascii="宋体" w:hAnsi="宋体" w:cs="宋体"/>
                <w:color w:val="auto"/>
                <w:highlight w:val="none"/>
              </w:rPr>
              <w:t>项目负责人</w:t>
            </w:r>
          </w:p>
        </w:tc>
        <w:tc>
          <w:tcPr>
            <w:tcW w:w="151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5FE73AA">
            <w:pPr>
              <w:spacing w:line="403" w:lineRule="exact"/>
              <w:ind w:left="466"/>
              <w:rPr>
                <w:rFonts w:ascii="宋体" w:hAnsi="宋体"/>
                <w:color w:val="auto"/>
                <w:highlight w:val="none"/>
              </w:rPr>
            </w:pPr>
            <w:r>
              <w:rPr>
                <w:rFonts w:ascii="宋体" w:hAnsi="宋体"/>
                <w:color w:val="auto"/>
                <w:spacing w:val="-7"/>
                <w:highlight w:val="none"/>
              </w:rPr>
              <w:t>1.4.1</w:t>
            </w:r>
            <w:r>
              <w:rPr>
                <w:rFonts w:hint="eastAsia" w:ascii="宋体" w:hAnsi="宋体"/>
                <w:color w:val="auto"/>
                <w:spacing w:val="-7"/>
                <w:highlight w:val="none"/>
              </w:rPr>
              <w:t>（5）</w:t>
            </w:r>
          </w:p>
        </w:tc>
        <w:tc>
          <w:tcPr>
            <w:tcW w:w="2268"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A9645AE">
            <w:pPr>
              <w:spacing w:line="375" w:lineRule="exact"/>
              <w:ind w:left="108"/>
              <w:rPr>
                <w:rFonts w:ascii="宋体" w:hAnsi="宋体"/>
                <w:color w:val="auto"/>
                <w:highlight w:val="none"/>
              </w:rPr>
            </w:pPr>
            <w:r>
              <w:rPr>
                <w:rFonts w:ascii="宋体" w:hAnsi="宋体" w:cs="宋体"/>
                <w:color w:val="auto"/>
                <w:spacing w:val="-2"/>
                <w:highlight w:val="none"/>
              </w:rPr>
              <w:t>姓名：</w:t>
            </w:r>
          </w:p>
        </w:tc>
        <w:tc>
          <w:tcPr>
            <w:tcW w:w="147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4E988DC">
            <w:pPr>
              <w:spacing w:line="375" w:lineRule="exact"/>
              <w:rPr>
                <w:rFonts w:ascii="宋体" w:hAnsi="宋体"/>
                <w:color w:val="auto"/>
                <w:highlight w:val="none"/>
              </w:rPr>
            </w:pPr>
          </w:p>
        </w:tc>
      </w:tr>
      <w:tr w14:paraId="2513CFAB">
        <w:tblPrEx>
          <w:tblCellMar>
            <w:top w:w="0" w:type="dxa"/>
            <w:left w:w="108" w:type="dxa"/>
            <w:bottom w:w="0" w:type="dxa"/>
            <w:right w:w="108" w:type="dxa"/>
          </w:tblCellMar>
        </w:tblPrEx>
        <w:trPr>
          <w:trHeight w:val="449" w:hRule="exact"/>
        </w:trPr>
        <w:tc>
          <w:tcPr>
            <w:tcW w:w="1356"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06206DC">
            <w:pPr>
              <w:spacing w:line="339" w:lineRule="exact"/>
              <w:ind w:left="624"/>
              <w:rPr>
                <w:rFonts w:ascii="宋体" w:hAnsi="宋体"/>
                <w:color w:val="auto"/>
                <w:highlight w:val="none"/>
              </w:rPr>
            </w:pPr>
            <w:r>
              <w:rPr>
                <w:rFonts w:ascii="宋体" w:hAnsi="宋体"/>
                <w:color w:val="auto"/>
                <w:spacing w:val="-7"/>
                <w:highlight w:val="none"/>
              </w:rPr>
              <w:t>2</w:t>
            </w:r>
          </w:p>
        </w:tc>
        <w:tc>
          <w:tcPr>
            <w:tcW w:w="2161"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B54D19B">
            <w:pPr>
              <w:spacing w:line="387" w:lineRule="exact"/>
              <w:ind w:left="449"/>
              <w:rPr>
                <w:rFonts w:ascii="宋体" w:hAnsi="宋体"/>
                <w:color w:val="auto"/>
                <w:highlight w:val="none"/>
              </w:rPr>
            </w:pPr>
            <w:r>
              <w:rPr>
                <w:rFonts w:ascii="宋体" w:hAnsi="宋体" w:cs="宋体"/>
                <w:color w:val="auto"/>
                <w:highlight w:val="none"/>
              </w:rPr>
              <w:t>设计服务期限</w:t>
            </w:r>
          </w:p>
        </w:tc>
        <w:tc>
          <w:tcPr>
            <w:tcW w:w="151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0D3B4ED">
            <w:pPr>
              <w:spacing w:line="403" w:lineRule="exact"/>
              <w:ind w:left="466"/>
              <w:rPr>
                <w:rFonts w:ascii="宋体" w:hAnsi="宋体"/>
                <w:color w:val="auto"/>
                <w:highlight w:val="none"/>
              </w:rPr>
            </w:pPr>
            <w:r>
              <w:rPr>
                <w:rFonts w:ascii="宋体" w:hAnsi="宋体"/>
                <w:color w:val="auto"/>
                <w:spacing w:val="-7"/>
                <w:highlight w:val="none"/>
              </w:rPr>
              <w:t>1.3.2</w:t>
            </w:r>
          </w:p>
        </w:tc>
        <w:tc>
          <w:tcPr>
            <w:tcW w:w="2268"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6174E7A">
            <w:pPr>
              <w:spacing w:line="373" w:lineRule="exact"/>
              <w:ind w:left="740" w:firstLine="588" w:firstLineChars="300"/>
              <w:rPr>
                <w:rFonts w:ascii="宋体" w:hAnsi="宋体"/>
                <w:color w:val="auto"/>
                <w:highlight w:val="none"/>
              </w:rPr>
            </w:pPr>
            <w:r>
              <w:rPr>
                <w:rFonts w:ascii="宋体" w:hAnsi="宋体" w:cs="宋体"/>
                <w:color w:val="auto"/>
                <w:spacing w:val="-7"/>
                <w:highlight w:val="none"/>
              </w:rPr>
              <w:t>日历天</w:t>
            </w:r>
          </w:p>
        </w:tc>
        <w:tc>
          <w:tcPr>
            <w:tcW w:w="147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6FE67CF">
            <w:pPr>
              <w:spacing w:line="373" w:lineRule="exact"/>
              <w:rPr>
                <w:rFonts w:ascii="宋体" w:hAnsi="宋体"/>
                <w:color w:val="auto"/>
                <w:highlight w:val="none"/>
              </w:rPr>
            </w:pPr>
          </w:p>
        </w:tc>
      </w:tr>
      <w:tr w14:paraId="147CB5DE">
        <w:tblPrEx>
          <w:tblCellMar>
            <w:top w:w="0" w:type="dxa"/>
            <w:left w:w="108" w:type="dxa"/>
            <w:bottom w:w="0" w:type="dxa"/>
            <w:right w:w="108" w:type="dxa"/>
          </w:tblCellMar>
        </w:tblPrEx>
        <w:trPr>
          <w:trHeight w:val="451" w:hRule="exact"/>
        </w:trPr>
        <w:tc>
          <w:tcPr>
            <w:tcW w:w="1356"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0730E1D">
            <w:pPr>
              <w:spacing w:line="341" w:lineRule="exact"/>
              <w:ind w:left="624"/>
              <w:rPr>
                <w:rFonts w:ascii="宋体" w:hAnsi="宋体"/>
                <w:color w:val="auto"/>
                <w:highlight w:val="none"/>
              </w:rPr>
            </w:pPr>
            <w:r>
              <w:rPr>
                <w:rFonts w:ascii="宋体" w:hAnsi="宋体"/>
                <w:color w:val="auto"/>
                <w:spacing w:val="-7"/>
                <w:highlight w:val="none"/>
              </w:rPr>
              <w:t>3</w:t>
            </w:r>
          </w:p>
        </w:tc>
        <w:tc>
          <w:tcPr>
            <w:tcW w:w="2161"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0D97EB3">
            <w:pPr>
              <w:spacing w:line="387" w:lineRule="exact"/>
              <w:ind w:left="240"/>
              <w:jc w:val="center"/>
              <w:rPr>
                <w:rFonts w:ascii="宋体" w:hAnsi="宋体"/>
                <w:color w:val="auto"/>
                <w:highlight w:val="none"/>
              </w:rPr>
            </w:pPr>
            <w:r>
              <w:rPr>
                <w:rFonts w:hint="eastAsia" w:ascii="宋体" w:hAnsi="宋体" w:cs="宋体"/>
                <w:color w:val="auto"/>
                <w:highlight w:val="none"/>
              </w:rPr>
              <w:t>报价</w:t>
            </w:r>
            <w:r>
              <w:rPr>
                <w:rFonts w:ascii="宋体" w:hAnsi="宋体" w:cs="宋体"/>
                <w:color w:val="auto"/>
                <w:highlight w:val="none"/>
              </w:rPr>
              <w:t>方式</w:t>
            </w:r>
          </w:p>
        </w:tc>
        <w:tc>
          <w:tcPr>
            <w:tcW w:w="151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48F24DB">
            <w:pPr>
              <w:spacing w:line="403" w:lineRule="exact"/>
              <w:ind w:left="492"/>
              <w:rPr>
                <w:rFonts w:ascii="宋体" w:hAnsi="宋体"/>
                <w:color w:val="auto"/>
                <w:highlight w:val="none"/>
              </w:rPr>
            </w:pPr>
            <w:r>
              <w:rPr>
                <w:rFonts w:ascii="宋体" w:hAnsi="宋体"/>
                <w:color w:val="auto"/>
                <w:spacing w:val="-7"/>
                <w:highlight w:val="none"/>
              </w:rPr>
              <w:t>3.2.2</w:t>
            </w:r>
          </w:p>
        </w:tc>
        <w:tc>
          <w:tcPr>
            <w:tcW w:w="2268"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CD87C9B">
            <w:pPr>
              <w:spacing w:line="403" w:lineRule="exact"/>
              <w:rPr>
                <w:rFonts w:ascii="宋体" w:hAnsi="宋体"/>
                <w:color w:val="auto"/>
                <w:highlight w:val="none"/>
              </w:rPr>
            </w:pPr>
          </w:p>
        </w:tc>
        <w:tc>
          <w:tcPr>
            <w:tcW w:w="147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B7AB854">
            <w:pPr>
              <w:spacing w:line="403" w:lineRule="exact"/>
              <w:rPr>
                <w:rFonts w:ascii="宋体" w:hAnsi="宋体"/>
                <w:color w:val="auto"/>
                <w:highlight w:val="none"/>
              </w:rPr>
            </w:pPr>
          </w:p>
        </w:tc>
      </w:tr>
      <w:tr w14:paraId="146B7C80">
        <w:tblPrEx>
          <w:tblCellMar>
            <w:top w:w="0" w:type="dxa"/>
            <w:left w:w="108" w:type="dxa"/>
            <w:bottom w:w="0" w:type="dxa"/>
            <w:right w:w="108" w:type="dxa"/>
          </w:tblCellMar>
        </w:tblPrEx>
        <w:trPr>
          <w:trHeight w:val="449" w:hRule="exact"/>
        </w:trPr>
        <w:tc>
          <w:tcPr>
            <w:tcW w:w="1356"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B1AF2C5">
            <w:pPr>
              <w:spacing w:line="240" w:lineRule="exact"/>
              <w:ind w:left="466"/>
              <w:rPr>
                <w:rFonts w:ascii="宋体" w:hAnsi="宋体"/>
                <w:color w:val="auto"/>
                <w:highlight w:val="none"/>
              </w:rPr>
            </w:pPr>
            <w:r>
              <w:rPr>
                <w:rFonts w:ascii="宋体" w:hAnsi="宋体"/>
                <w:color w:val="auto"/>
                <w:spacing w:val="-1"/>
                <w:highlight w:val="none"/>
              </w:rPr>
              <w:t>……</w:t>
            </w:r>
          </w:p>
        </w:tc>
        <w:tc>
          <w:tcPr>
            <w:tcW w:w="2161"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9D79AEA">
            <w:pPr>
              <w:spacing w:line="240" w:lineRule="exact"/>
              <w:ind w:left="869"/>
              <w:rPr>
                <w:rFonts w:ascii="宋体" w:hAnsi="宋体"/>
                <w:color w:val="auto"/>
                <w:highlight w:val="none"/>
              </w:rPr>
            </w:pPr>
            <w:r>
              <w:rPr>
                <w:rFonts w:ascii="宋体" w:hAnsi="宋体"/>
                <w:color w:val="auto"/>
                <w:spacing w:val="-1"/>
                <w:highlight w:val="none"/>
              </w:rPr>
              <w:t>……</w:t>
            </w:r>
          </w:p>
        </w:tc>
        <w:tc>
          <w:tcPr>
            <w:tcW w:w="151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B4B8572">
            <w:pPr>
              <w:spacing w:line="240" w:lineRule="exact"/>
              <w:ind w:left="545"/>
              <w:rPr>
                <w:rFonts w:ascii="宋体" w:hAnsi="宋体"/>
                <w:color w:val="auto"/>
                <w:highlight w:val="none"/>
              </w:rPr>
            </w:pPr>
            <w:r>
              <w:rPr>
                <w:rFonts w:ascii="宋体" w:hAnsi="宋体"/>
                <w:color w:val="auto"/>
                <w:spacing w:val="-1"/>
                <w:highlight w:val="none"/>
              </w:rPr>
              <w:t>……</w:t>
            </w:r>
          </w:p>
        </w:tc>
        <w:tc>
          <w:tcPr>
            <w:tcW w:w="2268"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C972335">
            <w:pPr>
              <w:spacing w:line="240" w:lineRule="exact"/>
              <w:ind w:left="924"/>
              <w:rPr>
                <w:rFonts w:ascii="宋体" w:hAnsi="宋体"/>
                <w:color w:val="auto"/>
                <w:highlight w:val="none"/>
              </w:rPr>
            </w:pPr>
            <w:r>
              <w:rPr>
                <w:rFonts w:ascii="宋体" w:hAnsi="宋体"/>
                <w:color w:val="auto"/>
                <w:spacing w:val="-1"/>
                <w:highlight w:val="none"/>
              </w:rPr>
              <w:t>……</w:t>
            </w:r>
          </w:p>
        </w:tc>
        <w:tc>
          <w:tcPr>
            <w:tcW w:w="147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41EF58A">
            <w:pPr>
              <w:spacing w:line="240" w:lineRule="exact"/>
              <w:rPr>
                <w:rFonts w:ascii="宋体" w:hAnsi="宋体"/>
                <w:color w:val="auto"/>
                <w:highlight w:val="none"/>
              </w:rPr>
            </w:pPr>
          </w:p>
        </w:tc>
      </w:tr>
      <w:tr w14:paraId="2376507D">
        <w:tblPrEx>
          <w:tblCellMar>
            <w:top w:w="0" w:type="dxa"/>
            <w:left w:w="108" w:type="dxa"/>
            <w:bottom w:w="0" w:type="dxa"/>
            <w:right w:w="108" w:type="dxa"/>
          </w:tblCellMar>
        </w:tblPrEx>
        <w:trPr>
          <w:trHeight w:val="451" w:hRule="exact"/>
        </w:trPr>
        <w:tc>
          <w:tcPr>
            <w:tcW w:w="1356"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7122C20">
            <w:pPr>
              <w:spacing w:line="240" w:lineRule="exact"/>
              <w:ind w:left="466"/>
              <w:rPr>
                <w:rFonts w:ascii="宋体" w:hAnsi="宋体"/>
                <w:color w:val="auto"/>
                <w:highlight w:val="none"/>
              </w:rPr>
            </w:pPr>
            <w:r>
              <w:rPr>
                <w:rFonts w:ascii="宋体" w:hAnsi="宋体"/>
                <w:color w:val="auto"/>
                <w:spacing w:val="-1"/>
                <w:highlight w:val="none"/>
              </w:rPr>
              <w:t>……</w:t>
            </w:r>
          </w:p>
        </w:tc>
        <w:tc>
          <w:tcPr>
            <w:tcW w:w="2161"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0C8F226">
            <w:pPr>
              <w:spacing w:line="240" w:lineRule="exact"/>
              <w:ind w:left="869"/>
              <w:rPr>
                <w:rFonts w:ascii="宋体" w:hAnsi="宋体"/>
                <w:color w:val="auto"/>
                <w:highlight w:val="none"/>
              </w:rPr>
            </w:pPr>
            <w:r>
              <w:rPr>
                <w:rFonts w:ascii="宋体" w:hAnsi="宋体"/>
                <w:color w:val="auto"/>
                <w:spacing w:val="-1"/>
                <w:highlight w:val="none"/>
              </w:rPr>
              <w:t>……</w:t>
            </w:r>
          </w:p>
        </w:tc>
        <w:tc>
          <w:tcPr>
            <w:tcW w:w="151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60F1B77">
            <w:pPr>
              <w:spacing w:line="240" w:lineRule="exact"/>
              <w:ind w:left="545"/>
              <w:rPr>
                <w:rFonts w:ascii="宋体" w:hAnsi="宋体"/>
                <w:color w:val="auto"/>
                <w:highlight w:val="none"/>
              </w:rPr>
            </w:pPr>
            <w:r>
              <w:rPr>
                <w:rFonts w:ascii="宋体" w:hAnsi="宋体"/>
                <w:color w:val="auto"/>
                <w:spacing w:val="-1"/>
                <w:highlight w:val="none"/>
              </w:rPr>
              <w:t>……</w:t>
            </w:r>
          </w:p>
        </w:tc>
        <w:tc>
          <w:tcPr>
            <w:tcW w:w="2268"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9122607">
            <w:pPr>
              <w:spacing w:line="240" w:lineRule="exact"/>
              <w:ind w:left="924"/>
              <w:rPr>
                <w:rFonts w:ascii="宋体" w:hAnsi="宋体"/>
                <w:color w:val="auto"/>
                <w:highlight w:val="none"/>
              </w:rPr>
            </w:pPr>
            <w:r>
              <w:rPr>
                <w:rFonts w:ascii="宋体" w:hAnsi="宋体"/>
                <w:color w:val="auto"/>
                <w:spacing w:val="-1"/>
                <w:highlight w:val="none"/>
              </w:rPr>
              <w:t>……</w:t>
            </w:r>
          </w:p>
        </w:tc>
        <w:tc>
          <w:tcPr>
            <w:tcW w:w="147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F4ABF78">
            <w:pPr>
              <w:spacing w:line="240" w:lineRule="exact"/>
              <w:rPr>
                <w:rFonts w:ascii="宋体" w:hAnsi="宋体"/>
                <w:color w:val="auto"/>
                <w:highlight w:val="none"/>
              </w:rPr>
            </w:pPr>
          </w:p>
        </w:tc>
      </w:tr>
    </w:tbl>
    <w:p w14:paraId="717F45AA">
      <w:pPr>
        <w:spacing w:line="360" w:lineRule="auto"/>
        <w:ind w:right="420"/>
        <w:rPr>
          <w:color w:val="auto"/>
          <w:highlight w:val="none"/>
        </w:rPr>
      </w:pPr>
    </w:p>
    <w:p w14:paraId="57628701">
      <w:pPr>
        <w:spacing w:before="240" w:beforeLines="100" w:after="120" w:afterLines="50" w:line="510" w:lineRule="exact"/>
        <w:rPr>
          <w:color w:val="auto"/>
          <w:szCs w:val="21"/>
          <w:highlight w:val="none"/>
        </w:rPr>
      </w:pPr>
    </w:p>
    <w:p w14:paraId="2A8ABA1C">
      <w:pPr>
        <w:spacing w:line="360" w:lineRule="auto"/>
        <w:ind w:left="1000" w:firstLine="2415" w:firstLineChars="1150"/>
        <w:rPr>
          <w:color w:val="auto"/>
          <w:highlight w:val="none"/>
        </w:rPr>
      </w:pPr>
      <w:r>
        <w:rPr>
          <w:color w:val="auto"/>
          <w:highlight w:val="none"/>
        </w:rPr>
        <w:t>投标人：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（盖</w:t>
      </w:r>
      <w:r>
        <w:rPr>
          <w:rFonts w:hint="eastAsia"/>
          <w:color w:val="auto"/>
          <w:highlight w:val="none"/>
          <w:u w:val="single"/>
        </w:rPr>
        <w:t>单位</w:t>
      </w:r>
      <w:r>
        <w:rPr>
          <w:color w:val="auto"/>
          <w:highlight w:val="none"/>
          <w:u w:val="single"/>
        </w:rPr>
        <w:t>公章</w:t>
      </w:r>
      <w:r>
        <w:rPr>
          <w:rFonts w:hint="eastAsia"/>
          <w:color w:val="auto"/>
          <w:highlight w:val="none"/>
          <w:u w:val="single"/>
        </w:rPr>
        <w:t>）</w:t>
      </w:r>
    </w:p>
    <w:p w14:paraId="19EDB5B3">
      <w:pPr>
        <w:spacing w:line="480" w:lineRule="auto"/>
        <w:jc w:val="center"/>
        <w:rPr>
          <w:color w:val="auto"/>
          <w:szCs w:val="21"/>
          <w:highlight w:val="none"/>
        </w:rPr>
        <w:sectPr>
          <w:pgSz w:w="11907" w:h="16840"/>
          <w:pgMar w:top="1440" w:right="1440" w:bottom="1440" w:left="1797" w:header="851" w:footer="851" w:gutter="0"/>
          <w:cols w:space="720" w:num="1"/>
          <w:docGrid w:linePitch="312" w:charSpace="0"/>
        </w:sectPr>
      </w:pPr>
      <w:r>
        <w:rPr>
          <w:rFonts w:hint="eastAsia"/>
          <w:color w:val="auto"/>
          <w:highlight w:val="none"/>
        </w:rPr>
        <w:t xml:space="preserve">                       </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p>
    <w:p w14:paraId="589EB79F">
      <w:pPr>
        <w:spacing w:line="480" w:lineRule="auto"/>
        <w:jc w:val="center"/>
        <w:rPr>
          <w:b/>
          <w:color w:val="auto"/>
          <w:sz w:val="28"/>
          <w:szCs w:val="28"/>
          <w:highlight w:val="none"/>
        </w:rPr>
      </w:pPr>
      <w:r>
        <w:rPr>
          <w:b/>
          <w:color w:val="auto"/>
          <w:sz w:val="28"/>
          <w:szCs w:val="28"/>
          <w:highlight w:val="none"/>
        </w:rPr>
        <w:t>三</w:t>
      </w:r>
      <w:r>
        <w:rPr>
          <w:rFonts w:hint="eastAsia"/>
          <w:b/>
          <w:color w:val="auto"/>
          <w:sz w:val="28"/>
          <w:szCs w:val="28"/>
          <w:highlight w:val="none"/>
        </w:rPr>
        <w:t>、设计费用清单</w:t>
      </w:r>
    </w:p>
    <w:p w14:paraId="156C52AD">
      <w:pPr>
        <w:spacing w:line="440" w:lineRule="exact"/>
        <w:rPr>
          <w:rFonts w:ascii="宋体" w:hAnsi="宋体"/>
          <w:color w:val="auto"/>
          <w:szCs w:val="21"/>
          <w:highlight w:val="none"/>
        </w:rPr>
      </w:pPr>
      <w:r>
        <w:rPr>
          <w:rFonts w:hint="eastAsia" w:ascii="宋体" w:hAnsi="宋体"/>
          <w:color w:val="auto"/>
          <w:szCs w:val="21"/>
          <w:highlight w:val="none"/>
        </w:rPr>
        <w:t>1、设计费用清单说明（自行编写）</w:t>
      </w:r>
    </w:p>
    <w:p w14:paraId="03E02564">
      <w:pPr>
        <w:spacing w:line="440" w:lineRule="exact"/>
        <w:rPr>
          <w:rFonts w:ascii="宋体" w:hAnsi="宋体"/>
          <w:color w:val="auto"/>
          <w:szCs w:val="21"/>
          <w:highlight w:val="none"/>
        </w:rPr>
      </w:pPr>
      <w:r>
        <w:rPr>
          <w:rFonts w:hint="eastAsia" w:ascii="宋体" w:hAnsi="宋体"/>
          <w:color w:val="auto"/>
          <w:szCs w:val="21"/>
          <w:highlight w:val="none"/>
        </w:rPr>
        <w:t>2、设计费用清单</w:t>
      </w:r>
    </w:p>
    <w:p w14:paraId="38A9A1AC">
      <w:pPr>
        <w:spacing w:line="440" w:lineRule="exact"/>
        <w:jc w:val="right"/>
        <w:rPr>
          <w:color w:val="auto"/>
          <w:szCs w:val="21"/>
          <w:highlight w:val="none"/>
        </w:rPr>
      </w:pPr>
      <w:r>
        <w:rPr>
          <w:rFonts w:hint="eastAsia"/>
          <w:color w:val="auto"/>
          <w:szCs w:val="21"/>
          <w:highlight w:val="none"/>
        </w:rPr>
        <w:t>单位：人民币元</w:t>
      </w:r>
    </w:p>
    <w:p w14:paraId="6387586B">
      <w:pPr>
        <w:spacing w:line="440" w:lineRule="exact"/>
        <w:ind w:right="210"/>
        <w:jc w:val="left"/>
        <w:rPr>
          <w:color w:val="auto"/>
          <w:szCs w:val="21"/>
          <w:highlight w:val="none"/>
        </w:rPr>
      </w:pPr>
    </w:p>
    <w:p w14:paraId="232A99E7">
      <w:pPr>
        <w:spacing w:line="440" w:lineRule="exact"/>
        <w:rPr>
          <w:color w:val="auto"/>
          <w:szCs w:val="21"/>
          <w:highlight w:val="none"/>
        </w:rPr>
      </w:pPr>
    </w:p>
    <w:p w14:paraId="459C3D52">
      <w:pPr>
        <w:spacing w:line="440" w:lineRule="exact"/>
        <w:rPr>
          <w:color w:val="auto"/>
          <w:szCs w:val="21"/>
          <w:highlight w:val="none"/>
        </w:rPr>
      </w:pPr>
    </w:p>
    <w:p w14:paraId="78D83C59">
      <w:pPr>
        <w:spacing w:line="440" w:lineRule="exact"/>
        <w:rPr>
          <w:color w:val="auto"/>
          <w:szCs w:val="21"/>
          <w:highlight w:val="none"/>
        </w:rPr>
      </w:pPr>
    </w:p>
    <w:p w14:paraId="75F91489">
      <w:pPr>
        <w:spacing w:line="440" w:lineRule="exact"/>
        <w:rPr>
          <w:color w:val="auto"/>
          <w:szCs w:val="21"/>
          <w:highlight w:val="none"/>
        </w:rPr>
      </w:pPr>
    </w:p>
    <w:p w14:paraId="7DC50D2F">
      <w:pPr>
        <w:spacing w:line="440" w:lineRule="exact"/>
        <w:rPr>
          <w:color w:val="auto"/>
          <w:szCs w:val="21"/>
          <w:highlight w:val="none"/>
        </w:rPr>
      </w:pPr>
    </w:p>
    <w:p w14:paraId="50C7EE66">
      <w:pPr>
        <w:spacing w:line="440" w:lineRule="exact"/>
        <w:rPr>
          <w:color w:val="auto"/>
          <w:szCs w:val="21"/>
          <w:highlight w:val="none"/>
        </w:rPr>
      </w:pPr>
    </w:p>
    <w:p w14:paraId="1F41A1BA">
      <w:pPr>
        <w:spacing w:line="440" w:lineRule="exact"/>
        <w:rPr>
          <w:color w:val="auto"/>
          <w:szCs w:val="21"/>
          <w:highlight w:val="none"/>
        </w:rPr>
      </w:pPr>
    </w:p>
    <w:p w14:paraId="6918A9B8">
      <w:pPr>
        <w:spacing w:line="440" w:lineRule="exact"/>
        <w:rPr>
          <w:color w:val="auto"/>
          <w:szCs w:val="21"/>
          <w:highlight w:val="none"/>
        </w:rPr>
      </w:pPr>
    </w:p>
    <w:p w14:paraId="6A626E54">
      <w:pPr>
        <w:spacing w:line="440" w:lineRule="exact"/>
        <w:rPr>
          <w:color w:val="auto"/>
          <w:szCs w:val="21"/>
          <w:highlight w:val="none"/>
        </w:rPr>
      </w:pPr>
    </w:p>
    <w:p w14:paraId="2FE9A63E">
      <w:pPr>
        <w:spacing w:line="440" w:lineRule="exact"/>
        <w:rPr>
          <w:color w:val="auto"/>
          <w:szCs w:val="21"/>
          <w:highlight w:val="none"/>
        </w:rPr>
      </w:pPr>
    </w:p>
    <w:p w14:paraId="370F28EC">
      <w:pPr>
        <w:spacing w:line="440" w:lineRule="exact"/>
        <w:rPr>
          <w:color w:val="auto"/>
          <w:szCs w:val="21"/>
          <w:highlight w:val="none"/>
        </w:rPr>
      </w:pPr>
    </w:p>
    <w:p w14:paraId="7D6BAAC2">
      <w:pPr>
        <w:spacing w:line="440" w:lineRule="exact"/>
        <w:rPr>
          <w:color w:val="auto"/>
          <w:szCs w:val="21"/>
          <w:highlight w:val="none"/>
        </w:rPr>
      </w:pPr>
    </w:p>
    <w:p w14:paraId="060DD25B">
      <w:pPr>
        <w:spacing w:line="440" w:lineRule="exact"/>
        <w:rPr>
          <w:color w:val="auto"/>
          <w:szCs w:val="21"/>
          <w:highlight w:val="none"/>
        </w:rPr>
      </w:pPr>
    </w:p>
    <w:p w14:paraId="1FDD59B0">
      <w:pPr>
        <w:spacing w:line="440" w:lineRule="exact"/>
        <w:rPr>
          <w:color w:val="auto"/>
          <w:szCs w:val="21"/>
          <w:highlight w:val="none"/>
        </w:rPr>
      </w:pPr>
    </w:p>
    <w:p w14:paraId="4FD9DB81">
      <w:pPr>
        <w:spacing w:line="440" w:lineRule="exact"/>
        <w:rPr>
          <w:color w:val="auto"/>
          <w:szCs w:val="21"/>
          <w:highlight w:val="none"/>
        </w:rPr>
      </w:pPr>
    </w:p>
    <w:p w14:paraId="66FC174E">
      <w:pPr>
        <w:spacing w:line="440" w:lineRule="exact"/>
        <w:rPr>
          <w:color w:val="auto"/>
          <w:szCs w:val="21"/>
          <w:highlight w:val="none"/>
        </w:rPr>
      </w:pPr>
    </w:p>
    <w:p w14:paraId="30101CB1">
      <w:pPr>
        <w:spacing w:line="440" w:lineRule="exact"/>
        <w:rPr>
          <w:color w:val="auto"/>
          <w:szCs w:val="21"/>
          <w:highlight w:val="none"/>
        </w:rPr>
      </w:pPr>
    </w:p>
    <w:p w14:paraId="35C292E6">
      <w:pPr>
        <w:spacing w:line="440" w:lineRule="exact"/>
        <w:rPr>
          <w:color w:val="auto"/>
          <w:szCs w:val="21"/>
          <w:highlight w:val="none"/>
        </w:rPr>
      </w:pPr>
    </w:p>
    <w:p w14:paraId="7D9C992B">
      <w:pPr>
        <w:spacing w:line="440" w:lineRule="exact"/>
        <w:rPr>
          <w:color w:val="auto"/>
          <w:szCs w:val="21"/>
          <w:highlight w:val="none"/>
        </w:rPr>
      </w:pPr>
    </w:p>
    <w:p w14:paraId="78183FF8">
      <w:pPr>
        <w:spacing w:line="440" w:lineRule="exact"/>
        <w:rPr>
          <w:color w:val="auto"/>
          <w:szCs w:val="21"/>
          <w:highlight w:val="none"/>
        </w:rPr>
      </w:pPr>
    </w:p>
    <w:p w14:paraId="5459F717">
      <w:pPr>
        <w:spacing w:line="440" w:lineRule="exact"/>
        <w:rPr>
          <w:color w:val="auto"/>
          <w:szCs w:val="21"/>
          <w:highlight w:val="none"/>
        </w:rPr>
      </w:pPr>
    </w:p>
    <w:p w14:paraId="4A7EE5D8">
      <w:pPr>
        <w:spacing w:line="440" w:lineRule="exact"/>
        <w:rPr>
          <w:color w:val="auto"/>
          <w:szCs w:val="21"/>
          <w:highlight w:val="none"/>
        </w:rPr>
      </w:pPr>
    </w:p>
    <w:p w14:paraId="7C806CA7">
      <w:pPr>
        <w:spacing w:line="440" w:lineRule="exact"/>
        <w:rPr>
          <w:color w:val="auto"/>
          <w:szCs w:val="21"/>
          <w:highlight w:val="none"/>
        </w:rPr>
      </w:pPr>
    </w:p>
    <w:p w14:paraId="0877268B">
      <w:pPr>
        <w:spacing w:line="440" w:lineRule="exact"/>
        <w:rPr>
          <w:color w:val="auto"/>
          <w:szCs w:val="21"/>
          <w:highlight w:val="none"/>
        </w:rPr>
      </w:pPr>
    </w:p>
    <w:p w14:paraId="7524AC94">
      <w:pPr>
        <w:spacing w:line="440" w:lineRule="exact"/>
        <w:rPr>
          <w:color w:val="auto"/>
          <w:szCs w:val="21"/>
          <w:highlight w:val="none"/>
        </w:rPr>
      </w:pPr>
    </w:p>
    <w:p w14:paraId="7E8A9023">
      <w:pPr>
        <w:spacing w:line="440" w:lineRule="exact"/>
        <w:rPr>
          <w:color w:val="auto"/>
          <w:szCs w:val="21"/>
          <w:highlight w:val="none"/>
        </w:rPr>
      </w:pPr>
    </w:p>
    <w:p w14:paraId="52325272">
      <w:pPr>
        <w:spacing w:line="440" w:lineRule="exact"/>
        <w:rPr>
          <w:b/>
          <w:color w:val="auto"/>
          <w:sz w:val="28"/>
          <w:szCs w:val="28"/>
          <w:highlight w:val="none"/>
        </w:rPr>
      </w:pPr>
      <w:r>
        <w:rPr>
          <w:rFonts w:hint="eastAsia"/>
          <w:b/>
          <w:color w:val="auto"/>
          <w:sz w:val="28"/>
          <w:szCs w:val="28"/>
          <w:highlight w:val="none"/>
        </w:rPr>
        <w:t>四、资信业绩</w:t>
      </w:r>
    </w:p>
    <w:p w14:paraId="23C0D072">
      <w:pPr>
        <w:spacing w:line="360" w:lineRule="auto"/>
        <w:ind w:right="420"/>
        <w:jc w:val="center"/>
        <w:rPr>
          <w:color w:val="auto"/>
          <w:szCs w:val="21"/>
          <w:highlight w:val="none"/>
        </w:rPr>
      </w:pPr>
      <w:r>
        <w:rPr>
          <w:rFonts w:hint="eastAsia" w:ascii="宋体" w:hAnsi="宋体"/>
          <w:b/>
          <w:color w:val="auto"/>
          <w:sz w:val="28"/>
          <w:szCs w:val="28"/>
          <w:highlight w:val="none"/>
        </w:rPr>
        <w:t>（一）</w:t>
      </w:r>
      <w:r>
        <w:rPr>
          <w:rFonts w:hint="eastAsia"/>
          <w:b/>
          <w:color w:val="auto"/>
          <w:sz w:val="28"/>
          <w:szCs w:val="28"/>
          <w:highlight w:val="none"/>
        </w:rPr>
        <w:t>近年</w:t>
      </w:r>
      <w:r>
        <w:rPr>
          <w:rFonts w:ascii="宋体" w:hAnsi="宋体"/>
          <w:b/>
          <w:color w:val="auto"/>
          <w:sz w:val="28"/>
          <w:szCs w:val="28"/>
          <w:highlight w:val="none"/>
        </w:rPr>
        <w:t>完成的类似工程设计项目</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6651"/>
      </w:tblGrid>
      <w:tr w14:paraId="5AC0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72278822">
            <w:pPr>
              <w:pStyle w:val="137"/>
              <w:jc w:val="center"/>
              <w:outlineLvl w:val="0"/>
              <w:rPr>
                <w:color w:val="auto"/>
                <w:szCs w:val="21"/>
                <w:highlight w:val="none"/>
              </w:rPr>
            </w:pPr>
            <w:r>
              <w:rPr>
                <w:color w:val="auto"/>
                <w:szCs w:val="21"/>
                <w:highlight w:val="none"/>
              </w:rPr>
              <w:t>项目名称</w:t>
            </w:r>
          </w:p>
        </w:tc>
        <w:tc>
          <w:tcPr>
            <w:tcW w:w="6651" w:type="dxa"/>
            <w:vAlign w:val="center"/>
          </w:tcPr>
          <w:p w14:paraId="63FAC5C8">
            <w:pPr>
              <w:pStyle w:val="137"/>
              <w:jc w:val="center"/>
              <w:outlineLvl w:val="0"/>
              <w:rPr>
                <w:color w:val="auto"/>
                <w:szCs w:val="21"/>
                <w:highlight w:val="none"/>
              </w:rPr>
            </w:pPr>
          </w:p>
        </w:tc>
      </w:tr>
      <w:tr w14:paraId="09A0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7EFB1FD7">
            <w:pPr>
              <w:pStyle w:val="137"/>
              <w:jc w:val="center"/>
              <w:outlineLvl w:val="0"/>
              <w:rPr>
                <w:color w:val="auto"/>
                <w:szCs w:val="21"/>
                <w:highlight w:val="none"/>
              </w:rPr>
            </w:pPr>
            <w:r>
              <w:rPr>
                <w:color w:val="auto"/>
                <w:szCs w:val="21"/>
                <w:highlight w:val="none"/>
              </w:rPr>
              <w:t>项目所在地</w:t>
            </w:r>
          </w:p>
        </w:tc>
        <w:tc>
          <w:tcPr>
            <w:tcW w:w="6651" w:type="dxa"/>
            <w:vAlign w:val="center"/>
          </w:tcPr>
          <w:p w14:paraId="168AB9C5">
            <w:pPr>
              <w:pStyle w:val="137"/>
              <w:jc w:val="center"/>
              <w:outlineLvl w:val="0"/>
              <w:rPr>
                <w:color w:val="auto"/>
                <w:szCs w:val="21"/>
                <w:highlight w:val="none"/>
              </w:rPr>
            </w:pPr>
          </w:p>
        </w:tc>
      </w:tr>
      <w:tr w14:paraId="7C74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03FAED71">
            <w:pPr>
              <w:pStyle w:val="137"/>
              <w:jc w:val="center"/>
              <w:outlineLvl w:val="0"/>
              <w:rPr>
                <w:color w:val="auto"/>
                <w:szCs w:val="21"/>
                <w:highlight w:val="none"/>
              </w:rPr>
            </w:pPr>
            <w:r>
              <w:rPr>
                <w:color w:val="auto"/>
                <w:szCs w:val="21"/>
                <w:highlight w:val="none"/>
              </w:rPr>
              <w:t>建设单位</w:t>
            </w:r>
          </w:p>
        </w:tc>
        <w:tc>
          <w:tcPr>
            <w:tcW w:w="6651" w:type="dxa"/>
            <w:vAlign w:val="center"/>
          </w:tcPr>
          <w:p w14:paraId="4D553988">
            <w:pPr>
              <w:pStyle w:val="137"/>
              <w:jc w:val="center"/>
              <w:outlineLvl w:val="0"/>
              <w:rPr>
                <w:color w:val="auto"/>
                <w:szCs w:val="21"/>
                <w:highlight w:val="none"/>
              </w:rPr>
            </w:pPr>
          </w:p>
        </w:tc>
      </w:tr>
      <w:tr w14:paraId="3A45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23E76446">
            <w:pPr>
              <w:pStyle w:val="137"/>
              <w:jc w:val="center"/>
              <w:outlineLvl w:val="0"/>
              <w:rPr>
                <w:color w:val="auto"/>
                <w:szCs w:val="21"/>
                <w:highlight w:val="none"/>
              </w:rPr>
            </w:pPr>
            <w:r>
              <w:rPr>
                <w:color w:val="auto"/>
                <w:szCs w:val="21"/>
                <w:highlight w:val="none"/>
              </w:rPr>
              <w:t>合同签订时间</w:t>
            </w:r>
          </w:p>
        </w:tc>
        <w:tc>
          <w:tcPr>
            <w:tcW w:w="6651" w:type="dxa"/>
            <w:vAlign w:val="center"/>
          </w:tcPr>
          <w:p w14:paraId="09A3BC97">
            <w:pPr>
              <w:pStyle w:val="137"/>
              <w:jc w:val="center"/>
              <w:outlineLvl w:val="0"/>
              <w:rPr>
                <w:color w:val="auto"/>
                <w:szCs w:val="21"/>
                <w:highlight w:val="none"/>
              </w:rPr>
            </w:pPr>
          </w:p>
        </w:tc>
      </w:tr>
      <w:tr w14:paraId="5C6E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7BEF04CF">
            <w:pPr>
              <w:pStyle w:val="137"/>
              <w:jc w:val="center"/>
              <w:outlineLvl w:val="0"/>
              <w:rPr>
                <w:color w:val="auto"/>
                <w:szCs w:val="21"/>
                <w:highlight w:val="none"/>
              </w:rPr>
            </w:pPr>
            <w:r>
              <w:rPr>
                <w:color w:val="auto"/>
                <w:szCs w:val="21"/>
                <w:highlight w:val="none"/>
              </w:rPr>
              <w:t>项目</w:t>
            </w:r>
            <w:r>
              <w:rPr>
                <w:rFonts w:hint="eastAsia"/>
                <w:color w:val="auto"/>
                <w:szCs w:val="21"/>
                <w:highlight w:val="none"/>
              </w:rPr>
              <w:t>完成</w:t>
            </w:r>
            <w:r>
              <w:rPr>
                <w:color w:val="auto"/>
                <w:szCs w:val="21"/>
                <w:highlight w:val="none"/>
              </w:rPr>
              <w:t>时间</w:t>
            </w:r>
          </w:p>
        </w:tc>
        <w:tc>
          <w:tcPr>
            <w:tcW w:w="6651" w:type="dxa"/>
            <w:vAlign w:val="center"/>
          </w:tcPr>
          <w:p w14:paraId="6C718D0B">
            <w:pPr>
              <w:pStyle w:val="137"/>
              <w:jc w:val="center"/>
              <w:outlineLvl w:val="0"/>
              <w:rPr>
                <w:color w:val="auto"/>
                <w:szCs w:val="21"/>
                <w:highlight w:val="none"/>
              </w:rPr>
            </w:pPr>
          </w:p>
        </w:tc>
      </w:tr>
      <w:tr w14:paraId="54BBE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2F891FF4">
            <w:pPr>
              <w:pStyle w:val="137"/>
              <w:jc w:val="center"/>
              <w:outlineLvl w:val="0"/>
              <w:rPr>
                <w:color w:val="auto"/>
                <w:szCs w:val="21"/>
                <w:highlight w:val="none"/>
              </w:rPr>
            </w:pPr>
            <w:r>
              <w:rPr>
                <w:color w:val="auto"/>
                <w:szCs w:val="21"/>
                <w:highlight w:val="none"/>
              </w:rPr>
              <w:t>项目规模</w:t>
            </w:r>
          </w:p>
        </w:tc>
        <w:tc>
          <w:tcPr>
            <w:tcW w:w="6651" w:type="dxa"/>
            <w:vAlign w:val="center"/>
          </w:tcPr>
          <w:p w14:paraId="714E5567">
            <w:pPr>
              <w:pStyle w:val="137"/>
              <w:jc w:val="center"/>
              <w:outlineLvl w:val="0"/>
              <w:rPr>
                <w:color w:val="auto"/>
                <w:szCs w:val="21"/>
                <w:highlight w:val="none"/>
              </w:rPr>
            </w:pPr>
          </w:p>
        </w:tc>
      </w:tr>
      <w:tr w14:paraId="6E4B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50D3A836">
            <w:pPr>
              <w:pStyle w:val="137"/>
              <w:jc w:val="center"/>
              <w:outlineLvl w:val="0"/>
              <w:rPr>
                <w:color w:val="auto"/>
                <w:szCs w:val="21"/>
                <w:highlight w:val="none"/>
              </w:rPr>
            </w:pPr>
            <w:r>
              <w:rPr>
                <w:color w:val="auto"/>
                <w:szCs w:val="21"/>
                <w:highlight w:val="none"/>
              </w:rPr>
              <w:t>合同金额</w:t>
            </w:r>
            <w:r>
              <w:rPr>
                <w:rFonts w:hint="eastAsia"/>
                <w:color w:val="auto"/>
                <w:szCs w:val="21"/>
                <w:highlight w:val="none"/>
              </w:rPr>
              <w:t>（元）</w:t>
            </w:r>
          </w:p>
        </w:tc>
        <w:tc>
          <w:tcPr>
            <w:tcW w:w="6651" w:type="dxa"/>
            <w:vAlign w:val="center"/>
          </w:tcPr>
          <w:p w14:paraId="6F1A9397">
            <w:pPr>
              <w:pStyle w:val="137"/>
              <w:jc w:val="center"/>
              <w:outlineLvl w:val="0"/>
              <w:rPr>
                <w:color w:val="auto"/>
                <w:szCs w:val="21"/>
                <w:highlight w:val="none"/>
              </w:rPr>
            </w:pPr>
          </w:p>
        </w:tc>
      </w:tr>
      <w:tr w14:paraId="4064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71B8831B">
            <w:pPr>
              <w:pStyle w:val="137"/>
              <w:jc w:val="center"/>
              <w:outlineLvl w:val="0"/>
              <w:rPr>
                <w:color w:val="auto"/>
                <w:szCs w:val="21"/>
                <w:highlight w:val="none"/>
              </w:rPr>
            </w:pPr>
            <w:r>
              <w:rPr>
                <w:color w:val="auto"/>
                <w:szCs w:val="21"/>
                <w:highlight w:val="none"/>
              </w:rPr>
              <w:t>项目负责人</w:t>
            </w:r>
          </w:p>
        </w:tc>
        <w:tc>
          <w:tcPr>
            <w:tcW w:w="6651" w:type="dxa"/>
            <w:vAlign w:val="center"/>
          </w:tcPr>
          <w:p w14:paraId="385B7D4E">
            <w:pPr>
              <w:pStyle w:val="137"/>
              <w:jc w:val="center"/>
              <w:outlineLvl w:val="0"/>
              <w:rPr>
                <w:color w:val="auto"/>
                <w:szCs w:val="21"/>
                <w:highlight w:val="none"/>
              </w:rPr>
            </w:pPr>
          </w:p>
        </w:tc>
      </w:tr>
      <w:tr w14:paraId="6ED4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2235" w:type="dxa"/>
            <w:vAlign w:val="center"/>
          </w:tcPr>
          <w:p w14:paraId="1CBB04C2">
            <w:pPr>
              <w:pStyle w:val="137"/>
              <w:jc w:val="center"/>
              <w:outlineLvl w:val="0"/>
              <w:rPr>
                <w:color w:val="auto"/>
                <w:szCs w:val="21"/>
                <w:highlight w:val="none"/>
              </w:rPr>
            </w:pPr>
            <w:r>
              <w:rPr>
                <w:color w:val="auto"/>
                <w:szCs w:val="21"/>
                <w:highlight w:val="none"/>
              </w:rPr>
              <w:t>设计内容</w:t>
            </w:r>
          </w:p>
        </w:tc>
        <w:tc>
          <w:tcPr>
            <w:tcW w:w="6651" w:type="dxa"/>
            <w:vAlign w:val="center"/>
          </w:tcPr>
          <w:p w14:paraId="2C885384">
            <w:pPr>
              <w:pStyle w:val="137"/>
              <w:jc w:val="center"/>
              <w:outlineLvl w:val="0"/>
              <w:rPr>
                <w:color w:val="auto"/>
                <w:szCs w:val="21"/>
                <w:highlight w:val="none"/>
              </w:rPr>
            </w:pPr>
          </w:p>
        </w:tc>
      </w:tr>
      <w:tr w14:paraId="5007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7C6337B5">
            <w:pPr>
              <w:pStyle w:val="137"/>
              <w:jc w:val="center"/>
              <w:outlineLvl w:val="0"/>
              <w:rPr>
                <w:color w:val="auto"/>
                <w:szCs w:val="21"/>
                <w:highlight w:val="none"/>
              </w:rPr>
            </w:pPr>
            <w:r>
              <w:rPr>
                <w:color w:val="auto"/>
                <w:szCs w:val="21"/>
                <w:highlight w:val="none"/>
              </w:rPr>
              <w:t>备注</w:t>
            </w:r>
          </w:p>
        </w:tc>
        <w:tc>
          <w:tcPr>
            <w:tcW w:w="6651" w:type="dxa"/>
            <w:vAlign w:val="center"/>
          </w:tcPr>
          <w:p w14:paraId="45378758">
            <w:pPr>
              <w:pStyle w:val="137"/>
              <w:jc w:val="center"/>
              <w:outlineLvl w:val="0"/>
              <w:rPr>
                <w:color w:val="auto"/>
                <w:szCs w:val="21"/>
                <w:highlight w:val="none"/>
              </w:rPr>
            </w:pPr>
          </w:p>
        </w:tc>
      </w:tr>
    </w:tbl>
    <w:p w14:paraId="042D35F7">
      <w:pPr>
        <w:rPr>
          <w:rFonts w:ascii="楷体" w:hAnsi="楷体" w:eastAsia="楷体"/>
          <w:b/>
          <w:bCs/>
          <w:color w:val="auto"/>
          <w:szCs w:val="21"/>
          <w:highlight w:val="none"/>
        </w:rPr>
      </w:pPr>
      <w:r>
        <w:rPr>
          <w:rFonts w:ascii="楷体" w:hAnsi="楷体" w:eastAsia="楷体"/>
          <w:b/>
          <w:bCs/>
          <w:color w:val="auto"/>
          <w:szCs w:val="21"/>
          <w:highlight w:val="none"/>
        </w:rPr>
        <w:t>备注</w:t>
      </w:r>
      <w:r>
        <w:rPr>
          <w:rFonts w:hint="eastAsia" w:ascii="楷体" w:hAnsi="楷体" w:eastAsia="楷体"/>
          <w:b/>
          <w:bCs/>
          <w:color w:val="auto"/>
          <w:szCs w:val="21"/>
          <w:highlight w:val="none"/>
        </w:rPr>
        <w:t>：</w:t>
      </w:r>
    </w:p>
    <w:p w14:paraId="35EF0F73">
      <w:pPr>
        <w:ind w:firstLine="422" w:firstLineChars="200"/>
        <w:rPr>
          <w:rFonts w:ascii="楷体" w:hAnsi="楷体" w:eastAsia="楷体"/>
          <w:b/>
          <w:bCs/>
          <w:color w:val="auto"/>
          <w:szCs w:val="21"/>
          <w:highlight w:val="none"/>
        </w:rPr>
      </w:pPr>
      <w:r>
        <w:rPr>
          <w:rFonts w:hint="eastAsia" w:ascii="楷体" w:hAnsi="楷体" w:eastAsia="楷体"/>
          <w:b/>
          <w:bCs/>
          <w:color w:val="auto"/>
          <w:szCs w:val="21"/>
          <w:highlight w:val="none"/>
        </w:rPr>
        <w:t>1、完成的工程业绩需从“桂建云”平台导入相关证明材料，内容包括施工图审查合格报告书等证明、中标通知书或直接发包通知书、项目合同或协议书等。如进行设计方案招标（不含施工图部分内容）的，对应的方案或初步设计批复文件可作为已完成项目依据。</w:t>
      </w:r>
    </w:p>
    <w:p w14:paraId="5D2D1D78">
      <w:pPr>
        <w:ind w:firstLine="422" w:firstLineChars="200"/>
        <w:rPr>
          <w:rFonts w:ascii="楷体" w:hAnsi="楷体" w:eastAsia="楷体_GB2312"/>
          <w:b/>
          <w:bCs/>
          <w:color w:val="auto"/>
          <w:szCs w:val="21"/>
          <w:highlight w:val="none"/>
        </w:rPr>
      </w:pPr>
      <w:r>
        <w:rPr>
          <w:rFonts w:hint="eastAsia" w:ascii="楷体" w:hAnsi="楷体" w:eastAsia="楷体"/>
          <w:b/>
          <w:bCs/>
          <w:color w:val="auto"/>
          <w:szCs w:val="21"/>
          <w:highlight w:val="none"/>
        </w:rPr>
        <w:t>2、</w:t>
      </w:r>
      <w:r>
        <w:rPr>
          <w:rFonts w:hint="eastAsia" w:eastAsia="楷体_GB2312"/>
          <w:b/>
          <w:bCs/>
          <w:color w:val="auto"/>
          <w:highlight w:val="none"/>
        </w:rPr>
        <w:t>项目</w:t>
      </w:r>
      <w:r>
        <w:rPr>
          <w:rFonts w:eastAsia="楷体_GB2312"/>
          <w:b/>
          <w:bCs/>
          <w:color w:val="auto"/>
          <w:highlight w:val="none"/>
        </w:rPr>
        <w:t>数</w:t>
      </w:r>
      <w:r>
        <w:rPr>
          <w:rFonts w:hint="eastAsia" w:eastAsia="楷体_GB2312"/>
          <w:b/>
          <w:bCs/>
          <w:color w:val="auto"/>
          <w:highlight w:val="none"/>
        </w:rPr>
        <w:t>可</w:t>
      </w:r>
      <w:r>
        <w:rPr>
          <w:rFonts w:eastAsia="楷体_GB2312"/>
          <w:b/>
          <w:bCs/>
          <w:color w:val="auto"/>
          <w:highlight w:val="none"/>
        </w:rPr>
        <w:t>根据需要增加</w:t>
      </w:r>
      <w:r>
        <w:rPr>
          <w:rFonts w:hint="eastAsia" w:eastAsia="楷体_GB2312"/>
          <w:b/>
          <w:bCs/>
          <w:color w:val="auto"/>
          <w:highlight w:val="none"/>
        </w:rPr>
        <w:t>。</w:t>
      </w:r>
    </w:p>
    <w:p w14:paraId="72FF32E7">
      <w:pPr>
        <w:ind w:firstLine="422" w:firstLineChars="200"/>
        <w:rPr>
          <w:rFonts w:ascii="楷体" w:hAnsi="楷体" w:eastAsia="楷体"/>
          <w:b/>
          <w:bCs/>
          <w:color w:val="auto"/>
          <w:szCs w:val="21"/>
          <w:highlight w:val="none"/>
        </w:rPr>
      </w:pPr>
      <w:r>
        <w:rPr>
          <w:rFonts w:hint="eastAsia" w:ascii="楷体" w:hAnsi="楷体" w:eastAsia="楷体"/>
          <w:b/>
          <w:bCs/>
          <w:color w:val="auto"/>
          <w:szCs w:val="21"/>
          <w:highlight w:val="none"/>
        </w:rPr>
        <w:t>3、相关信息应与“桂建云”系统信息一致，否则评审时不予承认。</w:t>
      </w:r>
    </w:p>
    <w:p w14:paraId="54395363">
      <w:pPr>
        <w:ind w:firstLine="420" w:firstLineChars="200"/>
        <w:rPr>
          <w:rFonts w:ascii="楷体" w:hAnsi="楷体" w:eastAsia="楷体"/>
          <w:color w:val="auto"/>
          <w:szCs w:val="21"/>
          <w:highlight w:val="none"/>
        </w:rPr>
        <w:sectPr>
          <w:pgSz w:w="11907" w:h="16840"/>
          <w:pgMar w:top="1440" w:right="1440" w:bottom="1440" w:left="1797" w:header="851" w:footer="851" w:gutter="0"/>
          <w:cols w:space="720" w:num="1"/>
          <w:docGrid w:linePitch="312" w:charSpace="0"/>
        </w:sectPr>
      </w:pPr>
    </w:p>
    <w:p w14:paraId="75BF6307">
      <w:pPr>
        <w:spacing w:line="360" w:lineRule="auto"/>
        <w:ind w:right="420"/>
        <w:jc w:val="center"/>
        <w:rPr>
          <w:color w:val="auto"/>
          <w:szCs w:val="21"/>
          <w:highlight w:val="none"/>
        </w:rPr>
      </w:pPr>
      <w:r>
        <w:rPr>
          <w:rFonts w:hint="eastAsia" w:ascii="宋体" w:hAnsi="宋体"/>
          <w:b/>
          <w:color w:val="auto"/>
          <w:sz w:val="28"/>
          <w:szCs w:val="28"/>
          <w:highlight w:val="none"/>
        </w:rPr>
        <w:t>（二）正在实施和新承接的</w:t>
      </w:r>
      <w:r>
        <w:rPr>
          <w:rFonts w:ascii="宋体" w:hAnsi="宋体"/>
          <w:b/>
          <w:color w:val="auto"/>
          <w:sz w:val="28"/>
          <w:szCs w:val="28"/>
          <w:highlight w:val="none"/>
        </w:rPr>
        <w:t>类似工程设计项目</w:t>
      </w:r>
      <w:r>
        <w:rPr>
          <w:rFonts w:hint="eastAsia" w:ascii="宋体" w:hAnsi="宋体"/>
          <w:b/>
          <w:color w:val="auto"/>
          <w:sz w:val="28"/>
          <w:szCs w:val="28"/>
          <w:highlight w:val="none"/>
        </w:rPr>
        <w:t>（如有）</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6651"/>
      </w:tblGrid>
      <w:tr w14:paraId="7C0F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0E3233CF">
            <w:pPr>
              <w:pStyle w:val="137"/>
              <w:jc w:val="center"/>
              <w:outlineLvl w:val="0"/>
              <w:rPr>
                <w:color w:val="auto"/>
                <w:szCs w:val="21"/>
                <w:highlight w:val="none"/>
              </w:rPr>
            </w:pPr>
            <w:r>
              <w:rPr>
                <w:color w:val="auto"/>
                <w:szCs w:val="21"/>
                <w:highlight w:val="none"/>
              </w:rPr>
              <w:t>项目名称</w:t>
            </w:r>
          </w:p>
        </w:tc>
        <w:tc>
          <w:tcPr>
            <w:tcW w:w="6651" w:type="dxa"/>
            <w:vAlign w:val="center"/>
          </w:tcPr>
          <w:p w14:paraId="06999408">
            <w:pPr>
              <w:pStyle w:val="137"/>
              <w:jc w:val="center"/>
              <w:outlineLvl w:val="0"/>
              <w:rPr>
                <w:color w:val="auto"/>
                <w:szCs w:val="21"/>
                <w:highlight w:val="none"/>
              </w:rPr>
            </w:pPr>
          </w:p>
        </w:tc>
      </w:tr>
      <w:tr w14:paraId="75A9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42A19A57">
            <w:pPr>
              <w:pStyle w:val="137"/>
              <w:jc w:val="center"/>
              <w:outlineLvl w:val="0"/>
              <w:rPr>
                <w:color w:val="auto"/>
                <w:szCs w:val="21"/>
                <w:highlight w:val="none"/>
              </w:rPr>
            </w:pPr>
            <w:r>
              <w:rPr>
                <w:color w:val="auto"/>
                <w:szCs w:val="21"/>
                <w:highlight w:val="none"/>
              </w:rPr>
              <w:t>项目所在地</w:t>
            </w:r>
          </w:p>
        </w:tc>
        <w:tc>
          <w:tcPr>
            <w:tcW w:w="6651" w:type="dxa"/>
            <w:vAlign w:val="center"/>
          </w:tcPr>
          <w:p w14:paraId="693B34D8">
            <w:pPr>
              <w:pStyle w:val="137"/>
              <w:jc w:val="center"/>
              <w:outlineLvl w:val="0"/>
              <w:rPr>
                <w:color w:val="auto"/>
                <w:szCs w:val="21"/>
                <w:highlight w:val="none"/>
              </w:rPr>
            </w:pPr>
          </w:p>
        </w:tc>
      </w:tr>
      <w:tr w14:paraId="43DF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577405CA">
            <w:pPr>
              <w:pStyle w:val="137"/>
              <w:jc w:val="center"/>
              <w:outlineLvl w:val="0"/>
              <w:rPr>
                <w:color w:val="auto"/>
                <w:szCs w:val="21"/>
                <w:highlight w:val="none"/>
              </w:rPr>
            </w:pPr>
            <w:r>
              <w:rPr>
                <w:color w:val="auto"/>
                <w:szCs w:val="21"/>
                <w:highlight w:val="none"/>
              </w:rPr>
              <w:t>建设单位</w:t>
            </w:r>
          </w:p>
        </w:tc>
        <w:tc>
          <w:tcPr>
            <w:tcW w:w="6651" w:type="dxa"/>
            <w:vAlign w:val="center"/>
          </w:tcPr>
          <w:p w14:paraId="2A5119A1">
            <w:pPr>
              <w:pStyle w:val="137"/>
              <w:jc w:val="center"/>
              <w:outlineLvl w:val="0"/>
              <w:rPr>
                <w:color w:val="auto"/>
                <w:szCs w:val="21"/>
                <w:highlight w:val="none"/>
              </w:rPr>
            </w:pPr>
          </w:p>
        </w:tc>
      </w:tr>
      <w:tr w14:paraId="58B9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0C72103A">
            <w:pPr>
              <w:pStyle w:val="137"/>
              <w:jc w:val="center"/>
              <w:outlineLvl w:val="0"/>
              <w:rPr>
                <w:color w:val="auto"/>
                <w:szCs w:val="21"/>
                <w:highlight w:val="none"/>
              </w:rPr>
            </w:pPr>
            <w:r>
              <w:rPr>
                <w:color w:val="auto"/>
                <w:szCs w:val="21"/>
                <w:highlight w:val="none"/>
              </w:rPr>
              <w:t>合同签订时间</w:t>
            </w:r>
          </w:p>
        </w:tc>
        <w:tc>
          <w:tcPr>
            <w:tcW w:w="6651" w:type="dxa"/>
            <w:vAlign w:val="center"/>
          </w:tcPr>
          <w:p w14:paraId="0BFE8DE2">
            <w:pPr>
              <w:pStyle w:val="137"/>
              <w:jc w:val="center"/>
              <w:outlineLvl w:val="0"/>
              <w:rPr>
                <w:color w:val="auto"/>
                <w:szCs w:val="21"/>
                <w:highlight w:val="none"/>
              </w:rPr>
            </w:pPr>
            <w:r>
              <w:rPr>
                <w:color w:val="auto"/>
                <w:szCs w:val="21"/>
                <w:highlight w:val="none"/>
              </w:rPr>
              <w:t>年</w:t>
            </w:r>
            <w:r>
              <w:rPr>
                <w:rFonts w:hint="eastAsia"/>
                <w:color w:val="auto"/>
                <w:szCs w:val="21"/>
                <w:highlight w:val="none"/>
              </w:rPr>
              <w:t xml:space="preserve"> </w:t>
            </w:r>
            <w:r>
              <w:rPr>
                <w:color w:val="auto"/>
                <w:szCs w:val="21"/>
                <w:highlight w:val="none"/>
              </w:rPr>
              <w:t xml:space="preserve">  月</w:t>
            </w:r>
          </w:p>
        </w:tc>
      </w:tr>
      <w:tr w14:paraId="656E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06CEF762">
            <w:pPr>
              <w:pStyle w:val="137"/>
              <w:jc w:val="center"/>
              <w:outlineLvl w:val="0"/>
              <w:rPr>
                <w:color w:val="auto"/>
                <w:szCs w:val="21"/>
                <w:highlight w:val="none"/>
              </w:rPr>
            </w:pPr>
            <w:r>
              <w:rPr>
                <w:color w:val="auto"/>
                <w:szCs w:val="21"/>
                <w:highlight w:val="none"/>
              </w:rPr>
              <w:t>项目规模</w:t>
            </w:r>
          </w:p>
        </w:tc>
        <w:tc>
          <w:tcPr>
            <w:tcW w:w="6651" w:type="dxa"/>
            <w:vAlign w:val="center"/>
          </w:tcPr>
          <w:p w14:paraId="2B869374">
            <w:pPr>
              <w:pStyle w:val="137"/>
              <w:jc w:val="center"/>
              <w:outlineLvl w:val="0"/>
              <w:rPr>
                <w:color w:val="auto"/>
                <w:szCs w:val="21"/>
                <w:highlight w:val="none"/>
              </w:rPr>
            </w:pPr>
          </w:p>
        </w:tc>
      </w:tr>
      <w:tr w14:paraId="13E0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6943EF97">
            <w:pPr>
              <w:pStyle w:val="137"/>
              <w:jc w:val="center"/>
              <w:outlineLvl w:val="0"/>
              <w:rPr>
                <w:color w:val="auto"/>
                <w:szCs w:val="21"/>
                <w:highlight w:val="none"/>
              </w:rPr>
            </w:pPr>
            <w:r>
              <w:rPr>
                <w:color w:val="auto"/>
                <w:szCs w:val="21"/>
                <w:highlight w:val="none"/>
              </w:rPr>
              <w:t>合同金额</w:t>
            </w:r>
            <w:r>
              <w:rPr>
                <w:rFonts w:hint="eastAsia"/>
                <w:color w:val="auto"/>
                <w:szCs w:val="21"/>
                <w:highlight w:val="none"/>
              </w:rPr>
              <w:t>（元）</w:t>
            </w:r>
          </w:p>
        </w:tc>
        <w:tc>
          <w:tcPr>
            <w:tcW w:w="6651" w:type="dxa"/>
            <w:vAlign w:val="center"/>
          </w:tcPr>
          <w:p w14:paraId="0E40FBD6">
            <w:pPr>
              <w:pStyle w:val="137"/>
              <w:jc w:val="center"/>
              <w:outlineLvl w:val="0"/>
              <w:rPr>
                <w:color w:val="auto"/>
                <w:szCs w:val="21"/>
                <w:highlight w:val="none"/>
              </w:rPr>
            </w:pPr>
          </w:p>
        </w:tc>
      </w:tr>
      <w:tr w14:paraId="0C34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65727C87">
            <w:pPr>
              <w:pStyle w:val="137"/>
              <w:jc w:val="center"/>
              <w:outlineLvl w:val="0"/>
              <w:rPr>
                <w:color w:val="auto"/>
                <w:szCs w:val="21"/>
                <w:highlight w:val="none"/>
              </w:rPr>
            </w:pPr>
            <w:r>
              <w:rPr>
                <w:color w:val="auto"/>
                <w:szCs w:val="21"/>
                <w:highlight w:val="none"/>
              </w:rPr>
              <w:t>项目负责人</w:t>
            </w:r>
          </w:p>
        </w:tc>
        <w:tc>
          <w:tcPr>
            <w:tcW w:w="6651" w:type="dxa"/>
            <w:vAlign w:val="center"/>
          </w:tcPr>
          <w:p w14:paraId="75624BC2">
            <w:pPr>
              <w:pStyle w:val="137"/>
              <w:jc w:val="center"/>
              <w:outlineLvl w:val="0"/>
              <w:rPr>
                <w:color w:val="auto"/>
                <w:szCs w:val="21"/>
                <w:highlight w:val="none"/>
              </w:rPr>
            </w:pPr>
          </w:p>
        </w:tc>
      </w:tr>
      <w:tr w14:paraId="459C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2235" w:type="dxa"/>
            <w:vAlign w:val="center"/>
          </w:tcPr>
          <w:p w14:paraId="23A9D6C2">
            <w:pPr>
              <w:pStyle w:val="137"/>
              <w:jc w:val="center"/>
              <w:outlineLvl w:val="0"/>
              <w:rPr>
                <w:color w:val="auto"/>
                <w:szCs w:val="21"/>
                <w:highlight w:val="none"/>
              </w:rPr>
            </w:pPr>
            <w:r>
              <w:rPr>
                <w:color w:val="auto"/>
                <w:szCs w:val="21"/>
                <w:highlight w:val="none"/>
              </w:rPr>
              <w:t>设计内容</w:t>
            </w:r>
          </w:p>
        </w:tc>
        <w:tc>
          <w:tcPr>
            <w:tcW w:w="6651" w:type="dxa"/>
            <w:vAlign w:val="center"/>
          </w:tcPr>
          <w:p w14:paraId="13186B46">
            <w:pPr>
              <w:pStyle w:val="137"/>
              <w:jc w:val="center"/>
              <w:outlineLvl w:val="0"/>
              <w:rPr>
                <w:color w:val="auto"/>
                <w:szCs w:val="21"/>
                <w:highlight w:val="none"/>
              </w:rPr>
            </w:pPr>
          </w:p>
        </w:tc>
      </w:tr>
      <w:tr w14:paraId="79C9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6EC2BAA3">
            <w:pPr>
              <w:pStyle w:val="137"/>
              <w:jc w:val="center"/>
              <w:outlineLvl w:val="0"/>
              <w:rPr>
                <w:color w:val="auto"/>
                <w:szCs w:val="21"/>
                <w:highlight w:val="none"/>
              </w:rPr>
            </w:pPr>
            <w:r>
              <w:rPr>
                <w:color w:val="auto"/>
                <w:szCs w:val="21"/>
                <w:highlight w:val="none"/>
              </w:rPr>
              <w:t>备注</w:t>
            </w:r>
          </w:p>
        </w:tc>
        <w:tc>
          <w:tcPr>
            <w:tcW w:w="6651" w:type="dxa"/>
            <w:vAlign w:val="center"/>
          </w:tcPr>
          <w:p w14:paraId="54139FC7">
            <w:pPr>
              <w:pStyle w:val="137"/>
              <w:jc w:val="center"/>
              <w:outlineLvl w:val="0"/>
              <w:rPr>
                <w:color w:val="auto"/>
                <w:szCs w:val="21"/>
                <w:highlight w:val="none"/>
              </w:rPr>
            </w:pPr>
          </w:p>
        </w:tc>
      </w:tr>
    </w:tbl>
    <w:p w14:paraId="22532A5A">
      <w:pPr>
        <w:ind w:firstLine="420" w:firstLineChars="200"/>
        <w:rPr>
          <w:rFonts w:ascii="楷体" w:hAnsi="楷体" w:eastAsia="楷体"/>
          <w:color w:val="auto"/>
          <w:szCs w:val="21"/>
          <w:highlight w:val="none"/>
        </w:rPr>
      </w:pPr>
    </w:p>
    <w:p w14:paraId="59C57A2C">
      <w:pPr>
        <w:rPr>
          <w:rFonts w:ascii="楷体" w:hAnsi="楷体" w:eastAsia="楷体"/>
          <w:b/>
          <w:bCs/>
          <w:color w:val="auto"/>
          <w:szCs w:val="21"/>
          <w:highlight w:val="none"/>
        </w:rPr>
      </w:pPr>
      <w:r>
        <w:rPr>
          <w:rFonts w:ascii="楷体" w:hAnsi="楷体" w:eastAsia="楷体"/>
          <w:b/>
          <w:bCs/>
          <w:color w:val="auto"/>
          <w:szCs w:val="21"/>
          <w:highlight w:val="none"/>
        </w:rPr>
        <w:t>备注</w:t>
      </w:r>
      <w:r>
        <w:rPr>
          <w:rFonts w:hint="eastAsia" w:ascii="楷体" w:hAnsi="楷体" w:eastAsia="楷体"/>
          <w:b/>
          <w:bCs/>
          <w:color w:val="auto"/>
          <w:szCs w:val="21"/>
          <w:highlight w:val="none"/>
        </w:rPr>
        <w:t>：</w:t>
      </w:r>
    </w:p>
    <w:p w14:paraId="4AECA2E1">
      <w:pPr>
        <w:ind w:firstLine="422" w:firstLineChars="200"/>
        <w:rPr>
          <w:rFonts w:ascii="楷体" w:hAnsi="楷体" w:eastAsia="楷体"/>
          <w:b/>
          <w:bCs/>
          <w:color w:val="auto"/>
          <w:szCs w:val="21"/>
          <w:highlight w:val="none"/>
        </w:rPr>
      </w:pPr>
      <w:r>
        <w:rPr>
          <w:rFonts w:hint="eastAsia" w:ascii="楷体" w:hAnsi="楷体" w:eastAsia="楷体"/>
          <w:b/>
          <w:bCs/>
          <w:color w:val="auto"/>
          <w:szCs w:val="21"/>
          <w:highlight w:val="none"/>
        </w:rPr>
        <w:t>1、正在</w:t>
      </w:r>
      <w:r>
        <w:rPr>
          <w:rFonts w:ascii="楷体" w:hAnsi="楷体" w:eastAsia="楷体"/>
          <w:b/>
          <w:bCs/>
          <w:color w:val="auto"/>
          <w:szCs w:val="21"/>
          <w:highlight w:val="none"/>
        </w:rPr>
        <w:t>实施和新</w:t>
      </w:r>
      <w:r>
        <w:rPr>
          <w:rFonts w:hint="eastAsia" w:ascii="楷体" w:hAnsi="楷体" w:eastAsia="楷体"/>
          <w:b/>
          <w:bCs/>
          <w:color w:val="auto"/>
          <w:szCs w:val="21"/>
          <w:highlight w:val="none"/>
        </w:rPr>
        <w:t>承接</w:t>
      </w:r>
      <w:r>
        <w:rPr>
          <w:rFonts w:ascii="楷体" w:hAnsi="楷体" w:eastAsia="楷体"/>
          <w:b/>
          <w:bCs/>
          <w:color w:val="auto"/>
          <w:szCs w:val="21"/>
          <w:highlight w:val="none"/>
        </w:rPr>
        <w:t>的工程业绩需从</w:t>
      </w:r>
      <w:r>
        <w:rPr>
          <w:rFonts w:hint="eastAsia" w:ascii="楷体" w:hAnsi="楷体" w:eastAsia="楷体"/>
          <w:b/>
          <w:bCs/>
          <w:color w:val="auto"/>
          <w:szCs w:val="21"/>
          <w:highlight w:val="none"/>
        </w:rPr>
        <w:t>“桂建云”系统导入相关证明材料，内容包括中标通知书或直接发包通知书、项目合同或协议书等。</w:t>
      </w:r>
    </w:p>
    <w:p w14:paraId="69967C17">
      <w:pPr>
        <w:ind w:firstLine="422" w:firstLineChars="200"/>
        <w:rPr>
          <w:rFonts w:ascii="楷体" w:hAnsi="楷体" w:eastAsia="楷体_GB2312"/>
          <w:b/>
          <w:bCs/>
          <w:color w:val="auto"/>
          <w:szCs w:val="21"/>
          <w:highlight w:val="none"/>
        </w:rPr>
      </w:pPr>
      <w:r>
        <w:rPr>
          <w:rFonts w:hint="eastAsia" w:ascii="楷体" w:hAnsi="楷体" w:eastAsia="楷体"/>
          <w:b/>
          <w:bCs/>
          <w:color w:val="auto"/>
          <w:szCs w:val="21"/>
          <w:highlight w:val="none"/>
        </w:rPr>
        <w:t>2、</w:t>
      </w:r>
      <w:r>
        <w:rPr>
          <w:rFonts w:hint="eastAsia" w:eastAsia="楷体_GB2312"/>
          <w:b/>
          <w:bCs/>
          <w:color w:val="auto"/>
          <w:highlight w:val="none"/>
        </w:rPr>
        <w:t>项目</w:t>
      </w:r>
      <w:r>
        <w:rPr>
          <w:rFonts w:eastAsia="楷体_GB2312"/>
          <w:b/>
          <w:bCs/>
          <w:color w:val="auto"/>
          <w:highlight w:val="none"/>
        </w:rPr>
        <w:t>数</w:t>
      </w:r>
      <w:r>
        <w:rPr>
          <w:rFonts w:hint="eastAsia" w:eastAsia="楷体_GB2312"/>
          <w:b/>
          <w:bCs/>
          <w:color w:val="auto"/>
          <w:highlight w:val="none"/>
        </w:rPr>
        <w:t>可</w:t>
      </w:r>
      <w:r>
        <w:rPr>
          <w:rFonts w:eastAsia="楷体_GB2312"/>
          <w:b/>
          <w:bCs/>
          <w:color w:val="auto"/>
          <w:highlight w:val="none"/>
        </w:rPr>
        <w:t>根据需要增加</w:t>
      </w:r>
      <w:r>
        <w:rPr>
          <w:rFonts w:hint="eastAsia" w:eastAsia="楷体_GB2312"/>
          <w:b/>
          <w:bCs/>
          <w:color w:val="auto"/>
          <w:highlight w:val="none"/>
        </w:rPr>
        <w:t>。</w:t>
      </w:r>
    </w:p>
    <w:p w14:paraId="164BED9E">
      <w:pPr>
        <w:ind w:firstLine="422" w:firstLineChars="200"/>
        <w:rPr>
          <w:rFonts w:ascii="楷体" w:hAnsi="楷体" w:eastAsia="楷体"/>
          <w:b/>
          <w:bCs/>
          <w:color w:val="auto"/>
          <w:szCs w:val="21"/>
          <w:highlight w:val="none"/>
        </w:rPr>
      </w:pPr>
      <w:r>
        <w:rPr>
          <w:rFonts w:hint="eastAsia" w:ascii="楷体" w:hAnsi="楷体" w:eastAsia="楷体"/>
          <w:b/>
          <w:bCs/>
          <w:color w:val="auto"/>
          <w:szCs w:val="21"/>
          <w:highlight w:val="none"/>
        </w:rPr>
        <w:t>3、相关信息应与“桂建云”系统信息一致，否则评审时不予承认。</w:t>
      </w:r>
    </w:p>
    <w:p w14:paraId="5DB0CE56">
      <w:pPr>
        <w:ind w:firstLine="422" w:firstLineChars="200"/>
        <w:rPr>
          <w:rFonts w:ascii="楷体" w:hAnsi="楷体" w:eastAsia="楷体"/>
          <w:b/>
          <w:bCs/>
          <w:color w:val="auto"/>
          <w:szCs w:val="21"/>
          <w:highlight w:val="none"/>
        </w:rPr>
      </w:pPr>
    </w:p>
    <w:p w14:paraId="2AAF8B24">
      <w:pPr>
        <w:ind w:firstLine="422" w:firstLineChars="200"/>
        <w:rPr>
          <w:rFonts w:ascii="楷体" w:hAnsi="楷体" w:eastAsia="楷体"/>
          <w:b/>
          <w:bCs/>
          <w:color w:val="auto"/>
          <w:szCs w:val="21"/>
          <w:highlight w:val="none"/>
        </w:rPr>
      </w:pPr>
    </w:p>
    <w:p w14:paraId="6CFB01CB">
      <w:pPr>
        <w:ind w:firstLine="422" w:firstLineChars="200"/>
        <w:rPr>
          <w:rFonts w:ascii="楷体" w:hAnsi="楷体" w:eastAsia="楷体"/>
          <w:b/>
          <w:bCs/>
          <w:color w:val="auto"/>
          <w:szCs w:val="21"/>
          <w:highlight w:val="none"/>
        </w:rPr>
      </w:pPr>
    </w:p>
    <w:p w14:paraId="2A0210FD">
      <w:pPr>
        <w:ind w:firstLine="422" w:firstLineChars="200"/>
        <w:rPr>
          <w:rFonts w:ascii="楷体" w:hAnsi="楷体" w:eastAsia="楷体"/>
          <w:b/>
          <w:bCs/>
          <w:color w:val="auto"/>
          <w:szCs w:val="21"/>
          <w:highlight w:val="none"/>
        </w:rPr>
      </w:pPr>
    </w:p>
    <w:p w14:paraId="2AF23E2C">
      <w:pPr>
        <w:ind w:firstLine="422" w:firstLineChars="200"/>
        <w:rPr>
          <w:rFonts w:ascii="楷体" w:hAnsi="楷体" w:eastAsia="楷体"/>
          <w:b/>
          <w:bCs/>
          <w:color w:val="auto"/>
          <w:szCs w:val="21"/>
          <w:highlight w:val="none"/>
        </w:rPr>
      </w:pPr>
    </w:p>
    <w:p w14:paraId="2508C709">
      <w:pPr>
        <w:ind w:firstLine="422" w:firstLineChars="200"/>
        <w:rPr>
          <w:rFonts w:ascii="楷体" w:hAnsi="楷体" w:eastAsia="楷体"/>
          <w:b/>
          <w:bCs/>
          <w:color w:val="auto"/>
          <w:szCs w:val="21"/>
          <w:highlight w:val="none"/>
        </w:rPr>
      </w:pPr>
    </w:p>
    <w:p w14:paraId="071FEFEA">
      <w:pPr>
        <w:ind w:firstLine="422" w:firstLineChars="200"/>
        <w:rPr>
          <w:rFonts w:ascii="楷体" w:hAnsi="楷体" w:eastAsia="楷体"/>
          <w:b/>
          <w:bCs/>
          <w:color w:val="auto"/>
          <w:szCs w:val="21"/>
          <w:highlight w:val="none"/>
        </w:rPr>
      </w:pPr>
    </w:p>
    <w:p w14:paraId="087D3272">
      <w:pPr>
        <w:ind w:firstLine="422" w:firstLineChars="200"/>
        <w:rPr>
          <w:rFonts w:ascii="楷体" w:hAnsi="楷体" w:eastAsia="楷体"/>
          <w:b/>
          <w:bCs/>
          <w:color w:val="auto"/>
          <w:szCs w:val="21"/>
          <w:highlight w:val="none"/>
        </w:rPr>
      </w:pPr>
    </w:p>
    <w:p w14:paraId="6318522A">
      <w:pPr>
        <w:ind w:firstLine="422" w:firstLineChars="200"/>
        <w:rPr>
          <w:rFonts w:ascii="楷体" w:hAnsi="楷体" w:eastAsia="楷体"/>
          <w:b/>
          <w:bCs/>
          <w:color w:val="auto"/>
          <w:szCs w:val="21"/>
          <w:highlight w:val="none"/>
        </w:rPr>
      </w:pPr>
    </w:p>
    <w:p w14:paraId="0A3851A1">
      <w:pPr>
        <w:ind w:firstLine="422" w:firstLineChars="200"/>
        <w:rPr>
          <w:rFonts w:ascii="楷体" w:hAnsi="楷体" w:eastAsia="楷体"/>
          <w:b/>
          <w:bCs/>
          <w:color w:val="auto"/>
          <w:szCs w:val="21"/>
          <w:highlight w:val="none"/>
        </w:rPr>
      </w:pPr>
    </w:p>
    <w:p w14:paraId="408D12D7">
      <w:pPr>
        <w:ind w:firstLine="422" w:firstLineChars="200"/>
        <w:rPr>
          <w:rFonts w:ascii="楷体" w:hAnsi="楷体" w:eastAsia="楷体"/>
          <w:b/>
          <w:bCs/>
          <w:color w:val="auto"/>
          <w:szCs w:val="21"/>
          <w:highlight w:val="none"/>
        </w:rPr>
      </w:pPr>
    </w:p>
    <w:p w14:paraId="234F427E">
      <w:pPr>
        <w:ind w:firstLine="422" w:firstLineChars="200"/>
        <w:rPr>
          <w:rFonts w:ascii="楷体" w:hAnsi="楷体" w:eastAsia="楷体"/>
          <w:b/>
          <w:bCs/>
          <w:color w:val="auto"/>
          <w:szCs w:val="21"/>
          <w:highlight w:val="none"/>
        </w:rPr>
      </w:pPr>
    </w:p>
    <w:p w14:paraId="1E9E501E">
      <w:pPr>
        <w:ind w:firstLine="422" w:firstLineChars="200"/>
        <w:rPr>
          <w:rFonts w:ascii="楷体" w:hAnsi="楷体" w:eastAsia="楷体"/>
          <w:b/>
          <w:bCs/>
          <w:color w:val="auto"/>
          <w:szCs w:val="21"/>
          <w:highlight w:val="none"/>
        </w:rPr>
      </w:pPr>
    </w:p>
    <w:p w14:paraId="1F7DB02A">
      <w:pPr>
        <w:ind w:firstLine="420" w:firstLineChars="200"/>
        <w:rPr>
          <w:rFonts w:ascii="楷体" w:hAnsi="楷体" w:eastAsia="楷体"/>
          <w:color w:val="auto"/>
          <w:szCs w:val="21"/>
          <w:highlight w:val="none"/>
        </w:rPr>
      </w:pPr>
    </w:p>
    <w:p w14:paraId="4F985583">
      <w:pPr>
        <w:spacing w:line="360" w:lineRule="auto"/>
        <w:rPr>
          <w:b/>
          <w:color w:val="auto"/>
          <w:sz w:val="28"/>
          <w:szCs w:val="28"/>
          <w:highlight w:val="none"/>
        </w:rPr>
      </w:pPr>
    </w:p>
    <w:p w14:paraId="25B695B3">
      <w:pPr>
        <w:spacing w:line="360" w:lineRule="auto"/>
        <w:rPr>
          <w:b/>
          <w:color w:val="auto"/>
          <w:sz w:val="28"/>
          <w:szCs w:val="28"/>
          <w:highlight w:val="none"/>
        </w:rPr>
      </w:pPr>
    </w:p>
    <w:p w14:paraId="086585F2">
      <w:pPr>
        <w:spacing w:line="360" w:lineRule="auto"/>
        <w:rPr>
          <w:b/>
          <w:color w:val="auto"/>
          <w:sz w:val="28"/>
          <w:szCs w:val="28"/>
          <w:highlight w:val="none"/>
        </w:rPr>
      </w:pPr>
    </w:p>
    <w:p w14:paraId="07928030">
      <w:pPr>
        <w:spacing w:line="360" w:lineRule="auto"/>
        <w:rPr>
          <w:b/>
          <w:color w:val="auto"/>
          <w:sz w:val="28"/>
          <w:szCs w:val="28"/>
          <w:highlight w:val="none"/>
        </w:rPr>
      </w:pPr>
    </w:p>
    <w:p w14:paraId="01F5C67C">
      <w:pPr>
        <w:spacing w:line="360" w:lineRule="auto"/>
        <w:rPr>
          <w:b/>
          <w:color w:val="auto"/>
          <w:sz w:val="28"/>
          <w:szCs w:val="28"/>
          <w:highlight w:val="none"/>
        </w:rPr>
      </w:pPr>
    </w:p>
    <w:p w14:paraId="3A3A7886">
      <w:pPr>
        <w:spacing w:line="360" w:lineRule="auto"/>
        <w:rPr>
          <w:b/>
          <w:color w:val="auto"/>
          <w:sz w:val="28"/>
          <w:szCs w:val="28"/>
          <w:highlight w:val="none"/>
        </w:rPr>
      </w:pPr>
      <w:r>
        <w:rPr>
          <w:rFonts w:hint="eastAsia"/>
          <w:b/>
          <w:color w:val="auto"/>
          <w:sz w:val="28"/>
          <w:szCs w:val="28"/>
          <w:highlight w:val="none"/>
        </w:rPr>
        <w:t>五、《中小企业声明函》或者《残疾人福利性单位声明函》或者省级以上监狱管理局、戒毒管理局（含新疆生产建设兵团）出具的属于监狱企业的证明文件扫描件（如有）</w:t>
      </w:r>
    </w:p>
    <w:p w14:paraId="7CB66C05">
      <w:pPr>
        <w:ind w:firstLine="420" w:firstLineChars="200"/>
        <w:rPr>
          <w:rFonts w:ascii="楷体" w:hAnsi="楷体" w:eastAsia="楷体"/>
          <w:color w:val="auto"/>
          <w:szCs w:val="21"/>
          <w:highlight w:val="none"/>
        </w:rPr>
      </w:pPr>
    </w:p>
    <w:p w14:paraId="35000598">
      <w:pPr>
        <w:spacing w:line="360" w:lineRule="auto"/>
        <w:ind w:firstLine="562" w:firstLineChars="200"/>
        <w:rPr>
          <w:rFonts w:cs="宋体"/>
          <w:b/>
          <w:bCs/>
          <w:color w:val="auto"/>
          <w:sz w:val="28"/>
          <w:szCs w:val="28"/>
          <w:highlight w:val="none"/>
        </w:rPr>
      </w:pPr>
      <w:r>
        <w:rPr>
          <w:rFonts w:hint="eastAsia" w:cs="宋体"/>
          <w:b/>
          <w:bCs/>
          <w:color w:val="auto"/>
          <w:sz w:val="28"/>
          <w:szCs w:val="28"/>
          <w:highlight w:val="none"/>
        </w:rPr>
        <w:t>（一）中小企业声明函</w:t>
      </w:r>
    </w:p>
    <w:p w14:paraId="66B5C297">
      <w:pPr>
        <w:pStyle w:val="36"/>
        <w:snapToGrid w:val="0"/>
        <w:spacing w:line="300" w:lineRule="auto"/>
        <w:jc w:val="center"/>
        <w:rPr>
          <w:rFonts w:cs="黑体"/>
          <w:b/>
          <w:snapToGrid w:val="0"/>
          <w:color w:val="auto"/>
          <w:highlight w:val="none"/>
        </w:rPr>
      </w:pPr>
      <w:r>
        <w:rPr>
          <w:rFonts w:hint="eastAsia" w:cs="黑体"/>
          <w:b/>
          <w:snapToGrid w:val="0"/>
          <w:color w:val="auto"/>
          <w:highlight w:val="none"/>
        </w:rPr>
        <w:t>中小企业声明函（工程）</w:t>
      </w:r>
    </w:p>
    <w:p w14:paraId="1CFC1E1E">
      <w:pPr>
        <w:spacing w:line="360" w:lineRule="auto"/>
        <w:ind w:firstLine="420"/>
        <w:rPr>
          <w:bCs/>
          <w:color w:val="auto"/>
          <w:highlight w:val="none"/>
        </w:rPr>
      </w:pPr>
      <w:r>
        <w:rPr>
          <w:rFonts w:hint="eastAsia"/>
          <w:bCs/>
          <w:color w:val="auto"/>
          <w:highlight w:val="none"/>
        </w:rPr>
        <w:t>本公司（联合体）郑重声明，根据《政府采购促进中小企业发展管理办法》（财库﹝</w:t>
      </w:r>
      <w:r>
        <w:rPr>
          <w:bCs/>
          <w:color w:val="auto"/>
          <w:highlight w:val="none"/>
        </w:rPr>
        <w:t>2020</w:t>
      </w:r>
      <w:r>
        <w:rPr>
          <w:rFonts w:hint="eastAsia"/>
          <w:bCs/>
          <w:color w:val="auto"/>
          <w:highlight w:val="none"/>
        </w:rPr>
        <w:t>﹞</w:t>
      </w:r>
      <w:r>
        <w:rPr>
          <w:bCs/>
          <w:color w:val="auto"/>
          <w:highlight w:val="none"/>
        </w:rPr>
        <w:t xml:space="preserve">46 </w:t>
      </w:r>
      <w:r>
        <w:rPr>
          <w:rFonts w:hint="eastAsia"/>
          <w:bCs/>
          <w:color w:val="auto"/>
          <w:highlight w:val="none"/>
        </w:rPr>
        <w:t>号）的规定，本公司（联合体）参加</w:t>
      </w:r>
      <w:r>
        <w:rPr>
          <w:rFonts w:hint="eastAsia"/>
          <w:bCs/>
          <w:color w:val="auto"/>
          <w:highlight w:val="none"/>
          <w:u w:val="single"/>
        </w:rPr>
        <w:t>（单位名称）</w:t>
      </w:r>
      <w:r>
        <w:rPr>
          <w:rFonts w:hint="eastAsia"/>
          <w:bCs/>
          <w:color w:val="auto"/>
          <w:highlight w:val="none"/>
        </w:rPr>
        <w:t>的</w:t>
      </w:r>
      <w:r>
        <w:rPr>
          <w:rFonts w:hint="eastAsia"/>
          <w:bCs/>
          <w:color w:val="auto"/>
          <w:highlight w:val="none"/>
          <w:u w:val="single"/>
        </w:rPr>
        <w:t>（项目名称）</w:t>
      </w:r>
      <w:r>
        <w:rPr>
          <w:rFonts w:hint="eastAsia"/>
          <w:bCs/>
          <w:color w:val="auto"/>
          <w:highlight w:val="none"/>
        </w:rPr>
        <w:t>采购活动，工程的施工单位全部为符合政策要求的中小企业。相关企业（含联合体中的中小企业、签订分包意向协议的中小企业）的具体情况如下：</w:t>
      </w:r>
    </w:p>
    <w:p w14:paraId="78FE4155">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w:t>
      </w:r>
      <w:r>
        <w:rPr>
          <w:bCs/>
          <w:color w:val="auto"/>
          <w:highlight w:val="none"/>
          <w:u w:val="single"/>
        </w:rPr>
        <w:t>10.1.5</w:t>
      </w:r>
      <w:r>
        <w:rPr>
          <w:rFonts w:hint="eastAsia"/>
          <w:bCs/>
          <w:color w:val="auto"/>
          <w:highlight w:val="none"/>
          <w:u w:val="single"/>
        </w:rPr>
        <w:t>中明确的所属行业）</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431EE1C4">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w:t>
      </w:r>
      <w:r>
        <w:rPr>
          <w:bCs/>
          <w:color w:val="auto"/>
          <w:highlight w:val="none"/>
          <w:u w:val="single"/>
        </w:rPr>
        <w:t>10.1.5</w:t>
      </w:r>
      <w:r>
        <w:rPr>
          <w:rFonts w:hint="eastAsia"/>
          <w:bCs/>
          <w:color w:val="auto"/>
          <w:highlight w:val="none"/>
          <w:u w:val="single"/>
        </w:rPr>
        <w:t>中明确的所属行业）</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5B196AD4">
      <w:pPr>
        <w:spacing w:line="360" w:lineRule="auto"/>
        <w:ind w:firstLine="420"/>
        <w:rPr>
          <w:bCs/>
          <w:color w:val="auto"/>
          <w:highlight w:val="none"/>
        </w:rPr>
      </w:pPr>
      <w:r>
        <w:rPr>
          <w:rFonts w:hint="eastAsia"/>
          <w:bCs/>
          <w:color w:val="auto"/>
          <w:highlight w:val="none"/>
        </w:rPr>
        <w:t>……</w:t>
      </w:r>
    </w:p>
    <w:p w14:paraId="12656F3D">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7925C301">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52EEB902">
      <w:pPr>
        <w:spacing w:line="360" w:lineRule="auto"/>
        <w:ind w:firstLine="3150" w:firstLineChars="1500"/>
        <w:rPr>
          <w:bCs/>
          <w:color w:val="auto"/>
          <w:highlight w:val="none"/>
        </w:rPr>
      </w:pPr>
      <w:r>
        <w:rPr>
          <w:rFonts w:hint="eastAsia"/>
          <w:bCs/>
          <w:color w:val="auto"/>
          <w:highlight w:val="none"/>
        </w:rPr>
        <w:t>企业名称（盖章）：</w:t>
      </w:r>
    </w:p>
    <w:p w14:paraId="5787EF8E">
      <w:pPr>
        <w:spacing w:line="360" w:lineRule="auto"/>
        <w:ind w:firstLine="3150" w:firstLineChars="1500"/>
        <w:rPr>
          <w:bCs/>
          <w:color w:val="auto"/>
          <w:highlight w:val="none"/>
        </w:rPr>
      </w:pPr>
      <w:r>
        <w:rPr>
          <w:rFonts w:hint="eastAsia"/>
          <w:bCs/>
          <w:color w:val="auto"/>
          <w:highlight w:val="none"/>
        </w:rPr>
        <w:t>日期：</w:t>
      </w:r>
    </w:p>
    <w:p w14:paraId="2D9B544F">
      <w:pPr>
        <w:spacing w:line="360" w:lineRule="auto"/>
        <w:jc w:val="left"/>
        <w:rPr>
          <w:bCs/>
          <w:color w:val="auto"/>
          <w:highlight w:val="none"/>
        </w:rPr>
      </w:pPr>
      <w:r>
        <w:rPr>
          <w:rFonts w:hint="eastAsia"/>
          <w:bCs/>
          <w:color w:val="auto"/>
          <w:highlight w:val="none"/>
        </w:rPr>
        <w:t>注：（</w:t>
      </w:r>
      <w:r>
        <w:rPr>
          <w:bCs/>
          <w:color w:val="auto"/>
          <w:highlight w:val="none"/>
        </w:rPr>
        <w:t>1</w:t>
      </w:r>
      <w:r>
        <w:rPr>
          <w:rFonts w:hint="eastAsia"/>
          <w:bCs/>
          <w:color w:val="auto"/>
          <w:highlight w:val="none"/>
        </w:rPr>
        <w:t>）如投标人为联合体或分包的，声明函中“项目名称”应填写联合体中中小企业承担的具体内容或者中小企业具体分包内容。</w:t>
      </w:r>
    </w:p>
    <w:p w14:paraId="11140572">
      <w:pPr>
        <w:spacing w:line="360" w:lineRule="auto"/>
        <w:jc w:val="left"/>
        <w:rPr>
          <w:bCs/>
          <w:color w:val="auto"/>
          <w:highlight w:val="none"/>
        </w:rPr>
      </w:pPr>
      <w:r>
        <w:rPr>
          <w:rFonts w:hint="eastAsia"/>
          <w:bCs/>
          <w:color w:val="auto"/>
          <w:highlight w:val="none"/>
        </w:rPr>
        <w:t>（</w:t>
      </w:r>
      <w:r>
        <w:rPr>
          <w:bCs/>
          <w:color w:val="auto"/>
          <w:highlight w:val="none"/>
        </w:rPr>
        <w:t>2</w:t>
      </w:r>
      <w:r>
        <w:rPr>
          <w:rFonts w:hint="eastAsia"/>
          <w:bCs/>
          <w:color w:val="auto"/>
          <w:highlight w:val="none"/>
        </w:rPr>
        <w:t>）请根据真实情况出具《中小企业声明函》。</w:t>
      </w:r>
      <w:r>
        <w:rPr>
          <w:rFonts w:hint="eastAsia"/>
          <w:color w:val="auto"/>
          <w:highlight w:val="none"/>
        </w:rPr>
        <w:t>中标候选人享受《政府采购促进中小企业发展管理办法》（财库〔2020〕46号）规定的中小企业扶持政策的，招标人</w:t>
      </w:r>
      <w:r>
        <w:rPr>
          <w:rFonts w:hint="eastAsia" w:cs="宋体"/>
          <w:color w:val="auto"/>
          <w:highlight w:val="none"/>
        </w:rPr>
        <w:t>或者其委托的招标代理机构</w:t>
      </w:r>
      <w:r>
        <w:rPr>
          <w:rFonts w:hint="eastAsia"/>
          <w:color w:val="auto"/>
          <w:highlight w:val="none"/>
        </w:rPr>
        <w:t>应当在公示中标候选人时公开中标候选人的《中小企业声明函》</w:t>
      </w:r>
      <w:r>
        <w:rPr>
          <w:rFonts w:hint="eastAsia"/>
          <w:bCs/>
          <w:color w:val="auto"/>
          <w:highlight w:val="none"/>
        </w:rPr>
        <w:t>，接受社会监督。</w:t>
      </w:r>
    </w:p>
    <w:p w14:paraId="6EA17C97">
      <w:pPr>
        <w:spacing w:line="360" w:lineRule="auto"/>
        <w:rPr>
          <w:bCs/>
          <w:color w:val="auto"/>
          <w:highlight w:val="none"/>
        </w:rPr>
      </w:pPr>
      <w:r>
        <w:rPr>
          <w:rFonts w:hint="eastAsia"/>
          <w:bCs/>
          <w:color w:val="auto"/>
          <w:highlight w:val="none"/>
        </w:rPr>
        <w:t>（</w:t>
      </w:r>
      <w:r>
        <w:rPr>
          <w:bCs/>
          <w:color w:val="auto"/>
          <w:highlight w:val="none"/>
        </w:rPr>
        <w:t>3</w:t>
      </w:r>
      <w:r>
        <w:rPr>
          <w:rFonts w:hint="eastAsia"/>
          <w:bCs/>
          <w:color w:val="auto"/>
          <w:highlight w:val="none"/>
        </w:rPr>
        <w:t>）从业人员、营业收入、资产总额填报上一年度数据，无上一年度数据的新成立企业可不填报。</w:t>
      </w:r>
    </w:p>
    <w:p w14:paraId="64BCEBD3">
      <w:pPr>
        <w:spacing w:line="360" w:lineRule="auto"/>
        <w:rPr>
          <w:bCs/>
          <w:color w:val="auto"/>
          <w:highlight w:val="none"/>
        </w:rPr>
      </w:pPr>
    </w:p>
    <w:p w14:paraId="11D39428">
      <w:pPr>
        <w:spacing w:line="360" w:lineRule="auto"/>
        <w:ind w:firstLine="420" w:firstLineChars="200"/>
        <w:rPr>
          <w:rFonts w:cs="宋体"/>
          <w:b/>
          <w:bCs/>
          <w:color w:val="auto"/>
          <w:sz w:val="28"/>
          <w:szCs w:val="28"/>
          <w:highlight w:val="none"/>
        </w:rPr>
      </w:pPr>
      <w:r>
        <w:rPr>
          <w:color w:val="auto"/>
          <w:highlight w:val="none"/>
        </w:rPr>
        <w:br w:type="page"/>
      </w:r>
      <w:r>
        <w:rPr>
          <w:rFonts w:hint="eastAsia" w:cs="宋体"/>
          <w:b/>
          <w:bCs/>
          <w:color w:val="auto"/>
          <w:sz w:val="28"/>
          <w:szCs w:val="28"/>
          <w:highlight w:val="none"/>
        </w:rPr>
        <w:t>（二）残疾人福利性单位声明函</w:t>
      </w:r>
    </w:p>
    <w:p w14:paraId="34D1525F">
      <w:pPr>
        <w:spacing w:line="360" w:lineRule="auto"/>
        <w:rPr>
          <w:color w:val="auto"/>
          <w:highlight w:val="none"/>
        </w:rPr>
      </w:pPr>
    </w:p>
    <w:p w14:paraId="39CDFC1A">
      <w:pPr>
        <w:spacing w:line="588" w:lineRule="exact"/>
        <w:jc w:val="center"/>
        <w:rPr>
          <w:rFonts w:ascii="宋体" w:hAnsi="宋体" w:cs="方正小标宋简体"/>
          <w:b/>
          <w:bCs/>
          <w:color w:val="auto"/>
          <w:spacing w:val="6"/>
          <w:sz w:val="24"/>
          <w:highlight w:val="none"/>
        </w:rPr>
      </w:pPr>
      <w:r>
        <w:rPr>
          <w:rFonts w:hint="eastAsia" w:ascii="宋体" w:hAnsi="宋体" w:cs="方正小标宋简体"/>
          <w:b/>
          <w:bCs/>
          <w:color w:val="auto"/>
          <w:spacing w:val="6"/>
          <w:sz w:val="24"/>
          <w:highlight w:val="none"/>
        </w:rPr>
        <w:t>残疾人福利性单位声明函</w:t>
      </w:r>
    </w:p>
    <w:p w14:paraId="3F020E07">
      <w:pPr>
        <w:spacing w:line="360" w:lineRule="auto"/>
        <w:rPr>
          <w:rFonts w:ascii="仿宋_GB2312" w:eastAsia="仿宋_GB2312"/>
          <w:bCs/>
          <w:color w:val="auto"/>
          <w:spacing w:val="6"/>
          <w:sz w:val="30"/>
          <w:szCs w:val="30"/>
          <w:highlight w:val="none"/>
        </w:rPr>
      </w:pPr>
    </w:p>
    <w:p w14:paraId="67B01CCF">
      <w:pPr>
        <w:spacing w:line="360" w:lineRule="auto"/>
        <w:ind w:firstLine="444" w:firstLineChars="200"/>
        <w:rPr>
          <w:rFonts w:ascii="宋体" w:hAnsi="宋体"/>
          <w:color w:val="auto"/>
          <w:spacing w:val="6"/>
          <w:highlight w:val="none"/>
        </w:rPr>
      </w:pPr>
      <w:r>
        <w:rPr>
          <w:rFonts w:hint="eastAsia" w:ascii="宋体" w:hAnsi="宋体"/>
          <w:color w:val="auto"/>
          <w:spacing w:val="6"/>
          <w:highlight w:val="none"/>
        </w:rPr>
        <w:t>本单位郑重声明，根据《财政部 民政部 中国残疾人联合会关于促进残疾人就业政府采购政策的通知》（财库</w:t>
      </w:r>
      <w:r>
        <w:rPr>
          <w:rFonts w:hint="eastAsia" w:ascii="宋体" w:hAnsi="宋体"/>
          <w:color w:val="auto"/>
          <w:highlight w:val="none"/>
        </w:rPr>
        <w:t>〔2017〕 141</w:t>
      </w:r>
      <w:r>
        <w:rPr>
          <w:rFonts w:hint="eastAsia" w:ascii="宋体" w:hAnsi="宋体"/>
          <w:color w:val="auto"/>
          <w:spacing w:val="6"/>
          <w:highlight w:val="none"/>
        </w:rPr>
        <w:t>号）的规定，本单位为符合条件的残疾人福利性单位，且本单位参加</w:t>
      </w:r>
      <w:r>
        <w:rPr>
          <w:rFonts w:hint="eastAsia" w:ascii="宋体" w:hAnsi="宋体"/>
          <w:color w:val="auto"/>
          <w:spacing w:val="6"/>
          <w:highlight w:val="none"/>
          <w:u w:val="single"/>
        </w:rPr>
        <w:t>______</w:t>
      </w:r>
      <w:r>
        <w:rPr>
          <w:rFonts w:hint="eastAsia" w:ascii="宋体" w:hAnsi="宋体"/>
          <w:color w:val="auto"/>
          <w:spacing w:val="6"/>
          <w:highlight w:val="none"/>
        </w:rPr>
        <w:t>单位的</w:t>
      </w:r>
      <w:r>
        <w:rPr>
          <w:rFonts w:hint="eastAsia" w:ascii="宋体" w:hAnsi="宋体"/>
          <w:color w:val="auto"/>
          <w:spacing w:val="6"/>
          <w:highlight w:val="none"/>
          <w:u w:val="single"/>
        </w:rPr>
        <w:t>______</w:t>
      </w:r>
      <w:r>
        <w:rPr>
          <w:rFonts w:hint="eastAsia" w:ascii="宋体" w:hAnsi="宋体"/>
          <w:color w:val="auto"/>
          <w:spacing w:val="6"/>
          <w:highlight w:val="none"/>
        </w:rPr>
        <w:t>项目招标活动由本单位承担工程</w:t>
      </w:r>
      <w:r>
        <w:rPr>
          <w:rFonts w:hint="eastAsia" w:ascii="宋体" w:hAnsi="宋体"/>
          <w:color w:val="auto"/>
          <w:spacing w:val="-6"/>
          <w:highlight w:val="none"/>
        </w:rPr>
        <w:t>。</w:t>
      </w:r>
    </w:p>
    <w:p w14:paraId="1FBC4447">
      <w:pPr>
        <w:spacing w:line="360" w:lineRule="auto"/>
        <w:ind w:firstLine="444" w:firstLineChars="200"/>
        <w:rPr>
          <w:rFonts w:ascii="宋体" w:hAnsi="宋体"/>
          <w:color w:val="auto"/>
          <w:spacing w:val="6"/>
          <w:highlight w:val="none"/>
        </w:rPr>
      </w:pPr>
      <w:r>
        <w:rPr>
          <w:rFonts w:hint="eastAsia" w:ascii="宋体" w:hAnsi="宋体"/>
          <w:color w:val="auto"/>
          <w:spacing w:val="6"/>
          <w:highlight w:val="none"/>
        </w:rPr>
        <w:t>本单位对上述声明的真实性负责。如有虚假，将依法承担相应责任。</w:t>
      </w:r>
    </w:p>
    <w:p w14:paraId="52804331">
      <w:pPr>
        <w:spacing w:line="360" w:lineRule="auto"/>
        <w:ind w:firstLine="444" w:firstLineChars="200"/>
        <w:rPr>
          <w:rFonts w:ascii="宋体" w:hAnsi="宋体"/>
          <w:color w:val="auto"/>
          <w:spacing w:val="6"/>
          <w:highlight w:val="none"/>
        </w:rPr>
      </w:pPr>
    </w:p>
    <w:p w14:paraId="6ECD31B8">
      <w:pPr>
        <w:spacing w:line="360" w:lineRule="auto"/>
        <w:ind w:firstLine="444" w:firstLineChars="200"/>
        <w:rPr>
          <w:rFonts w:ascii="宋体" w:hAnsi="宋体"/>
          <w:color w:val="auto"/>
          <w:spacing w:val="6"/>
          <w:highlight w:val="none"/>
        </w:rPr>
      </w:pPr>
    </w:p>
    <w:p w14:paraId="13EA9A8F">
      <w:pPr>
        <w:tabs>
          <w:tab w:val="left" w:pos="4860"/>
        </w:tabs>
        <w:spacing w:line="360" w:lineRule="auto"/>
        <w:ind w:right="1560" w:firstLine="444" w:firstLineChars="200"/>
        <w:contextualSpacing/>
        <w:jc w:val="center"/>
        <w:rPr>
          <w:rFonts w:ascii="宋体" w:hAnsi="宋体"/>
          <w:color w:val="auto"/>
          <w:spacing w:val="6"/>
          <w:highlight w:val="none"/>
        </w:rPr>
      </w:pPr>
      <w:r>
        <w:rPr>
          <w:rFonts w:hint="eastAsia" w:ascii="宋体" w:hAnsi="宋体"/>
          <w:color w:val="auto"/>
          <w:spacing w:val="6"/>
          <w:highlight w:val="none"/>
        </w:rPr>
        <w:t>单位名称（盖公章）：</w:t>
      </w:r>
    </w:p>
    <w:p w14:paraId="611024DA">
      <w:pPr>
        <w:tabs>
          <w:tab w:val="left" w:pos="4860"/>
        </w:tabs>
        <w:spacing w:line="360" w:lineRule="auto"/>
        <w:ind w:right="1560" w:firstLine="444" w:firstLineChars="200"/>
        <w:contextualSpacing/>
        <w:jc w:val="center"/>
        <w:rPr>
          <w:rFonts w:ascii="宋体" w:hAnsi="宋体"/>
          <w:color w:val="auto"/>
          <w:spacing w:val="6"/>
          <w:sz w:val="24"/>
          <w:highlight w:val="none"/>
        </w:rPr>
      </w:pPr>
      <w:r>
        <w:rPr>
          <w:rFonts w:hint="eastAsia" w:ascii="宋体" w:hAnsi="宋体"/>
          <w:color w:val="auto"/>
          <w:spacing w:val="6"/>
          <w:highlight w:val="none"/>
        </w:rPr>
        <w:t>日  期：</w:t>
      </w:r>
    </w:p>
    <w:p w14:paraId="58E8CBD3">
      <w:pPr>
        <w:spacing w:line="440" w:lineRule="exact"/>
        <w:rPr>
          <w:b/>
          <w:color w:val="auto"/>
          <w:sz w:val="28"/>
          <w:szCs w:val="28"/>
          <w:highlight w:val="none"/>
        </w:rPr>
      </w:pPr>
      <w:r>
        <w:rPr>
          <w:color w:val="auto"/>
          <w:highlight w:val="none"/>
        </w:rPr>
        <w:br w:type="page"/>
      </w:r>
      <w:r>
        <w:rPr>
          <w:rFonts w:hint="eastAsia"/>
          <w:b/>
          <w:color w:val="auto"/>
          <w:sz w:val="28"/>
          <w:szCs w:val="28"/>
          <w:highlight w:val="none"/>
        </w:rPr>
        <w:t>六、</w:t>
      </w:r>
      <w:r>
        <w:rPr>
          <w:b/>
          <w:color w:val="auto"/>
          <w:sz w:val="28"/>
          <w:szCs w:val="28"/>
          <w:highlight w:val="none"/>
        </w:rPr>
        <w:t>投标人认为应提交的其他投标资料</w:t>
      </w:r>
      <w:r>
        <w:rPr>
          <w:rFonts w:hint="eastAsia"/>
          <w:b/>
          <w:color w:val="auto"/>
          <w:sz w:val="28"/>
          <w:szCs w:val="28"/>
          <w:highlight w:val="none"/>
        </w:rPr>
        <w:t>。</w:t>
      </w:r>
    </w:p>
    <w:p w14:paraId="6A613281">
      <w:pPr>
        <w:spacing w:line="440" w:lineRule="exact"/>
        <w:rPr>
          <w:b/>
          <w:color w:val="auto"/>
          <w:sz w:val="28"/>
          <w:szCs w:val="28"/>
          <w:highlight w:val="none"/>
        </w:rPr>
      </w:pPr>
    </w:p>
    <w:p w14:paraId="1BE662D5">
      <w:pPr>
        <w:spacing w:line="440" w:lineRule="exact"/>
        <w:rPr>
          <w:b/>
          <w:color w:val="auto"/>
          <w:sz w:val="28"/>
          <w:szCs w:val="28"/>
          <w:highlight w:val="none"/>
        </w:rPr>
      </w:pPr>
    </w:p>
    <w:p w14:paraId="256A4A95">
      <w:pPr>
        <w:spacing w:line="440" w:lineRule="exact"/>
        <w:rPr>
          <w:b/>
          <w:color w:val="auto"/>
          <w:sz w:val="28"/>
          <w:szCs w:val="28"/>
          <w:highlight w:val="none"/>
        </w:rPr>
      </w:pPr>
    </w:p>
    <w:p w14:paraId="0708DB52">
      <w:pPr>
        <w:spacing w:line="440" w:lineRule="exact"/>
        <w:rPr>
          <w:b/>
          <w:color w:val="auto"/>
          <w:sz w:val="28"/>
          <w:szCs w:val="28"/>
          <w:highlight w:val="none"/>
        </w:rPr>
      </w:pPr>
    </w:p>
    <w:p w14:paraId="35CFA46E">
      <w:pPr>
        <w:spacing w:line="440" w:lineRule="exact"/>
        <w:rPr>
          <w:b/>
          <w:color w:val="auto"/>
          <w:sz w:val="28"/>
          <w:szCs w:val="28"/>
          <w:highlight w:val="none"/>
        </w:rPr>
      </w:pPr>
    </w:p>
    <w:p w14:paraId="33249C53">
      <w:pPr>
        <w:spacing w:line="440" w:lineRule="exact"/>
        <w:rPr>
          <w:b/>
          <w:color w:val="auto"/>
          <w:sz w:val="28"/>
          <w:szCs w:val="28"/>
          <w:highlight w:val="none"/>
        </w:rPr>
      </w:pPr>
    </w:p>
    <w:p w14:paraId="4EC620E2">
      <w:pPr>
        <w:spacing w:line="440" w:lineRule="exact"/>
        <w:rPr>
          <w:b/>
          <w:color w:val="auto"/>
          <w:sz w:val="28"/>
          <w:szCs w:val="28"/>
          <w:highlight w:val="none"/>
        </w:rPr>
      </w:pPr>
    </w:p>
    <w:p w14:paraId="355C4F42">
      <w:pPr>
        <w:spacing w:line="440" w:lineRule="exact"/>
        <w:rPr>
          <w:b/>
          <w:color w:val="auto"/>
          <w:sz w:val="28"/>
          <w:szCs w:val="28"/>
          <w:highlight w:val="none"/>
        </w:rPr>
      </w:pPr>
    </w:p>
    <w:p w14:paraId="01AF083E">
      <w:pPr>
        <w:spacing w:line="440" w:lineRule="exact"/>
        <w:rPr>
          <w:b/>
          <w:color w:val="auto"/>
          <w:sz w:val="28"/>
          <w:szCs w:val="28"/>
          <w:highlight w:val="none"/>
        </w:rPr>
      </w:pPr>
    </w:p>
    <w:p w14:paraId="5CC9E0A5">
      <w:pPr>
        <w:spacing w:line="440" w:lineRule="exact"/>
        <w:rPr>
          <w:b/>
          <w:color w:val="auto"/>
          <w:sz w:val="28"/>
          <w:szCs w:val="28"/>
          <w:highlight w:val="none"/>
        </w:rPr>
      </w:pPr>
    </w:p>
    <w:p w14:paraId="05940F46">
      <w:pPr>
        <w:spacing w:line="440" w:lineRule="exact"/>
        <w:rPr>
          <w:b/>
          <w:color w:val="auto"/>
          <w:sz w:val="28"/>
          <w:szCs w:val="28"/>
          <w:highlight w:val="none"/>
        </w:rPr>
      </w:pPr>
    </w:p>
    <w:p w14:paraId="1AF76033">
      <w:pPr>
        <w:spacing w:line="440" w:lineRule="exact"/>
        <w:rPr>
          <w:b/>
          <w:color w:val="auto"/>
          <w:sz w:val="28"/>
          <w:szCs w:val="28"/>
          <w:highlight w:val="none"/>
        </w:rPr>
      </w:pPr>
    </w:p>
    <w:p w14:paraId="27FCEB5C">
      <w:pPr>
        <w:spacing w:line="440" w:lineRule="exact"/>
        <w:rPr>
          <w:b/>
          <w:color w:val="auto"/>
          <w:sz w:val="28"/>
          <w:szCs w:val="28"/>
          <w:highlight w:val="none"/>
        </w:rPr>
      </w:pPr>
    </w:p>
    <w:p w14:paraId="21FE10BD">
      <w:pPr>
        <w:spacing w:line="440" w:lineRule="exact"/>
        <w:rPr>
          <w:b/>
          <w:color w:val="auto"/>
          <w:sz w:val="28"/>
          <w:szCs w:val="28"/>
          <w:highlight w:val="none"/>
        </w:rPr>
      </w:pPr>
    </w:p>
    <w:p w14:paraId="07879016">
      <w:pPr>
        <w:spacing w:line="440" w:lineRule="exact"/>
        <w:rPr>
          <w:b/>
          <w:color w:val="auto"/>
          <w:sz w:val="28"/>
          <w:szCs w:val="28"/>
          <w:highlight w:val="none"/>
        </w:rPr>
      </w:pPr>
    </w:p>
    <w:p w14:paraId="5F399FC4">
      <w:pPr>
        <w:spacing w:line="440" w:lineRule="exact"/>
        <w:rPr>
          <w:b/>
          <w:color w:val="auto"/>
          <w:sz w:val="28"/>
          <w:szCs w:val="28"/>
          <w:highlight w:val="none"/>
        </w:rPr>
      </w:pPr>
    </w:p>
    <w:p w14:paraId="3B9F5755">
      <w:pPr>
        <w:spacing w:line="440" w:lineRule="exact"/>
        <w:rPr>
          <w:b/>
          <w:color w:val="auto"/>
          <w:sz w:val="28"/>
          <w:szCs w:val="28"/>
          <w:highlight w:val="none"/>
        </w:rPr>
      </w:pPr>
    </w:p>
    <w:p w14:paraId="7174D306">
      <w:pPr>
        <w:spacing w:line="440" w:lineRule="exact"/>
        <w:rPr>
          <w:b/>
          <w:color w:val="auto"/>
          <w:sz w:val="28"/>
          <w:szCs w:val="28"/>
          <w:highlight w:val="none"/>
        </w:rPr>
      </w:pPr>
    </w:p>
    <w:p w14:paraId="341EC96B">
      <w:pPr>
        <w:spacing w:line="440" w:lineRule="exact"/>
        <w:rPr>
          <w:b/>
          <w:color w:val="auto"/>
          <w:sz w:val="28"/>
          <w:szCs w:val="28"/>
          <w:highlight w:val="none"/>
        </w:rPr>
      </w:pPr>
    </w:p>
    <w:p w14:paraId="65509EF1">
      <w:pPr>
        <w:spacing w:line="440" w:lineRule="exact"/>
        <w:rPr>
          <w:b/>
          <w:color w:val="auto"/>
          <w:sz w:val="28"/>
          <w:szCs w:val="28"/>
          <w:highlight w:val="none"/>
        </w:rPr>
      </w:pPr>
    </w:p>
    <w:p w14:paraId="4C0D1626">
      <w:pPr>
        <w:jc w:val="center"/>
        <w:rPr>
          <w:color w:val="auto"/>
          <w:sz w:val="28"/>
          <w:szCs w:val="28"/>
          <w:highlight w:val="none"/>
        </w:rPr>
      </w:pPr>
    </w:p>
    <w:p w14:paraId="0CF046C9">
      <w:pPr>
        <w:spacing w:before="240" w:beforeLines="100"/>
        <w:jc w:val="center"/>
        <w:rPr>
          <w:color w:val="auto"/>
          <w:sz w:val="52"/>
          <w:szCs w:val="52"/>
          <w:highlight w:val="none"/>
        </w:rPr>
      </w:pPr>
      <w:r>
        <w:rPr>
          <w:color w:val="auto"/>
          <w:sz w:val="52"/>
          <w:szCs w:val="52"/>
          <w:highlight w:val="none"/>
        </w:rPr>
        <w:br w:type="page"/>
      </w:r>
      <w:r>
        <w:rPr>
          <w:color w:val="auto"/>
          <w:sz w:val="52"/>
          <w:szCs w:val="52"/>
          <w:highlight w:val="none"/>
        </w:rPr>
        <w:t>投  标  文  件</w:t>
      </w:r>
    </w:p>
    <w:p w14:paraId="554BF351">
      <w:pPr>
        <w:jc w:val="center"/>
        <w:rPr>
          <w:color w:val="auto"/>
          <w:sz w:val="32"/>
          <w:szCs w:val="32"/>
          <w:highlight w:val="none"/>
        </w:rPr>
      </w:pPr>
    </w:p>
    <w:p w14:paraId="2B0BC1D3">
      <w:pPr>
        <w:jc w:val="center"/>
        <w:rPr>
          <w:color w:val="auto"/>
          <w:sz w:val="32"/>
          <w:szCs w:val="32"/>
          <w:highlight w:val="none"/>
        </w:rPr>
      </w:pPr>
    </w:p>
    <w:p w14:paraId="39232786">
      <w:pPr>
        <w:jc w:val="center"/>
        <w:rPr>
          <w:color w:val="auto"/>
          <w:sz w:val="32"/>
          <w:szCs w:val="32"/>
          <w:highlight w:val="none"/>
        </w:rPr>
      </w:pPr>
    </w:p>
    <w:p w14:paraId="79CB515A">
      <w:pPr>
        <w:jc w:val="center"/>
        <w:rPr>
          <w:color w:val="auto"/>
          <w:sz w:val="32"/>
          <w:szCs w:val="32"/>
          <w:highlight w:val="none"/>
        </w:rPr>
      </w:pPr>
    </w:p>
    <w:p w14:paraId="5EC4031C">
      <w:pPr>
        <w:spacing w:line="360" w:lineRule="auto"/>
        <w:ind w:firstLine="2380" w:firstLineChars="850"/>
        <w:rPr>
          <w:color w:val="auto"/>
          <w:sz w:val="28"/>
          <w:szCs w:val="28"/>
          <w:highlight w:val="none"/>
          <w:u w:val="single"/>
        </w:rPr>
      </w:pPr>
      <w:r>
        <w:rPr>
          <w:color w:val="auto"/>
          <w:sz w:val="28"/>
          <w:szCs w:val="28"/>
          <w:highlight w:val="none"/>
        </w:rPr>
        <w:t>项目</w:t>
      </w:r>
      <w:r>
        <w:rPr>
          <w:rFonts w:hint="eastAsia"/>
          <w:color w:val="auto"/>
          <w:sz w:val="28"/>
          <w:szCs w:val="28"/>
          <w:highlight w:val="none"/>
        </w:rPr>
        <w:t>招标</w:t>
      </w:r>
      <w:r>
        <w:rPr>
          <w:color w:val="auto"/>
          <w:sz w:val="28"/>
          <w:szCs w:val="28"/>
          <w:highlight w:val="none"/>
        </w:rPr>
        <w:t>编号：</w:t>
      </w:r>
      <w:r>
        <w:rPr>
          <w:color w:val="auto"/>
          <w:sz w:val="28"/>
          <w:szCs w:val="28"/>
          <w:highlight w:val="none"/>
          <w:u w:val="single"/>
        </w:rPr>
        <w:t xml:space="preserve">                   </w:t>
      </w:r>
    </w:p>
    <w:p w14:paraId="7777B5EA">
      <w:pPr>
        <w:jc w:val="center"/>
        <w:rPr>
          <w:color w:val="auto"/>
          <w:sz w:val="32"/>
          <w:szCs w:val="32"/>
          <w:highlight w:val="none"/>
        </w:rPr>
      </w:pPr>
    </w:p>
    <w:p w14:paraId="0E8738F5">
      <w:pPr>
        <w:jc w:val="center"/>
        <w:rPr>
          <w:color w:val="auto"/>
          <w:sz w:val="32"/>
          <w:szCs w:val="32"/>
          <w:highlight w:val="none"/>
        </w:rPr>
      </w:pPr>
    </w:p>
    <w:p w14:paraId="3521FE1A">
      <w:pPr>
        <w:jc w:val="center"/>
        <w:rPr>
          <w:color w:val="auto"/>
          <w:sz w:val="32"/>
          <w:szCs w:val="32"/>
          <w:highlight w:val="none"/>
        </w:rPr>
      </w:pPr>
    </w:p>
    <w:p w14:paraId="76A96C12">
      <w:pPr>
        <w:jc w:val="center"/>
        <w:rPr>
          <w:color w:val="auto"/>
          <w:sz w:val="32"/>
          <w:szCs w:val="32"/>
          <w:highlight w:val="none"/>
        </w:rPr>
      </w:pPr>
    </w:p>
    <w:p w14:paraId="58CFD18D">
      <w:pPr>
        <w:jc w:val="center"/>
        <w:rPr>
          <w:color w:val="auto"/>
          <w:sz w:val="32"/>
          <w:szCs w:val="32"/>
          <w:highlight w:val="none"/>
        </w:rPr>
      </w:pPr>
    </w:p>
    <w:p w14:paraId="03318CB0">
      <w:pPr>
        <w:jc w:val="center"/>
        <w:rPr>
          <w:color w:val="auto"/>
          <w:sz w:val="32"/>
          <w:szCs w:val="32"/>
          <w:highlight w:val="none"/>
        </w:rPr>
      </w:pPr>
    </w:p>
    <w:p w14:paraId="37FA3F9B">
      <w:pPr>
        <w:jc w:val="center"/>
        <w:rPr>
          <w:color w:val="auto"/>
          <w:sz w:val="32"/>
          <w:szCs w:val="32"/>
          <w:highlight w:val="none"/>
        </w:rPr>
      </w:pPr>
    </w:p>
    <w:p w14:paraId="2E9A1C89">
      <w:pPr>
        <w:jc w:val="center"/>
        <w:rPr>
          <w:color w:val="auto"/>
          <w:sz w:val="32"/>
          <w:szCs w:val="32"/>
          <w:highlight w:val="none"/>
        </w:rPr>
      </w:pPr>
    </w:p>
    <w:p w14:paraId="357C6DCD">
      <w:pPr>
        <w:jc w:val="center"/>
        <w:rPr>
          <w:color w:val="auto"/>
          <w:sz w:val="32"/>
          <w:szCs w:val="32"/>
          <w:highlight w:val="none"/>
        </w:rPr>
      </w:pPr>
    </w:p>
    <w:p w14:paraId="18283AA2">
      <w:pPr>
        <w:jc w:val="center"/>
        <w:rPr>
          <w:color w:val="auto"/>
          <w:sz w:val="32"/>
          <w:szCs w:val="32"/>
          <w:highlight w:val="none"/>
        </w:rPr>
      </w:pPr>
    </w:p>
    <w:p w14:paraId="5B1238DD">
      <w:pPr>
        <w:jc w:val="center"/>
        <w:rPr>
          <w:color w:val="auto"/>
          <w:sz w:val="32"/>
          <w:szCs w:val="32"/>
          <w:highlight w:val="none"/>
        </w:rPr>
      </w:pPr>
    </w:p>
    <w:p w14:paraId="08864DD7">
      <w:pPr>
        <w:jc w:val="center"/>
        <w:rPr>
          <w:color w:val="auto"/>
          <w:sz w:val="32"/>
          <w:szCs w:val="32"/>
          <w:highlight w:val="none"/>
        </w:rPr>
      </w:pPr>
    </w:p>
    <w:p w14:paraId="1302F036">
      <w:pPr>
        <w:jc w:val="center"/>
        <w:rPr>
          <w:color w:val="auto"/>
          <w:sz w:val="32"/>
          <w:szCs w:val="32"/>
          <w:highlight w:val="none"/>
        </w:rPr>
      </w:pPr>
    </w:p>
    <w:p w14:paraId="572027E0">
      <w:pPr>
        <w:spacing w:line="360" w:lineRule="auto"/>
        <w:ind w:firstLine="1400" w:firstLineChars="500"/>
        <w:rPr>
          <w:color w:val="auto"/>
          <w:sz w:val="28"/>
          <w:szCs w:val="28"/>
          <w:highlight w:val="none"/>
        </w:rPr>
      </w:pPr>
      <w:r>
        <w:rPr>
          <w:rFonts w:hint="eastAsia"/>
          <w:color w:val="auto"/>
          <w:sz w:val="28"/>
          <w:szCs w:val="28"/>
          <w:highlight w:val="none"/>
        </w:rPr>
        <w:t>投标</w:t>
      </w:r>
      <w:r>
        <w:rPr>
          <w:color w:val="auto"/>
          <w:sz w:val="28"/>
          <w:szCs w:val="28"/>
          <w:highlight w:val="none"/>
        </w:rPr>
        <w:t>内容：</w:t>
      </w:r>
      <w:r>
        <w:rPr>
          <w:color w:val="auto"/>
          <w:sz w:val="28"/>
          <w:szCs w:val="28"/>
          <w:highlight w:val="none"/>
          <w:u w:val="single"/>
        </w:rPr>
        <w:t xml:space="preserve">    </w:t>
      </w:r>
      <w:r>
        <w:rPr>
          <w:rFonts w:hint="eastAsia"/>
          <w:color w:val="auto"/>
          <w:sz w:val="28"/>
          <w:szCs w:val="28"/>
          <w:highlight w:val="none"/>
          <w:u w:val="single"/>
        </w:rPr>
        <w:t>技术标（设计组织实施）</w:t>
      </w:r>
      <w:r>
        <w:rPr>
          <w:color w:val="auto"/>
          <w:sz w:val="28"/>
          <w:szCs w:val="28"/>
          <w:highlight w:val="none"/>
          <w:u w:val="single"/>
        </w:rPr>
        <w:t xml:space="preserve">   </w:t>
      </w:r>
    </w:p>
    <w:p w14:paraId="42A4226B">
      <w:pPr>
        <w:spacing w:line="360" w:lineRule="auto"/>
        <w:ind w:firstLine="1400" w:firstLineChars="500"/>
        <w:rPr>
          <w:color w:val="auto"/>
          <w:sz w:val="28"/>
          <w:szCs w:val="28"/>
          <w:highlight w:val="none"/>
        </w:rPr>
      </w:pPr>
      <w:r>
        <w:rPr>
          <w:rFonts w:hint="eastAsia"/>
          <w:color w:val="auto"/>
          <w:sz w:val="28"/>
          <w:szCs w:val="28"/>
          <w:highlight w:val="none"/>
        </w:rPr>
        <w:t>投标</w:t>
      </w:r>
      <w:r>
        <w:rPr>
          <w:color w:val="auto"/>
          <w:sz w:val="28"/>
          <w:szCs w:val="28"/>
          <w:highlight w:val="none"/>
        </w:rPr>
        <w:t>人：</w:t>
      </w:r>
      <w:r>
        <w:rPr>
          <w:color w:val="auto"/>
          <w:sz w:val="28"/>
          <w:szCs w:val="28"/>
          <w:highlight w:val="none"/>
          <w:u w:val="single"/>
        </w:rPr>
        <w:t xml:space="preserve">                               </w:t>
      </w:r>
      <w:r>
        <w:rPr>
          <w:color w:val="auto"/>
          <w:sz w:val="28"/>
          <w:szCs w:val="28"/>
          <w:highlight w:val="none"/>
        </w:rPr>
        <w:t>（</w:t>
      </w:r>
      <w:r>
        <w:rPr>
          <w:rFonts w:hint="eastAsia"/>
          <w:color w:val="auto"/>
          <w:sz w:val="28"/>
          <w:szCs w:val="28"/>
          <w:highlight w:val="none"/>
        </w:rPr>
        <w:t>盖单位章</w:t>
      </w:r>
      <w:r>
        <w:rPr>
          <w:color w:val="auto"/>
          <w:sz w:val="28"/>
          <w:szCs w:val="28"/>
          <w:highlight w:val="none"/>
        </w:rPr>
        <w:t>）</w:t>
      </w:r>
    </w:p>
    <w:p w14:paraId="33218696">
      <w:pPr>
        <w:jc w:val="center"/>
        <w:rPr>
          <w:color w:val="auto"/>
          <w:sz w:val="28"/>
          <w:szCs w:val="28"/>
          <w:highlight w:val="none"/>
        </w:rPr>
      </w:pPr>
    </w:p>
    <w:p w14:paraId="31596F7E">
      <w:pPr>
        <w:jc w:val="center"/>
        <w:rPr>
          <w:color w:val="auto"/>
          <w:sz w:val="28"/>
          <w:szCs w:val="28"/>
          <w:highlight w:val="none"/>
        </w:rPr>
      </w:pPr>
    </w:p>
    <w:p w14:paraId="19309CB0">
      <w:pPr>
        <w:jc w:val="center"/>
        <w:rPr>
          <w:color w:val="auto"/>
          <w:sz w:val="28"/>
          <w:szCs w:val="28"/>
          <w:highlight w:val="none"/>
        </w:rPr>
      </w:pPr>
      <w:r>
        <w:rPr>
          <w:color w:val="auto"/>
          <w:sz w:val="28"/>
          <w:szCs w:val="28"/>
          <w:highlight w:val="none"/>
          <w:u w:val="single"/>
        </w:rPr>
        <w:t xml:space="preserve">         </w:t>
      </w:r>
      <w:r>
        <w:rPr>
          <w:color w:val="auto"/>
          <w:sz w:val="28"/>
          <w:szCs w:val="28"/>
          <w:highlight w:val="none"/>
        </w:rPr>
        <w:t>年</w:t>
      </w:r>
      <w:r>
        <w:rPr>
          <w:color w:val="auto"/>
          <w:sz w:val="28"/>
          <w:szCs w:val="28"/>
          <w:highlight w:val="none"/>
          <w:u w:val="single"/>
        </w:rPr>
        <w:t xml:space="preserve">         </w:t>
      </w:r>
      <w:r>
        <w:rPr>
          <w:color w:val="auto"/>
          <w:sz w:val="28"/>
          <w:szCs w:val="28"/>
          <w:highlight w:val="none"/>
        </w:rPr>
        <w:t>月</w:t>
      </w:r>
      <w:r>
        <w:rPr>
          <w:color w:val="auto"/>
          <w:sz w:val="28"/>
          <w:szCs w:val="28"/>
          <w:highlight w:val="none"/>
          <w:u w:val="single"/>
        </w:rPr>
        <w:t xml:space="preserve">         </w:t>
      </w:r>
      <w:r>
        <w:rPr>
          <w:color w:val="auto"/>
          <w:sz w:val="28"/>
          <w:szCs w:val="28"/>
          <w:highlight w:val="none"/>
        </w:rPr>
        <w:t>日</w:t>
      </w:r>
    </w:p>
    <w:p w14:paraId="1B6A8472">
      <w:pPr>
        <w:rPr>
          <w:color w:val="auto"/>
          <w:highlight w:val="none"/>
        </w:rPr>
      </w:pPr>
    </w:p>
    <w:p w14:paraId="2F7C690E">
      <w:pPr>
        <w:rPr>
          <w:color w:val="auto"/>
          <w:highlight w:val="none"/>
        </w:rPr>
      </w:pPr>
    </w:p>
    <w:p w14:paraId="6CD21C22">
      <w:pPr>
        <w:rPr>
          <w:color w:val="auto"/>
          <w:highlight w:val="none"/>
        </w:rPr>
      </w:pPr>
    </w:p>
    <w:p w14:paraId="395EDB24">
      <w:pPr>
        <w:rPr>
          <w:color w:val="auto"/>
          <w:highlight w:val="none"/>
        </w:rPr>
      </w:pPr>
    </w:p>
    <w:p w14:paraId="0D0C0C31">
      <w:pPr>
        <w:rPr>
          <w:color w:val="auto"/>
          <w:highlight w:val="none"/>
        </w:rPr>
      </w:pPr>
    </w:p>
    <w:p w14:paraId="3AF4B442">
      <w:pPr>
        <w:rPr>
          <w:color w:val="auto"/>
          <w:highlight w:val="none"/>
        </w:rPr>
      </w:pPr>
    </w:p>
    <w:p w14:paraId="55A990CB">
      <w:pPr>
        <w:rPr>
          <w:color w:val="auto"/>
          <w:highlight w:val="none"/>
        </w:rPr>
      </w:pPr>
    </w:p>
    <w:p w14:paraId="00C0C6A5">
      <w:pPr>
        <w:rPr>
          <w:color w:val="auto"/>
          <w:highlight w:val="none"/>
        </w:rPr>
      </w:pPr>
    </w:p>
    <w:p w14:paraId="38E17956">
      <w:pPr>
        <w:rPr>
          <w:color w:val="auto"/>
          <w:highlight w:val="none"/>
        </w:rPr>
      </w:pPr>
    </w:p>
    <w:p w14:paraId="2AAA064B">
      <w:pPr>
        <w:rPr>
          <w:color w:val="auto"/>
          <w:highlight w:val="none"/>
        </w:rPr>
      </w:pPr>
    </w:p>
    <w:p w14:paraId="7A9A71FB">
      <w:pPr>
        <w:rPr>
          <w:color w:val="auto"/>
          <w:highlight w:val="none"/>
        </w:rPr>
      </w:pPr>
    </w:p>
    <w:p w14:paraId="751A6BFE">
      <w:pPr>
        <w:rPr>
          <w:color w:val="auto"/>
          <w:highlight w:val="none"/>
        </w:rPr>
      </w:pPr>
    </w:p>
    <w:p w14:paraId="56AE5CF3">
      <w:pPr>
        <w:rPr>
          <w:color w:val="auto"/>
          <w:highlight w:val="none"/>
        </w:rPr>
      </w:pPr>
    </w:p>
    <w:p w14:paraId="118019DD">
      <w:pPr>
        <w:rPr>
          <w:color w:val="auto"/>
          <w:highlight w:val="none"/>
        </w:rPr>
      </w:pPr>
    </w:p>
    <w:p w14:paraId="045104E3">
      <w:pPr>
        <w:rPr>
          <w:color w:val="auto"/>
          <w:highlight w:val="none"/>
        </w:rPr>
      </w:pPr>
    </w:p>
    <w:p w14:paraId="55FBCE63">
      <w:pPr>
        <w:spacing w:before="240" w:beforeLines="100" w:after="240" w:afterLines="100"/>
        <w:jc w:val="center"/>
        <w:rPr>
          <w:b/>
          <w:color w:val="auto"/>
          <w:sz w:val="28"/>
          <w:szCs w:val="28"/>
          <w:highlight w:val="none"/>
        </w:rPr>
      </w:pPr>
      <w:r>
        <w:rPr>
          <w:b/>
          <w:color w:val="auto"/>
          <w:sz w:val="28"/>
          <w:szCs w:val="28"/>
          <w:highlight w:val="none"/>
        </w:rPr>
        <w:t>目    录</w:t>
      </w:r>
    </w:p>
    <w:p w14:paraId="57A4A684">
      <w:pPr>
        <w:spacing w:line="360" w:lineRule="auto"/>
        <w:rPr>
          <w:b/>
          <w:color w:val="auto"/>
          <w:sz w:val="28"/>
          <w:szCs w:val="28"/>
          <w:highlight w:val="none"/>
        </w:rPr>
      </w:pPr>
    </w:p>
    <w:p w14:paraId="6806A557">
      <w:pPr>
        <w:spacing w:line="360" w:lineRule="auto"/>
        <w:rPr>
          <w:color w:val="auto"/>
          <w:highlight w:val="none"/>
        </w:rPr>
      </w:pPr>
      <w:r>
        <w:rPr>
          <w:rFonts w:hint="eastAsia"/>
          <w:color w:val="auto"/>
          <w:highlight w:val="none"/>
        </w:rPr>
        <w:t>一、设计实施人员配备；</w:t>
      </w:r>
    </w:p>
    <w:p w14:paraId="09739296">
      <w:pPr>
        <w:spacing w:line="360" w:lineRule="auto"/>
        <w:rPr>
          <w:color w:val="auto"/>
          <w:highlight w:val="none"/>
        </w:rPr>
      </w:pPr>
      <w:r>
        <w:rPr>
          <w:rFonts w:hint="eastAsia"/>
          <w:color w:val="auto"/>
          <w:highlight w:val="none"/>
        </w:rPr>
        <w:t>二、设计实施方案</w:t>
      </w:r>
    </w:p>
    <w:p w14:paraId="3EA1A868">
      <w:pPr>
        <w:spacing w:line="360" w:lineRule="auto"/>
        <w:rPr>
          <w:color w:val="auto"/>
          <w:highlight w:val="none"/>
        </w:rPr>
      </w:pPr>
      <w:r>
        <w:rPr>
          <w:rFonts w:hint="eastAsia"/>
          <w:color w:val="auto"/>
          <w:highlight w:val="none"/>
        </w:rPr>
        <w:t>（一）设计服务方案；</w:t>
      </w:r>
    </w:p>
    <w:p w14:paraId="11F6D501">
      <w:pPr>
        <w:spacing w:line="360" w:lineRule="auto"/>
        <w:rPr>
          <w:color w:val="auto"/>
          <w:highlight w:val="none"/>
        </w:rPr>
      </w:pPr>
      <w:r>
        <w:rPr>
          <w:rFonts w:hint="eastAsia"/>
          <w:color w:val="auto"/>
          <w:highlight w:val="none"/>
        </w:rPr>
        <w:t>（二）设计与发包方前期工作的配合；</w:t>
      </w:r>
    </w:p>
    <w:p w14:paraId="21BC78F6">
      <w:pPr>
        <w:spacing w:line="360" w:lineRule="auto"/>
        <w:rPr>
          <w:b/>
          <w:color w:val="auto"/>
          <w:highlight w:val="none"/>
        </w:rPr>
      </w:pPr>
      <w:r>
        <w:rPr>
          <w:rFonts w:hint="eastAsia"/>
          <w:color w:val="auto"/>
          <w:highlight w:val="none"/>
        </w:rPr>
        <w:t>（三）设计在项目施工过程中的工作配合；</w:t>
      </w:r>
    </w:p>
    <w:p w14:paraId="31FE20A2">
      <w:pPr>
        <w:spacing w:line="360" w:lineRule="auto"/>
        <w:rPr>
          <w:color w:val="auto"/>
          <w:highlight w:val="none"/>
        </w:rPr>
      </w:pPr>
      <w:r>
        <w:rPr>
          <w:rFonts w:hint="eastAsia"/>
          <w:color w:val="auto"/>
          <w:highlight w:val="none"/>
        </w:rPr>
        <w:t>（四）服务响应管理方案；</w:t>
      </w:r>
    </w:p>
    <w:p w14:paraId="5A7A8387">
      <w:pPr>
        <w:spacing w:line="360" w:lineRule="auto"/>
        <w:rPr>
          <w:color w:val="auto"/>
          <w:highlight w:val="none"/>
        </w:rPr>
      </w:pPr>
      <w:r>
        <w:rPr>
          <w:rFonts w:hint="eastAsia"/>
          <w:color w:val="auto"/>
          <w:highlight w:val="none"/>
        </w:rPr>
        <w:t>三、投标人认为有必要提供的其他材料；</w:t>
      </w:r>
    </w:p>
    <w:p w14:paraId="1795415B">
      <w:pPr>
        <w:spacing w:line="360" w:lineRule="auto"/>
        <w:rPr>
          <w:b/>
          <w:color w:val="auto"/>
          <w:sz w:val="28"/>
          <w:szCs w:val="28"/>
          <w:highlight w:val="none"/>
        </w:rPr>
      </w:pPr>
    </w:p>
    <w:p w14:paraId="3A7992DA">
      <w:pPr>
        <w:spacing w:line="440" w:lineRule="exact"/>
        <w:rPr>
          <w:b/>
          <w:color w:val="auto"/>
          <w:sz w:val="28"/>
          <w:szCs w:val="28"/>
          <w:highlight w:val="none"/>
        </w:rPr>
      </w:pPr>
    </w:p>
    <w:p w14:paraId="488AD2EB">
      <w:pPr>
        <w:spacing w:line="440" w:lineRule="exact"/>
        <w:rPr>
          <w:b/>
          <w:color w:val="auto"/>
          <w:sz w:val="28"/>
          <w:szCs w:val="28"/>
          <w:highlight w:val="none"/>
        </w:rPr>
      </w:pPr>
    </w:p>
    <w:p w14:paraId="638323BD">
      <w:pPr>
        <w:spacing w:line="440" w:lineRule="exact"/>
        <w:rPr>
          <w:b/>
          <w:color w:val="auto"/>
          <w:sz w:val="28"/>
          <w:szCs w:val="28"/>
          <w:highlight w:val="none"/>
        </w:rPr>
      </w:pPr>
    </w:p>
    <w:p w14:paraId="7E815861">
      <w:pPr>
        <w:spacing w:line="440" w:lineRule="exact"/>
        <w:rPr>
          <w:b/>
          <w:color w:val="auto"/>
          <w:sz w:val="28"/>
          <w:szCs w:val="28"/>
          <w:highlight w:val="none"/>
        </w:rPr>
      </w:pPr>
    </w:p>
    <w:p w14:paraId="7C045526">
      <w:pPr>
        <w:spacing w:line="440" w:lineRule="exact"/>
        <w:rPr>
          <w:b/>
          <w:color w:val="auto"/>
          <w:sz w:val="28"/>
          <w:szCs w:val="28"/>
          <w:highlight w:val="none"/>
        </w:rPr>
      </w:pPr>
    </w:p>
    <w:p w14:paraId="196DFDFC">
      <w:pPr>
        <w:spacing w:line="440" w:lineRule="exact"/>
        <w:rPr>
          <w:b/>
          <w:color w:val="auto"/>
          <w:sz w:val="28"/>
          <w:szCs w:val="28"/>
          <w:highlight w:val="none"/>
        </w:rPr>
      </w:pPr>
    </w:p>
    <w:p w14:paraId="0A6A2692">
      <w:pPr>
        <w:spacing w:line="440" w:lineRule="exact"/>
        <w:rPr>
          <w:b/>
          <w:color w:val="auto"/>
          <w:sz w:val="28"/>
          <w:szCs w:val="28"/>
          <w:highlight w:val="none"/>
        </w:rPr>
      </w:pPr>
    </w:p>
    <w:p w14:paraId="5534D95E">
      <w:pPr>
        <w:spacing w:line="440" w:lineRule="exact"/>
        <w:rPr>
          <w:b/>
          <w:color w:val="auto"/>
          <w:sz w:val="28"/>
          <w:szCs w:val="28"/>
          <w:highlight w:val="none"/>
        </w:rPr>
      </w:pPr>
    </w:p>
    <w:p w14:paraId="747ECC9C">
      <w:pPr>
        <w:spacing w:line="360" w:lineRule="auto"/>
        <w:jc w:val="center"/>
        <w:rPr>
          <w:b/>
          <w:color w:val="auto"/>
          <w:sz w:val="28"/>
          <w:szCs w:val="28"/>
          <w:highlight w:val="none"/>
        </w:rPr>
      </w:pPr>
      <w:r>
        <w:rPr>
          <w:color w:val="auto"/>
          <w:szCs w:val="21"/>
          <w:highlight w:val="none"/>
        </w:rPr>
        <w:br w:type="page"/>
      </w:r>
      <w:r>
        <w:rPr>
          <w:rFonts w:hint="eastAsia"/>
          <w:b/>
          <w:color w:val="auto"/>
          <w:sz w:val="28"/>
          <w:szCs w:val="28"/>
          <w:highlight w:val="none"/>
        </w:rPr>
        <w:t>一、设计实施人员配备</w:t>
      </w:r>
    </w:p>
    <w:p w14:paraId="387E0329">
      <w:pPr>
        <w:spacing w:line="360" w:lineRule="auto"/>
        <w:jc w:val="center"/>
        <w:rPr>
          <w:rFonts w:ascii="宋体" w:hAnsi="宋体" w:cs="宋体"/>
          <w:color w:val="auto"/>
          <w:spacing w:val="-7"/>
          <w:highlight w:val="none"/>
        </w:rPr>
      </w:pPr>
    </w:p>
    <w:p w14:paraId="5F49B732">
      <w:pPr>
        <w:spacing w:after="120" w:afterLines="50" w:line="367" w:lineRule="exact"/>
        <w:jc w:val="center"/>
        <w:rPr>
          <w:rFonts w:ascii="微软雅黑" w:hAnsi="微软雅黑" w:cs="微软雅黑"/>
          <w:b/>
          <w:color w:val="auto"/>
          <w:sz w:val="28"/>
          <w:szCs w:val="28"/>
          <w:highlight w:val="none"/>
        </w:rPr>
      </w:pPr>
      <w:r>
        <w:rPr>
          <w:rFonts w:hint="eastAsia" w:ascii="微软雅黑" w:hAnsi="微软雅黑" w:cs="微软雅黑"/>
          <w:b/>
          <w:color w:val="auto"/>
          <w:sz w:val="28"/>
          <w:szCs w:val="28"/>
          <w:highlight w:val="none"/>
        </w:rPr>
        <w:t>（一）</w:t>
      </w:r>
      <w:r>
        <w:rPr>
          <w:rFonts w:ascii="微软雅黑" w:hAnsi="微软雅黑" w:cs="微软雅黑"/>
          <w:b/>
          <w:color w:val="auto"/>
          <w:sz w:val="28"/>
          <w:szCs w:val="28"/>
          <w:highlight w:val="none"/>
        </w:rPr>
        <w:t>拟派项目负责人基本情况</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276"/>
        <w:gridCol w:w="80"/>
        <w:gridCol w:w="204"/>
        <w:gridCol w:w="1417"/>
        <w:gridCol w:w="1276"/>
        <w:gridCol w:w="1843"/>
        <w:gridCol w:w="1548"/>
      </w:tblGrid>
      <w:tr w14:paraId="12B2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242" w:type="dxa"/>
            <w:vAlign w:val="center"/>
          </w:tcPr>
          <w:p w14:paraId="0D075665">
            <w:pPr>
              <w:pStyle w:val="137"/>
              <w:jc w:val="center"/>
              <w:outlineLvl w:val="0"/>
              <w:rPr>
                <w:color w:val="auto"/>
                <w:szCs w:val="21"/>
                <w:highlight w:val="none"/>
              </w:rPr>
            </w:pPr>
            <w:r>
              <w:rPr>
                <w:color w:val="auto"/>
                <w:szCs w:val="21"/>
                <w:highlight w:val="none"/>
              </w:rPr>
              <w:t>姓  名</w:t>
            </w:r>
          </w:p>
        </w:tc>
        <w:tc>
          <w:tcPr>
            <w:tcW w:w="1560" w:type="dxa"/>
            <w:gridSpan w:val="3"/>
            <w:vAlign w:val="center"/>
          </w:tcPr>
          <w:p w14:paraId="4F08A5E7">
            <w:pPr>
              <w:pStyle w:val="137"/>
              <w:jc w:val="center"/>
              <w:outlineLvl w:val="0"/>
              <w:rPr>
                <w:color w:val="auto"/>
                <w:szCs w:val="21"/>
                <w:highlight w:val="none"/>
              </w:rPr>
            </w:pPr>
          </w:p>
        </w:tc>
        <w:tc>
          <w:tcPr>
            <w:tcW w:w="1417" w:type="dxa"/>
            <w:vAlign w:val="center"/>
          </w:tcPr>
          <w:p w14:paraId="5C3F8FB7">
            <w:pPr>
              <w:pStyle w:val="137"/>
              <w:jc w:val="center"/>
              <w:outlineLvl w:val="0"/>
              <w:rPr>
                <w:rFonts w:ascii="宋体" w:hAnsi="宋体" w:cs="宋体"/>
                <w:color w:val="auto"/>
                <w:spacing w:val="-7"/>
                <w:highlight w:val="none"/>
              </w:rPr>
            </w:pPr>
            <w:r>
              <w:rPr>
                <w:rFonts w:ascii="宋体" w:hAnsi="宋体" w:cs="宋体"/>
                <w:color w:val="auto"/>
                <w:spacing w:val="-7"/>
                <w:highlight w:val="none"/>
              </w:rPr>
              <w:t>拟在本项目</w:t>
            </w:r>
          </w:p>
          <w:p w14:paraId="3F6EC8E1">
            <w:pPr>
              <w:pStyle w:val="137"/>
              <w:jc w:val="center"/>
              <w:outlineLvl w:val="0"/>
              <w:rPr>
                <w:color w:val="auto"/>
                <w:szCs w:val="21"/>
                <w:highlight w:val="none"/>
              </w:rPr>
            </w:pPr>
            <w:r>
              <w:rPr>
                <w:rFonts w:ascii="宋体" w:hAnsi="宋体" w:cs="宋体"/>
                <w:color w:val="auto"/>
                <w:spacing w:val="-7"/>
                <w:highlight w:val="none"/>
              </w:rPr>
              <w:t>任职</w:t>
            </w:r>
          </w:p>
        </w:tc>
        <w:tc>
          <w:tcPr>
            <w:tcW w:w="1276" w:type="dxa"/>
            <w:vAlign w:val="center"/>
          </w:tcPr>
          <w:p w14:paraId="0C066C98">
            <w:pPr>
              <w:pStyle w:val="137"/>
              <w:jc w:val="center"/>
              <w:outlineLvl w:val="0"/>
              <w:rPr>
                <w:color w:val="auto"/>
                <w:szCs w:val="21"/>
                <w:highlight w:val="none"/>
              </w:rPr>
            </w:pPr>
            <w:r>
              <w:rPr>
                <w:color w:val="auto"/>
                <w:szCs w:val="21"/>
                <w:highlight w:val="none"/>
              </w:rPr>
              <w:t>项目</w:t>
            </w:r>
          </w:p>
          <w:p w14:paraId="1F37EE26">
            <w:pPr>
              <w:pStyle w:val="137"/>
              <w:jc w:val="center"/>
              <w:outlineLvl w:val="0"/>
              <w:rPr>
                <w:color w:val="auto"/>
                <w:szCs w:val="21"/>
                <w:highlight w:val="none"/>
              </w:rPr>
            </w:pPr>
            <w:r>
              <w:rPr>
                <w:color w:val="auto"/>
                <w:szCs w:val="21"/>
                <w:highlight w:val="none"/>
              </w:rPr>
              <w:t>负责人</w:t>
            </w:r>
          </w:p>
        </w:tc>
        <w:tc>
          <w:tcPr>
            <w:tcW w:w="1843" w:type="dxa"/>
            <w:vAlign w:val="center"/>
          </w:tcPr>
          <w:p w14:paraId="7D5A81EE">
            <w:pPr>
              <w:pStyle w:val="137"/>
              <w:jc w:val="center"/>
              <w:outlineLvl w:val="0"/>
              <w:rPr>
                <w:color w:val="auto"/>
                <w:szCs w:val="21"/>
                <w:highlight w:val="none"/>
              </w:rPr>
            </w:pPr>
            <w:r>
              <w:rPr>
                <w:rFonts w:hint="eastAsia" w:ascii="宋体" w:hAnsi="宋体" w:cs="宋体"/>
                <w:color w:val="auto"/>
                <w:spacing w:val="-7"/>
                <w:highlight w:val="none"/>
              </w:rPr>
              <w:t>从业</w:t>
            </w:r>
            <w:r>
              <w:rPr>
                <w:rFonts w:ascii="宋体" w:hAnsi="宋体" w:cs="宋体"/>
                <w:color w:val="auto"/>
                <w:spacing w:val="-7"/>
                <w:highlight w:val="none"/>
              </w:rPr>
              <w:t>时间</w:t>
            </w:r>
          </w:p>
        </w:tc>
        <w:tc>
          <w:tcPr>
            <w:tcW w:w="1548" w:type="dxa"/>
          </w:tcPr>
          <w:p w14:paraId="43F98EAF">
            <w:pPr>
              <w:pStyle w:val="137"/>
              <w:outlineLvl w:val="0"/>
              <w:rPr>
                <w:color w:val="auto"/>
                <w:szCs w:val="21"/>
                <w:highlight w:val="none"/>
              </w:rPr>
            </w:pPr>
          </w:p>
        </w:tc>
      </w:tr>
      <w:tr w14:paraId="1775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242" w:type="dxa"/>
            <w:vAlign w:val="center"/>
          </w:tcPr>
          <w:p w14:paraId="64E9F20A">
            <w:pPr>
              <w:pStyle w:val="137"/>
              <w:jc w:val="center"/>
              <w:outlineLvl w:val="0"/>
              <w:rPr>
                <w:color w:val="auto"/>
                <w:szCs w:val="21"/>
                <w:highlight w:val="none"/>
              </w:rPr>
            </w:pPr>
            <w:r>
              <w:rPr>
                <w:color w:val="auto"/>
                <w:szCs w:val="21"/>
                <w:highlight w:val="none"/>
              </w:rPr>
              <w:t>学</w:t>
            </w:r>
            <w:r>
              <w:rPr>
                <w:rFonts w:hint="eastAsia"/>
                <w:color w:val="auto"/>
                <w:szCs w:val="21"/>
                <w:highlight w:val="none"/>
              </w:rPr>
              <w:t xml:space="preserve"> </w:t>
            </w:r>
            <w:r>
              <w:rPr>
                <w:color w:val="auto"/>
                <w:szCs w:val="21"/>
                <w:highlight w:val="none"/>
              </w:rPr>
              <w:t xml:space="preserve"> 历</w:t>
            </w:r>
          </w:p>
        </w:tc>
        <w:tc>
          <w:tcPr>
            <w:tcW w:w="1560" w:type="dxa"/>
            <w:gridSpan w:val="3"/>
            <w:vAlign w:val="center"/>
          </w:tcPr>
          <w:p w14:paraId="0659ADD0">
            <w:pPr>
              <w:pStyle w:val="137"/>
              <w:jc w:val="center"/>
              <w:outlineLvl w:val="0"/>
              <w:rPr>
                <w:color w:val="auto"/>
                <w:szCs w:val="21"/>
                <w:highlight w:val="none"/>
              </w:rPr>
            </w:pPr>
          </w:p>
        </w:tc>
        <w:tc>
          <w:tcPr>
            <w:tcW w:w="1417" w:type="dxa"/>
            <w:vAlign w:val="center"/>
          </w:tcPr>
          <w:p w14:paraId="225F4C1A">
            <w:pPr>
              <w:pStyle w:val="137"/>
              <w:jc w:val="center"/>
              <w:outlineLvl w:val="0"/>
              <w:rPr>
                <w:color w:val="auto"/>
                <w:szCs w:val="21"/>
                <w:highlight w:val="none"/>
              </w:rPr>
            </w:pPr>
            <w:r>
              <w:rPr>
                <w:rFonts w:hint="eastAsia" w:ascii="宋体" w:hAnsi="宋体" w:cs="宋体"/>
                <w:color w:val="auto"/>
                <w:spacing w:val="-7"/>
                <w:highlight w:val="none"/>
              </w:rPr>
              <w:t xml:space="preserve">专 </w:t>
            </w:r>
            <w:r>
              <w:rPr>
                <w:rFonts w:ascii="宋体" w:hAnsi="宋体" w:cs="宋体"/>
                <w:color w:val="auto"/>
                <w:spacing w:val="-7"/>
                <w:highlight w:val="none"/>
              </w:rPr>
              <w:t xml:space="preserve"> </w:t>
            </w:r>
            <w:r>
              <w:rPr>
                <w:rFonts w:hint="eastAsia" w:ascii="宋体" w:hAnsi="宋体" w:cs="宋体"/>
                <w:color w:val="auto"/>
                <w:spacing w:val="-7"/>
                <w:highlight w:val="none"/>
              </w:rPr>
              <w:t>业</w:t>
            </w:r>
          </w:p>
        </w:tc>
        <w:tc>
          <w:tcPr>
            <w:tcW w:w="1276" w:type="dxa"/>
            <w:vAlign w:val="center"/>
          </w:tcPr>
          <w:p w14:paraId="16FEAACD">
            <w:pPr>
              <w:pStyle w:val="137"/>
              <w:jc w:val="center"/>
              <w:outlineLvl w:val="0"/>
              <w:rPr>
                <w:color w:val="auto"/>
                <w:szCs w:val="21"/>
                <w:highlight w:val="none"/>
              </w:rPr>
            </w:pPr>
          </w:p>
        </w:tc>
        <w:tc>
          <w:tcPr>
            <w:tcW w:w="1843" w:type="dxa"/>
            <w:vAlign w:val="center"/>
          </w:tcPr>
          <w:p w14:paraId="79D86B74">
            <w:pPr>
              <w:pStyle w:val="137"/>
              <w:jc w:val="center"/>
              <w:outlineLvl w:val="0"/>
              <w:rPr>
                <w:color w:val="auto"/>
                <w:szCs w:val="21"/>
                <w:highlight w:val="none"/>
              </w:rPr>
            </w:pPr>
            <w:r>
              <w:rPr>
                <w:color w:val="auto"/>
                <w:szCs w:val="21"/>
                <w:highlight w:val="none"/>
              </w:rPr>
              <w:t>职</w:t>
            </w:r>
            <w:r>
              <w:rPr>
                <w:rFonts w:hint="eastAsia"/>
                <w:color w:val="auto"/>
                <w:szCs w:val="21"/>
                <w:highlight w:val="none"/>
              </w:rPr>
              <w:t xml:space="preserve"> </w:t>
            </w:r>
            <w:r>
              <w:rPr>
                <w:color w:val="auto"/>
                <w:szCs w:val="21"/>
                <w:highlight w:val="none"/>
              </w:rPr>
              <w:t xml:space="preserve"> 称</w:t>
            </w:r>
          </w:p>
        </w:tc>
        <w:tc>
          <w:tcPr>
            <w:tcW w:w="1548" w:type="dxa"/>
            <w:vAlign w:val="center"/>
          </w:tcPr>
          <w:p w14:paraId="42BF8647">
            <w:pPr>
              <w:pStyle w:val="137"/>
              <w:jc w:val="center"/>
              <w:outlineLvl w:val="0"/>
              <w:rPr>
                <w:color w:val="auto"/>
                <w:szCs w:val="21"/>
                <w:highlight w:val="none"/>
              </w:rPr>
            </w:pPr>
          </w:p>
        </w:tc>
      </w:tr>
      <w:tr w14:paraId="6F6D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242" w:type="dxa"/>
            <w:vAlign w:val="center"/>
          </w:tcPr>
          <w:p w14:paraId="7A5275D9">
            <w:pPr>
              <w:pStyle w:val="137"/>
              <w:jc w:val="center"/>
              <w:outlineLvl w:val="0"/>
              <w:rPr>
                <w:color w:val="auto"/>
                <w:szCs w:val="21"/>
                <w:highlight w:val="none"/>
              </w:rPr>
            </w:pPr>
            <w:r>
              <w:rPr>
                <w:color w:val="auto"/>
                <w:szCs w:val="21"/>
                <w:highlight w:val="none"/>
              </w:rPr>
              <w:t>身份证号</w:t>
            </w:r>
          </w:p>
        </w:tc>
        <w:tc>
          <w:tcPr>
            <w:tcW w:w="4253" w:type="dxa"/>
            <w:gridSpan w:val="5"/>
            <w:vAlign w:val="center"/>
          </w:tcPr>
          <w:p w14:paraId="62AD5EAA">
            <w:pPr>
              <w:pStyle w:val="137"/>
              <w:jc w:val="center"/>
              <w:outlineLvl w:val="0"/>
              <w:rPr>
                <w:color w:val="auto"/>
                <w:szCs w:val="21"/>
                <w:highlight w:val="none"/>
              </w:rPr>
            </w:pPr>
          </w:p>
        </w:tc>
        <w:tc>
          <w:tcPr>
            <w:tcW w:w="1843" w:type="dxa"/>
            <w:vAlign w:val="center"/>
          </w:tcPr>
          <w:p w14:paraId="51844C59">
            <w:pPr>
              <w:pStyle w:val="137"/>
              <w:jc w:val="center"/>
              <w:outlineLvl w:val="0"/>
              <w:rPr>
                <w:color w:val="auto"/>
                <w:szCs w:val="21"/>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48" w:type="dxa"/>
            <w:vAlign w:val="center"/>
          </w:tcPr>
          <w:p w14:paraId="3461D466">
            <w:pPr>
              <w:pStyle w:val="137"/>
              <w:jc w:val="center"/>
              <w:outlineLvl w:val="0"/>
              <w:rPr>
                <w:color w:val="auto"/>
                <w:szCs w:val="21"/>
                <w:highlight w:val="none"/>
              </w:rPr>
            </w:pPr>
          </w:p>
        </w:tc>
      </w:tr>
      <w:tr w14:paraId="5CDD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242" w:type="dxa"/>
            <w:vAlign w:val="center"/>
          </w:tcPr>
          <w:p w14:paraId="3A10AE45">
            <w:pPr>
              <w:pStyle w:val="137"/>
              <w:jc w:val="center"/>
              <w:outlineLvl w:val="0"/>
              <w:rPr>
                <w:rFonts w:ascii="宋体" w:hAnsi="宋体" w:cs="宋体"/>
                <w:color w:val="auto"/>
                <w:spacing w:val="-7"/>
                <w:highlight w:val="none"/>
              </w:rPr>
            </w:pPr>
            <w:r>
              <w:rPr>
                <w:color w:val="auto"/>
                <w:szCs w:val="21"/>
                <w:highlight w:val="none"/>
              </w:rPr>
              <w:t>毕业学校</w:t>
            </w:r>
          </w:p>
        </w:tc>
        <w:tc>
          <w:tcPr>
            <w:tcW w:w="4253" w:type="dxa"/>
            <w:gridSpan w:val="5"/>
            <w:vAlign w:val="center"/>
          </w:tcPr>
          <w:p w14:paraId="29F37F07">
            <w:pPr>
              <w:pStyle w:val="137"/>
              <w:jc w:val="center"/>
              <w:outlineLvl w:val="0"/>
              <w:rPr>
                <w:color w:val="auto"/>
                <w:szCs w:val="21"/>
                <w:highlight w:val="none"/>
              </w:rPr>
            </w:pPr>
          </w:p>
        </w:tc>
        <w:tc>
          <w:tcPr>
            <w:tcW w:w="1843" w:type="dxa"/>
            <w:vAlign w:val="center"/>
          </w:tcPr>
          <w:p w14:paraId="61AD1000">
            <w:pPr>
              <w:pStyle w:val="137"/>
              <w:jc w:val="center"/>
              <w:outlineLvl w:val="0"/>
              <w:rPr>
                <w:rFonts w:ascii="宋体" w:hAnsi="宋体" w:cs="宋体"/>
                <w:color w:val="auto"/>
                <w:spacing w:val="-7"/>
                <w:highlight w:val="none"/>
              </w:rPr>
            </w:pPr>
            <w:r>
              <w:rPr>
                <w:rFonts w:ascii="宋体" w:hAnsi="宋体" w:cs="宋体"/>
                <w:color w:val="auto"/>
                <w:spacing w:val="-7"/>
                <w:highlight w:val="none"/>
              </w:rPr>
              <w:t>毕业时间</w:t>
            </w:r>
          </w:p>
        </w:tc>
        <w:tc>
          <w:tcPr>
            <w:tcW w:w="1548" w:type="dxa"/>
            <w:vAlign w:val="center"/>
          </w:tcPr>
          <w:p w14:paraId="5191D154">
            <w:pPr>
              <w:pStyle w:val="137"/>
              <w:jc w:val="center"/>
              <w:outlineLvl w:val="0"/>
              <w:rPr>
                <w:color w:val="auto"/>
                <w:szCs w:val="21"/>
                <w:highlight w:val="none"/>
              </w:rPr>
            </w:pPr>
          </w:p>
        </w:tc>
      </w:tr>
      <w:tr w14:paraId="7C07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98" w:type="dxa"/>
            <w:gridSpan w:val="3"/>
            <w:vAlign w:val="center"/>
          </w:tcPr>
          <w:p w14:paraId="196AAFE1">
            <w:pPr>
              <w:pStyle w:val="137"/>
              <w:jc w:val="center"/>
              <w:outlineLvl w:val="0"/>
              <w:rPr>
                <w:color w:val="auto"/>
                <w:szCs w:val="21"/>
                <w:highlight w:val="none"/>
              </w:rPr>
            </w:pPr>
            <w:r>
              <w:rPr>
                <w:rFonts w:hint="eastAsia" w:ascii="宋体" w:hAnsi="宋体" w:cs="宋体"/>
                <w:color w:val="auto"/>
                <w:spacing w:val="-7"/>
                <w:highlight w:val="none"/>
              </w:rPr>
              <w:t>注册类型及等级</w:t>
            </w:r>
          </w:p>
        </w:tc>
        <w:tc>
          <w:tcPr>
            <w:tcW w:w="2897" w:type="dxa"/>
            <w:gridSpan w:val="3"/>
            <w:vAlign w:val="center"/>
          </w:tcPr>
          <w:p w14:paraId="087005B9">
            <w:pPr>
              <w:pStyle w:val="137"/>
              <w:jc w:val="center"/>
              <w:outlineLvl w:val="0"/>
              <w:rPr>
                <w:color w:val="auto"/>
                <w:szCs w:val="21"/>
                <w:highlight w:val="none"/>
              </w:rPr>
            </w:pPr>
            <w:r>
              <w:rPr>
                <w:rFonts w:hint="eastAsia"/>
                <w:color w:val="auto"/>
                <w:szCs w:val="21"/>
                <w:highlight w:val="none"/>
              </w:rPr>
              <w:t>注册</w:t>
            </w:r>
            <w:r>
              <w:rPr>
                <w:color w:val="auto"/>
                <w:szCs w:val="21"/>
                <w:highlight w:val="none"/>
              </w:rPr>
              <w:t>证书编号</w:t>
            </w:r>
          </w:p>
        </w:tc>
        <w:tc>
          <w:tcPr>
            <w:tcW w:w="1843" w:type="dxa"/>
            <w:vAlign w:val="center"/>
          </w:tcPr>
          <w:p w14:paraId="4621DB32">
            <w:pPr>
              <w:pStyle w:val="137"/>
              <w:jc w:val="center"/>
              <w:outlineLvl w:val="0"/>
              <w:rPr>
                <w:rFonts w:ascii="宋体" w:hAnsi="宋体" w:cs="宋体"/>
                <w:color w:val="auto"/>
                <w:spacing w:val="-7"/>
                <w:highlight w:val="none"/>
              </w:rPr>
            </w:pPr>
            <w:r>
              <w:rPr>
                <w:rFonts w:hint="eastAsia"/>
                <w:color w:val="auto"/>
                <w:szCs w:val="21"/>
                <w:highlight w:val="none"/>
              </w:rPr>
              <w:t>发证</w:t>
            </w:r>
            <w:r>
              <w:rPr>
                <w:color w:val="auto"/>
                <w:szCs w:val="21"/>
                <w:highlight w:val="none"/>
              </w:rPr>
              <w:t>日期</w:t>
            </w:r>
          </w:p>
        </w:tc>
        <w:tc>
          <w:tcPr>
            <w:tcW w:w="1548" w:type="dxa"/>
            <w:vAlign w:val="center"/>
          </w:tcPr>
          <w:p w14:paraId="79F46EBB">
            <w:pPr>
              <w:pStyle w:val="137"/>
              <w:jc w:val="center"/>
              <w:outlineLvl w:val="0"/>
              <w:rPr>
                <w:color w:val="auto"/>
                <w:szCs w:val="21"/>
                <w:highlight w:val="none"/>
              </w:rPr>
            </w:pPr>
            <w:r>
              <w:rPr>
                <w:rFonts w:hint="eastAsia"/>
                <w:color w:val="auto"/>
                <w:szCs w:val="21"/>
                <w:highlight w:val="none"/>
              </w:rPr>
              <w:t>有效</w:t>
            </w:r>
            <w:r>
              <w:rPr>
                <w:color w:val="auto"/>
                <w:szCs w:val="21"/>
                <w:highlight w:val="none"/>
              </w:rPr>
              <w:t>期</w:t>
            </w:r>
          </w:p>
        </w:tc>
      </w:tr>
      <w:tr w14:paraId="3AE7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98" w:type="dxa"/>
            <w:gridSpan w:val="3"/>
            <w:vAlign w:val="center"/>
          </w:tcPr>
          <w:p w14:paraId="6B4F61EB">
            <w:pPr>
              <w:pStyle w:val="137"/>
              <w:jc w:val="center"/>
              <w:outlineLvl w:val="0"/>
              <w:rPr>
                <w:rFonts w:ascii="宋体" w:hAnsi="宋体" w:cs="宋体"/>
                <w:color w:val="auto"/>
                <w:spacing w:val="-7"/>
                <w:highlight w:val="none"/>
              </w:rPr>
            </w:pPr>
          </w:p>
        </w:tc>
        <w:tc>
          <w:tcPr>
            <w:tcW w:w="2897" w:type="dxa"/>
            <w:gridSpan w:val="3"/>
            <w:vAlign w:val="center"/>
          </w:tcPr>
          <w:p w14:paraId="176EA3F3">
            <w:pPr>
              <w:pStyle w:val="137"/>
              <w:jc w:val="center"/>
              <w:outlineLvl w:val="0"/>
              <w:rPr>
                <w:color w:val="auto"/>
                <w:szCs w:val="21"/>
                <w:highlight w:val="none"/>
              </w:rPr>
            </w:pPr>
          </w:p>
        </w:tc>
        <w:tc>
          <w:tcPr>
            <w:tcW w:w="1843" w:type="dxa"/>
            <w:vAlign w:val="center"/>
          </w:tcPr>
          <w:p w14:paraId="764151D6">
            <w:pPr>
              <w:pStyle w:val="137"/>
              <w:jc w:val="center"/>
              <w:outlineLvl w:val="0"/>
              <w:rPr>
                <w:color w:val="auto"/>
                <w:szCs w:val="21"/>
                <w:highlight w:val="none"/>
              </w:rPr>
            </w:pPr>
          </w:p>
        </w:tc>
        <w:tc>
          <w:tcPr>
            <w:tcW w:w="1548" w:type="dxa"/>
            <w:vAlign w:val="center"/>
          </w:tcPr>
          <w:p w14:paraId="057C243B">
            <w:pPr>
              <w:pStyle w:val="137"/>
              <w:jc w:val="center"/>
              <w:outlineLvl w:val="0"/>
              <w:rPr>
                <w:color w:val="auto"/>
                <w:szCs w:val="21"/>
                <w:highlight w:val="none"/>
              </w:rPr>
            </w:pPr>
          </w:p>
        </w:tc>
      </w:tr>
      <w:tr w14:paraId="41A9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886" w:type="dxa"/>
            <w:gridSpan w:val="8"/>
            <w:vAlign w:val="center"/>
          </w:tcPr>
          <w:p w14:paraId="32E728FD">
            <w:pPr>
              <w:pStyle w:val="137"/>
              <w:jc w:val="center"/>
              <w:outlineLvl w:val="0"/>
              <w:rPr>
                <w:color w:val="auto"/>
                <w:szCs w:val="21"/>
                <w:highlight w:val="none"/>
              </w:rPr>
            </w:pPr>
            <w:r>
              <w:rPr>
                <w:rFonts w:ascii="宋体" w:hAnsi="宋体" w:cs="宋体"/>
                <w:color w:val="auto"/>
                <w:spacing w:val="-7"/>
                <w:highlight w:val="none"/>
              </w:rPr>
              <w:t>已完成和正在实施或新承接的类似</w:t>
            </w:r>
            <w:r>
              <w:rPr>
                <w:rFonts w:hint="eastAsia" w:ascii="宋体" w:hAnsi="宋体" w:cs="宋体"/>
                <w:color w:val="auto"/>
                <w:spacing w:val="-7"/>
                <w:highlight w:val="none"/>
              </w:rPr>
              <w:t>项目</w:t>
            </w:r>
            <w:r>
              <w:rPr>
                <w:rFonts w:ascii="宋体" w:hAnsi="宋体" w:cs="宋体"/>
                <w:color w:val="auto"/>
                <w:spacing w:val="-7"/>
                <w:highlight w:val="none"/>
              </w:rPr>
              <w:t>情况</w:t>
            </w:r>
          </w:p>
        </w:tc>
      </w:tr>
      <w:tr w14:paraId="5DB1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3A9374D6">
            <w:pPr>
              <w:pStyle w:val="137"/>
              <w:jc w:val="center"/>
              <w:outlineLvl w:val="0"/>
              <w:rPr>
                <w:color w:val="auto"/>
                <w:szCs w:val="21"/>
                <w:highlight w:val="none"/>
              </w:rPr>
            </w:pPr>
            <w:r>
              <w:rPr>
                <w:color w:val="auto"/>
                <w:szCs w:val="21"/>
                <w:highlight w:val="none"/>
              </w:rPr>
              <w:t>合同签订时间</w:t>
            </w:r>
          </w:p>
        </w:tc>
        <w:tc>
          <w:tcPr>
            <w:tcW w:w="1276" w:type="dxa"/>
            <w:vAlign w:val="center"/>
          </w:tcPr>
          <w:p w14:paraId="2FB4CB58">
            <w:pPr>
              <w:pStyle w:val="137"/>
              <w:jc w:val="center"/>
              <w:outlineLvl w:val="0"/>
              <w:rPr>
                <w:color w:val="auto"/>
                <w:szCs w:val="21"/>
                <w:highlight w:val="none"/>
              </w:rPr>
            </w:pPr>
            <w:r>
              <w:rPr>
                <w:rFonts w:hint="eastAsia"/>
                <w:color w:val="auto"/>
                <w:szCs w:val="21"/>
                <w:highlight w:val="none"/>
              </w:rPr>
              <w:t>项目完成</w:t>
            </w:r>
            <w:r>
              <w:rPr>
                <w:color w:val="auto"/>
                <w:szCs w:val="21"/>
                <w:highlight w:val="none"/>
              </w:rPr>
              <w:t>时间</w:t>
            </w:r>
          </w:p>
        </w:tc>
        <w:tc>
          <w:tcPr>
            <w:tcW w:w="1701" w:type="dxa"/>
            <w:gridSpan w:val="3"/>
            <w:vAlign w:val="center"/>
          </w:tcPr>
          <w:p w14:paraId="5AF84382">
            <w:pPr>
              <w:pStyle w:val="137"/>
              <w:jc w:val="center"/>
              <w:outlineLvl w:val="0"/>
              <w:rPr>
                <w:color w:val="auto"/>
                <w:szCs w:val="21"/>
                <w:highlight w:val="none"/>
              </w:rPr>
            </w:pPr>
            <w:r>
              <w:rPr>
                <w:color w:val="auto"/>
                <w:szCs w:val="21"/>
                <w:highlight w:val="none"/>
              </w:rPr>
              <w:t>项目名称</w:t>
            </w:r>
          </w:p>
        </w:tc>
        <w:tc>
          <w:tcPr>
            <w:tcW w:w="1276" w:type="dxa"/>
            <w:vAlign w:val="center"/>
          </w:tcPr>
          <w:p w14:paraId="39F524FC">
            <w:pPr>
              <w:pStyle w:val="137"/>
              <w:jc w:val="center"/>
              <w:outlineLvl w:val="0"/>
              <w:rPr>
                <w:color w:val="auto"/>
                <w:szCs w:val="21"/>
                <w:highlight w:val="none"/>
              </w:rPr>
            </w:pPr>
            <w:r>
              <w:rPr>
                <w:color w:val="auto"/>
                <w:szCs w:val="21"/>
                <w:highlight w:val="none"/>
              </w:rPr>
              <w:t>担任角色</w:t>
            </w:r>
          </w:p>
        </w:tc>
        <w:tc>
          <w:tcPr>
            <w:tcW w:w="1843" w:type="dxa"/>
            <w:vAlign w:val="center"/>
          </w:tcPr>
          <w:p w14:paraId="343D6A0B">
            <w:pPr>
              <w:pStyle w:val="137"/>
              <w:jc w:val="center"/>
              <w:outlineLvl w:val="0"/>
              <w:rPr>
                <w:color w:val="auto"/>
                <w:szCs w:val="21"/>
                <w:highlight w:val="none"/>
              </w:rPr>
            </w:pPr>
            <w:r>
              <w:rPr>
                <w:color w:val="auto"/>
                <w:szCs w:val="21"/>
                <w:highlight w:val="none"/>
              </w:rPr>
              <w:t>合同金额</w:t>
            </w:r>
            <w:r>
              <w:rPr>
                <w:rFonts w:hint="eastAsia"/>
                <w:color w:val="auto"/>
                <w:szCs w:val="21"/>
                <w:highlight w:val="none"/>
              </w:rPr>
              <w:t>（元）</w:t>
            </w:r>
          </w:p>
        </w:tc>
        <w:tc>
          <w:tcPr>
            <w:tcW w:w="1548" w:type="dxa"/>
            <w:vAlign w:val="center"/>
          </w:tcPr>
          <w:p w14:paraId="18F7F8A0">
            <w:pPr>
              <w:pStyle w:val="137"/>
              <w:jc w:val="center"/>
              <w:outlineLvl w:val="0"/>
              <w:rPr>
                <w:color w:val="auto"/>
                <w:szCs w:val="21"/>
                <w:highlight w:val="none"/>
              </w:rPr>
            </w:pPr>
            <w:r>
              <w:rPr>
                <w:color w:val="auto"/>
                <w:szCs w:val="21"/>
                <w:highlight w:val="none"/>
              </w:rPr>
              <w:t>项目规模</w:t>
            </w:r>
          </w:p>
        </w:tc>
      </w:tr>
      <w:tr w14:paraId="0BCF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49456A17">
            <w:pPr>
              <w:pStyle w:val="137"/>
              <w:jc w:val="center"/>
              <w:outlineLvl w:val="0"/>
              <w:rPr>
                <w:color w:val="auto"/>
                <w:szCs w:val="21"/>
                <w:highlight w:val="none"/>
              </w:rPr>
            </w:pPr>
          </w:p>
        </w:tc>
        <w:tc>
          <w:tcPr>
            <w:tcW w:w="1276" w:type="dxa"/>
            <w:vAlign w:val="center"/>
          </w:tcPr>
          <w:p w14:paraId="17544D65">
            <w:pPr>
              <w:pStyle w:val="137"/>
              <w:jc w:val="center"/>
              <w:outlineLvl w:val="0"/>
              <w:rPr>
                <w:color w:val="auto"/>
                <w:szCs w:val="21"/>
                <w:highlight w:val="none"/>
              </w:rPr>
            </w:pPr>
          </w:p>
        </w:tc>
        <w:tc>
          <w:tcPr>
            <w:tcW w:w="1701" w:type="dxa"/>
            <w:gridSpan w:val="3"/>
            <w:vAlign w:val="center"/>
          </w:tcPr>
          <w:p w14:paraId="280247C8">
            <w:pPr>
              <w:pStyle w:val="137"/>
              <w:jc w:val="center"/>
              <w:outlineLvl w:val="0"/>
              <w:rPr>
                <w:color w:val="auto"/>
                <w:szCs w:val="21"/>
                <w:highlight w:val="none"/>
              </w:rPr>
            </w:pPr>
          </w:p>
        </w:tc>
        <w:tc>
          <w:tcPr>
            <w:tcW w:w="1276" w:type="dxa"/>
            <w:vAlign w:val="center"/>
          </w:tcPr>
          <w:p w14:paraId="485FD2D2">
            <w:pPr>
              <w:pStyle w:val="137"/>
              <w:jc w:val="center"/>
              <w:outlineLvl w:val="0"/>
              <w:rPr>
                <w:color w:val="auto"/>
                <w:szCs w:val="21"/>
                <w:highlight w:val="none"/>
              </w:rPr>
            </w:pPr>
          </w:p>
        </w:tc>
        <w:tc>
          <w:tcPr>
            <w:tcW w:w="1843" w:type="dxa"/>
            <w:vAlign w:val="center"/>
          </w:tcPr>
          <w:p w14:paraId="3DFC6D81">
            <w:pPr>
              <w:pStyle w:val="137"/>
              <w:jc w:val="center"/>
              <w:outlineLvl w:val="0"/>
              <w:rPr>
                <w:color w:val="auto"/>
                <w:szCs w:val="21"/>
                <w:highlight w:val="none"/>
              </w:rPr>
            </w:pPr>
          </w:p>
        </w:tc>
        <w:tc>
          <w:tcPr>
            <w:tcW w:w="1548" w:type="dxa"/>
            <w:vAlign w:val="center"/>
          </w:tcPr>
          <w:p w14:paraId="4A2B6F98">
            <w:pPr>
              <w:pStyle w:val="137"/>
              <w:jc w:val="center"/>
              <w:outlineLvl w:val="0"/>
              <w:rPr>
                <w:color w:val="auto"/>
                <w:szCs w:val="21"/>
                <w:highlight w:val="none"/>
              </w:rPr>
            </w:pPr>
          </w:p>
        </w:tc>
      </w:tr>
      <w:tr w14:paraId="4F9C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7BC8D060">
            <w:pPr>
              <w:pStyle w:val="137"/>
              <w:jc w:val="center"/>
              <w:outlineLvl w:val="0"/>
              <w:rPr>
                <w:color w:val="auto"/>
                <w:szCs w:val="21"/>
                <w:highlight w:val="none"/>
              </w:rPr>
            </w:pPr>
          </w:p>
        </w:tc>
        <w:tc>
          <w:tcPr>
            <w:tcW w:w="1276" w:type="dxa"/>
            <w:vAlign w:val="center"/>
          </w:tcPr>
          <w:p w14:paraId="068E9002">
            <w:pPr>
              <w:pStyle w:val="137"/>
              <w:jc w:val="center"/>
              <w:outlineLvl w:val="0"/>
              <w:rPr>
                <w:color w:val="auto"/>
                <w:szCs w:val="21"/>
                <w:highlight w:val="none"/>
              </w:rPr>
            </w:pPr>
          </w:p>
        </w:tc>
        <w:tc>
          <w:tcPr>
            <w:tcW w:w="1701" w:type="dxa"/>
            <w:gridSpan w:val="3"/>
            <w:vAlign w:val="center"/>
          </w:tcPr>
          <w:p w14:paraId="41DB9A3F">
            <w:pPr>
              <w:pStyle w:val="137"/>
              <w:jc w:val="center"/>
              <w:outlineLvl w:val="0"/>
              <w:rPr>
                <w:color w:val="auto"/>
                <w:szCs w:val="21"/>
                <w:highlight w:val="none"/>
              </w:rPr>
            </w:pPr>
          </w:p>
        </w:tc>
        <w:tc>
          <w:tcPr>
            <w:tcW w:w="1276" w:type="dxa"/>
            <w:vAlign w:val="center"/>
          </w:tcPr>
          <w:p w14:paraId="6218806D">
            <w:pPr>
              <w:pStyle w:val="137"/>
              <w:jc w:val="center"/>
              <w:outlineLvl w:val="0"/>
              <w:rPr>
                <w:color w:val="auto"/>
                <w:szCs w:val="21"/>
                <w:highlight w:val="none"/>
              </w:rPr>
            </w:pPr>
          </w:p>
        </w:tc>
        <w:tc>
          <w:tcPr>
            <w:tcW w:w="1843" w:type="dxa"/>
            <w:vAlign w:val="center"/>
          </w:tcPr>
          <w:p w14:paraId="1C9FA06F">
            <w:pPr>
              <w:pStyle w:val="137"/>
              <w:jc w:val="center"/>
              <w:outlineLvl w:val="0"/>
              <w:rPr>
                <w:color w:val="auto"/>
                <w:szCs w:val="21"/>
                <w:highlight w:val="none"/>
              </w:rPr>
            </w:pPr>
          </w:p>
        </w:tc>
        <w:tc>
          <w:tcPr>
            <w:tcW w:w="1548" w:type="dxa"/>
            <w:vAlign w:val="center"/>
          </w:tcPr>
          <w:p w14:paraId="09B161EB">
            <w:pPr>
              <w:pStyle w:val="137"/>
              <w:jc w:val="center"/>
              <w:outlineLvl w:val="0"/>
              <w:rPr>
                <w:color w:val="auto"/>
                <w:szCs w:val="21"/>
                <w:highlight w:val="none"/>
              </w:rPr>
            </w:pPr>
          </w:p>
        </w:tc>
      </w:tr>
      <w:tr w14:paraId="7505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4E3A965D">
            <w:pPr>
              <w:pStyle w:val="137"/>
              <w:jc w:val="center"/>
              <w:outlineLvl w:val="0"/>
              <w:rPr>
                <w:color w:val="auto"/>
                <w:szCs w:val="21"/>
                <w:highlight w:val="none"/>
              </w:rPr>
            </w:pPr>
          </w:p>
        </w:tc>
        <w:tc>
          <w:tcPr>
            <w:tcW w:w="1276" w:type="dxa"/>
            <w:vAlign w:val="center"/>
          </w:tcPr>
          <w:p w14:paraId="1C8C3E18">
            <w:pPr>
              <w:pStyle w:val="137"/>
              <w:jc w:val="center"/>
              <w:outlineLvl w:val="0"/>
              <w:rPr>
                <w:color w:val="auto"/>
                <w:szCs w:val="21"/>
                <w:highlight w:val="none"/>
              </w:rPr>
            </w:pPr>
          </w:p>
        </w:tc>
        <w:tc>
          <w:tcPr>
            <w:tcW w:w="1701" w:type="dxa"/>
            <w:gridSpan w:val="3"/>
            <w:vAlign w:val="center"/>
          </w:tcPr>
          <w:p w14:paraId="3A2A6E14">
            <w:pPr>
              <w:pStyle w:val="137"/>
              <w:jc w:val="center"/>
              <w:outlineLvl w:val="0"/>
              <w:rPr>
                <w:color w:val="auto"/>
                <w:szCs w:val="21"/>
                <w:highlight w:val="none"/>
              </w:rPr>
            </w:pPr>
          </w:p>
        </w:tc>
        <w:tc>
          <w:tcPr>
            <w:tcW w:w="1276" w:type="dxa"/>
            <w:vAlign w:val="center"/>
          </w:tcPr>
          <w:p w14:paraId="71E88D72">
            <w:pPr>
              <w:pStyle w:val="137"/>
              <w:jc w:val="center"/>
              <w:outlineLvl w:val="0"/>
              <w:rPr>
                <w:color w:val="auto"/>
                <w:szCs w:val="21"/>
                <w:highlight w:val="none"/>
              </w:rPr>
            </w:pPr>
          </w:p>
        </w:tc>
        <w:tc>
          <w:tcPr>
            <w:tcW w:w="1843" w:type="dxa"/>
            <w:vAlign w:val="center"/>
          </w:tcPr>
          <w:p w14:paraId="013C1C46">
            <w:pPr>
              <w:pStyle w:val="137"/>
              <w:jc w:val="center"/>
              <w:outlineLvl w:val="0"/>
              <w:rPr>
                <w:color w:val="auto"/>
                <w:szCs w:val="21"/>
                <w:highlight w:val="none"/>
              </w:rPr>
            </w:pPr>
          </w:p>
        </w:tc>
        <w:tc>
          <w:tcPr>
            <w:tcW w:w="1548" w:type="dxa"/>
            <w:vAlign w:val="center"/>
          </w:tcPr>
          <w:p w14:paraId="7EA2ED06">
            <w:pPr>
              <w:pStyle w:val="137"/>
              <w:jc w:val="center"/>
              <w:outlineLvl w:val="0"/>
              <w:rPr>
                <w:color w:val="auto"/>
                <w:szCs w:val="21"/>
                <w:highlight w:val="none"/>
              </w:rPr>
            </w:pPr>
          </w:p>
        </w:tc>
      </w:tr>
      <w:tr w14:paraId="2579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4E7ACCFF">
            <w:pPr>
              <w:pStyle w:val="137"/>
              <w:jc w:val="center"/>
              <w:outlineLvl w:val="0"/>
              <w:rPr>
                <w:color w:val="auto"/>
                <w:szCs w:val="21"/>
                <w:highlight w:val="none"/>
              </w:rPr>
            </w:pPr>
          </w:p>
        </w:tc>
        <w:tc>
          <w:tcPr>
            <w:tcW w:w="1276" w:type="dxa"/>
            <w:vAlign w:val="center"/>
          </w:tcPr>
          <w:p w14:paraId="226655F3">
            <w:pPr>
              <w:pStyle w:val="137"/>
              <w:jc w:val="center"/>
              <w:outlineLvl w:val="0"/>
              <w:rPr>
                <w:color w:val="auto"/>
                <w:szCs w:val="21"/>
                <w:highlight w:val="none"/>
              </w:rPr>
            </w:pPr>
          </w:p>
        </w:tc>
        <w:tc>
          <w:tcPr>
            <w:tcW w:w="1701" w:type="dxa"/>
            <w:gridSpan w:val="3"/>
            <w:vAlign w:val="center"/>
          </w:tcPr>
          <w:p w14:paraId="4974ED88">
            <w:pPr>
              <w:pStyle w:val="137"/>
              <w:jc w:val="center"/>
              <w:outlineLvl w:val="0"/>
              <w:rPr>
                <w:color w:val="auto"/>
                <w:szCs w:val="21"/>
                <w:highlight w:val="none"/>
              </w:rPr>
            </w:pPr>
          </w:p>
        </w:tc>
        <w:tc>
          <w:tcPr>
            <w:tcW w:w="1276" w:type="dxa"/>
            <w:vAlign w:val="center"/>
          </w:tcPr>
          <w:p w14:paraId="5A59BFE9">
            <w:pPr>
              <w:pStyle w:val="137"/>
              <w:jc w:val="center"/>
              <w:outlineLvl w:val="0"/>
              <w:rPr>
                <w:color w:val="auto"/>
                <w:szCs w:val="21"/>
                <w:highlight w:val="none"/>
              </w:rPr>
            </w:pPr>
          </w:p>
        </w:tc>
        <w:tc>
          <w:tcPr>
            <w:tcW w:w="1843" w:type="dxa"/>
            <w:vAlign w:val="center"/>
          </w:tcPr>
          <w:p w14:paraId="238BD099">
            <w:pPr>
              <w:pStyle w:val="137"/>
              <w:jc w:val="center"/>
              <w:outlineLvl w:val="0"/>
              <w:rPr>
                <w:color w:val="auto"/>
                <w:szCs w:val="21"/>
                <w:highlight w:val="none"/>
              </w:rPr>
            </w:pPr>
          </w:p>
        </w:tc>
        <w:tc>
          <w:tcPr>
            <w:tcW w:w="1548" w:type="dxa"/>
            <w:vAlign w:val="center"/>
          </w:tcPr>
          <w:p w14:paraId="66F8CFC2">
            <w:pPr>
              <w:pStyle w:val="137"/>
              <w:jc w:val="center"/>
              <w:outlineLvl w:val="0"/>
              <w:rPr>
                <w:color w:val="auto"/>
                <w:szCs w:val="21"/>
                <w:highlight w:val="none"/>
              </w:rPr>
            </w:pPr>
          </w:p>
        </w:tc>
      </w:tr>
      <w:tr w14:paraId="2531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1C63C712">
            <w:pPr>
              <w:pStyle w:val="137"/>
              <w:jc w:val="center"/>
              <w:outlineLvl w:val="0"/>
              <w:rPr>
                <w:color w:val="auto"/>
                <w:szCs w:val="21"/>
                <w:highlight w:val="none"/>
              </w:rPr>
            </w:pPr>
          </w:p>
        </w:tc>
        <w:tc>
          <w:tcPr>
            <w:tcW w:w="1276" w:type="dxa"/>
            <w:vAlign w:val="center"/>
          </w:tcPr>
          <w:p w14:paraId="5147CB85">
            <w:pPr>
              <w:pStyle w:val="137"/>
              <w:jc w:val="center"/>
              <w:outlineLvl w:val="0"/>
              <w:rPr>
                <w:color w:val="auto"/>
                <w:szCs w:val="21"/>
                <w:highlight w:val="none"/>
              </w:rPr>
            </w:pPr>
          </w:p>
        </w:tc>
        <w:tc>
          <w:tcPr>
            <w:tcW w:w="1701" w:type="dxa"/>
            <w:gridSpan w:val="3"/>
            <w:vAlign w:val="center"/>
          </w:tcPr>
          <w:p w14:paraId="3A42B08D">
            <w:pPr>
              <w:pStyle w:val="137"/>
              <w:jc w:val="center"/>
              <w:outlineLvl w:val="0"/>
              <w:rPr>
                <w:color w:val="auto"/>
                <w:szCs w:val="21"/>
                <w:highlight w:val="none"/>
              </w:rPr>
            </w:pPr>
          </w:p>
        </w:tc>
        <w:tc>
          <w:tcPr>
            <w:tcW w:w="1276" w:type="dxa"/>
            <w:vAlign w:val="center"/>
          </w:tcPr>
          <w:p w14:paraId="12BBAA53">
            <w:pPr>
              <w:pStyle w:val="137"/>
              <w:jc w:val="center"/>
              <w:outlineLvl w:val="0"/>
              <w:rPr>
                <w:color w:val="auto"/>
                <w:szCs w:val="21"/>
                <w:highlight w:val="none"/>
              </w:rPr>
            </w:pPr>
          </w:p>
        </w:tc>
        <w:tc>
          <w:tcPr>
            <w:tcW w:w="1843" w:type="dxa"/>
            <w:vAlign w:val="center"/>
          </w:tcPr>
          <w:p w14:paraId="7E57F289">
            <w:pPr>
              <w:pStyle w:val="137"/>
              <w:jc w:val="center"/>
              <w:outlineLvl w:val="0"/>
              <w:rPr>
                <w:color w:val="auto"/>
                <w:szCs w:val="21"/>
                <w:highlight w:val="none"/>
              </w:rPr>
            </w:pPr>
          </w:p>
        </w:tc>
        <w:tc>
          <w:tcPr>
            <w:tcW w:w="1548" w:type="dxa"/>
            <w:vAlign w:val="center"/>
          </w:tcPr>
          <w:p w14:paraId="7B400CE4">
            <w:pPr>
              <w:pStyle w:val="137"/>
              <w:jc w:val="center"/>
              <w:outlineLvl w:val="0"/>
              <w:rPr>
                <w:color w:val="auto"/>
                <w:szCs w:val="21"/>
                <w:highlight w:val="none"/>
              </w:rPr>
            </w:pPr>
          </w:p>
        </w:tc>
      </w:tr>
    </w:tbl>
    <w:p w14:paraId="238BEF80">
      <w:pPr>
        <w:spacing w:line="360" w:lineRule="auto"/>
        <w:rPr>
          <w:color w:val="auto"/>
          <w:szCs w:val="21"/>
          <w:highlight w:val="none"/>
        </w:rPr>
      </w:pPr>
    </w:p>
    <w:p w14:paraId="11D41D47">
      <w:pPr>
        <w:spacing w:line="360" w:lineRule="auto"/>
        <w:ind w:firstLine="422" w:firstLineChars="200"/>
        <w:rPr>
          <w:rFonts w:eastAsia="楷体_GB2312" w:cs="楷体_GB2312"/>
          <w:b/>
          <w:bCs/>
          <w:color w:val="auto"/>
          <w:highlight w:val="none"/>
        </w:rPr>
      </w:pPr>
      <w:r>
        <w:rPr>
          <w:rFonts w:hint="eastAsia" w:eastAsia="楷体_GB2312" w:cs="楷体_GB2312"/>
          <w:b/>
          <w:bCs/>
          <w:color w:val="auto"/>
          <w:highlight w:val="none"/>
        </w:rPr>
        <w:t>备注：</w:t>
      </w:r>
      <w:r>
        <w:rPr>
          <w:rFonts w:eastAsia="楷体_GB2312"/>
          <w:b/>
          <w:bCs/>
          <w:color w:val="auto"/>
          <w:highlight w:val="none"/>
        </w:rPr>
        <w:t>1</w:t>
      </w:r>
      <w:r>
        <w:rPr>
          <w:rFonts w:hint="eastAsia" w:eastAsia="楷体_GB2312" w:cs="楷体_GB2312"/>
          <w:b/>
          <w:bCs/>
          <w:color w:val="auto"/>
          <w:highlight w:val="none"/>
        </w:rPr>
        <w:t>、相关信息应与“桂建云”系统信息一致，</w:t>
      </w:r>
      <w:r>
        <w:rPr>
          <w:rFonts w:eastAsia="楷体_GB2312" w:cs="楷体_GB2312"/>
          <w:b/>
          <w:bCs/>
          <w:color w:val="auto"/>
          <w:highlight w:val="none"/>
        </w:rPr>
        <w:t>否则</w:t>
      </w:r>
      <w:r>
        <w:rPr>
          <w:rFonts w:hint="eastAsia" w:eastAsia="楷体_GB2312" w:cs="楷体_GB2312"/>
          <w:b/>
          <w:bCs/>
          <w:color w:val="auto"/>
          <w:highlight w:val="none"/>
        </w:rPr>
        <w:t>评审时不予承认。</w:t>
      </w:r>
    </w:p>
    <w:p w14:paraId="4BDD8A9F">
      <w:pPr>
        <w:numPr>
          <w:ilvl w:val="0"/>
          <w:numId w:val="3"/>
        </w:numPr>
        <w:spacing w:line="360" w:lineRule="auto"/>
        <w:ind w:firstLine="1054" w:firstLineChars="500"/>
        <w:rPr>
          <w:rFonts w:eastAsia="楷体_GB2312"/>
          <w:b/>
          <w:bCs/>
          <w:color w:val="auto"/>
          <w:highlight w:val="none"/>
        </w:rPr>
      </w:pPr>
      <w:r>
        <w:rPr>
          <w:rFonts w:hint="eastAsia" w:eastAsia="楷体_GB2312"/>
          <w:b/>
          <w:bCs/>
          <w:color w:val="auto"/>
          <w:highlight w:val="none"/>
        </w:rPr>
        <w:t>项目</w:t>
      </w:r>
      <w:r>
        <w:rPr>
          <w:rFonts w:eastAsia="楷体_GB2312"/>
          <w:b/>
          <w:bCs/>
          <w:color w:val="auto"/>
          <w:highlight w:val="none"/>
        </w:rPr>
        <w:t>数</w:t>
      </w:r>
      <w:r>
        <w:rPr>
          <w:rFonts w:hint="eastAsia" w:eastAsia="楷体_GB2312"/>
          <w:b/>
          <w:bCs/>
          <w:color w:val="auto"/>
          <w:highlight w:val="none"/>
        </w:rPr>
        <w:t>可</w:t>
      </w:r>
      <w:r>
        <w:rPr>
          <w:rFonts w:eastAsia="楷体_GB2312"/>
          <w:b/>
          <w:bCs/>
          <w:color w:val="auto"/>
          <w:highlight w:val="none"/>
        </w:rPr>
        <w:t>根据需要增加</w:t>
      </w:r>
      <w:r>
        <w:rPr>
          <w:rFonts w:hint="eastAsia" w:eastAsia="楷体_GB2312"/>
          <w:b/>
          <w:bCs/>
          <w:color w:val="auto"/>
          <w:highlight w:val="none"/>
        </w:rPr>
        <w:t>。</w:t>
      </w:r>
    </w:p>
    <w:p w14:paraId="3170487A">
      <w:pPr>
        <w:spacing w:line="360" w:lineRule="auto"/>
        <w:ind w:firstLine="1054" w:firstLineChars="500"/>
        <w:rPr>
          <w:rFonts w:eastAsia="楷体_GB2312"/>
          <w:b/>
          <w:bCs/>
          <w:color w:val="auto"/>
          <w:highlight w:val="none"/>
        </w:rPr>
      </w:pPr>
      <w:r>
        <w:rPr>
          <w:rFonts w:hint="eastAsia" w:eastAsia="楷体_GB2312"/>
          <w:b/>
          <w:bCs/>
          <w:color w:val="auto"/>
          <w:highlight w:val="none"/>
        </w:rPr>
        <w:t>3 、除有特殊要求项目，项目完成时间，指的是设计文件取得施工图审查</w:t>
      </w:r>
      <w:r>
        <w:rPr>
          <w:rFonts w:hint="eastAsia" w:ascii="楷体" w:hAnsi="楷体" w:eastAsia="楷体"/>
          <w:b/>
          <w:bCs/>
          <w:color w:val="auto"/>
          <w:szCs w:val="21"/>
          <w:highlight w:val="none"/>
        </w:rPr>
        <w:t>合格报告书</w:t>
      </w:r>
      <w:r>
        <w:rPr>
          <w:rFonts w:hint="eastAsia" w:eastAsia="楷体_GB2312"/>
          <w:b/>
          <w:bCs/>
          <w:color w:val="auto"/>
          <w:highlight w:val="none"/>
        </w:rPr>
        <w:t>的时间。如进行设计方案招标（不含施工图部分内容）的，项目完成时间，指的是方案或初步设计批复文件的时间。</w:t>
      </w:r>
    </w:p>
    <w:p w14:paraId="4C2940A3">
      <w:pPr>
        <w:spacing w:line="360" w:lineRule="auto"/>
        <w:ind w:firstLine="1054" w:firstLineChars="500"/>
        <w:rPr>
          <w:rFonts w:eastAsia="楷体_GB2312"/>
          <w:b/>
          <w:bCs/>
          <w:color w:val="auto"/>
          <w:highlight w:val="none"/>
        </w:rPr>
      </w:pPr>
    </w:p>
    <w:p w14:paraId="32CFF237">
      <w:pPr>
        <w:spacing w:line="360" w:lineRule="auto"/>
        <w:ind w:firstLine="1054" w:firstLineChars="500"/>
        <w:rPr>
          <w:rFonts w:eastAsia="楷体_GB2312"/>
          <w:b/>
          <w:bCs/>
          <w:color w:val="auto"/>
          <w:highlight w:val="none"/>
        </w:rPr>
      </w:pPr>
    </w:p>
    <w:p w14:paraId="7A464DA9">
      <w:pPr>
        <w:spacing w:line="360" w:lineRule="auto"/>
        <w:rPr>
          <w:rFonts w:eastAsia="楷体_GB2312"/>
          <w:color w:val="auto"/>
          <w:highlight w:val="none"/>
        </w:rPr>
      </w:pPr>
    </w:p>
    <w:p w14:paraId="53940815">
      <w:pPr>
        <w:spacing w:line="360" w:lineRule="auto"/>
        <w:rPr>
          <w:color w:val="auto"/>
          <w:szCs w:val="21"/>
          <w:highlight w:val="none"/>
        </w:rPr>
      </w:pPr>
    </w:p>
    <w:p w14:paraId="00DEAB0B">
      <w:pPr>
        <w:spacing w:line="360" w:lineRule="auto"/>
        <w:rPr>
          <w:color w:val="auto"/>
          <w:szCs w:val="21"/>
          <w:highlight w:val="none"/>
        </w:rPr>
      </w:pPr>
    </w:p>
    <w:p w14:paraId="0685762B">
      <w:pPr>
        <w:spacing w:line="360" w:lineRule="auto"/>
        <w:ind w:right="420"/>
        <w:jc w:val="center"/>
        <w:rPr>
          <w:rFonts w:ascii="宋体" w:hAnsi="宋体"/>
          <w:b/>
          <w:color w:val="auto"/>
          <w:sz w:val="28"/>
          <w:szCs w:val="28"/>
          <w:highlight w:val="none"/>
        </w:rPr>
      </w:pPr>
      <w:r>
        <w:rPr>
          <w:rFonts w:hint="eastAsia" w:ascii="宋体" w:hAnsi="宋体"/>
          <w:b/>
          <w:color w:val="auto"/>
          <w:sz w:val="28"/>
          <w:szCs w:val="28"/>
          <w:highlight w:val="none"/>
        </w:rPr>
        <w:t>（二）</w:t>
      </w:r>
      <w:r>
        <w:rPr>
          <w:rFonts w:ascii="宋体" w:hAnsi="宋体"/>
          <w:b/>
          <w:color w:val="auto"/>
          <w:sz w:val="28"/>
          <w:szCs w:val="28"/>
          <w:highlight w:val="none"/>
        </w:rPr>
        <w:t>项目组人员配备情况表</w:t>
      </w:r>
    </w:p>
    <w:tbl>
      <w:tblPr>
        <w:tblStyle w:val="40"/>
        <w:tblW w:w="9889" w:type="dxa"/>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34"/>
        <w:gridCol w:w="1152"/>
        <w:gridCol w:w="1258"/>
        <w:gridCol w:w="992"/>
        <w:gridCol w:w="992"/>
        <w:gridCol w:w="1560"/>
        <w:gridCol w:w="1557"/>
        <w:gridCol w:w="569"/>
      </w:tblGrid>
      <w:tr w14:paraId="4713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7D4A2C6">
            <w:pPr>
              <w:pStyle w:val="137"/>
              <w:jc w:val="center"/>
              <w:outlineLvl w:val="0"/>
              <w:rPr>
                <w:b/>
                <w:color w:val="auto"/>
                <w:szCs w:val="21"/>
                <w:highlight w:val="none"/>
              </w:rPr>
            </w:pPr>
            <w:r>
              <w:rPr>
                <w:b/>
                <w:color w:val="auto"/>
                <w:szCs w:val="21"/>
                <w:highlight w:val="none"/>
              </w:rPr>
              <w:t>序号</w:t>
            </w:r>
          </w:p>
        </w:tc>
        <w:tc>
          <w:tcPr>
            <w:tcW w:w="1134" w:type="dxa"/>
            <w:vAlign w:val="center"/>
          </w:tcPr>
          <w:p w14:paraId="0D32DD43">
            <w:pPr>
              <w:pStyle w:val="137"/>
              <w:jc w:val="center"/>
              <w:outlineLvl w:val="0"/>
              <w:rPr>
                <w:b/>
                <w:color w:val="auto"/>
                <w:szCs w:val="21"/>
                <w:highlight w:val="none"/>
              </w:rPr>
            </w:pPr>
            <w:r>
              <w:rPr>
                <w:rFonts w:hint="eastAsia"/>
                <w:b/>
                <w:color w:val="auto"/>
                <w:szCs w:val="21"/>
                <w:highlight w:val="none"/>
              </w:rPr>
              <w:t>姓名</w:t>
            </w:r>
          </w:p>
        </w:tc>
        <w:tc>
          <w:tcPr>
            <w:tcW w:w="1152" w:type="dxa"/>
            <w:vAlign w:val="center"/>
          </w:tcPr>
          <w:p w14:paraId="3691F1A4">
            <w:pPr>
              <w:pStyle w:val="137"/>
              <w:jc w:val="center"/>
              <w:outlineLvl w:val="0"/>
              <w:rPr>
                <w:b/>
                <w:color w:val="auto"/>
                <w:szCs w:val="21"/>
                <w:highlight w:val="none"/>
              </w:rPr>
            </w:pPr>
            <w:r>
              <w:rPr>
                <w:rFonts w:hint="eastAsia"/>
                <w:b/>
                <w:color w:val="auto"/>
                <w:szCs w:val="21"/>
                <w:highlight w:val="none"/>
              </w:rPr>
              <w:t>身份证</w:t>
            </w:r>
          </w:p>
          <w:p w14:paraId="7170F950">
            <w:pPr>
              <w:pStyle w:val="137"/>
              <w:jc w:val="center"/>
              <w:outlineLvl w:val="0"/>
              <w:rPr>
                <w:b/>
                <w:color w:val="auto"/>
                <w:szCs w:val="21"/>
                <w:highlight w:val="none"/>
              </w:rPr>
            </w:pPr>
            <w:r>
              <w:rPr>
                <w:rFonts w:hint="eastAsia"/>
                <w:b/>
                <w:color w:val="auto"/>
                <w:szCs w:val="21"/>
                <w:highlight w:val="none"/>
              </w:rPr>
              <w:t>号码</w:t>
            </w:r>
          </w:p>
        </w:tc>
        <w:tc>
          <w:tcPr>
            <w:tcW w:w="1258" w:type="dxa"/>
            <w:vAlign w:val="center"/>
          </w:tcPr>
          <w:p w14:paraId="04B08AD1">
            <w:pPr>
              <w:pStyle w:val="137"/>
              <w:jc w:val="center"/>
              <w:outlineLvl w:val="0"/>
              <w:rPr>
                <w:b/>
                <w:color w:val="auto"/>
                <w:szCs w:val="21"/>
                <w:highlight w:val="none"/>
              </w:rPr>
            </w:pPr>
            <w:r>
              <w:rPr>
                <w:b/>
                <w:color w:val="auto"/>
                <w:szCs w:val="21"/>
                <w:highlight w:val="none"/>
              </w:rPr>
              <w:t>拟在本项目任职</w:t>
            </w:r>
          </w:p>
        </w:tc>
        <w:tc>
          <w:tcPr>
            <w:tcW w:w="992" w:type="dxa"/>
            <w:vAlign w:val="center"/>
          </w:tcPr>
          <w:p w14:paraId="2A2F0BF2">
            <w:pPr>
              <w:pStyle w:val="137"/>
              <w:jc w:val="center"/>
              <w:outlineLvl w:val="0"/>
              <w:rPr>
                <w:b/>
                <w:color w:val="auto"/>
                <w:szCs w:val="21"/>
                <w:highlight w:val="none"/>
              </w:rPr>
            </w:pPr>
            <w:r>
              <w:rPr>
                <w:b/>
                <w:color w:val="auto"/>
                <w:szCs w:val="21"/>
                <w:highlight w:val="none"/>
              </w:rPr>
              <w:t>职</w:t>
            </w:r>
            <w:r>
              <w:rPr>
                <w:rFonts w:hint="eastAsia"/>
                <w:b/>
                <w:color w:val="auto"/>
                <w:szCs w:val="21"/>
                <w:highlight w:val="none"/>
              </w:rPr>
              <w:t xml:space="preserve"> </w:t>
            </w:r>
            <w:r>
              <w:rPr>
                <w:b/>
                <w:color w:val="auto"/>
                <w:szCs w:val="21"/>
                <w:highlight w:val="none"/>
              </w:rPr>
              <w:t>称</w:t>
            </w:r>
          </w:p>
        </w:tc>
        <w:tc>
          <w:tcPr>
            <w:tcW w:w="992" w:type="dxa"/>
            <w:vAlign w:val="center"/>
          </w:tcPr>
          <w:p w14:paraId="389320BB">
            <w:pPr>
              <w:pStyle w:val="137"/>
              <w:jc w:val="center"/>
              <w:outlineLvl w:val="0"/>
              <w:rPr>
                <w:b/>
                <w:color w:val="auto"/>
                <w:szCs w:val="21"/>
                <w:highlight w:val="none"/>
              </w:rPr>
            </w:pPr>
            <w:r>
              <w:rPr>
                <w:b/>
                <w:color w:val="auto"/>
                <w:szCs w:val="21"/>
                <w:highlight w:val="none"/>
              </w:rPr>
              <w:t>专</w:t>
            </w:r>
            <w:r>
              <w:rPr>
                <w:rFonts w:hint="eastAsia"/>
                <w:b/>
                <w:color w:val="auto"/>
                <w:szCs w:val="21"/>
                <w:highlight w:val="none"/>
              </w:rPr>
              <w:t xml:space="preserve"> </w:t>
            </w:r>
            <w:r>
              <w:rPr>
                <w:b/>
                <w:color w:val="auto"/>
                <w:szCs w:val="21"/>
                <w:highlight w:val="none"/>
              </w:rPr>
              <w:t>业</w:t>
            </w:r>
          </w:p>
        </w:tc>
        <w:tc>
          <w:tcPr>
            <w:tcW w:w="1560" w:type="dxa"/>
            <w:vAlign w:val="center"/>
          </w:tcPr>
          <w:p w14:paraId="361B008A">
            <w:pPr>
              <w:pStyle w:val="137"/>
              <w:jc w:val="center"/>
              <w:outlineLvl w:val="0"/>
              <w:rPr>
                <w:b/>
                <w:color w:val="auto"/>
                <w:szCs w:val="21"/>
                <w:highlight w:val="none"/>
              </w:rPr>
            </w:pPr>
            <w:r>
              <w:rPr>
                <w:b/>
                <w:color w:val="auto"/>
                <w:szCs w:val="21"/>
                <w:highlight w:val="none"/>
              </w:rPr>
              <w:t>执业</w:t>
            </w:r>
            <w:r>
              <w:rPr>
                <w:rFonts w:hint="eastAsia"/>
                <w:b/>
                <w:color w:val="auto"/>
                <w:szCs w:val="21"/>
                <w:highlight w:val="none"/>
              </w:rPr>
              <w:t>注册</w:t>
            </w:r>
            <w:r>
              <w:rPr>
                <w:b/>
                <w:color w:val="auto"/>
                <w:szCs w:val="21"/>
                <w:highlight w:val="none"/>
              </w:rPr>
              <w:t>资格</w:t>
            </w:r>
            <w:r>
              <w:rPr>
                <w:rFonts w:hint="eastAsia"/>
                <w:b/>
                <w:color w:val="auto"/>
                <w:szCs w:val="21"/>
                <w:highlight w:val="none"/>
              </w:rPr>
              <w:t>（如有）</w:t>
            </w:r>
          </w:p>
        </w:tc>
        <w:tc>
          <w:tcPr>
            <w:tcW w:w="1557" w:type="dxa"/>
            <w:vAlign w:val="center"/>
          </w:tcPr>
          <w:p w14:paraId="15C259F9">
            <w:pPr>
              <w:pStyle w:val="137"/>
              <w:jc w:val="center"/>
              <w:outlineLvl w:val="0"/>
              <w:rPr>
                <w:b/>
                <w:color w:val="auto"/>
                <w:szCs w:val="21"/>
                <w:highlight w:val="none"/>
              </w:rPr>
            </w:pPr>
            <w:r>
              <w:rPr>
                <w:b/>
                <w:color w:val="auto"/>
                <w:szCs w:val="21"/>
                <w:highlight w:val="none"/>
              </w:rPr>
              <w:t>证书编号</w:t>
            </w:r>
          </w:p>
        </w:tc>
        <w:tc>
          <w:tcPr>
            <w:tcW w:w="569" w:type="dxa"/>
            <w:vAlign w:val="center"/>
          </w:tcPr>
          <w:p w14:paraId="50E4B4EC">
            <w:pPr>
              <w:pStyle w:val="137"/>
              <w:jc w:val="center"/>
              <w:outlineLvl w:val="0"/>
              <w:rPr>
                <w:b/>
                <w:color w:val="auto"/>
                <w:szCs w:val="21"/>
                <w:highlight w:val="none"/>
              </w:rPr>
            </w:pPr>
            <w:r>
              <w:rPr>
                <w:b/>
                <w:color w:val="auto"/>
                <w:szCs w:val="21"/>
                <w:highlight w:val="none"/>
              </w:rPr>
              <w:t>备注</w:t>
            </w:r>
          </w:p>
        </w:tc>
      </w:tr>
      <w:tr w14:paraId="6B2C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506F191A">
            <w:pPr>
              <w:pStyle w:val="137"/>
              <w:jc w:val="center"/>
              <w:outlineLvl w:val="0"/>
              <w:rPr>
                <w:color w:val="auto"/>
                <w:szCs w:val="21"/>
                <w:highlight w:val="none"/>
              </w:rPr>
            </w:pPr>
          </w:p>
        </w:tc>
        <w:tc>
          <w:tcPr>
            <w:tcW w:w="1134" w:type="dxa"/>
          </w:tcPr>
          <w:p w14:paraId="36E6D87A">
            <w:pPr>
              <w:pStyle w:val="137"/>
              <w:jc w:val="center"/>
              <w:outlineLvl w:val="0"/>
              <w:rPr>
                <w:color w:val="auto"/>
                <w:szCs w:val="21"/>
                <w:highlight w:val="none"/>
              </w:rPr>
            </w:pPr>
          </w:p>
        </w:tc>
        <w:tc>
          <w:tcPr>
            <w:tcW w:w="1152" w:type="dxa"/>
          </w:tcPr>
          <w:p w14:paraId="75E794B4">
            <w:pPr>
              <w:pStyle w:val="137"/>
              <w:jc w:val="center"/>
              <w:outlineLvl w:val="0"/>
              <w:rPr>
                <w:color w:val="auto"/>
                <w:szCs w:val="21"/>
                <w:highlight w:val="none"/>
              </w:rPr>
            </w:pPr>
          </w:p>
        </w:tc>
        <w:tc>
          <w:tcPr>
            <w:tcW w:w="1258" w:type="dxa"/>
          </w:tcPr>
          <w:p w14:paraId="1DEAAC49">
            <w:pPr>
              <w:pStyle w:val="137"/>
              <w:jc w:val="center"/>
              <w:outlineLvl w:val="0"/>
              <w:rPr>
                <w:color w:val="auto"/>
                <w:szCs w:val="21"/>
                <w:highlight w:val="none"/>
              </w:rPr>
            </w:pPr>
          </w:p>
        </w:tc>
        <w:tc>
          <w:tcPr>
            <w:tcW w:w="992" w:type="dxa"/>
          </w:tcPr>
          <w:p w14:paraId="0FC5764F">
            <w:pPr>
              <w:pStyle w:val="137"/>
              <w:jc w:val="center"/>
              <w:outlineLvl w:val="0"/>
              <w:rPr>
                <w:color w:val="auto"/>
                <w:szCs w:val="21"/>
                <w:highlight w:val="none"/>
              </w:rPr>
            </w:pPr>
          </w:p>
        </w:tc>
        <w:tc>
          <w:tcPr>
            <w:tcW w:w="992" w:type="dxa"/>
          </w:tcPr>
          <w:p w14:paraId="6A106EDB">
            <w:pPr>
              <w:pStyle w:val="137"/>
              <w:jc w:val="center"/>
              <w:outlineLvl w:val="0"/>
              <w:rPr>
                <w:color w:val="auto"/>
                <w:szCs w:val="21"/>
                <w:highlight w:val="none"/>
              </w:rPr>
            </w:pPr>
          </w:p>
        </w:tc>
        <w:tc>
          <w:tcPr>
            <w:tcW w:w="1560" w:type="dxa"/>
          </w:tcPr>
          <w:p w14:paraId="5494E8F6">
            <w:pPr>
              <w:pStyle w:val="137"/>
              <w:jc w:val="center"/>
              <w:outlineLvl w:val="0"/>
              <w:rPr>
                <w:color w:val="auto"/>
                <w:szCs w:val="21"/>
                <w:highlight w:val="none"/>
              </w:rPr>
            </w:pPr>
          </w:p>
        </w:tc>
        <w:tc>
          <w:tcPr>
            <w:tcW w:w="1557" w:type="dxa"/>
          </w:tcPr>
          <w:p w14:paraId="44335C33">
            <w:pPr>
              <w:pStyle w:val="137"/>
              <w:jc w:val="center"/>
              <w:outlineLvl w:val="0"/>
              <w:rPr>
                <w:color w:val="auto"/>
                <w:szCs w:val="21"/>
                <w:highlight w:val="none"/>
              </w:rPr>
            </w:pPr>
          </w:p>
        </w:tc>
        <w:tc>
          <w:tcPr>
            <w:tcW w:w="569" w:type="dxa"/>
          </w:tcPr>
          <w:p w14:paraId="787521B8">
            <w:pPr>
              <w:pStyle w:val="137"/>
              <w:jc w:val="center"/>
              <w:outlineLvl w:val="0"/>
              <w:rPr>
                <w:color w:val="auto"/>
                <w:szCs w:val="21"/>
                <w:highlight w:val="none"/>
              </w:rPr>
            </w:pPr>
          </w:p>
        </w:tc>
      </w:tr>
      <w:tr w14:paraId="7D2C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3E4890C6">
            <w:pPr>
              <w:pStyle w:val="137"/>
              <w:jc w:val="center"/>
              <w:outlineLvl w:val="0"/>
              <w:rPr>
                <w:color w:val="auto"/>
                <w:szCs w:val="21"/>
                <w:highlight w:val="none"/>
              </w:rPr>
            </w:pPr>
          </w:p>
        </w:tc>
        <w:tc>
          <w:tcPr>
            <w:tcW w:w="1134" w:type="dxa"/>
          </w:tcPr>
          <w:p w14:paraId="2934BB7D">
            <w:pPr>
              <w:pStyle w:val="137"/>
              <w:jc w:val="center"/>
              <w:outlineLvl w:val="0"/>
              <w:rPr>
                <w:color w:val="auto"/>
                <w:szCs w:val="21"/>
                <w:highlight w:val="none"/>
              </w:rPr>
            </w:pPr>
          </w:p>
        </w:tc>
        <w:tc>
          <w:tcPr>
            <w:tcW w:w="1152" w:type="dxa"/>
          </w:tcPr>
          <w:p w14:paraId="0AC31A88">
            <w:pPr>
              <w:pStyle w:val="137"/>
              <w:jc w:val="center"/>
              <w:outlineLvl w:val="0"/>
              <w:rPr>
                <w:color w:val="auto"/>
                <w:szCs w:val="21"/>
                <w:highlight w:val="none"/>
              </w:rPr>
            </w:pPr>
          </w:p>
        </w:tc>
        <w:tc>
          <w:tcPr>
            <w:tcW w:w="1258" w:type="dxa"/>
          </w:tcPr>
          <w:p w14:paraId="549EEDA8">
            <w:pPr>
              <w:pStyle w:val="137"/>
              <w:jc w:val="center"/>
              <w:outlineLvl w:val="0"/>
              <w:rPr>
                <w:color w:val="auto"/>
                <w:szCs w:val="21"/>
                <w:highlight w:val="none"/>
              </w:rPr>
            </w:pPr>
          </w:p>
        </w:tc>
        <w:tc>
          <w:tcPr>
            <w:tcW w:w="992" w:type="dxa"/>
          </w:tcPr>
          <w:p w14:paraId="04CB23D9">
            <w:pPr>
              <w:pStyle w:val="137"/>
              <w:jc w:val="center"/>
              <w:outlineLvl w:val="0"/>
              <w:rPr>
                <w:color w:val="auto"/>
                <w:szCs w:val="21"/>
                <w:highlight w:val="none"/>
              </w:rPr>
            </w:pPr>
          </w:p>
        </w:tc>
        <w:tc>
          <w:tcPr>
            <w:tcW w:w="992" w:type="dxa"/>
          </w:tcPr>
          <w:p w14:paraId="57E4464E">
            <w:pPr>
              <w:pStyle w:val="137"/>
              <w:jc w:val="center"/>
              <w:outlineLvl w:val="0"/>
              <w:rPr>
                <w:color w:val="auto"/>
                <w:szCs w:val="21"/>
                <w:highlight w:val="none"/>
              </w:rPr>
            </w:pPr>
          </w:p>
        </w:tc>
        <w:tc>
          <w:tcPr>
            <w:tcW w:w="1560" w:type="dxa"/>
          </w:tcPr>
          <w:p w14:paraId="5918DB62">
            <w:pPr>
              <w:pStyle w:val="137"/>
              <w:jc w:val="center"/>
              <w:outlineLvl w:val="0"/>
              <w:rPr>
                <w:color w:val="auto"/>
                <w:szCs w:val="21"/>
                <w:highlight w:val="none"/>
              </w:rPr>
            </w:pPr>
          </w:p>
        </w:tc>
        <w:tc>
          <w:tcPr>
            <w:tcW w:w="1557" w:type="dxa"/>
          </w:tcPr>
          <w:p w14:paraId="6073DA0E">
            <w:pPr>
              <w:pStyle w:val="137"/>
              <w:jc w:val="center"/>
              <w:outlineLvl w:val="0"/>
              <w:rPr>
                <w:color w:val="auto"/>
                <w:szCs w:val="21"/>
                <w:highlight w:val="none"/>
              </w:rPr>
            </w:pPr>
          </w:p>
        </w:tc>
        <w:tc>
          <w:tcPr>
            <w:tcW w:w="569" w:type="dxa"/>
          </w:tcPr>
          <w:p w14:paraId="74578028">
            <w:pPr>
              <w:pStyle w:val="137"/>
              <w:jc w:val="center"/>
              <w:outlineLvl w:val="0"/>
              <w:rPr>
                <w:color w:val="auto"/>
                <w:szCs w:val="21"/>
                <w:highlight w:val="none"/>
              </w:rPr>
            </w:pPr>
          </w:p>
        </w:tc>
      </w:tr>
      <w:tr w14:paraId="1066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089AB646">
            <w:pPr>
              <w:pStyle w:val="137"/>
              <w:jc w:val="center"/>
              <w:outlineLvl w:val="0"/>
              <w:rPr>
                <w:color w:val="auto"/>
                <w:szCs w:val="21"/>
                <w:highlight w:val="none"/>
              </w:rPr>
            </w:pPr>
          </w:p>
        </w:tc>
        <w:tc>
          <w:tcPr>
            <w:tcW w:w="1134" w:type="dxa"/>
          </w:tcPr>
          <w:p w14:paraId="07CCE012">
            <w:pPr>
              <w:pStyle w:val="137"/>
              <w:jc w:val="center"/>
              <w:outlineLvl w:val="0"/>
              <w:rPr>
                <w:color w:val="auto"/>
                <w:szCs w:val="21"/>
                <w:highlight w:val="none"/>
              </w:rPr>
            </w:pPr>
          </w:p>
        </w:tc>
        <w:tc>
          <w:tcPr>
            <w:tcW w:w="1152" w:type="dxa"/>
          </w:tcPr>
          <w:p w14:paraId="2B11E60C">
            <w:pPr>
              <w:pStyle w:val="137"/>
              <w:jc w:val="center"/>
              <w:outlineLvl w:val="0"/>
              <w:rPr>
                <w:color w:val="auto"/>
                <w:szCs w:val="21"/>
                <w:highlight w:val="none"/>
              </w:rPr>
            </w:pPr>
          </w:p>
        </w:tc>
        <w:tc>
          <w:tcPr>
            <w:tcW w:w="1258" w:type="dxa"/>
          </w:tcPr>
          <w:p w14:paraId="0AF49408">
            <w:pPr>
              <w:pStyle w:val="137"/>
              <w:jc w:val="center"/>
              <w:outlineLvl w:val="0"/>
              <w:rPr>
                <w:color w:val="auto"/>
                <w:szCs w:val="21"/>
                <w:highlight w:val="none"/>
              </w:rPr>
            </w:pPr>
          </w:p>
        </w:tc>
        <w:tc>
          <w:tcPr>
            <w:tcW w:w="992" w:type="dxa"/>
          </w:tcPr>
          <w:p w14:paraId="07E4F0C6">
            <w:pPr>
              <w:pStyle w:val="137"/>
              <w:jc w:val="center"/>
              <w:outlineLvl w:val="0"/>
              <w:rPr>
                <w:color w:val="auto"/>
                <w:szCs w:val="21"/>
                <w:highlight w:val="none"/>
              </w:rPr>
            </w:pPr>
          </w:p>
        </w:tc>
        <w:tc>
          <w:tcPr>
            <w:tcW w:w="992" w:type="dxa"/>
          </w:tcPr>
          <w:p w14:paraId="24A1C9E3">
            <w:pPr>
              <w:pStyle w:val="137"/>
              <w:jc w:val="center"/>
              <w:outlineLvl w:val="0"/>
              <w:rPr>
                <w:color w:val="auto"/>
                <w:szCs w:val="21"/>
                <w:highlight w:val="none"/>
              </w:rPr>
            </w:pPr>
          </w:p>
        </w:tc>
        <w:tc>
          <w:tcPr>
            <w:tcW w:w="1560" w:type="dxa"/>
          </w:tcPr>
          <w:p w14:paraId="4250F250">
            <w:pPr>
              <w:pStyle w:val="137"/>
              <w:jc w:val="center"/>
              <w:outlineLvl w:val="0"/>
              <w:rPr>
                <w:color w:val="auto"/>
                <w:szCs w:val="21"/>
                <w:highlight w:val="none"/>
              </w:rPr>
            </w:pPr>
          </w:p>
        </w:tc>
        <w:tc>
          <w:tcPr>
            <w:tcW w:w="1557" w:type="dxa"/>
          </w:tcPr>
          <w:p w14:paraId="3821FD17">
            <w:pPr>
              <w:pStyle w:val="137"/>
              <w:jc w:val="center"/>
              <w:outlineLvl w:val="0"/>
              <w:rPr>
                <w:color w:val="auto"/>
                <w:szCs w:val="21"/>
                <w:highlight w:val="none"/>
              </w:rPr>
            </w:pPr>
          </w:p>
        </w:tc>
        <w:tc>
          <w:tcPr>
            <w:tcW w:w="569" w:type="dxa"/>
          </w:tcPr>
          <w:p w14:paraId="7F91FCA4">
            <w:pPr>
              <w:pStyle w:val="137"/>
              <w:jc w:val="center"/>
              <w:outlineLvl w:val="0"/>
              <w:rPr>
                <w:color w:val="auto"/>
                <w:szCs w:val="21"/>
                <w:highlight w:val="none"/>
              </w:rPr>
            </w:pPr>
          </w:p>
        </w:tc>
      </w:tr>
      <w:tr w14:paraId="743D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3FB0F456">
            <w:pPr>
              <w:pStyle w:val="137"/>
              <w:jc w:val="center"/>
              <w:outlineLvl w:val="0"/>
              <w:rPr>
                <w:color w:val="auto"/>
                <w:szCs w:val="21"/>
                <w:highlight w:val="none"/>
              </w:rPr>
            </w:pPr>
          </w:p>
        </w:tc>
        <w:tc>
          <w:tcPr>
            <w:tcW w:w="1134" w:type="dxa"/>
          </w:tcPr>
          <w:p w14:paraId="42DDCE36">
            <w:pPr>
              <w:pStyle w:val="137"/>
              <w:jc w:val="center"/>
              <w:outlineLvl w:val="0"/>
              <w:rPr>
                <w:color w:val="auto"/>
                <w:szCs w:val="21"/>
                <w:highlight w:val="none"/>
              </w:rPr>
            </w:pPr>
          </w:p>
        </w:tc>
        <w:tc>
          <w:tcPr>
            <w:tcW w:w="1152" w:type="dxa"/>
          </w:tcPr>
          <w:p w14:paraId="3DF30666">
            <w:pPr>
              <w:pStyle w:val="137"/>
              <w:jc w:val="center"/>
              <w:outlineLvl w:val="0"/>
              <w:rPr>
                <w:color w:val="auto"/>
                <w:szCs w:val="21"/>
                <w:highlight w:val="none"/>
              </w:rPr>
            </w:pPr>
          </w:p>
        </w:tc>
        <w:tc>
          <w:tcPr>
            <w:tcW w:w="1258" w:type="dxa"/>
          </w:tcPr>
          <w:p w14:paraId="3730AB72">
            <w:pPr>
              <w:pStyle w:val="137"/>
              <w:jc w:val="center"/>
              <w:outlineLvl w:val="0"/>
              <w:rPr>
                <w:color w:val="auto"/>
                <w:szCs w:val="21"/>
                <w:highlight w:val="none"/>
              </w:rPr>
            </w:pPr>
          </w:p>
        </w:tc>
        <w:tc>
          <w:tcPr>
            <w:tcW w:w="992" w:type="dxa"/>
          </w:tcPr>
          <w:p w14:paraId="16CB916F">
            <w:pPr>
              <w:pStyle w:val="137"/>
              <w:jc w:val="center"/>
              <w:outlineLvl w:val="0"/>
              <w:rPr>
                <w:color w:val="auto"/>
                <w:szCs w:val="21"/>
                <w:highlight w:val="none"/>
              </w:rPr>
            </w:pPr>
          </w:p>
        </w:tc>
        <w:tc>
          <w:tcPr>
            <w:tcW w:w="992" w:type="dxa"/>
          </w:tcPr>
          <w:p w14:paraId="065C1CFC">
            <w:pPr>
              <w:pStyle w:val="137"/>
              <w:jc w:val="center"/>
              <w:outlineLvl w:val="0"/>
              <w:rPr>
                <w:color w:val="auto"/>
                <w:szCs w:val="21"/>
                <w:highlight w:val="none"/>
              </w:rPr>
            </w:pPr>
          </w:p>
        </w:tc>
        <w:tc>
          <w:tcPr>
            <w:tcW w:w="1560" w:type="dxa"/>
          </w:tcPr>
          <w:p w14:paraId="5B827E73">
            <w:pPr>
              <w:pStyle w:val="137"/>
              <w:jc w:val="center"/>
              <w:outlineLvl w:val="0"/>
              <w:rPr>
                <w:color w:val="auto"/>
                <w:szCs w:val="21"/>
                <w:highlight w:val="none"/>
              </w:rPr>
            </w:pPr>
          </w:p>
        </w:tc>
        <w:tc>
          <w:tcPr>
            <w:tcW w:w="1557" w:type="dxa"/>
          </w:tcPr>
          <w:p w14:paraId="0FCC0D76">
            <w:pPr>
              <w:pStyle w:val="137"/>
              <w:jc w:val="center"/>
              <w:outlineLvl w:val="0"/>
              <w:rPr>
                <w:color w:val="auto"/>
                <w:szCs w:val="21"/>
                <w:highlight w:val="none"/>
              </w:rPr>
            </w:pPr>
          </w:p>
        </w:tc>
        <w:tc>
          <w:tcPr>
            <w:tcW w:w="569" w:type="dxa"/>
          </w:tcPr>
          <w:p w14:paraId="357D298B">
            <w:pPr>
              <w:pStyle w:val="137"/>
              <w:jc w:val="center"/>
              <w:outlineLvl w:val="0"/>
              <w:rPr>
                <w:color w:val="auto"/>
                <w:szCs w:val="21"/>
                <w:highlight w:val="none"/>
              </w:rPr>
            </w:pPr>
          </w:p>
        </w:tc>
      </w:tr>
      <w:tr w14:paraId="14067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309E958A">
            <w:pPr>
              <w:pStyle w:val="137"/>
              <w:jc w:val="center"/>
              <w:outlineLvl w:val="0"/>
              <w:rPr>
                <w:color w:val="auto"/>
                <w:szCs w:val="21"/>
                <w:highlight w:val="none"/>
              </w:rPr>
            </w:pPr>
          </w:p>
        </w:tc>
        <w:tc>
          <w:tcPr>
            <w:tcW w:w="1134" w:type="dxa"/>
          </w:tcPr>
          <w:p w14:paraId="2BC43BF2">
            <w:pPr>
              <w:pStyle w:val="137"/>
              <w:jc w:val="center"/>
              <w:outlineLvl w:val="0"/>
              <w:rPr>
                <w:color w:val="auto"/>
                <w:szCs w:val="21"/>
                <w:highlight w:val="none"/>
              </w:rPr>
            </w:pPr>
          </w:p>
        </w:tc>
        <w:tc>
          <w:tcPr>
            <w:tcW w:w="1152" w:type="dxa"/>
          </w:tcPr>
          <w:p w14:paraId="2D293714">
            <w:pPr>
              <w:pStyle w:val="137"/>
              <w:jc w:val="center"/>
              <w:outlineLvl w:val="0"/>
              <w:rPr>
                <w:color w:val="auto"/>
                <w:szCs w:val="21"/>
                <w:highlight w:val="none"/>
              </w:rPr>
            </w:pPr>
          </w:p>
        </w:tc>
        <w:tc>
          <w:tcPr>
            <w:tcW w:w="1258" w:type="dxa"/>
          </w:tcPr>
          <w:p w14:paraId="3918EC19">
            <w:pPr>
              <w:pStyle w:val="137"/>
              <w:jc w:val="center"/>
              <w:outlineLvl w:val="0"/>
              <w:rPr>
                <w:color w:val="auto"/>
                <w:szCs w:val="21"/>
                <w:highlight w:val="none"/>
              </w:rPr>
            </w:pPr>
          </w:p>
        </w:tc>
        <w:tc>
          <w:tcPr>
            <w:tcW w:w="992" w:type="dxa"/>
          </w:tcPr>
          <w:p w14:paraId="790EB617">
            <w:pPr>
              <w:pStyle w:val="137"/>
              <w:jc w:val="center"/>
              <w:outlineLvl w:val="0"/>
              <w:rPr>
                <w:color w:val="auto"/>
                <w:szCs w:val="21"/>
                <w:highlight w:val="none"/>
              </w:rPr>
            </w:pPr>
          </w:p>
        </w:tc>
        <w:tc>
          <w:tcPr>
            <w:tcW w:w="992" w:type="dxa"/>
          </w:tcPr>
          <w:p w14:paraId="5E0D59EC">
            <w:pPr>
              <w:pStyle w:val="137"/>
              <w:jc w:val="center"/>
              <w:outlineLvl w:val="0"/>
              <w:rPr>
                <w:color w:val="auto"/>
                <w:szCs w:val="21"/>
                <w:highlight w:val="none"/>
              </w:rPr>
            </w:pPr>
          </w:p>
        </w:tc>
        <w:tc>
          <w:tcPr>
            <w:tcW w:w="1560" w:type="dxa"/>
          </w:tcPr>
          <w:p w14:paraId="6EFB20F8">
            <w:pPr>
              <w:pStyle w:val="137"/>
              <w:jc w:val="center"/>
              <w:outlineLvl w:val="0"/>
              <w:rPr>
                <w:color w:val="auto"/>
                <w:szCs w:val="21"/>
                <w:highlight w:val="none"/>
              </w:rPr>
            </w:pPr>
          </w:p>
        </w:tc>
        <w:tc>
          <w:tcPr>
            <w:tcW w:w="1557" w:type="dxa"/>
          </w:tcPr>
          <w:p w14:paraId="5EF11727">
            <w:pPr>
              <w:pStyle w:val="137"/>
              <w:jc w:val="center"/>
              <w:outlineLvl w:val="0"/>
              <w:rPr>
                <w:color w:val="auto"/>
                <w:szCs w:val="21"/>
                <w:highlight w:val="none"/>
              </w:rPr>
            </w:pPr>
          </w:p>
        </w:tc>
        <w:tc>
          <w:tcPr>
            <w:tcW w:w="569" w:type="dxa"/>
          </w:tcPr>
          <w:p w14:paraId="4F35E917">
            <w:pPr>
              <w:pStyle w:val="137"/>
              <w:jc w:val="center"/>
              <w:outlineLvl w:val="0"/>
              <w:rPr>
                <w:color w:val="auto"/>
                <w:szCs w:val="21"/>
                <w:highlight w:val="none"/>
              </w:rPr>
            </w:pPr>
          </w:p>
        </w:tc>
      </w:tr>
      <w:tr w14:paraId="2265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43ECD82D">
            <w:pPr>
              <w:pStyle w:val="137"/>
              <w:jc w:val="center"/>
              <w:outlineLvl w:val="0"/>
              <w:rPr>
                <w:color w:val="auto"/>
                <w:szCs w:val="21"/>
                <w:highlight w:val="none"/>
              </w:rPr>
            </w:pPr>
          </w:p>
        </w:tc>
        <w:tc>
          <w:tcPr>
            <w:tcW w:w="1134" w:type="dxa"/>
          </w:tcPr>
          <w:p w14:paraId="35EE4764">
            <w:pPr>
              <w:pStyle w:val="137"/>
              <w:jc w:val="center"/>
              <w:outlineLvl w:val="0"/>
              <w:rPr>
                <w:color w:val="auto"/>
                <w:szCs w:val="21"/>
                <w:highlight w:val="none"/>
              </w:rPr>
            </w:pPr>
          </w:p>
        </w:tc>
        <w:tc>
          <w:tcPr>
            <w:tcW w:w="1152" w:type="dxa"/>
          </w:tcPr>
          <w:p w14:paraId="3A5D0F9A">
            <w:pPr>
              <w:pStyle w:val="137"/>
              <w:jc w:val="center"/>
              <w:outlineLvl w:val="0"/>
              <w:rPr>
                <w:color w:val="auto"/>
                <w:szCs w:val="21"/>
                <w:highlight w:val="none"/>
              </w:rPr>
            </w:pPr>
          </w:p>
        </w:tc>
        <w:tc>
          <w:tcPr>
            <w:tcW w:w="1258" w:type="dxa"/>
          </w:tcPr>
          <w:p w14:paraId="6E99D434">
            <w:pPr>
              <w:pStyle w:val="137"/>
              <w:jc w:val="center"/>
              <w:outlineLvl w:val="0"/>
              <w:rPr>
                <w:color w:val="auto"/>
                <w:szCs w:val="21"/>
                <w:highlight w:val="none"/>
              </w:rPr>
            </w:pPr>
          </w:p>
        </w:tc>
        <w:tc>
          <w:tcPr>
            <w:tcW w:w="992" w:type="dxa"/>
          </w:tcPr>
          <w:p w14:paraId="15CC8582">
            <w:pPr>
              <w:pStyle w:val="137"/>
              <w:jc w:val="center"/>
              <w:outlineLvl w:val="0"/>
              <w:rPr>
                <w:color w:val="auto"/>
                <w:szCs w:val="21"/>
                <w:highlight w:val="none"/>
              </w:rPr>
            </w:pPr>
          </w:p>
        </w:tc>
        <w:tc>
          <w:tcPr>
            <w:tcW w:w="992" w:type="dxa"/>
          </w:tcPr>
          <w:p w14:paraId="5F4351FA">
            <w:pPr>
              <w:pStyle w:val="137"/>
              <w:jc w:val="center"/>
              <w:outlineLvl w:val="0"/>
              <w:rPr>
                <w:color w:val="auto"/>
                <w:szCs w:val="21"/>
                <w:highlight w:val="none"/>
              </w:rPr>
            </w:pPr>
          </w:p>
        </w:tc>
        <w:tc>
          <w:tcPr>
            <w:tcW w:w="1560" w:type="dxa"/>
          </w:tcPr>
          <w:p w14:paraId="048F5DFD">
            <w:pPr>
              <w:pStyle w:val="137"/>
              <w:jc w:val="center"/>
              <w:outlineLvl w:val="0"/>
              <w:rPr>
                <w:color w:val="auto"/>
                <w:szCs w:val="21"/>
                <w:highlight w:val="none"/>
              </w:rPr>
            </w:pPr>
          </w:p>
        </w:tc>
        <w:tc>
          <w:tcPr>
            <w:tcW w:w="1557" w:type="dxa"/>
          </w:tcPr>
          <w:p w14:paraId="16F15DFB">
            <w:pPr>
              <w:pStyle w:val="137"/>
              <w:jc w:val="center"/>
              <w:outlineLvl w:val="0"/>
              <w:rPr>
                <w:color w:val="auto"/>
                <w:szCs w:val="21"/>
                <w:highlight w:val="none"/>
              </w:rPr>
            </w:pPr>
          </w:p>
        </w:tc>
        <w:tc>
          <w:tcPr>
            <w:tcW w:w="569" w:type="dxa"/>
          </w:tcPr>
          <w:p w14:paraId="2D00CA0B">
            <w:pPr>
              <w:pStyle w:val="137"/>
              <w:jc w:val="center"/>
              <w:outlineLvl w:val="0"/>
              <w:rPr>
                <w:color w:val="auto"/>
                <w:szCs w:val="21"/>
                <w:highlight w:val="none"/>
              </w:rPr>
            </w:pPr>
          </w:p>
        </w:tc>
      </w:tr>
      <w:tr w14:paraId="535F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6458B238">
            <w:pPr>
              <w:pStyle w:val="137"/>
              <w:jc w:val="center"/>
              <w:outlineLvl w:val="0"/>
              <w:rPr>
                <w:color w:val="auto"/>
                <w:szCs w:val="21"/>
                <w:highlight w:val="none"/>
              </w:rPr>
            </w:pPr>
          </w:p>
        </w:tc>
        <w:tc>
          <w:tcPr>
            <w:tcW w:w="1134" w:type="dxa"/>
          </w:tcPr>
          <w:p w14:paraId="350E5798">
            <w:pPr>
              <w:pStyle w:val="137"/>
              <w:jc w:val="center"/>
              <w:outlineLvl w:val="0"/>
              <w:rPr>
                <w:color w:val="auto"/>
                <w:szCs w:val="21"/>
                <w:highlight w:val="none"/>
              </w:rPr>
            </w:pPr>
          </w:p>
        </w:tc>
        <w:tc>
          <w:tcPr>
            <w:tcW w:w="1152" w:type="dxa"/>
          </w:tcPr>
          <w:p w14:paraId="7A2A71AF">
            <w:pPr>
              <w:pStyle w:val="137"/>
              <w:jc w:val="center"/>
              <w:outlineLvl w:val="0"/>
              <w:rPr>
                <w:color w:val="auto"/>
                <w:szCs w:val="21"/>
                <w:highlight w:val="none"/>
              </w:rPr>
            </w:pPr>
          </w:p>
        </w:tc>
        <w:tc>
          <w:tcPr>
            <w:tcW w:w="1258" w:type="dxa"/>
          </w:tcPr>
          <w:p w14:paraId="5D6848BE">
            <w:pPr>
              <w:pStyle w:val="137"/>
              <w:jc w:val="center"/>
              <w:outlineLvl w:val="0"/>
              <w:rPr>
                <w:color w:val="auto"/>
                <w:szCs w:val="21"/>
                <w:highlight w:val="none"/>
              </w:rPr>
            </w:pPr>
          </w:p>
        </w:tc>
        <w:tc>
          <w:tcPr>
            <w:tcW w:w="992" w:type="dxa"/>
          </w:tcPr>
          <w:p w14:paraId="36C79EDD">
            <w:pPr>
              <w:pStyle w:val="137"/>
              <w:jc w:val="center"/>
              <w:outlineLvl w:val="0"/>
              <w:rPr>
                <w:color w:val="auto"/>
                <w:szCs w:val="21"/>
                <w:highlight w:val="none"/>
              </w:rPr>
            </w:pPr>
          </w:p>
        </w:tc>
        <w:tc>
          <w:tcPr>
            <w:tcW w:w="992" w:type="dxa"/>
          </w:tcPr>
          <w:p w14:paraId="7576B740">
            <w:pPr>
              <w:pStyle w:val="137"/>
              <w:jc w:val="center"/>
              <w:outlineLvl w:val="0"/>
              <w:rPr>
                <w:color w:val="auto"/>
                <w:szCs w:val="21"/>
                <w:highlight w:val="none"/>
              </w:rPr>
            </w:pPr>
          </w:p>
        </w:tc>
        <w:tc>
          <w:tcPr>
            <w:tcW w:w="1560" w:type="dxa"/>
          </w:tcPr>
          <w:p w14:paraId="53FEC77F">
            <w:pPr>
              <w:pStyle w:val="137"/>
              <w:jc w:val="center"/>
              <w:outlineLvl w:val="0"/>
              <w:rPr>
                <w:color w:val="auto"/>
                <w:szCs w:val="21"/>
                <w:highlight w:val="none"/>
              </w:rPr>
            </w:pPr>
          </w:p>
        </w:tc>
        <w:tc>
          <w:tcPr>
            <w:tcW w:w="1557" w:type="dxa"/>
          </w:tcPr>
          <w:p w14:paraId="3DB48C4C">
            <w:pPr>
              <w:pStyle w:val="137"/>
              <w:jc w:val="center"/>
              <w:outlineLvl w:val="0"/>
              <w:rPr>
                <w:color w:val="auto"/>
                <w:szCs w:val="21"/>
                <w:highlight w:val="none"/>
              </w:rPr>
            </w:pPr>
          </w:p>
        </w:tc>
        <w:tc>
          <w:tcPr>
            <w:tcW w:w="569" w:type="dxa"/>
          </w:tcPr>
          <w:p w14:paraId="09F52AD1">
            <w:pPr>
              <w:pStyle w:val="137"/>
              <w:jc w:val="center"/>
              <w:outlineLvl w:val="0"/>
              <w:rPr>
                <w:color w:val="auto"/>
                <w:szCs w:val="21"/>
                <w:highlight w:val="none"/>
              </w:rPr>
            </w:pPr>
          </w:p>
        </w:tc>
      </w:tr>
    </w:tbl>
    <w:p w14:paraId="3000F663">
      <w:pPr>
        <w:spacing w:line="360" w:lineRule="auto"/>
        <w:ind w:firstLine="422" w:firstLineChars="200"/>
        <w:rPr>
          <w:b/>
          <w:bCs/>
          <w:color w:val="auto"/>
          <w:szCs w:val="21"/>
          <w:highlight w:val="none"/>
        </w:rPr>
      </w:pPr>
    </w:p>
    <w:p w14:paraId="312BE986">
      <w:pPr>
        <w:spacing w:line="360" w:lineRule="auto"/>
        <w:ind w:firstLine="422" w:firstLineChars="200"/>
        <w:rPr>
          <w:rFonts w:eastAsia="楷体_GB2312" w:cs="楷体_GB2312"/>
          <w:b/>
          <w:bCs/>
          <w:color w:val="auto"/>
          <w:highlight w:val="none"/>
        </w:rPr>
      </w:pPr>
      <w:r>
        <w:rPr>
          <w:rFonts w:hint="eastAsia" w:eastAsia="楷体_GB2312" w:cs="楷体_GB2312"/>
          <w:b/>
          <w:bCs/>
          <w:color w:val="auto"/>
          <w:highlight w:val="none"/>
        </w:rPr>
        <w:t>备注：1.相关信息应与“桂建云”系统信息一致，</w:t>
      </w:r>
      <w:r>
        <w:rPr>
          <w:rFonts w:eastAsia="楷体_GB2312" w:cs="楷体_GB2312"/>
          <w:b/>
          <w:bCs/>
          <w:color w:val="auto"/>
          <w:highlight w:val="none"/>
        </w:rPr>
        <w:t>否则</w:t>
      </w:r>
      <w:r>
        <w:rPr>
          <w:rFonts w:hint="eastAsia" w:eastAsia="楷体_GB2312" w:cs="楷体_GB2312"/>
          <w:b/>
          <w:bCs/>
          <w:color w:val="auto"/>
          <w:highlight w:val="none"/>
        </w:rPr>
        <w:t>评审时不予承认。</w:t>
      </w:r>
    </w:p>
    <w:p w14:paraId="4A5EB7D7">
      <w:pPr>
        <w:spacing w:line="360" w:lineRule="auto"/>
        <w:ind w:firstLine="422" w:firstLineChars="200"/>
        <w:rPr>
          <w:rFonts w:eastAsia="楷体_GB2312" w:cs="楷体_GB2312"/>
          <w:b/>
          <w:bCs/>
          <w:color w:val="auto"/>
          <w:highlight w:val="none"/>
          <w:lang w:val="en"/>
        </w:rPr>
      </w:pPr>
      <w:r>
        <w:rPr>
          <w:rFonts w:hint="eastAsia" w:eastAsia="楷体_GB2312" w:cs="楷体_GB2312"/>
          <w:b/>
          <w:bCs/>
          <w:color w:val="auto"/>
          <w:highlight w:val="none"/>
        </w:rPr>
        <w:t>2.</w:t>
      </w:r>
      <w:r>
        <w:rPr>
          <w:rFonts w:hint="eastAsia" w:ascii="楷体" w:hAnsi="楷体" w:eastAsia="楷体" w:cs="宋体"/>
          <w:b/>
          <w:color w:val="auto"/>
          <w:highlight w:val="none"/>
        </w:rPr>
        <w:t>注册城乡规划师，咨询工程师，注册土木工程师（道路）等未在住建部注册或者未实施注册制度的资格证书，在人员信息中备注一栏填写该人员为某专业注册人员，并在投标人认为的其他材料内补充上传电子证书，</w:t>
      </w:r>
      <w:r>
        <w:rPr>
          <w:rFonts w:ascii="楷体" w:hAnsi="楷体" w:eastAsia="楷体" w:cs="宋体"/>
          <w:b/>
          <w:color w:val="auto"/>
          <w:highlight w:val="none"/>
          <w:lang w:val="en"/>
        </w:rPr>
        <w:t>非电子证书，均不予以认可。</w:t>
      </w:r>
    </w:p>
    <w:p w14:paraId="2E5F8D35">
      <w:pPr>
        <w:spacing w:line="360" w:lineRule="auto"/>
        <w:ind w:firstLine="422" w:firstLineChars="200"/>
        <w:rPr>
          <w:rFonts w:eastAsia="楷体_GB2312" w:cs="楷体_GB2312"/>
          <w:b/>
          <w:bCs/>
          <w:color w:val="auto"/>
          <w:highlight w:val="none"/>
        </w:rPr>
      </w:pPr>
    </w:p>
    <w:p w14:paraId="0B042CB2">
      <w:pPr>
        <w:spacing w:before="120" w:beforeLines="50" w:after="240" w:afterLines="100" w:line="440" w:lineRule="exact"/>
        <w:jc w:val="center"/>
        <w:rPr>
          <w:b/>
          <w:color w:val="auto"/>
          <w:sz w:val="28"/>
          <w:szCs w:val="28"/>
          <w:highlight w:val="none"/>
        </w:rPr>
      </w:pPr>
      <w:r>
        <w:rPr>
          <w:rFonts w:hint="eastAsia"/>
          <w:b/>
          <w:color w:val="auto"/>
          <w:sz w:val="28"/>
          <w:szCs w:val="28"/>
          <w:highlight w:val="none"/>
        </w:rPr>
        <w:br w:type="page"/>
      </w:r>
      <w:r>
        <w:rPr>
          <w:rFonts w:hint="eastAsia"/>
          <w:b/>
          <w:color w:val="auto"/>
          <w:sz w:val="28"/>
          <w:szCs w:val="28"/>
          <w:highlight w:val="none"/>
        </w:rPr>
        <w:t>二、设计组织实施方案</w:t>
      </w:r>
    </w:p>
    <w:p w14:paraId="3EB943A8">
      <w:pPr>
        <w:spacing w:line="360" w:lineRule="auto"/>
        <w:ind w:firstLine="420" w:firstLineChars="200"/>
        <w:rPr>
          <w:color w:val="auto"/>
          <w:highlight w:val="none"/>
        </w:rPr>
      </w:pPr>
      <w:r>
        <w:rPr>
          <w:rFonts w:hint="eastAsia" w:ascii="宋体" w:hAnsi="宋体"/>
          <w:color w:val="auto"/>
          <w:szCs w:val="21"/>
          <w:highlight w:val="none"/>
        </w:rPr>
        <w:t>设计组织实施方案应包括（但不限于）下列内容，可采用文字并结合图表形式说明。</w:t>
      </w:r>
    </w:p>
    <w:p w14:paraId="440C30AA">
      <w:pPr>
        <w:spacing w:line="360" w:lineRule="auto"/>
        <w:rPr>
          <w:rFonts w:ascii="宋体" w:hAnsi="宋体"/>
          <w:color w:val="auto"/>
          <w:szCs w:val="21"/>
          <w:highlight w:val="none"/>
        </w:rPr>
      </w:pPr>
      <w:r>
        <w:rPr>
          <w:rFonts w:hint="eastAsia" w:ascii="宋体" w:hAnsi="宋体"/>
          <w:color w:val="auto"/>
          <w:szCs w:val="21"/>
          <w:highlight w:val="none"/>
        </w:rPr>
        <w:t>（一）设计服务方案</w:t>
      </w:r>
    </w:p>
    <w:p w14:paraId="5AAF8D36">
      <w:pPr>
        <w:spacing w:line="360" w:lineRule="auto"/>
        <w:rPr>
          <w:rFonts w:ascii="宋体" w:hAnsi="宋体"/>
          <w:color w:val="auto"/>
          <w:szCs w:val="21"/>
          <w:highlight w:val="none"/>
        </w:rPr>
      </w:pPr>
      <w:r>
        <w:rPr>
          <w:rFonts w:hint="eastAsia" w:ascii="宋体" w:hAnsi="宋体"/>
          <w:color w:val="auto"/>
          <w:szCs w:val="21"/>
          <w:highlight w:val="none"/>
        </w:rPr>
        <w:t>（1）设计机构设置（框图）、岗位职责、设计人员配置方案；</w:t>
      </w:r>
    </w:p>
    <w:p w14:paraId="13544540">
      <w:pPr>
        <w:spacing w:line="360" w:lineRule="auto"/>
        <w:rPr>
          <w:rFonts w:ascii="宋体" w:hAnsi="宋体"/>
          <w:color w:val="auto"/>
          <w:szCs w:val="21"/>
          <w:highlight w:val="none"/>
        </w:rPr>
      </w:pPr>
      <w:r>
        <w:rPr>
          <w:rFonts w:hint="eastAsia" w:ascii="宋体" w:hAnsi="宋体"/>
          <w:color w:val="auto"/>
          <w:szCs w:val="21"/>
          <w:highlight w:val="none"/>
        </w:rPr>
        <w:t>（2）设计质量、进度、安全、保密等管理方案及保障措施；</w:t>
      </w:r>
    </w:p>
    <w:p w14:paraId="141CBCC1">
      <w:pPr>
        <w:spacing w:line="360" w:lineRule="auto"/>
        <w:rPr>
          <w:rFonts w:ascii="宋体" w:hAnsi="宋体"/>
          <w:color w:val="auto"/>
          <w:szCs w:val="21"/>
          <w:highlight w:val="none"/>
        </w:rPr>
      </w:pPr>
      <w:r>
        <w:rPr>
          <w:rFonts w:hint="eastAsia" w:ascii="宋体" w:hAnsi="宋体"/>
          <w:color w:val="auto"/>
          <w:szCs w:val="21"/>
          <w:highlight w:val="none"/>
        </w:rPr>
        <w:t>（二）设计与发包方前期工作的配合；</w:t>
      </w:r>
    </w:p>
    <w:p w14:paraId="7276EA39">
      <w:pPr>
        <w:spacing w:line="360" w:lineRule="auto"/>
        <w:rPr>
          <w:rFonts w:ascii="宋体" w:hAnsi="宋体"/>
          <w:color w:val="auto"/>
          <w:szCs w:val="21"/>
          <w:highlight w:val="none"/>
        </w:rPr>
      </w:pPr>
      <w:r>
        <w:rPr>
          <w:rFonts w:hint="eastAsia" w:ascii="宋体" w:hAnsi="宋体"/>
          <w:color w:val="auto"/>
          <w:szCs w:val="21"/>
          <w:highlight w:val="none"/>
        </w:rPr>
        <w:t>（三）设计与在项目施工过程中的工作配合；</w:t>
      </w:r>
    </w:p>
    <w:p w14:paraId="0AE6C18D">
      <w:pPr>
        <w:spacing w:line="360" w:lineRule="auto"/>
        <w:rPr>
          <w:rFonts w:ascii="宋体" w:hAnsi="宋体"/>
          <w:color w:val="auto"/>
          <w:szCs w:val="21"/>
          <w:highlight w:val="none"/>
        </w:rPr>
      </w:pPr>
      <w:r>
        <w:rPr>
          <w:rFonts w:hint="eastAsia" w:ascii="宋体" w:hAnsi="宋体"/>
          <w:color w:val="auto"/>
          <w:szCs w:val="21"/>
          <w:highlight w:val="none"/>
        </w:rPr>
        <w:t>（四）服务响应管理方案。</w:t>
      </w:r>
    </w:p>
    <w:p w14:paraId="5E78EB64">
      <w:pPr>
        <w:spacing w:line="360" w:lineRule="auto"/>
        <w:ind w:firstLine="422" w:firstLineChars="200"/>
        <w:rPr>
          <w:color w:val="auto"/>
          <w:highlight w:val="none"/>
        </w:rPr>
      </w:pPr>
      <w:r>
        <w:rPr>
          <w:b/>
          <w:color w:val="auto"/>
          <w:highlight w:val="none"/>
        </w:rPr>
        <w:t>备注</w:t>
      </w:r>
      <w:r>
        <w:rPr>
          <w:rFonts w:hint="eastAsia"/>
          <w:b/>
          <w:color w:val="auto"/>
          <w:highlight w:val="none"/>
        </w:rPr>
        <w:t>：</w:t>
      </w:r>
    </w:p>
    <w:p w14:paraId="0CBCD8CB">
      <w:pPr>
        <w:spacing w:line="360" w:lineRule="auto"/>
        <w:ind w:firstLine="420" w:firstLineChars="200"/>
        <w:rPr>
          <w:color w:val="auto"/>
          <w:highlight w:val="none"/>
        </w:rPr>
      </w:pPr>
      <w:r>
        <w:rPr>
          <w:color w:val="auto"/>
          <w:highlight w:val="none"/>
        </w:rPr>
        <w:t>此部分内容采用暗标（如无特殊要求（如城市</w:t>
      </w:r>
      <w:r>
        <w:rPr>
          <w:color w:val="auto"/>
          <w:highlight w:val="none"/>
          <w:lang w:val="en"/>
        </w:rPr>
        <w:t>轨道交通工程项目和铁路综合交通枢纽站城一体化项目</w:t>
      </w:r>
      <w:r>
        <w:rPr>
          <w:color w:val="auto"/>
          <w:highlight w:val="none"/>
        </w:rPr>
        <w:t>可以采用明标），设计组织实施方案采用暗标进行投标。）编制</w:t>
      </w:r>
      <w:r>
        <w:rPr>
          <w:rFonts w:hint="eastAsia"/>
          <w:color w:val="auto"/>
          <w:highlight w:val="none"/>
        </w:rPr>
        <w:t>，具体</w:t>
      </w:r>
      <w:r>
        <w:rPr>
          <w:color w:val="auto"/>
          <w:highlight w:val="none"/>
        </w:rPr>
        <w:t>要求</w:t>
      </w:r>
      <w:r>
        <w:rPr>
          <w:rFonts w:hint="eastAsia"/>
          <w:color w:val="auto"/>
          <w:highlight w:val="none"/>
        </w:rPr>
        <w:t>如下：</w:t>
      </w:r>
    </w:p>
    <w:p w14:paraId="6FB27A3D">
      <w:pPr>
        <w:spacing w:line="360" w:lineRule="auto"/>
        <w:ind w:firstLine="567" w:firstLineChars="270"/>
        <w:rPr>
          <w:rFonts w:ascii="宋体" w:hAnsi="宋体"/>
          <w:color w:val="auto"/>
          <w:highlight w:val="none"/>
        </w:rPr>
      </w:pPr>
      <w:r>
        <w:rPr>
          <w:rFonts w:hint="eastAsia" w:ascii="宋体" w:hAnsi="宋体"/>
          <w:color w:val="auto"/>
          <w:highlight w:val="none"/>
        </w:rPr>
        <w:t>1、封面的编制：需点击投标文件编制专用工具的“编辑文档”按钮进行内容编辑，关闭编辑框后软件自动将编辑内容转换成PDF格式文档；</w:t>
      </w:r>
    </w:p>
    <w:p w14:paraId="633E2618">
      <w:pPr>
        <w:spacing w:line="360" w:lineRule="auto"/>
        <w:ind w:firstLine="567" w:firstLineChars="270"/>
        <w:rPr>
          <w:rFonts w:ascii="宋体" w:hAnsi="宋体"/>
          <w:color w:val="auto"/>
          <w:highlight w:val="none"/>
        </w:rPr>
      </w:pPr>
      <w:r>
        <w:rPr>
          <w:rFonts w:hint="eastAsia" w:ascii="宋体" w:hAnsi="宋体"/>
          <w:color w:val="auto"/>
          <w:highlight w:val="none"/>
        </w:rPr>
        <w:t>2、正文的编制：导入已编制好的设计组织实施方案正文文档，将设计组织实施方案正文文档相应内容与各个评分点进行节点对应。</w:t>
      </w:r>
    </w:p>
    <w:p w14:paraId="11B609F3">
      <w:pPr>
        <w:spacing w:line="360" w:lineRule="auto"/>
        <w:ind w:firstLine="630" w:firstLineChars="300"/>
        <w:rPr>
          <w:rFonts w:ascii="宋体" w:hAnsi="宋体"/>
          <w:color w:val="auto"/>
          <w:highlight w:val="none"/>
        </w:rPr>
      </w:pPr>
      <w:r>
        <w:rPr>
          <w:rFonts w:ascii="宋体" w:hAnsi="宋体"/>
          <w:color w:val="auto"/>
          <w:highlight w:val="none"/>
        </w:rPr>
        <w:t>3</w:t>
      </w:r>
      <w:r>
        <w:rPr>
          <w:rFonts w:hint="eastAsia" w:ascii="宋体" w:hAnsi="宋体"/>
          <w:color w:val="auto"/>
          <w:highlight w:val="none"/>
        </w:rPr>
        <w:t>、</w:t>
      </w:r>
      <w:r>
        <w:rPr>
          <w:rFonts w:ascii="宋体" w:hAnsi="宋体"/>
          <w:color w:val="auto"/>
          <w:highlight w:val="none"/>
        </w:rPr>
        <w:t>目录要求</w:t>
      </w:r>
      <w:r>
        <w:rPr>
          <w:rFonts w:hint="eastAsia" w:ascii="宋体" w:hAnsi="宋体"/>
          <w:color w:val="auto"/>
          <w:highlight w:val="none"/>
        </w:rPr>
        <w:t>：设计组织实施方案首页应为目录，目录标题采用宋体三号居中，正文采用宋体四号左端对齐。</w:t>
      </w:r>
    </w:p>
    <w:p w14:paraId="77249EC9">
      <w:pPr>
        <w:spacing w:line="360" w:lineRule="auto"/>
        <w:ind w:firstLine="567" w:firstLineChars="270"/>
        <w:rPr>
          <w:rFonts w:ascii="宋体" w:hAnsi="宋体"/>
          <w:color w:val="auto"/>
          <w:highlight w:val="none"/>
        </w:rPr>
      </w:pPr>
      <w:r>
        <w:rPr>
          <w:rFonts w:hint="eastAsia"/>
          <w:color w:val="auto"/>
          <w:highlight w:val="none"/>
        </w:rPr>
        <w:t>4、章节</w:t>
      </w:r>
      <w:r>
        <w:rPr>
          <w:rFonts w:hint="eastAsia" w:ascii="宋体" w:hAnsi="宋体"/>
          <w:color w:val="auto"/>
          <w:highlight w:val="none"/>
        </w:rPr>
        <w:t>要求：</w:t>
      </w:r>
    </w:p>
    <w:p w14:paraId="35797692">
      <w:pPr>
        <w:spacing w:line="360" w:lineRule="auto"/>
        <w:ind w:firstLine="567" w:firstLineChars="270"/>
        <w:rPr>
          <w:rFonts w:ascii="宋体" w:hAnsi="宋体"/>
          <w:color w:val="auto"/>
          <w:highlight w:val="none"/>
        </w:rPr>
      </w:pPr>
      <w:r>
        <w:rPr>
          <w:rFonts w:hint="eastAsia" w:ascii="宋体" w:hAnsi="宋体"/>
          <w:color w:val="auto"/>
          <w:highlight w:val="none"/>
        </w:rPr>
        <w:t>设计组织实施方案</w:t>
      </w:r>
      <w:r>
        <w:rPr>
          <w:rFonts w:hint="eastAsia"/>
          <w:color w:val="auto"/>
          <w:highlight w:val="none"/>
        </w:rPr>
        <w:t>应按投标人须知前附表3.1.</w:t>
      </w:r>
      <w:r>
        <w:rPr>
          <w:color w:val="auto"/>
          <w:highlight w:val="none"/>
        </w:rPr>
        <w:t>1</w:t>
      </w:r>
      <w:r>
        <w:rPr>
          <w:rFonts w:hint="eastAsia"/>
          <w:color w:val="auto"/>
          <w:highlight w:val="none"/>
        </w:rPr>
        <w:t>要求的内容顺序编制，各章间应分页编排。章节序号应按1.，1.1，1.1.1</w:t>
      </w:r>
      <w:r>
        <w:rPr>
          <w:color w:val="auto"/>
          <w:highlight w:val="none"/>
        </w:rPr>
        <w:t>…</w:t>
      </w:r>
      <w:r>
        <w:rPr>
          <w:rFonts w:hint="eastAsia"/>
          <w:color w:val="auto"/>
          <w:highlight w:val="none"/>
        </w:rPr>
        <w:t>类比编排。不可出现1.1.1</w:t>
      </w:r>
      <w:r>
        <w:rPr>
          <w:color w:val="auto"/>
          <w:highlight w:val="none"/>
        </w:rPr>
        <w:t>…</w:t>
      </w:r>
      <w:r>
        <w:rPr>
          <w:rFonts w:hint="eastAsia"/>
          <w:color w:val="auto"/>
          <w:highlight w:val="none"/>
        </w:rPr>
        <w:t>.以外的任何序号编号。</w:t>
      </w:r>
    </w:p>
    <w:p w14:paraId="7EE4AF36">
      <w:pPr>
        <w:spacing w:line="360" w:lineRule="auto"/>
        <w:ind w:firstLine="567" w:firstLineChars="270"/>
        <w:rPr>
          <w:color w:val="auto"/>
          <w:highlight w:val="none"/>
        </w:rPr>
      </w:pPr>
      <w:r>
        <w:rPr>
          <w:rFonts w:hint="eastAsia" w:ascii="宋体" w:hAnsi="宋体"/>
          <w:color w:val="auto"/>
          <w:highlight w:val="none"/>
        </w:rPr>
        <w:t>5、</w:t>
      </w:r>
      <w:r>
        <w:rPr>
          <w:color w:val="auto"/>
          <w:highlight w:val="none"/>
        </w:rPr>
        <w:t>排版要求：</w:t>
      </w:r>
    </w:p>
    <w:p w14:paraId="693401A8">
      <w:pPr>
        <w:spacing w:line="360" w:lineRule="auto"/>
        <w:ind w:firstLine="567" w:firstLineChars="270"/>
        <w:rPr>
          <w:color w:val="auto"/>
          <w:highlight w:val="none"/>
        </w:rPr>
      </w:pPr>
      <w:r>
        <w:rPr>
          <w:rFonts w:hint="eastAsia"/>
          <w:color w:val="auto"/>
          <w:highlight w:val="none"/>
        </w:rPr>
        <w:t>字体、</w:t>
      </w:r>
      <w:r>
        <w:rPr>
          <w:color w:val="auto"/>
          <w:highlight w:val="none"/>
        </w:rPr>
        <w:t>字符间距</w:t>
      </w:r>
      <w:r>
        <w:rPr>
          <w:rFonts w:hint="eastAsia"/>
          <w:color w:val="auto"/>
          <w:highlight w:val="none"/>
        </w:rPr>
        <w:t>：宋体，黑色，</w:t>
      </w:r>
      <w:r>
        <w:rPr>
          <w:color w:val="auto"/>
          <w:highlight w:val="none"/>
        </w:rPr>
        <w:t>字符间距</w:t>
      </w:r>
      <w:r>
        <w:rPr>
          <w:rFonts w:hint="eastAsia"/>
          <w:color w:val="auto"/>
          <w:highlight w:val="none"/>
        </w:rPr>
        <w:t>缩</w:t>
      </w:r>
      <w:r>
        <w:rPr>
          <w:color w:val="auto"/>
          <w:highlight w:val="none"/>
        </w:rPr>
        <w:t>放</w:t>
      </w:r>
      <w:r>
        <w:rPr>
          <w:rFonts w:hint="eastAsia"/>
          <w:color w:val="auto"/>
          <w:highlight w:val="none"/>
        </w:rPr>
        <w:t>100</w:t>
      </w:r>
      <w:r>
        <w:rPr>
          <w:color w:val="auto"/>
          <w:highlight w:val="none"/>
        </w:rPr>
        <w:t>%，间距</w:t>
      </w:r>
      <w:r>
        <w:rPr>
          <w:rFonts w:hint="eastAsia"/>
          <w:color w:val="auto"/>
          <w:highlight w:val="none"/>
        </w:rPr>
        <w:t>、</w:t>
      </w:r>
      <w:r>
        <w:rPr>
          <w:color w:val="auto"/>
          <w:highlight w:val="none"/>
        </w:rPr>
        <w:t>位置为标准</w:t>
      </w:r>
      <w:r>
        <w:rPr>
          <w:rFonts w:hint="eastAsia"/>
          <w:color w:val="auto"/>
          <w:highlight w:val="none"/>
        </w:rPr>
        <w:t>；</w:t>
      </w:r>
    </w:p>
    <w:p w14:paraId="283BBD02">
      <w:pPr>
        <w:spacing w:line="360" w:lineRule="auto"/>
        <w:ind w:firstLine="567" w:firstLineChars="270"/>
        <w:rPr>
          <w:color w:val="auto"/>
          <w:highlight w:val="none"/>
        </w:rPr>
      </w:pPr>
      <w:r>
        <w:rPr>
          <w:rFonts w:hint="eastAsia"/>
          <w:color w:val="auto"/>
          <w:highlight w:val="none"/>
        </w:rPr>
        <w:t>字号、行</w:t>
      </w:r>
      <w:r>
        <w:rPr>
          <w:color w:val="auto"/>
          <w:highlight w:val="none"/>
        </w:rPr>
        <w:t>距</w:t>
      </w:r>
      <w:r>
        <w:rPr>
          <w:rFonts w:hint="eastAsia"/>
          <w:color w:val="auto"/>
          <w:highlight w:val="none"/>
        </w:rPr>
        <w:t>：一级标题采用三号字，居中排版；其他采用小四号字，开始段落空两个字符，行</w:t>
      </w:r>
      <w:r>
        <w:rPr>
          <w:color w:val="auto"/>
          <w:highlight w:val="none"/>
        </w:rPr>
        <w:t>距设</w:t>
      </w:r>
      <w:r>
        <w:rPr>
          <w:rFonts w:hint="eastAsia"/>
          <w:color w:val="auto"/>
          <w:highlight w:val="none"/>
        </w:rPr>
        <w:t>1.5倍行</w:t>
      </w:r>
      <w:r>
        <w:rPr>
          <w:color w:val="auto"/>
          <w:highlight w:val="none"/>
        </w:rPr>
        <w:t>距</w:t>
      </w:r>
      <w:r>
        <w:rPr>
          <w:rFonts w:hint="eastAsia"/>
          <w:color w:val="auto"/>
          <w:highlight w:val="none"/>
        </w:rPr>
        <w:t>；</w:t>
      </w:r>
    </w:p>
    <w:p w14:paraId="2DEA0733">
      <w:pPr>
        <w:spacing w:line="360" w:lineRule="auto"/>
        <w:ind w:firstLine="567" w:firstLineChars="270"/>
        <w:rPr>
          <w:color w:val="auto"/>
          <w:highlight w:val="none"/>
        </w:rPr>
      </w:pPr>
      <w:r>
        <w:rPr>
          <w:rFonts w:hint="eastAsia"/>
          <w:color w:val="auto"/>
          <w:highlight w:val="none"/>
        </w:rPr>
        <w:t>页</w:t>
      </w:r>
      <w:r>
        <w:rPr>
          <w:color w:val="auto"/>
          <w:highlight w:val="none"/>
        </w:rPr>
        <w:t>边</w:t>
      </w:r>
      <w:r>
        <w:rPr>
          <w:rFonts w:hint="eastAsia"/>
          <w:color w:val="auto"/>
          <w:highlight w:val="none"/>
        </w:rPr>
        <w:t>距</w:t>
      </w:r>
      <w:r>
        <w:rPr>
          <w:color w:val="auto"/>
          <w:highlight w:val="none"/>
        </w:rPr>
        <w:t>：</w:t>
      </w:r>
      <w:r>
        <w:rPr>
          <w:rFonts w:hint="eastAsia"/>
          <w:color w:val="auto"/>
          <w:highlight w:val="none"/>
        </w:rPr>
        <w:t>上</w:t>
      </w:r>
      <w:r>
        <w:rPr>
          <w:color w:val="auto"/>
          <w:highlight w:val="none"/>
        </w:rPr>
        <w:t>下左右均为</w:t>
      </w:r>
      <w:r>
        <w:rPr>
          <w:rFonts w:hint="eastAsia"/>
          <w:color w:val="auto"/>
          <w:highlight w:val="none"/>
        </w:rPr>
        <w:t>2.15</w:t>
      </w:r>
      <w:r>
        <w:rPr>
          <w:color w:val="auto"/>
          <w:highlight w:val="none"/>
        </w:rPr>
        <w:t>cm,</w:t>
      </w:r>
      <w:r>
        <w:rPr>
          <w:rFonts w:hint="eastAsia"/>
          <w:color w:val="auto"/>
          <w:highlight w:val="none"/>
        </w:rPr>
        <w:t>装订</w:t>
      </w:r>
      <w:r>
        <w:rPr>
          <w:color w:val="auto"/>
          <w:highlight w:val="none"/>
        </w:rPr>
        <w:t>线</w:t>
      </w:r>
      <w:r>
        <w:rPr>
          <w:rFonts w:hint="eastAsia"/>
          <w:color w:val="auto"/>
          <w:highlight w:val="none"/>
        </w:rPr>
        <w:t>0</w:t>
      </w:r>
      <w:r>
        <w:rPr>
          <w:color w:val="auto"/>
          <w:highlight w:val="none"/>
        </w:rPr>
        <w:t>cm</w:t>
      </w:r>
      <w:r>
        <w:rPr>
          <w:rFonts w:hint="eastAsia"/>
          <w:color w:val="auto"/>
          <w:highlight w:val="none"/>
        </w:rPr>
        <w:t>；</w:t>
      </w:r>
    </w:p>
    <w:p w14:paraId="0E5A8FEB">
      <w:pPr>
        <w:spacing w:line="360" w:lineRule="auto"/>
        <w:ind w:firstLine="567" w:firstLineChars="270"/>
        <w:rPr>
          <w:color w:val="auto"/>
          <w:highlight w:val="none"/>
        </w:rPr>
      </w:pPr>
      <w:r>
        <w:rPr>
          <w:rFonts w:hint="eastAsia"/>
          <w:color w:val="auto"/>
          <w:highlight w:val="none"/>
        </w:rPr>
        <w:t>页眉页脚：页眉页脚距</w:t>
      </w:r>
      <w:r>
        <w:rPr>
          <w:color w:val="auto"/>
          <w:highlight w:val="none"/>
        </w:rPr>
        <w:t>边</w:t>
      </w:r>
      <w:r>
        <w:rPr>
          <w:rFonts w:hint="eastAsia"/>
          <w:color w:val="auto"/>
          <w:highlight w:val="none"/>
        </w:rPr>
        <w:t>界1.5</w:t>
      </w:r>
      <w:r>
        <w:rPr>
          <w:color w:val="auto"/>
          <w:highlight w:val="none"/>
        </w:rPr>
        <w:t>cm,</w:t>
      </w:r>
      <w:r>
        <w:rPr>
          <w:rFonts w:hint="eastAsia"/>
          <w:color w:val="auto"/>
          <w:highlight w:val="none"/>
        </w:rPr>
        <w:t>不允许有页眉，页脚只允许有页码，页码采用阿拉伯数字，宋体五号，居中布置，页码应当连续，不得分章或节单独编码；</w:t>
      </w:r>
    </w:p>
    <w:p w14:paraId="31C7DF02">
      <w:pPr>
        <w:spacing w:line="360" w:lineRule="auto"/>
        <w:ind w:firstLine="420" w:firstLineChars="200"/>
        <w:rPr>
          <w:color w:val="auto"/>
          <w:highlight w:val="none"/>
        </w:rPr>
      </w:pPr>
      <w:r>
        <w:rPr>
          <w:rFonts w:hint="eastAsia"/>
          <w:color w:val="auto"/>
          <w:highlight w:val="none"/>
        </w:rPr>
        <w:t>1）表格内文字要求：宋体小四号字体</w:t>
      </w:r>
    </w:p>
    <w:p w14:paraId="244668A3">
      <w:pPr>
        <w:spacing w:line="360" w:lineRule="auto"/>
        <w:ind w:firstLine="420" w:firstLineChars="200"/>
        <w:rPr>
          <w:color w:val="auto"/>
          <w:highlight w:val="none"/>
        </w:rPr>
      </w:pPr>
      <w:r>
        <w:rPr>
          <w:rFonts w:hint="eastAsia"/>
          <w:color w:val="auto"/>
          <w:highlight w:val="none"/>
        </w:rPr>
        <w:t>2）图表字体、颜色不做限制</w:t>
      </w:r>
    </w:p>
    <w:p w14:paraId="531FD23D">
      <w:pPr>
        <w:spacing w:line="360" w:lineRule="auto"/>
        <w:ind w:firstLine="420" w:firstLineChars="200"/>
        <w:rPr>
          <w:color w:val="auto"/>
          <w:highlight w:val="none"/>
        </w:rPr>
      </w:pPr>
      <w:r>
        <w:rPr>
          <w:rFonts w:hint="eastAsia"/>
          <w:color w:val="auto"/>
          <w:highlight w:val="none"/>
        </w:rPr>
        <w:t>3）图片：颜色不做限制</w:t>
      </w:r>
    </w:p>
    <w:p w14:paraId="1C8257C1">
      <w:pPr>
        <w:spacing w:line="360" w:lineRule="auto"/>
        <w:ind w:firstLine="567" w:firstLineChars="270"/>
        <w:rPr>
          <w:color w:val="auto"/>
          <w:highlight w:val="none"/>
        </w:rPr>
      </w:pPr>
      <w:r>
        <w:rPr>
          <w:rFonts w:hint="eastAsia"/>
          <w:color w:val="auto"/>
          <w:highlight w:val="none"/>
        </w:rPr>
        <w:t>6、</w:t>
      </w:r>
      <w:r>
        <w:rPr>
          <w:color w:val="auto"/>
          <w:highlight w:val="none"/>
        </w:rPr>
        <w:t>编写软件及版本要求：Microsoft Word</w:t>
      </w:r>
      <w:r>
        <w:rPr>
          <w:rFonts w:hint="eastAsia"/>
          <w:color w:val="auto"/>
          <w:highlight w:val="none"/>
        </w:rPr>
        <w:t>；</w:t>
      </w:r>
    </w:p>
    <w:p w14:paraId="66748785">
      <w:pPr>
        <w:spacing w:line="360" w:lineRule="auto"/>
        <w:ind w:firstLine="567" w:firstLineChars="270"/>
        <w:rPr>
          <w:rFonts w:ascii="宋体" w:hAnsi="宋体"/>
          <w:color w:val="auto"/>
          <w:sz w:val="24"/>
          <w:highlight w:val="none"/>
        </w:rPr>
      </w:pPr>
      <w:r>
        <w:rPr>
          <w:rFonts w:hint="eastAsia"/>
          <w:color w:val="auto"/>
          <w:highlight w:val="none"/>
        </w:rPr>
        <w:t>7、</w:t>
      </w:r>
      <w:r>
        <w:rPr>
          <w:color w:val="auto"/>
          <w:highlight w:val="none"/>
        </w:rPr>
        <w:t>“技术标”的</w:t>
      </w:r>
      <w:r>
        <w:rPr>
          <w:rFonts w:hint="eastAsia" w:ascii="宋体" w:hAnsi="宋体"/>
          <w:color w:val="auto"/>
          <w:highlight w:val="none"/>
        </w:rPr>
        <w:t>设计组织实施方案</w:t>
      </w:r>
      <w:r>
        <w:rPr>
          <w:color w:val="auto"/>
          <w:highlight w:val="none"/>
        </w:rPr>
        <w:t>正文中不得出现投标人的名称和其他可识别投标人身份的字符</w:t>
      </w:r>
      <w:r>
        <w:rPr>
          <w:rFonts w:hint="eastAsia"/>
          <w:color w:val="auto"/>
          <w:highlight w:val="none"/>
        </w:rPr>
        <w:t>（图表）</w:t>
      </w:r>
      <w:r>
        <w:rPr>
          <w:color w:val="auto"/>
          <w:highlight w:val="none"/>
        </w:rPr>
        <w:t>、徽标、</w:t>
      </w:r>
      <w:r>
        <w:rPr>
          <w:rFonts w:hint="eastAsia"/>
          <w:color w:val="auto"/>
          <w:highlight w:val="none"/>
        </w:rPr>
        <w:t>业绩</w:t>
      </w:r>
      <w:r>
        <w:rPr>
          <w:color w:val="auto"/>
          <w:highlight w:val="none"/>
        </w:rPr>
        <w:t>、荣誉或人员</w:t>
      </w:r>
      <w:r>
        <w:rPr>
          <w:rFonts w:hint="eastAsia"/>
          <w:color w:val="auto"/>
          <w:highlight w:val="none"/>
        </w:rPr>
        <w:t>姓名</w:t>
      </w:r>
      <w:r>
        <w:rPr>
          <w:color w:val="auto"/>
          <w:highlight w:val="none"/>
        </w:rPr>
        <w:t>以及其他特殊标记等。</w:t>
      </w:r>
    </w:p>
    <w:p w14:paraId="1900731F">
      <w:pPr>
        <w:spacing w:line="360" w:lineRule="auto"/>
        <w:jc w:val="center"/>
        <w:rPr>
          <w:b/>
          <w:color w:val="auto"/>
          <w:sz w:val="28"/>
          <w:szCs w:val="28"/>
          <w:highlight w:val="none"/>
        </w:rPr>
      </w:pPr>
      <w:r>
        <w:rPr>
          <w:rFonts w:hint="eastAsia"/>
          <w:b/>
          <w:color w:val="auto"/>
          <w:sz w:val="28"/>
          <w:szCs w:val="28"/>
          <w:highlight w:val="none"/>
        </w:rPr>
        <w:br w:type="page"/>
      </w:r>
      <w:r>
        <w:rPr>
          <w:rFonts w:hint="eastAsia"/>
          <w:b/>
          <w:color w:val="auto"/>
          <w:sz w:val="28"/>
          <w:szCs w:val="28"/>
          <w:highlight w:val="none"/>
        </w:rPr>
        <w:t>三、投标人认为有必要提供的其他材料。</w:t>
      </w:r>
    </w:p>
    <w:p w14:paraId="21144C2A">
      <w:pPr>
        <w:spacing w:line="360" w:lineRule="auto"/>
        <w:rPr>
          <w:rFonts w:ascii="宋体" w:hAnsi="宋体"/>
          <w:color w:val="auto"/>
          <w:sz w:val="24"/>
          <w:highlight w:val="none"/>
        </w:rPr>
      </w:pPr>
    </w:p>
    <w:p w14:paraId="0D015CEF">
      <w:pPr>
        <w:spacing w:line="360" w:lineRule="auto"/>
        <w:rPr>
          <w:rFonts w:ascii="宋体" w:hAnsi="宋体"/>
          <w:color w:val="auto"/>
          <w:sz w:val="24"/>
          <w:highlight w:val="none"/>
        </w:rPr>
      </w:pPr>
    </w:p>
    <w:p w14:paraId="24077E74">
      <w:pPr>
        <w:spacing w:line="360" w:lineRule="auto"/>
        <w:rPr>
          <w:rFonts w:ascii="宋体" w:hAnsi="宋体"/>
          <w:color w:val="auto"/>
          <w:sz w:val="24"/>
          <w:highlight w:val="none"/>
        </w:rPr>
      </w:pPr>
    </w:p>
    <w:p w14:paraId="2A325A33">
      <w:pPr>
        <w:spacing w:line="360" w:lineRule="auto"/>
        <w:rPr>
          <w:rFonts w:ascii="宋体" w:hAnsi="宋体"/>
          <w:color w:val="auto"/>
          <w:sz w:val="24"/>
          <w:highlight w:val="none"/>
        </w:rPr>
      </w:pPr>
    </w:p>
    <w:p w14:paraId="5DEDA8A8">
      <w:pPr>
        <w:spacing w:line="360" w:lineRule="auto"/>
        <w:rPr>
          <w:rFonts w:ascii="宋体" w:hAnsi="宋体"/>
          <w:color w:val="auto"/>
          <w:sz w:val="24"/>
          <w:highlight w:val="none"/>
        </w:rPr>
      </w:pPr>
    </w:p>
    <w:p w14:paraId="1F78B2AD">
      <w:pPr>
        <w:spacing w:line="360" w:lineRule="auto"/>
        <w:rPr>
          <w:rFonts w:ascii="宋体" w:hAnsi="宋体"/>
          <w:color w:val="auto"/>
          <w:sz w:val="24"/>
          <w:highlight w:val="none"/>
        </w:rPr>
      </w:pPr>
    </w:p>
    <w:p w14:paraId="24095AC3">
      <w:pPr>
        <w:spacing w:line="360" w:lineRule="auto"/>
        <w:rPr>
          <w:rFonts w:ascii="宋体" w:hAnsi="宋体"/>
          <w:color w:val="auto"/>
          <w:sz w:val="24"/>
          <w:highlight w:val="none"/>
        </w:rPr>
      </w:pPr>
    </w:p>
    <w:p w14:paraId="179984BA">
      <w:pPr>
        <w:spacing w:line="360" w:lineRule="auto"/>
        <w:rPr>
          <w:rFonts w:ascii="宋体" w:hAnsi="宋体"/>
          <w:color w:val="auto"/>
          <w:sz w:val="24"/>
          <w:highlight w:val="none"/>
        </w:rPr>
      </w:pPr>
    </w:p>
    <w:p w14:paraId="5A2D5F42">
      <w:pPr>
        <w:spacing w:line="360" w:lineRule="auto"/>
        <w:rPr>
          <w:rFonts w:ascii="宋体" w:hAnsi="宋体"/>
          <w:color w:val="auto"/>
          <w:sz w:val="24"/>
          <w:highlight w:val="none"/>
        </w:rPr>
      </w:pPr>
    </w:p>
    <w:p w14:paraId="227945CF">
      <w:pPr>
        <w:spacing w:line="360" w:lineRule="auto"/>
        <w:rPr>
          <w:rFonts w:ascii="宋体" w:hAnsi="宋体"/>
          <w:color w:val="auto"/>
          <w:sz w:val="24"/>
          <w:highlight w:val="none"/>
        </w:rPr>
      </w:pPr>
    </w:p>
    <w:p w14:paraId="1E55773E">
      <w:pPr>
        <w:spacing w:line="360" w:lineRule="auto"/>
        <w:rPr>
          <w:rFonts w:ascii="宋体" w:hAnsi="宋体"/>
          <w:color w:val="auto"/>
          <w:sz w:val="24"/>
          <w:highlight w:val="none"/>
        </w:rPr>
      </w:pPr>
    </w:p>
    <w:p w14:paraId="309221B6">
      <w:pPr>
        <w:spacing w:line="360" w:lineRule="auto"/>
        <w:rPr>
          <w:rFonts w:ascii="宋体" w:hAnsi="宋体"/>
          <w:color w:val="auto"/>
          <w:sz w:val="24"/>
          <w:highlight w:val="none"/>
        </w:rPr>
      </w:pPr>
    </w:p>
    <w:p w14:paraId="0B214B6F">
      <w:pPr>
        <w:spacing w:line="360" w:lineRule="auto"/>
        <w:rPr>
          <w:rFonts w:ascii="宋体" w:hAnsi="宋体"/>
          <w:color w:val="auto"/>
          <w:sz w:val="24"/>
          <w:highlight w:val="none"/>
        </w:rPr>
      </w:pPr>
    </w:p>
    <w:p w14:paraId="73ABDE7F">
      <w:pPr>
        <w:spacing w:line="360" w:lineRule="auto"/>
        <w:rPr>
          <w:rFonts w:ascii="宋体" w:hAnsi="宋体"/>
          <w:color w:val="auto"/>
          <w:sz w:val="24"/>
          <w:highlight w:val="none"/>
        </w:rPr>
      </w:pPr>
    </w:p>
    <w:p w14:paraId="3D9CC754">
      <w:pPr>
        <w:spacing w:line="360" w:lineRule="auto"/>
        <w:rPr>
          <w:rFonts w:ascii="宋体" w:hAnsi="宋体"/>
          <w:color w:val="auto"/>
          <w:sz w:val="24"/>
          <w:highlight w:val="none"/>
        </w:rPr>
      </w:pPr>
    </w:p>
    <w:p w14:paraId="4CF9BEF2">
      <w:pPr>
        <w:jc w:val="center"/>
        <w:rPr>
          <w:color w:val="auto"/>
          <w:sz w:val="28"/>
          <w:szCs w:val="28"/>
          <w:highlight w:val="none"/>
        </w:rPr>
      </w:pPr>
    </w:p>
    <w:p w14:paraId="5E65E5DC">
      <w:pPr>
        <w:spacing w:before="240" w:beforeLines="100"/>
        <w:jc w:val="center"/>
        <w:rPr>
          <w:color w:val="auto"/>
          <w:sz w:val="52"/>
          <w:szCs w:val="52"/>
          <w:highlight w:val="none"/>
        </w:rPr>
      </w:pPr>
      <w:r>
        <w:rPr>
          <w:color w:val="auto"/>
          <w:sz w:val="52"/>
          <w:szCs w:val="52"/>
          <w:highlight w:val="none"/>
        </w:rPr>
        <w:br w:type="page"/>
      </w:r>
      <w:r>
        <w:rPr>
          <w:color w:val="auto"/>
          <w:sz w:val="52"/>
          <w:szCs w:val="52"/>
          <w:highlight w:val="none"/>
        </w:rPr>
        <w:t>投  标  文  件</w:t>
      </w:r>
    </w:p>
    <w:p w14:paraId="1C481043">
      <w:pPr>
        <w:jc w:val="center"/>
        <w:rPr>
          <w:color w:val="auto"/>
          <w:sz w:val="32"/>
          <w:szCs w:val="32"/>
          <w:highlight w:val="none"/>
        </w:rPr>
      </w:pPr>
    </w:p>
    <w:p w14:paraId="420F19DC">
      <w:pPr>
        <w:jc w:val="center"/>
        <w:rPr>
          <w:color w:val="auto"/>
          <w:sz w:val="32"/>
          <w:szCs w:val="32"/>
          <w:highlight w:val="none"/>
        </w:rPr>
      </w:pPr>
    </w:p>
    <w:p w14:paraId="66F89B54">
      <w:pPr>
        <w:jc w:val="center"/>
        <w:rPr>
          <w:color w:val="auto"/>
          <w:sz w:val="32"/>
          <w:szCs w:val="32"/>
          <w:highlight w:val="none"/>
        </w:rPr>
      </w:pPr>
    </w:p>
    <w:p w14:paraId="5673295A">
      <w:pPr>
        <w:jc w:val="center"/>
        <w:rPr>
          <w:color w:val="auto"/>
          <w:sz w:val="32"/>
          <w:szCs w:val="32"/>
          <w:highlight w:val="none"/>
        </w:rPr>
      </w:pPr>
    </w:p>
    <w:p w14:paraId="7664655E">
      <w:pPr>
        <w:spacing w:line="360" w:lineRule="auto"/>
        <w:ind w:firstLine="2380" w:firstLineChars="850"/>
        <w:rPr>
          <w:color w:val="auto"/>
          <w:sz w:val="28"/>
          <w:szCs w:val="28"/>
          <w:highlight w:val="none"/>
          <w:u w:val="single"/>
        </w:rPr>
      </w:pPr>
      <w:r>
        <w:rPr>
          <w:color w:val="auto"/>
          <w:sz w:val="28"/>
          <w:szCs w:val="28"/>
          <w:highlight w:val="none"/>
        </w:rPr>
        <w:t>项目</w:t>
      </w:r>
      <w:r>
        <w:rPr>
          <w:rFonts w:hint="eastAsia"/>
          <w:color w:val="auto"/>
          <w:sz w:val="28"/>
          <w:szCs w:val="28"/>
          <w:highlight w:val="none"/>
        </w:rPr>
        <w:t>招标</w:t>
      </w:r>
      <w:r>
        <w:rPr>
          <w:color w:val="auto"/>
          <w:sz w:val="28"/>
          <w:szCs w:val="28"/>
          <w:highlight w:val="none"/>
        </w:rPr>
        <w:t>编号：</w:t>
      </w:r>
      <w:r>
        <w:rPr>
          <w:color w:val="auto"/>
          <w:sz w:val="28"/>
          <w:szCs w:val="28"/>
          <w:highlight w:val="none"/>
          <w:u w:val="single"/>
        </w:rPr>
        <w:t xml:space="preserve">                   </w:t>
      </w:r>
    </w:p>
    <w:p w14:paraId="076E5E9D">
      <w:pPr>
        <w:jc w:val="center"/>
        <w:rPr>
          <w:color w:val="auto"/>
          <w:sz w:val="32"/>
          <w:szCs w:val="32"/>
          <w:highlight w:val="none"/>
        </w:rPr>
      </w:pPr>
    </w:p>
    <w:p w14:paraId="074B99AF">
      <w:pPr>
        <w:jc w:val="center"/>
        <w:rPr>
          <w:color w:val="auto"/>
          <w:sz w:val="32"/>
          <w:szCs w:val="32"/>
          <w:highlight w:val="none"/>
        </w:rPr>
      </w:pPr>
    </w:p>
    <w:p w14:paraId="25EB95DF">
      <w:pPr>
        <w:jc w:val="center"/>
        <w:rPr>
          <w:color w:val="auto"/>
          <w:sz w:val="32"/>
          <w:szCs w:val="32"/>
          <w:highlight w:val="none"/>
        </w:rPr>
      </w:pPr>
    </w:p>
    <w:p w14:paraId="32F54958">
      <w:pPr>
        <w:jc w:val="center"/>
        <w:rPr>
          <w:color w:val="auto"/>
          <w:sz w:val="32"/>
          <w:szCs w:val="32"/>
          <w:highlight w:val="none"/>
        </w:rPr>
      </w:pPr>
    </w:p>
    <w:p w14:paraId="4668FB0F">
      <w:pPr>
        <w:jc w:val="center"/>
        <w:rPr>
          <w:color w:val="auto"/>
          <w:sz w:val="32"/>
          <w:szCs w:val="32"/>
          <w:highlight w:val="none"/>
        </w:rPr>
      </w:pPr>
    </w:p>
    <w:p w14:paraId="7C9787A1">
      <w:pPr>
        <w:jc w:val="center"/>
        <w:rPr>
          <w:color w:val="auto"/>
          <w:sz w:val="32"/>
          <w:szCs w:val="32"/>
          <w:highlight w:val="none"/>
        </w:rPr>
      </w:pPr>
    </w:p>
    <w:p w14:paraId="7DDAF407">
      <w:pPr>
        <w:jc w:val="center"/>
        <w:rPr>
          <w:color w:val="auto"/>
          <w:sz w:val="32"/>
          <w:szCs w:val="32"/>
          <w:highlight w:val="none"/>
        </w:rPr>
      </w:pPr>
    </w:p>
    <w:p w14:paraId="1CD4EA73">
      <w:pPr>
        <w:jc w:val="center"/>
        <w:rPr>
          <w:color w:val="auto"/>
          <w:sz w:val="32"/>
          <w:szCs w:val="32"/>
          <w:highlight w:val="none"/>
        </w:rPr>
      </w:pPr>
    </w:p>
    <w:p w14:paraId="01718B9A">
      <w:pPr>
        <w:jc w:val="center"/>
        <w:rPr>
          <w:color w:val="auto"/>
          <w:sz w:val="32"/>
          <w:szCs w:val="32"/>
          <w:highlight w:val="none"/>
        </w:rPr>
      </w:pPr>
    </w:p>
    <w:p w14:paraId="2A2661D6">
      <w:pPr>
        <w:jc w:val="center"/>
        <w:rPr>
          <w:color w:val="auto"/>
          <w:sz w:val="32"/>
          <w:szCs w:val="32"/>
          <w:highlight w:val="none"/>
        </w:rPr>
      </w:pPr>
    </w:p>
    <w:p w14:paraId="78965464">
      <w:pPr>
        <w:jc w:val="center"/>
        <w:rPr>
          <w:color w:val="auto"/>
          <w:sz w:val="32"/>
          <w:szCs w:val="32"/>
          <w:highlight w:val="none"/>
        </w:rPr>
      </w:pPr>
    </w:p>
    <w:p w14:paraId="0382BD5F">
      <w:pPr>
        <w:jc w:val="center"/>
        <w:rPr>
          <w:color w:val="auto"/>
          <w:sz w:val="32"/>
          <w:szCs w:val="32"/>
          <w:highlight w:val="none"/>
        </w:rPr>
      </w:pPr>
    </w:p>
    <w:p w14:paraId="5213B75C">
      <w:pPr>
        <w:jc w:val="center"/>
        <w:rPr>
          <w:color w:val="auto"/>
          <w:sz w:val="32"/>
          <w:szCs w:val="32"/>
          <w:highlight w:val="none"/>
        </w:rPr>
      </w:pPr>
    </w:p>
    <w:p w14:paraId="4442C3AB">
      <w:pPr>
        <w:spacing w:line="360" w:lineRule="auto"/>
        <w:ind w:firstLine="1400" w:firstLineChars="500"/>
        <w:rPr>
          <w:color w:val="auto"/>
          <w:sz w:val="28"/>
          <w:szCs w:val="28"/>
          <w:highlight w:val="none"/>
        </w:rPr>
      </w:pPr>
      <w:r>
        <w:rPr>
          <w:rFonts w:hint="eastAsia"/>
          <w:color w:val="auto"/>
          <w:sz w:val="28"/>
          <w:szCs w:val="28"/>
          <w:highlight w:val="none"/>
        </w:rPr>
        <w:t>投标</w:t>
      </w:r>
      <w:r>
        <w:rPr>
          <w:color w:val="auto"/>
          <w:sz w:val="28"/>
          <w:szCs w:val="28"/>
          <w:highlight w:val="none"/>
        </w:rPr>
        <w:t>内容：</w:t>
      </w:r>
      <w:r>
        <w:rPr>
          <w:color w:val="auto"/>
          <w:sz w:val="28"/>
          <w:szCs w:val="28"/>
          <w:highlight w:val="none"/>
          <w:u w:val="single"/>
        </w:rPr>
        <w:t xml:space="preserve">          </w:t>
      </w:r>
      <w:r>
        <w:rPr>
          <w:rFonts w:hint="eastAsia"/>
          <w:color w:val="auto"/>
          <w:sz w:val="28"/>
          <w:szCs w:val="28"/>
          <w:highlight w:val="none"/>
          <w:u w:val="single"/>
        </w:rPr>
        <w:t>设计方案标</w:t>
      </w:r>
      <w:r>
        <w:rPr>
          <w:color w:val="auto"/>
          <w:sz w:val="28"/>
          <w:szCs w:val="28"/>
          <w:highlight w:val="none"/>
          <w:u w:val="single"/>
        </w:rPr>
        <w:t xml:space="preserve">        </w:t>
      </w:r>
    </w:p>
    <w:p w14:paraId="38DC7487">
      <w:pPr>
        <w:spacing w:line="360" w:lineRule="auto"/>
        <w:ind w:firstLine="1400" w:firstLineChars="500"/>
        <w:rPr>
          <w:color w:val="auto"/>
          <w:sz w:val="28"/>
          <w:szCs w:val="28"/>
          <w:highlight w:val="none"/>
        </w:rPr>
      </w:pPr>
      <w:r>
        <w:rPr>
          <w:rFonts w:hint="eastAsia"/>
          <w:color w:val="auto"/>
          <w:sz w:val="28"/>
          <w:szCs w:val="28"/>
          <w:highlight w:val="none"/>
        </w:rPr>
        <w:t>投标</w:t>
      </w:r>
      <w:r>
        <w:rPr>
          <w:color w:val="auto"/>
          <w:sz w:val="28"/>
          <w:szCs w:val="28"/>
          <w:highlight w:val="none"/>
        </w:rPr>
        <w:t>人：</w:t>
      </w:r>
      <w:r>
        <w:rPr>
          <w:color w:val="auto"/>
          <w:sz w:val="28"/>
          <w:szCs w:val="28"/>
          <w:highlight w:val="none"/>
          <w:u w:val="single"/>
        </w:rPr>
        <w:t xml:space="preserve">                               </w:t>
      </w:r>
      <w:r>
        <w:rPr>
          <w:color w:val="auto"/>
          <w:sz w:val="28"/>
          <w:szCs w:val="28"/>
          <w:highlight w:val="none"/>
        </w:rPr>
        <w:t>（</w:t>
      </w:r>
      <w:r>
        <w:rPr>
          <w:rFonts w:hint="eastAsia"/>
          <w:color w:val="auto"/>
          <w:sz w:val="28"/>
          <w:szCs w:val="28"/>
          <w:highlight w:val="none"/>
        </w:rPr>
        <w:t>盖单位章</w:t>
      </w:r>
      <w:r>
        <w:rPr>
          <w:color w:val="auto"/>
          <w:sz w:val="28"/>
          <w:szCs w:val="28"/>
          <w:highlight w:val="none"/>
        </w:rPr>
        <w:t>）</w:t>
      </w:r>
    </w:p>
    <w:p w14:paraId="5F04162E">
      <w:pPr>
        <w:jc w:val="center"/>
        <w:rPr>
          <w:color w:val="auto"/>
          <w:sz w:val="28"/>
          <w:szCs w:val="28"/>
          <w:highlight w:val="none"/>
        </w:rPr>
      </w:pPr>
    </w:p>
    <w:p w14:paraId="4A82AA1F">
      <w:pPr>
        <w:jc w:val="center"/>
        <w:rPr>
          <w:color w:val="auto"/>
          <w:sz w:val="28"/>
          <w:szCs w:val="28"/>
          <w:highlight w:val="none"/>
        </w:rPr>
      </w:pPr>
    </w:p>
    <w:p w14:paraId="5AD1A7ED">
      <w:pPr>
        <w:jc w:val="center"/>
        <w:rPr>
          <w:color w:val="auto"/>
          <w:sz w:val="28"/>
          <w:szCs w:val="28"/>
          <w:highlight w:val="none"/>
        </w:rPr>
      </w:pPr>
      <w:r>
        <w:rPr>
          <w:color w:val="auto"/>
          <w:sz w:val="28"/>
          <w:szCs w:val="28"/>
          <w:highlight w:val="none"/>
          <w:u w:val="single"/>
        </w:rPr>
        <w:t xml:space="preserve">         </w:t>
      </w:r>
      <w:r>
        <w:rPr>
          <w:color w:val="auto"/>
          <w:sz w:val="28"/>
          <w:szCs w:val="28"/>
          <w:highlight w:val="none"/>
        </w:rPr>
        <w:t>年</w:t>
      </w:r>
      <w:r>
        <w:rPr>
          <w:color w:val="auto"/>
          <w:sz w:val="28"/>
          <w:szCs w:val="28"/>
          <w:highlight w:val="none"/>
          <w:u w:val="single"/>
        </w:rPr>
        <w:t xml:space="preserve">         </w:t>
      </w:r>
      <w:r>
        <w:rPr>
          <w:color w:val="auto"/>
          <w:sz w:val="28"/>
          <w:szCs w:val="28"/>
          <w:highlight w:val="none"/>
        </w:rPr>
        <w:t>月</w:t>
      </w:r>
      <w:r>
        <w:rPr>
          <w:color w:val="auto"/>
          <w:sz w:val="28"/>
          <w:szCs w:val="28"/>
          <w:highlight w:val="none"/>
          <w:u w:val="single"/>
        </w:rPr>
        <w:t xml:space="preserve">         </w:t>
      </w:r>
      <w:r>
        <w:rPr>
          <w:color w:val="auto"/>
          <w:sz w:val="28"/>
          <w:szCs w:val="28"/>
          <w:highlight w:val="none"/>
        </w:rPr>
        <w:t>日</w:t>
      </w:r>
    </w:p>
    <w:p w14:paraId="582937BF">
      <w:pPr>
        <w:spacing w:line="360" w:lineRule="auto"/>
        <w:rPr>
          <w:rFonts w:ascii="宋体" w:hAnsi="宋体"/>
          <w:color w:val="auto"/>
          <w:sz w:val="24"/>
          <w:highlight w:val="none"/>
        </w:rPr>
      </w:pPr>
    </w:p>
    <w:p w14:paraId="1124A453">
      <w:pPr>
        <w:spacing w:line="360" w:lineRule="auto"/>
        <w:rPr>
          <w:rFonts w:ascii="宋体" w:hAnsi="宋体"/>
          <w:color w:val="auto"/>
          <w:sz w:val="24"/>
          <w:highlight w:val="none"/>
        </w:rPr>
      </w:pPr>
    </w:p>
    <w:p w14:paraId="7EC0A83A">
      <w:pPr>
        <w:spacing w:line="360" w:lineRule="auto"/>
        <w:rPr>
          <w:b/>
          <w:color w:val="auto"/>
          <w:sz w:val="28"/>
          <w:szCs w:val="28"/>
          <w:highlight w:val="none"/>
        </w:rPr>
        <w:sectPr>
          <w:pgSz w:w="11907" w:h="16840"/>
          <w:pgMar w:top="1440" w:right="1440" w:bottom="1440" w:left="1797" w:header="851" w:footer="851" w:gutter="0"/>
          <w:cols w:space="720" w:num="1"/>
          <w:docGrid w:linePitch="312" w:charSpace="0"/>
        </w:sectPr>
      </w:pPr>
    </w:p>
    <w:p w14:paraId="7A5F9AC6">
      <w:pPr>
        <w:spacing w:before="120" w:beforeLines="50" w:after="240" w:afterLines="100" w:line="440" w:lineRule="exact"/>
        <w:rPr>
          <w:rFonts w:ascii="宋体" w:hAnsi="宋体"/>
          <w:b/>
          <w:color w:val="auto"/>
          <w:sz w:val="28"/>
          <w:szCs w:val="28"/>
          <w:highlight w:val="none"/>
        </w:rPr>
      </w:pPr>
      <w:r>
        <w:rPr>
          <w:rFonts w:ascii="宋体" w:hAnsi="宋体"/>
          <w:b/>
          <w:color w:val="auto"/>
          <w:sz w:val="28"/>
          <w:szCs w:val="28"/>
          <w:highlight w:val="none"/>
        </w:rPr>
        <w:t>设计方案标</w:t>
      </w:r>
      <w:r>
        <w:rPr>
          <w:rFonts w:hint="eastAsia" w:ascii="宋体" w:hAnsi="宋体"/>
          <w:b/>
          <w:color w:val="auto"/>
          <w:sz w:val="28"/>
          <w:szCs w:val="28"/>
          <w:highlight w:val="none"/>
        </w:rPr>
        <w:t>（备注：当采用设计方案招标时提交）</w:t>
      </w:r>
    </w:p>
    <w:p w14:paraId="71062C90">
      <w:pPr>
        <w:spacing w:before="120" w:beforeLines="50" w:after="240" w:afterLines="100" w:line="440" w:lineRule="exact"/>
        <w:rPr>
          <w:rFonts w:ascii="宋体" w:hAnsi="宋体"/>
          <w:color w:val="auto"/>
          <w:sz w:val="24"/>
          <w:highlight w:val="none"/>
        </w:rPr>
      </w:pPr>
      <w:r>
        <w:rPr>
          <w:rFonts w:ascii="宋体" w:hAnsi="宋体"/>
          <w:color w:val="auto"/>
          <w:sz w:val="24"/>
          <w:highlight w:val="none"/>
        </w:rPr>
        <w:t>采用</w:t>
      </w:r>
      <w:r>
        <w:rPr>
          <w:rFonts w:hint="eastAsia" w:ascii="宋体" w:hAnsi="宋体"/>
          <w:color w:val="auto"/>
          <w:sz w:val="24"/>
          <w:highlight w:val="none"/>
        </w:rPr>
        <w:t>A</w:t>
      </w:r>
      <w:r>
        <w:rPr>
          <w:rFonts w:ascii="宋体" w:hAnsi="宋体"/>
          <w:color w:val="auto"/>
          <w:sz w:val="24"/>
          <w:highlight w:val="none"/>
        </w:rPr>
        <w:t>3图面</w:t>
      </w:r>
      <w:r>
        <w:rPr>
          <w:rFonts w:hint="eastAsia" w:ascii="宋体" w:hAnsi="宋体"/>
          <w:color w:val="auto"/>
          <w:sz w:val="24"/>
          <w:highlight w:val="none"/>
        </w:rPr>
        <w:t>。（方案标为暗标时，方案标文字部分格式按技术标“设计组织实施方案”部分备注要求的格式）</w:t>
      </w:r>
    </w:p>
    <w:p w14:paraId="11FB86E0">
      <w:pPr>
        <w:spacing w:before="120" w:beforeLines="50" w:after="240" w:afterLines="100" w:line="440" w:lineRule="exact"/>
        <w:rPr>
          <w:rFonts w:ascii="宋体" w:hAnsi="宋体"/>
          <w:color w:val="auto"/>
          <w:sz w:val="24"/>
          <w:highlight w:val="none"/>
        </w:rPr>
      </w:pPr>
    </w:p>
    <w:p w14:paraId="419B8E92">
      <w:pPr>
        <w:spacing w:before="120" w:beforeLines="50" w:after="240" w:afterLines="100" w:line="440" w:lineRule="exact"/>
        <w:rPr>
          <w:rFonts w:ascii="宋体" w:hAnsi="宋体"/>
          <w:color w:val="auto"/>
          <w:sz w:val="24"/>
          <w:highlight w:val="none"/>
        </w:rPr>
      </w:pPr>
    </w:p>
    <w:p w14:paraId="52A97DC0">
      <w:pPr>
        <w:spacing w:before="120" w:beforeLines="50" w:after="240" w:afterLines="100" w:line="440" w:lineRule="exact"/>
        <w:rPr>
          <w:rFonts w:ascii="宋体" w:hAnsi="宋体"/>
          <w:color w:val="auto"/>
          <w:sz w:val="24"/>
          <w:highlight w:val="none"/>
        </w:rPr>
      </w:pPr>
    </w:p>
    <w:p w14:paraId="38C42F00">
      <w:pPr>
        <w:spacing w:before="120" w:beforeLines="50" w:after="240" w:afterLines="100" w:line="440" w:lineRule="exact"/>
        <w:rPr>
          <w:rFonts w:ascii="宋体" w:hAnsi="宋体"/>
          <w:color w:val="auto"/>
          <w:sz w:val="24"/>
          <w:highlight w:val="none"/>
        </w:rPr>
      </w:pPr>
    </w:p>
    <w:p w14:paraId="10F466C5">
      <w:pPr>
        <w:spacing w:before="120" w:beforeLines="50" w:after="240" w:afterLines="100" w:line="440" w:lineRule="exact"/>
        <w:rPr>
          <w:rFonts w:ascii="宋体" w:hAnsi="宋体"/>
          <w:color w:val="auto"/>
          <w:sz w:val="24"/>
          <w:highlight w:val="none"/>
        </w:rPr>
      </w:pPr>
    </w:p>
    <w:p w14:paraId="467EB237">
      <w:pPr>
        <w:spacing w:before="120" w:beforeLines="50" w:after="240" w:afterLines="100" w:line="440" w:lineRule="exact"/>
        <w:rPr>
          <w:rFonts w:ascii="宋体" w:hAnsi="宋体"/>
          <w:color w:val="auto"/>
          <w:sz w:val="24"/>
          <w:highlight w:val="none"/>
        </w:rPr>
      </w:pPr>
    </w:p>
    <w:p w14:paraId="4F7C497B">
      <w:pPr>
        <w:spacing w:before="120" w:beforeLines="50" w:after="240" w:afterLines="100" w:line="440" w:lineRule="exact"/>
        <w:rPr>
          <w:rFonts w:ascii="宋体" w:hAnsi="宋体"/>
          <w:color w:val="auto"/>
          <w:sz w:val="24"/>
          <w:highlight w:val="none"/>
        </w:rPr>
      </w:pPr>
    </w:p>
    <w:p w14:paraId="1DB6BBE8">
      <w:pPr>
        <w:spacing w:before="120" w:beforeLines="50" w:after="240" w:afterLines="100" w:line="440" w:lineRule="exact"/>
        <w:rPr>
          <w:rFonts w:ascii="宋体" w:hAnsi="宋体"/>
          <w:color w:val="auto"/>
          <w:sz w:val="24"/>
          <w:highlight w:val="none"/>
        </w:rPr>
      </w:pPr>
    </w:p>
    <w:p w14:paraId="1E58C302">
      <w:pPr>
        <w:spacing w:before="120" w:beforeLines="50" w:after="240" w:afterLines="100" w:line="440" w:lineRule="exact"/>
        <w:rPr>
          <w:rFonts w:ascii="宋体" w:hAnsi="宋体"/>
          <w:color w:val="auto"/>
          <w:sz w:val="24"/>
          <w:highlight w:val="none"/>
        </w:rPr>
      </w:pPr>
    </w:p>
    <w:p w14:paraId="68E6BE33">
      <w:pPr>
        <w:spacing w:before="120" w:beforeLines="50" w:after="240" w:afterLines="100" w:line="440" w:lineRule="exact"/>
        <w:rPr>
          <w:rFonts w:ascii="宋体" w:hAnsi="宋体"/>
          <w:color w:val="auto"/>
          <w:sz w:val="24"/>
          <w:highlight w:val="none"/>
        </w:rPr>
      </w:pPr>
    </w:p>
    <w:p w14:paraId="77F6AFC5">
      <w:pPr>
        <w:spacing w:before="120" w:beforeLines="50" w:after="240" w:afterLines="100" w:line="440" w:lineRule="exact"/>
        <w:rPr>
          <w:rFonts w:ascii="宋体" w:hAnsi="宋体"/>
          <w:color w:val="auto"/>
          <w:sz w:val="24"/>
          <w:highlight w:val="none"/>
        </w:rPr>
      </w:pPr>
    </w:p>
    <w:p w14:paraId="23AABC89">
      <w:pPr>
        <w:spacing w:before="120" w:beforeLines="50" w:after="240" w:afterLines="100" w:line="440" w:lineRule="exact"/>
        <w:rPr>
          <w:rFonts w:ascii="宋体" w:hAnsi="宋体"/>
          <w:color w:val="auto"/>
          <w:sz w:val="24"/>
          <w:highlight w:val="none"/>
        </w:rPr>
      </w:pPr>
    </w:p>
    <w:p w14:paraId="1155275E">
      <w:pPr>
        <w:spacing w:before="120" w:beforeLines="50" w:after="240" w:afterLines="100" w:line="440" w:lineRule="exact"/>
        <w:rPr>
          <w:rFonts w:ascii="宋体" w:hAnsi="宋体"/>
          <w:color w:val="auto"/>
          <w:sz w:val="24"/>
          <w:highlight w:val="none"/>
        </w:rPr>
      </w:pPr>
    </w:p>
    <w:p w14:paraId="1AF4E596">
      <w:pPr>
        <w:spacing w:before="120" w:beforeLines="50" w:after="240" w:afterLines="100" w:line="440" w:lineRule="exact"/>
        <w:rPr>
          <w:rFonts w:ascii="宋体" w:hAnsi="宋体"/>
          <w:color w:val="auto"/>
          <w:sz w:val="24"/>
          <w:highlight w:val="none"/>
        </w:rPr>
      </w:pPr>
    </w:p>
    <w:p w14:paraId="735EB1AB">
      <w:pPr>
        <w:spacing w:before="120" w:beforeLines="50" w:after="240" w:afterLines="100" w:line="440" w:lineRule="exact"/>
        <w:rPr>
          <w:rFonts w:ascii="宋体" w:hAnsi="宋体"/>
          <w:color w:val="auto"/>
          <w:sz w:val="24"/>
          <w:highlight w:val="none"/>
        </w:rPr>
      </w:pPr>
    </w:p>
    <w:p w14:paraId="54A12A1C">
      <w:pPr>
        <w:spacing w:before="120" w:beforeLines="50" w:after="240" w:afterLines="100" w:line="440" w:lineRule="exact"/>
        <w:rPr>
          <w:rFonts w:ascii="宋体" w:hAnsi="宋体"/>
          <w:color w:val="auto"/>
          <w:sz w:val="24"/>
          <w:highlight w:val="none"/>
        </w:rPr>
      </w:pPr>
    </w:p>
    <w:p w14:paraId="38CEB90E">
      <w:pPr>
        <w:spacing w:before="120" w:beforeLines="50" w:after="240" w:afterLines="100" w:line="440" w:lineRule="exact"/>
        <w:rPr>
          <w:rFonts w:ascii="宋体" w:hAnsi="宋体"/>
          <w:color w:val="auto"/>
          <w:sz w:val="24"/>
          <w:highlight w:val="none"/>
        </w:rPr>
      </w:pPr>
    </w:p>
    <w:p w14:paraId="5625960C">
      <w:pPr>
        <w:spacing w:before="120" w:beforeLines="50" w:after="240" w:afterLines="100" w:line="440" w:lineRule="exact"/>
        <w:rPr>
          <w:rFonts w:ascii="宋体" w:hAnsi="宋体"/>
          <w:color w:val="auto"/>
          <w:sz w:val="24"/>
          <w:highlight w:val="none"/>
        </w:rPr>
      </w:pPr>
    </w:p>
    <w:p w14:paraId="757BB534">
      <w:pPr>
        <w:spacing w:before="120" w:beforeLines="50" w:after="240" w:afterLines="100" w:line="440" w:lineRule="exact"/>
        <w:rPr>
          <w:rFonts w:ascii="宋体" w:hAnsi="宋体"/>
          <w:color w:val="auto"/>
          <w:sz w:val="24"/>
          <w:highlight w:val="none"/>
        </w:rPr>
      </w:pPr>
    </w:p>
    <w:p w14:paraId="66CF6645">
      <w:pPr>
        <w:spacing w:before="240" w:beforeLines="100"/>
        <w:jc w:val="center"/>
        <w:rPr>
          <w:color w:val="auto"/>
          <w:sz w:val="52"/>
          <w:szCs w:val="52"/>
          <w:highlight w:val="none"/>
        </w:rPr>
      </w:pPr>
      <w:r>
        <w:rPr>
          <w:color w:val="auto"/>
          <w:sz w:val="52"/>
          <w:szCs w:val="52"/>
          <w:highlight w:val="none"/>
        </w:rPr>
        <w:t>投  标  文  件</w:t>
      </w:r>
    </w:p>
    <w:p w14:paraId="2782FB99">
      <w:pPr>
        <w:jc w:val="center"/>
        <w:rPr>
          <w:color w:val="auto"/>
          <w:sz w:val="32"/>
          <w:szCs w:val="32"/>
          <w:highlight w:val="none"/>
        </w:rPr>
      </w:pPr>
    </w:p>
    <w:p w14:paraId="5B082595">
      <w:pPr>
        <w:jc w:val="center"/>
        <w:rPr>
          <w:color w:val="auto"/>
          <w:sz w:val="32"/>
          <w:szCs w:val="32"/>
          <w:highlight w:val="none"/>
        </w:rPr>
      </w:pPr>
    </w:p>
    <w:p w14:paraId="679E6596">
      <w:pPr>
        <w:jc w:val="center"/>
        <w:rPr>
          <w:color w:val="auto"/>
          <w:sz w:val="32"/>
          <w:szCs w:val="32"/>
          <w:highlight w:val="none"/>
        </w:rPr>
      </w:pPr>
    </w:p>
    <w:p w14:paraId="154B80FC">
      <w:pPr>
        <w:jc w:val="center"/>
        <w:rPr>
          <w:color w:val="auto"/>
          <w:sz w:val="32"/>
          <w:szCs w:val="32"/>
          <w:highlight w:val="none"/>
        </w:rPr>
      </w:pPr>
    </w:p>
    <w:p w14:paraId="3F7EB6A6">
      <w:pPr>
        <w:spacing w:line="360" w:lineRule="auto"/>
        <w:ind w:firstLine="2380" w:firstLineChars="850"/>
        <w:rPr>
          <w:color w:val="auto"/>
          <w:sz w:val="28"/>
          <w:szCs w:val="28"/>
          <w:highlight w:val="none"/>
          <w:u w:val="single"/>
        </w:rPr>
      </w:pPr>
      <w:r>
        <w:rPr>
          <w:color w:val="auto"/>
          <w:sz w:val="28"/>
          <w:szCs w:val="28"/>
          <w:highlight w:val="none"/>
        </w:rPr>
        <w:t>项目</w:t>
      </w:r>
      <w:r>
        <w:rPr>
          <w:rFonts w:hint="eastAsia"/>
          <w:color w:val="auto"/>
          <w:sz w:val="28"/>
          <w:szCs w:val="28"/>
          <w:highlight w:val="none"/>
        </w:rPr>
        <w:t>招标</w:t>
      </w:r>
      <w:r>
        <w:rPr>
          <w:color w:val="auto"/>
          <w:sz w:val="28"/>
          <w:szCs w:val="28"/>
          <w:highlight w:val="none"/>
        </w:rPr>
        <w:t>编号：</w:t>
      </w:r>
      <w:r>
        <w:rPr>
          <w:color w:val="auto"/>
          <w:sz w:val="28"/>
          <w:szCs w:val="28"/>
          <w:highlight w:val="none"/>
          <w:u w:val="single"/>
        </w:rPr>
        <w:t xml:space="preserve">                   </w:t>
      </w:r>
    </w:p>
    <w:p w14:paraId="63767979">
      <w:pPr>
        <w:jc w:val="center"/>
        <w:rPr>
          <w:color w:val="auto"/>
          <w:sz w:val="32"/>
          <w:szCs w:val="32"/>
          <w:highlight w:val="none"/>
        </w:rPr>
      </w:pPr>
    </w:p>
    <w:p w14:paraId="21C82B69">
      <w:pPr>
        <w:jc w:val="center"/>
        <w:rPr>
          <w:color w:val="auto"/>
          <w:sz w:val="32"/>
          <w:szCs w:val="32"/>
          <w:highlight w:val="none"/>
        </w:rPr>
      </w:pPr>
    </w:p>
    <w:p w14:paraId="2438A86F">
      <w:pPr>
        <w:jc w:val="center"/>
        <w:rPr>
          <w:color w:val="auto"/>
          <w:sz w:val="32"/>
          <w:szCs w:val="32"/>
          <w:highlight w:val="none"/>
        </w:rPr>
      </w:pPr>
    </w:p>
    <w:p w14:paraId="02843713">
      <w:pPr>
        <w:jc w:val="center"/>
        <w:rPr>
          <w:color w:val="auto"/>
          <w:sz w:val="32"/>
          <w:szCs w:val="32"/>
          <w:highlight w:val="none"/>
        </w:rPr>
      </w:pPr>
    </w:p>
    <w:p w14:paraId="0782FC5A">
      <w:pPr>
        <w:jc w:val="center"/>
        <w:rPr>
          <w:color w:val="auto"/>
          <w:sz w:val="32"/>
          <w:szCs w:val="32"/>
          <w:highlight w:val="none"/>
        </w:rPr>
      </w:pPr>
    </w:p>
    <w:p w14:paraId="7B16251B">
      <w:pPr>
        <w:jc w:val="center"/>
        <w:rPr>
          <w:color w:val="auto"/>
          <w:sz w:val="32"/>
          <w:szCs w:val="32"/>
          <w:highlight w:val="none"/>
        </w:rPr>
      </w:pPr>
    </w:p>
    <w:p w14:paraId="63B2B416">
      <w:pPr>
        <w:jc w:val="center"/>
        <w:rPr>
          <w:color w:val="auto"/>
          <w:sz w:val="32"/>
          <w:szCs w:val="32"/>
          <w:highlight w:val="none"/>
        </w:rPr>
      </w:pPr>
    </w:p>
    <w:p w14:paraId="45ECB4E8">
      <w:pPr>
        <w:jc w:val="center"/>
        <w:rPr>
          <w:color w:val="auto"/>
          <w:sz w:val="32"/>
          <w:szCs w:val="32"/>
          <w:highlight w:val="none"/>
        </w:rPr>
      </w:pPr>
    </w:p>
    <w:p w14:paraId="1D97E459">
      <w:pPr>
        <w:jc w:val="center"/>
        <w:rPr>
          <w:color w:val="auto"/>
          <w:sz w:val="32"/>
          <w:szCs w:val="32"/>
          <w:highlight w:val="none"/>
        </w:rPr>
      </w:pPr>
    </w:p>
    <w:p w14:paraId="1A8F50E0">
      <w:pPr>
        <w:jc w:val="center"/>
        <w:rPr>
          <w:color w:val="auto"/>
          <w:sz w:val="32"/>
          <w:szCs w:val="32"/>
          <w:highlight w:val="none"/>
        </w:rPr>
      </w:pPr>
    </w:p>
    <w:p w14:paraId="209E1849">
      <w:pPr>
        <w:jc w:val="center"/>
        <w:rPr>
          <w:color w:val="auto"/>
          <w:sz w:val="32"/>
          <w:szCs w:val="32"/>
          <w:highlight w:val="none"/>
        </w:rPr>
      </w:pPr>
    </w:p>
    <w:p w14:paraId="431C4E0A">
      <w:pPr>
        <w:jc w:val="center"/>
        <w:rPr>
          <w:color w:val="auto"/>
          <w:sz w:val="32"/>
          <w:szCs w:val="32"/>
          <w:highlight w:val="none"/>
        </w:rPr>
      </w:pPr>
    </w:p>
    <w:p w14:paraId="2B7B4EC0">
      <w:pPr>
        <w:jc w:val="center"/>
        <w:rPr>
          <w:color w:val="auto"/>
          <w:sz w:val="32"/>
          <w:szCs w:val="32"/>
          <w:highlight w:val="none"/>
        </w:rPr>
      </w:pPr>
    </w:p>
    <w:p w14:paraId="189290C6">
      <w:pPr>
        <w:spacing w:line="360" w:lineRule="auto"/>
        <w:ind w:firstLine="1400" w:firstLineChars="500"/>
        <w:rPr>
          <w:color w:val="auto"/>
          <w:sz w:val="28"/>
          <w:szCs w:val="28"/>
          <w:highlight w:val="none"/>
        </w:rPr>
      </w:pPr>
      <w:r>
        <w:rPr>
          <w:rFonts w:hint="eastAsia"/>
          <w:color w:val="auto"/>
          <w:sz w:val="28"/>
          <w:szCs w:val="28"/>
          <w:highlight w:val="none"/>
        </w:rPr>
        <w:t>投标</w:t>
      </w:r>
      <w:r>
        <w:rPr>
          <w:color w:val="auto"/>
          <w:sz w:val="28"/>
          <w:szCs w:val="28"/>
          <w:highlight w:val="none"/>
        </w:rPr>
        <w:t>内容：</w:t>
      </w:r>
      <w:r>
        <w:rPr>
          <w:color w:val="auto"/>
          <w:sz w:val="28"/>
          <w:szCs w:val="28"/>
          <w:highlight w:val="none"/>
          <w:u w:val="single"/>
        </w:rPr>
        <w:t xml:space="preserve">          </w:t>
      </w:r>
      <w:r>
        <w:rPr>
          <w:rFonts w:hint="eastAsia"/>
          <w:color w:val="auto"/>
          <w:sz w:val="28"/>
          <w:szCs w:val="28"/>
          <w:highlight w:val="none"/>
          <w:u w:val="single"/>
        </w:rPr>
        <w:t>设计团队标</w:t>
      </w:r>
      <w:r>
        <w:rPr>
          <w:color w:val="auto"/>
          <w:sz w:val="28"/>
          <w:szCs w:val="28"/>
          <w:highlight w:val="none"/>
          <w:u w:val="single"/>
        </w:rPr>
        <w:t xml:space="preserve">        </w:t>
      </w:r>
    </w:p>
    <w:p w14:paraId="16C25298">
      <w:pPr>
        <w:spacing w:line="360" w:lineRule="auto"/>
        <w:ind w:firstLine="1400" w:firstLineChars="500"/>
        <w:rPr>
          <w:color w:val="auto"/>
          <w:sz w:val="28"/>
          <w:szCs w:val="28"/>
          <w:highlight w:val="none"/>
        </w:rPr>
      </w:pPr>
      <w:r>
        <w:rPr>
          <w:rFonts w:hint="eastAsia"/>
          <w:color w:val="auto"/>
          <w:sz w:val="28"/>
          <w:szCs w:val="28"/>
          <w:highlight w:val="none"/>
        </w:rPr>
        <w:t>投标</w:t>
      </w:r>
      <w:r>
        <w:rPr>
          <w:color w:val="auto"/>
          <w:sz w:val="28"/>
          <w:szCs w:val="28"/>
          <w:highlight w:val="none"/>
        </w:rPr>
        <w:t>人：</w:t>
      </w:r>
      <w:r>
        <w:rPr>
          <w:color w:val="auto"/>
          <w:sz w:val="28"/>
          <w:szCs w:val="28"/>
          <w:highlight w:val="none"/>
          <w:u w:val="single"/>
        </w:rPr>
        <w:t xml:space="preserve">                               </w:t>
      </w:r>
      <w:r>
        <w:rPr>
          <w:color w:val="auto"/>
          <w:sz w:val="28"/>
          <w:szCs w:val="28"/>
          <w:highlight w:val="none"/>
        </w:rPr>
        <w:t>（</w:t>
      </w:r>
      <w:r>
        <w:rPr>
          <w:rFonts w:hint="eastAsia"/>
          <w:color w:val="auto"/>
          <w:sz w:val="28"/>
          <w:szCs w:val="28"/>
          <w:highlight w:val="none"/>
        </w:rPr>
        <w:t>盖单位章</w:t>
      </w:r>
      <w:r>
        <w:rPr>
          <w:color w:val="auto"/>
          <w:sz w:val="28"/>
          <w:szCs w:val="28"/>
          <w:highlight w:val="none"/>
        </w:rPr>
        <w:t>）</w:t>
      </w:r>
    </w:p>
    <w:p w14:paraId="79E2706C">
      <w:pPr>
        <w:jc w:val="center"/>
        <w:rPr>
          <w:color w:val="auto"/>
          <w:sz w:val="28"/>
          <w:szCs w:val="28"/>
          <w:highlight w:val="none"/>
        </w:rPr>
      </w:pPr>
    </w:p>
    <w:p w14:paraId="22DB2D7A">
      <w:pPr>
        <w:jc w:val="center"/>
        <w:rPr>
          <w:color w:val="auto"/>
          <w:sz w:val="28"/>
          <w:szCs w:val="28"/>
          <w:highlight w:val="none"/>
        </w:rPr>
      </w:pPr>
    </w:p>
    <w:p w14:paraId="12433D78">
      <w:pPr>
        <w:jc w:val="center"/>
        <w:rPr>
          <w:color w:val="auto"/>
          <w:sz w:val="28"/>
          <w:szCs w:val="28"/>
          <w:highlight w:val="none"/>
        </w:rPr>
      </w:pPr>
      <w:r>
        <w:rPr>
          <w:color w:val="auto"/>
          <w:sz w:val="28"/>
          <w:szCs w:val="28"/>
          <w:highlight w:val="none"/>
          <w:u w:val="single"/>
        </w:rPr>
        <w:t xml:space="preserve">         </w:t>
      </w:r>
      <w:r>
        <w:rPr>
          <w:color w:val="auto"/>
          <w:sz w:val="28"/>
          <w:szCs w:val="28"/>
          <w:highlight w:val="none"/>
        </w:rPr>
        <w:t>年</w:t>
      </w:r>
      <w:r>
        <w:rPr>
          <w:color w:val="auto"/>
          <w:sz w:val="28"/>
          <w:szCs w:val="28"/>
          <w:highlight w:val="none"/>
          <w:u w:val="single"/>
        </w:rPr>
        <w:t xml:space="preserve">         </w:t>
      </w:r>
      <w:r>
        <w:rPr>
          <w:color w:val="auto"/>
          <w:sz w:val="28"/>
          <w:szCs w:val="28"/>
          <w:highlight w:val="none"/>
        </w:rPr>
        <w:t>月</w:t>
      </w:r>
      <w:r>
        <w:rPr>
          <w:color w:val="auto"/>
          <w:sz w:val="28"/>
          <w:szCs w:val="28"/>
          <w:highlight w:val="none"/>
          <w:u w:val="single"/>
        </w:rPr>
        <w:t xml:space="preserve">         </w:t>
      </w:r>
      <w:r>
        <w:rPr>
          <w:color w:val="auto"/>
          <w:sz w:val="28"/>
          <w:szCs w:val="28"/>
          <w:highlight w:val="none"/>
        </w:rPr>
        <w:t>日</w:t>
      </w:r>
    </w:p>
    <w:p w14:paraId="054BB747">
      <w:pPr>
        <w:spacing w:line="360" w:lineRule="auto"/>
        <w:rPr>
          <w:rFonts w:ascii="宋体" w:hAnsi="宋体"/>
          <w:color w:val="auto"/>
          <w:sz w:val="24"/>
          <w:highlight w:val="none"/>
        </w:rPr>
      </w:pPr>
    </w:p>
    <w:p w14:paraId="33F0FEEC">
      <w:pPr>
        <w:spacing w:line="360" w:lineRule="auto"/>
        <w:rPr>
          <w:rFonts w:ascii="宋体" w:hAnsi="宋体"/>
          <w:color w:val="auto"/>
          <w:sz w:val="24"/>
          <w:highlight w:val="none"/>
        </w:rPr>
      </w:pPr>
    </w:p>
    <w:p w14:paraId="12EFC24D">
      <w:pPr>
        <w:spacing w:line="360" w:lineRule="auto"/>
        <w:rPr>
          <w:b/>
          <w:color w:val="auto"/>
          <w:sz w:val="28"/>
          <w:szCs w:val="28"/>
          <w:highlight w:val="none"/>
        </w:rPr>
        <w:sectPr>
          <w:pgSz w:w="11907" w:h="16840"/>
          <w:pgMar w:top="1440" w:right="1440" w:bottom="1440" w:left="1797" w:header="851" w:footer="851" w:gutter="0"/>
          <w:cols w:space="720" w:num="1"/>
          <w:docGrid w:linePitch="312" w:charSpace="0"/>
        </w:sectPr>
      </w:pPr>
    </w:p>
    <w:p w14:paraId="649F4A1F">
      <w:pPr>
        <w:spacing w:before="120" w:beforeLines="50" w:after="240" w:afterLines="100" w:line="440" w:lineRule="exact"/>
        <w:rPr>
          <w:rFonts w:ascii="宋体" w:hAnsi="宋体"/>
          <w:b/>
          <w:color w:val="auto"/>
          <w:sz w:val="28"/>
          <w:szCs w:val="28"/>
          <w:highlight w:val="none"/>
        </w:rPr>
      </w:pPr>
      <w:r>
        <w:rPr>
          <w:rFonts w:ascii="宋体" w:hAnsi="宋体"/>
          <w:b/>
          <w:color w:val="auto"/>
          <w:sz w:val="28"/>
          <w:szCs w:val="28"/>
          <w:highlight w:val="none"/>
        </w:rPr>
        <w:t>设计</w:t>
      </w:r>
      <w:r>
        <w:rPr>
          <w:rFonts w:hint="eastAsia" w:ascii="宋体" w:hAnsi="宋体"/>
          <w:b/>
          <w:color w:val="auto"/>
          <w:sz w:val="28"/>
          <w:szCs w:val="28"/>
          <w:highlight w:val="none"/>
        </w:rPr>
        <w:t>团队</w:t>
      </w:r>
      <w:r>
        <w:rPr>
          <w:rFonts w:ascii="宋体" w:hAnsi="宋体"/>
          <w:b/>
          <w:color w:val="auto"/>
          <w:sz w:val="28"/>
          <w:szCs w:val="28"/>
          <w:highlight w:val="none"/>
        </w:rPr>
        <w:t>标</w:t>
      </w:r>
      <w:r>
        <w:rPr>
          <w:rFonts w:hint="eastAsia" w:ascii="宋体" w:hAnsi="宋体"/>
          <w:b/>
          <w:color w:val="auto"/>
          <w:sz w:val="28"/>
          <w:szCs w:val="28"/>
          <w:highlight w:val="none"/>
        </w:rPr>
        <w:t>（备注：当采用设计团队招标时提交）</w:t>
      </w:r>
    </w:p>
    <w:p w14:paraId="37957723">
      <w:pPr>
        <w:spacing w:after="120" w:afterLines="50" w:line="367" w:lineRule="exact"/>
        <w:jc w:val="center"/>
        <w:rPr>
          <w:rFonts w:ascii="微软雅黑" w:hAnsi="微软雅黑" w:cs="微软雅黑"/>
          <w:b/>
          <w:color w:val="auto"/>
          <w:sz w:val="28"/>
          <w:szCs w:val="28"/>
          <w:highlight w:val="none"/>
        </w:rPr>
      </w:pPr>
      <w:r>
        <w:rPr>
          <w:rFonts w:hint="eastAsia" w:ascii="微软雅黑" w:hAnsi="微软雅黑" w:cs="微软雅黑"/>
          <w:b/>
          <w:color w:val="auto"/>
          <w:sz w:val="28"/>
          <w:szCs w:val="28"/>
          <w:highlight w:val="none"/>
        </w:rPr>
        <w:t>（一）</w:t>
      </w:r>
      <w:r>
        <w:rPr>
          <w:rFonts w:ascii="微软雅黑" w:hAnsi="微软雅黑" w:cs="微软雅黑"/>
          <w:b/>
          <w:color w:val="auto"/>
          <w:sz w:val="28"/>
          <w:szCs w:val="28"/>
          <w:highlight w:val="none"/>
        </w:rPr>
        <w:t>拟派项目负责人基本情况</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276"/>
        <w:gridCol w:w="80"/>
        <w:gridCol w:w="204"/>
        <w:gridCol w:w="1417"/>
        <w:gridCol w:w="1276"/>
        <w:gridCol w:w="1843"/>
        <w:gridCol w:w="1548"/>
      </w:tblGrid>
      <w:tr w14:paraId="16D6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242" w:type="dxa"/>
            <w:vAlign w:val="center"/>
          </w:tcPr>
          <w:p w14:paraId="1292CA4F">
            <w:pPr>
              <w:pStyle w:val="137"/>
              <w:jc w:val="center"/>
              <w:outlineLvl w:val="0"/>
              <w:rPr>
                <w:color w:val="auto"/>
                <w:szCs w:val="21"/>
                <w:highlight w:val="none"/>
              </w:rPr>
            </w:pPr>
            <w:r>
              <w:rPr>
                <w:color w:val="auto"/>
                <w:szCs w:val="21"/>
                <w:highlight w:val="none"/>
              </w:rPr>
              <w:t>姓  名</w:t>
            </w:r>
          </w:p>
        </w:tc>
        <w:tc>
          <w:tcPr>
            <w:tcW w:w="1560" w:type="dxa"/>
            <w:gridSpan w:val="3"/>
            <w:vAlign w:val="center"/>
          </w:tcPr>
          <w:p w14:paraId="63BE660B">
            <w:pPr>
              <w:pStyle w:val="137"/>
              <w:jc w:val="center"/>
              <w:outlineLvl w:val="0"/>
              <w:rPr>
                <w:color w:val="auto"/>
                <w:szCs w:val="21"/>
                <w:highlight w:val="none"/>
              </w:rPr>
            </w:pPr>
          </w:p>
        </w:tc>
        <w:tc>
          <w:tcPr>
            <w:tcW w:w="1417" w:type="dxa"/>
            <w:vAlign w:val="center"/>
          </w:tcPr>
          <w:p w14:paraId="7FC54B98">
            <w:pPr>
              <w:pStyle w:val="137"/>
              <w:jc w:val="center"/>
              <w:outlineLvl w:val="0"/>
              <w:rPr>
                <w:rFonts w:ascii="宋体" w:hAnsi="宋体" w:cs="宋体"/>
                <w:color w:val="auto"/>
                <w:spacing w:val="-7"/>
                <w:highlight w:val="none"/>
              </w:rPr>
            </w:pPr>
            <w:r>
              <w:rPr>
                <w:rFonts w:ascii="宋体" w:hAnsi="宋体" w:cs="宋体"/>
                <w:color w:val="auto"/>
                <w:spacing w:val="-7"/>
                <w:highlight w:val="none"/>
              </w:rPr>
              <w:t>拟在本项目</w:t>
            </w:r>
          </w:p>
          <w:p w14:paraId="4EA993BD">
            <w:pPr>
              <w:pStyle w:val="137"/>
              <w:jc w:val="center"/>
              <w:outlineLvl w:val="0"/>
              <w:rPr>
                <w:color w:val="auto"/>
                <w:szCs w:val="21"/>
                <w:highlight w:val="none"/>
              </w:rPr>
            </w:pPr>
            <w:r>
              <w:rPr>
                <w:rFonts w:ascii="宋体" w:hAnsi="宋体" w:cs="宋体"/>
                <w:color w:val="auto"/>
                <w:spacing w:val="-7"/>
                <w:highlight w:val="none"/>
              </w:rPr>
              <w:t>任职</w:t>
            </w:r>
          </w:p>
        </w:tc>
        <w:tc>
          <w:tcPr>
            <w:tcW w:w="1276" w:type="dxa"/>
            <w:vAlign w:val="center"/>
          </w:tcPr>
          <w:p w14:paraId="5E1F7FD9">
            <w:pPr>
              <w:pStyle w:val="137"/>
              <w:jc w:val="center"/>
              <w:outlineLvl w:val="0"/>
              <w:rPr>
                <w:color w:val="auto"/>
                <w:szCs w:val="21"/>
                <w:highlight w:val="none"/>
              </w:rPr>
            </w:pPr>
            <w:r>
              <w:rPr>
                <w:color w:val="auto"/>
                <w:szCs w:val="21"/>
                <w:highlight w:val="none"/>
              </w:rPr>
              <w:t>项目</w:t>
            </w:r>
          </w:p>
          <w:p w14:paraId="5368DF30">
            <w:pPr>
              <w:pStyle w:val="137"/>
              <w:jc w:val="center"/>
              <w:outlineLvl w:val="0"/>
              <w:rPr>
                <w:color w:val="auto"/>
                <w:szCs w:val="21"/>
                <w:highlight w:val="none"/>
              </w:rPr>
            </w:pPr>
            <w:r>
              <w:rPr>
                <w:color w:val="auto"/>
                <w:szCs w:val="21"/>
                <w:highlight w:val="none"/>
              </w:rPr>
              <w:t>负责人</w:t>
            </w:r>
          </w:p>
        </w:tc>
        <w:tc>
          <w:tcPr>
            <w:tcW w:w="1843" w:type="dxa"/>
            <w:vAlign w:val="center"/>
          </w:tcPr>
          <w:p w14:paraId="6AC44916">
            <w:pPr>
              <w:pStyle w:val="137"/>
              <w:jc w:val="center"/>
              <w:outlineLvl w:val="0"/>
              <w:rPr>
                <w:color w:val="auto"/>
                <w:szCs w:val="21"/>
                <w:highlight w:val="none"/>
              </w:rPr>
            </w:pPr>
            <w:r>
              <w:rPr>
                <w:rFonts w:hint="eastAsia" w:ascii="宋体" w:hAnsi="宋体" w:cs="宋体"/>
                <w:color w:val="auto"/>
                <w:spacing w:val="-7"/>
                <w:highlight w:val="none"/>
              </w:rPr>
              <w:t>从业</w:t>
            </w:r>
            <w:r>
              <w:rPr>
                <w:rFonts w:ascii="宋体" w:hAnsi="宋体" w:cs="宋体"/>
                <w:color w:val="auto"/>
                <w:spacing w:val="-7"/>
                <w:highlight w:val="none"/>
              </w:rPr>
              <w:t>时间</w:t>
            </w:r>
          </w:p>
        </w:tc>
        <w:tc>
          <w:tcPr>
            <w:tcW w:w="1548" w:type="dxa"/>
          </w:tcPr>
          <w:p w14:paraId="18DE99FC">
            <w:pPr>
              <w:pStyle w:val="137"/>
              <w:outlineLvl w:val="0"/>
              <w:rPr>
                <w:color w:val="auto"/>
                <w:szCs w:val="21"/>
                <w:highlight w:val="none"/>
              </w:rPr>
            </w:pPr>
          </w:p>
        </w:tc>
      </w:tr>
      <w:tr w14:paraId="00C0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242" w:type="dxa"/>
            <w:vAlign w:val="center"/>
          </w:tcPr>
          <w:p w14:paraId="193AFE63">
            <w:pPr>
              <w:pStyle w:val="137"/>
              <w:jc w:val="center"/>
              <w:outlineLvl w:val="0"/>
              <w:rPr>
                <w:color w:val="auto"/>
                <w:szCs w:val="21"/>
                <w:highlight w:val="none"/>
              </w:rPr>
            </w:pPr>
            <w:r>
              <w:rPr>
                <w:color w:val="auto"/>
                <w:szCs w:val="21"/>
                <w:highlight w:val="none"/>
              </w:rPr>
              <w:t>学</w:t>
            </w:r>
            <w:r>
              <w:rPr>
                <w:rFonts w:hint="eastAsia"/>
                <w:color w:val="auto"/>
                <w:szCs w:val="21"/>
                <w:highlight w:val="none"/>
              </w:rPr>
              <w:t xml:space="preserve"> </w:t>
            </w:r>
            <w:r>
              <w:rPr>
                <w:color w:val="auto"/>
                <w:szCs w:val="21"/>
                <w:highlight w:val="none"/>
              </w:rPr>
              <w:t xml:space="preserve"> 历</w:t>
            </w:r>
          </w:p>
        </w:tc>
        <w:tc>
          <w:tcPr>
            <w:tcW w:w="1560" w:type="dxa"/>
            <w:gridSpan w:val="3"/>
            <w:vAlign w:val="center"/>
          </w:tcPr>
          <w:p w14:paraId="7F448C03">
            <w:pPr>
              <w:pStyle w:val="137"/>
              <w:jc w:val="center"/>
              <w:outlineLvl w:val="0"/>
              <w:rPr>
                <w:color w:val="auto"/>
                <w:szCs w:val="21"/>
                <w:highlight w:val="none"/>
              </w:rPr>
            </w:pPr>
          </w:p>
        </w:tc>
        <w:tc>
          <w:tcPr>
            <w:tcW w:w="1417" w:type="dxa"/>
            <w:vAlign w:val="center"/>
          </w:tcPr>
          <w:p w14:paraId="4D26E93F">
            <w:pPr>
              <w:pStyle w:val="137"/>
              <w:jc w:val="center"/>
              <w:outlineLvl w:val="0"/>
              <w:rPr>
                <w:color w:val="auto"/>
                <w:szCs w:val="21"/>
                <w:highlight w:val="none"/>
              </w:rPr>
            </w:pPr>
            <w:r>
              <w:rPr>
                <w:rFonts w:hint="eastAsia" w:ascii="宋体" w:hAnsi="宋体" w:cs="宋体"/>
                <w:color w:val="auto"/>
                <w:spacing w:val="-7"/>
                <w:highlight w:val="none"/>
              </w:rPr>
              <w:t xml:space="preserve">专 </w:t>
            </w:r>
            <w:r>
              <w:rPr>
                <w:rFonts w:ascii="宋体" w:hAnsi="宋体" w:cs="宋体"/>
                <w:color w:val="auto"/>
                <w:spacing w:val="-7"/>
                <w:highlight w:val="none"/>
              </w:rPr>
              <w:t xml:space="preserve"> </w:t>
            </w:r>
            <w:r>
              <w:rPr>
                <w:rFonts w:hint="eastAsia" w:ascii="宋体" w:hAnsi="宋体" w:cs="宋体"/>
                <w:color w:val="auto"/>
                <w:spacing w:val="-7"/>
                <w:highlight w:val="none"/>
              </w:rPr>
              <w:t>业</w:t>
            </w:r>
          </w:p>
        </w:tc>
        <w:tc>
          <w:tcPr>
            <w:tcW w:w="1276" w:type="dxa"/>
            <w:vAlign w:val="center"/>
          </w:tcPr>
          <w:p w14:paraId="682373A8">
            <w:pPr>
              <w:pStyle w:val="137"/>
              <w:jc w:val="center"/>
              <w:outlineLvl w:val="0"/>
              <w:rPr>
                <w:color w:val="auto"/>
                <w:szCs w:val="21"/>
                <w:highlight w:val="none"/>
              </w:rPr>
            </w:pPr>
          </w:p>
        </w:tc>
        <w:tc>
          <w:tcPr>
            <w:tcW w:w="1843" w:type="dxa"/>
            <w:vAlign w:val="center"/>
          </w:tcPr>
          <w:p w14:paraId="523F9DE3">
            <w:pPr>
              <w:pStyle w:val="137"/>
              <w:jc w:val="center"/>
              <w:outlineLvl w:val="0"/>
              <w:rPr>
                <w:color w:val="auto"/>
                <w:szCs w:val="21"/>
                <w:highlight w:val="none"/>
              </w:rPr>
            </w:pPr>
            <w:r>
              <w:rPr>
                <w:color w:val="auto"/>
                <w:szCs w:val="21"/>
                <w:highlight w:val="none"/>
              </w:rPr>
              <w:t>职</w:t>
            </w:r>
            <w:r>
              <w:rPr>
                <w:rFonts w:hint="eastAsia"/>
                <w:color w:val="auto"/>
                <w:szCs w:val="21"/>
                <w:highlight w:val="none"/>
              </w:rPr>
              <w:t xml:space="preserve"> </w:t>
            </w:r>
            <w:r>
              <w:rPr>
                <w:color w:val="auto"/>
                <w:szCs w:val="21"/>
                <w:highlight w:val="none"/>
              </w:rPr>
              <w:t xml:space="preserve"> 称</w:t>
            </w:r>
          </w:p>
        </w:tc>
        <w:tc>
          <w:tcPr>
            <w:tcW w:w="1548" w:type="dxa"/>
            <w:vAlign w:val="center"/>
          </w:tcPr>
          <w:p w14:paraId="5EFDE51C">
            <w:pPr>
              <w:pStyle w:val="137"/>
              <w:jc w:val="center"/>
              <w:outlineLvl w:val="0"/>
              <w:rPr>
                <w:color w:val="auto"/>
                <w:szCs w:val="21"/>
                <w:highlight w:val="none"/>
              </w:rPr>
            </w:pPr>
          </w:p>
        </w:tc>
      </w:tr>
      <w:tr w14:paraId="112B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242" w:type="dxa"/>
            <w:vAlign w:val="center"/>
          </w:tcPr>
          <w:p w14:paraId="444BDEFB">
            <w:pPr>
              <w:pStyle w:val="137"/>
              <w:jc w:val="center"/>
              <w:outlineLvl w:val="0"/>
              <w:rPr>
                <w:color w:val="auto"/>
                <w:szCs w:val="21"/>
                <w:highlight w:val="none"/>
              </w:rPr>
            </w:pPr>
            <w:r>
              <w:rPr>
                <w:color w:val="auto"/>
                <w:szCs w:val="21"/>
                <w:highlight w:val="none"/>
              </w:rPr>
              <w:t>身份证号</w:t>
            </w:r>
          </w:p>
        </w:tc>
        <w:tc>
          <w:tcPr>
            <w:tcW w:w="4253" w:type="dxa"/>
            <w:gridSpan w:val="5"/>
            <w:vAlign w:val="center"/>
          </w:tcPr>
          <w:p w14:paraId="69E859B2">
            <w:pPr>
              <w:pStyle w:val="137"/>
              <w:jc w:val="center"/>
              <w:outlineLvl w:val="0"/>
              <w:rPr>
                <w:color w:val="auto"/>
                <w:szCs w:val="21"/>
                <w:highlight w:val="none"/>
              </w:rPr>
            </w:pPr>
          </w:p>
        </w:tc>
        <w:tc>
          <w:tcPr>
            <w:tcW w:w="1843" w:type="dxa"/>
            <w:vAlign w:val="center"/>
          </w:tcPr>
          <w:p w14:paraId="160DD252">
            <w:pPr>
              <w:pStyle w:val="137"/>
              <w:jc w:val="center"/>
              <w:outlineLvl w:val="0"/>
              <w:rPr>
                <w:color w:val="auto"/>
                <w:szCs w:val="21"/>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48" w:type="dxa"/>
            <w:vAlign w:val="center"/>
          </w:tcPr>
          <w:p w14:paraId="1CF19D46">
            <w:pPr>
              <w:pStyle w:val="137"/>
              <w:jc w:val="center"/>
              <w:outlineLvl w:val="0"/>
              <w:rPr>
                <w:color w:val="auto"/>
                <w:szCs w:val="21"/>
                <w:highlight w:val="none"/>
              </w:rPr>
            </w:pPr>
          </w:p>
        </w:tc>
      </w:tr>
      <w:tr w14:paraId="5769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242" w:type="dxa"/>
            <w:vAlign w:val="center"/>
          </w:tcPr>
          <w:p w14:paraId="0217BB35">
            <w:pPr>
              <w:pStyle w:val="137"/>
              <w:jc w:val="center"/>
              <w:outlineLvl w:val="0"/>
              <w:rPr>
                <w:rFonts w:ascii="宋体" w:hAnsi="宋体" w:cs="宋体"/>
                <w:color w:val="auto"/>
                <w:spacing w:val="-7"/>
                <w:highlight w:val="none"/>
              </w:rPr>
            </w:pPr>
            <w:r>
              <w:rPr>
                <w:color w:val="auto"/>
                <w:szCs w:val="21"/>
                <w:highlight w:val="none"/>
              </w:rPr>
              <w:t>毕业学校</w:t>
            </w:r>
          </w:p>
        </w:tc>
        <w:tc>
          <w:tcPr>
            <w:tcW w:w="4253" w:type="dxa"/>
            <w:gridSpan w:val="5"/>
            <w:vAlign w:val="center"/>
          </w:tcPr>
          <w:p w14:paraId="7A21E6F2">
            <w:pPr>
              <w:pStyle w:val="137"/>
              <w:jc w:val="center"/>
              <w:outlineLvl w:val="0"/>
              <w:rPr>
                <w:color w:val="auto"/>
                <w:szCs w:val="21"/>
                <w:highlight w:val="none"/>
              </w:rPr>
            </w:pPr>
          </w:p>
        </w:tc>
        <w:tc>
          <w:tcPr>
            <w:tcW w:w="1843" w:type="dxa"/>
            <w:vAlign w:val="center"/>
          </w:tcPr>
          <w:p w14:paraId="2FA9B871">
            <w:pPr>
              <w:pStyle w:val="137"/>
              <w:jc w:val="center"/>
              <w:outlineLvl w:val="0"/>
              <w:rPr>
                <w:rFonts w:ascii="宋体" w:hAnsi="宋体" w:cs="宋体"/>
                <w:color w:val="auto"/>
                <w:spacing w:val="-7"/>
                <w:highlight w:val="none"/>
              </w:rPr>
            </w:pPr>
            <w:r>
              <w:rPr>
                <w:rFonts w:ascii="宋体" w:hAnsi="宋体" w:cs="宋体"/>
                <w:color w:val="auto"/>
                <w:spacing w:val="-7"/>
                <w:highlight w:val="none"/>
              </w:rPr>
              <w:t>毕业时间</w:t>
            </w:r>
          </w:p>
        </w:tc>
        <w:tc>
          <w:tcPr>
            <w:tcW w:w="1548" w:type="dxa"/>
            <w:vAlign w:val="center"/>
          </w:tcPr>
          <w:p w14:paraId="7FABD3F5">
            <w:pPr>
              <w:pStyle w:val="137"/>
              <w:jc w:val="center"/>
              <w:outlineLvl w:val="0"/>
              <w:rPr>
                <w:color w:val="auto"/>
                <w:szCs w:val="21"/>
                <w:highlight w:val="none"/>
              </w:rPr>
            </w:pPr>
          </w:p>
        </w:tc>
      </w:tr>
      <w:tr w14:paraId="1A29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98" w:type="dxa"/>
            <w:gridSpan w:val="3"/>
            <w:vAlign w:val="center"/>
          </w:tcPr>
          <w:p w14:paraId="2C1B756A">
            <w:pPr>
              <w:pStyle w:val="137"/>
              <w:jc w:val="center"/>
              <w:outlineLvl w:val="0"/>
              <w:rPr>
                <w:color w:val="auto"/>
                <w:szCs w:val="21"/>
                <w:highlight w:val="none"/>
              </w:rPr>
            </w:pPr>
            <w:r>
              <w:rPr>
                <w:rFonts w:hint="eastAsia" w:ascii="宋体" w:hAnsi="宋体" w:cs="宋体"/>
                <w:color w:val="auto"/>
                <w:spacing w:val="-7"/>
                <w:highlight w:val="none"/>
              </w:rPr>
              <w:t>注册类型及等级</w:t>
            </w:r>
          </w:p>
        </w:tc>
        <w:tc>
          <w:tcPr>
            <w:tcW w:w="2897" w:type="dxa"/>
            <w:gridSpan w:val="3"/>
            <w:vAlign w:val="center"/>
          </w:tcPr>
          <w:p w14:paraId="32002F12">
            <w:pPr>
              <w:pStyle w:val="137"/>
              <w:jc w:val="center"/>
              <w:outlineLvl w:val="0"/>
              <w:rPr>
                <w:color w:val="auto"/>
                <w:szCs w:val="21"/>
                <w:highlight w:val="none"/>
              </w:rPr>
            </w:pPr>
            <w:r>
              <w:rPr>
                <w:rFonts w:hint="eastAsia"/>
                <w:color w:val="auto"/>
                <w:szCs w:val="21"/>
                <w:highlight w:val="none"/>
              </w:rPr>
              <w:t>注册</w:t>
            </w:r>
            <w:r>
              <w:rPr>
                <w:color w:val="auto"/>
                <w:szCs w:val="21"/>
                <w:highlight w:val="none"/>
              </w:rPr>
              <w:t>证书编号</w:t>
            </w:r>
          </w:p>
        </w:tc>
        <w:tc>
          <w:tcPr>
            <w:tcW w:w="1843" w:type="dxa"/>
            <w:vAlign w:val="center"/>
          </w:tcPr>
          <w:p w14:paraId="355FC9CE">
            <w:pPr>
              <w:pStyle w:val="137"/>
              <w:jc w:val="center"/>
              <w:outlineLvl w:val="0"/>
              <w:rPr>
                <w:rFonts w:ascii="宋体" w:hAnsi="宋体" w:cs="宋体"/>
                <w:color w:val="auto"/>
                <w:spacing w:val="-7"/>
                <w:highlight w:val="none"/>
              </w:rPr>
            </w:pPr>
            <w:r>
              <w:rPr>
                <w:rFonts w:hint="eastAsia"/>
                <w:color w:val="auto"/>
                <w:szCs w:val="21"/>
                <w:highlight w:val="none"/>
              </w:rPr>
              <w:t>发证</w:t>
            </w:r>
            <w:r>
              <w:rPr>
                <w:color w:val="auto"/>
                <w:szCs w:val="21"/>
                <w:highlight w:val="none"/>
              </w:rPr>
              <w:t>日期</w:t>
            </w:r>
          </w:p>
        </w:tc>
        <w:tc>
          <w:tcPr>
            <w:tcW w:w="1548" w:type="dxa"/>
            <w:vAlign w:val="center"/>
          </w:tcPr>
          <w:p w14:paraId="27AA9606">
            <w:pPr>
              <w:pStyle w:val="137"/>
              <w:jc w:val="center"/>
              <w:outlineLvl w:val="0"/>
              <w:rPr>
                <w:color w:val="auto"/>
                <w:szCs w:val="21"/>
                <w:highlight w:val="none"/>
              </w:rPr>
            </w:pPr>
            <w:r>
              <w:rPr>
                <w:rFonts w:hint="eastAsia"/>
                <w:color w:val="auto"/>
                <w:szCs w:val="21"/>
                <w:highlight w:val="none"/>
              </w:rPr>
              <w:t>有效</w:t>
            </w:r>
            <w:r>
              <w:rPr>
                <w:color w:val="auto"/>
                <w:szCs w:val="21"/>
                <w:highlight w:val="none"/>
              </w:rPr>
              <w:t>期</w:t>
            </w:r>
          </w:p>
        </w:tc>
      </w:tr>
      <w:tr w14:paraId="7CAC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98" w:type="dxa"/>
            <w:gridSpan w:val="3"/>
            <w:vAlign w:val="center"/>
          </w:tcPr>
          <w:p w14:paraId="4F189EEB">
            <w:pPr>
              <w:pStyle w:val="137"/>
              <w:jc w:val="center"/>
              <w:outlineLvl w:val="0"/>
              <w:rPr>
                <w:rFonts w:ascii="宋体" w:hAnsi="宋体" w:cs="宋体"/>
                <w:color w:val="auto"/>
                <w:spacing w:val="-7"/>
                <w:highlight w:val="none"/>
              </w:rPr>
            </w:pPr>
          </w:p>
        </w:tc>
        <w:tc>
          <w:tcPr>
            <w:tcW w:w="2897" w:type="dxa"/>
            <w:gridSpan w:val="3"/>
            <w:vAlign w:val="center"/>
          </w:tcPr>
          <w:p w14:paraId="740F1268">
            <w:pPr>
              <w:pStyle w:val="137"/>
              <w:jc w:val="center"/>
              <w:outlineLvl w:val="0"/>
              <w:rPr>
                <w:color w:val="auto"/>
                <w:szCs w:val="21"/>
                <w:highlight w:val="none"/>
              </w:rPr>
            </w:pPr>
          </w:p>
        </w:tc>
        <w:tc>
          <w:tcPr>
            <w:tcW w:w="1843" w:type="dxa"/>
            <w:vAlign w:val="center"/>
          </w:tcPr>
          <w:p w14:paraId="4018C745">
            <w:pPr>
              <w:pStyle w:val="137"/>
              <w:jc w:val="center"/>
              <w:outlineLvl w:val="0"/>
              <w:rPr>
                <w:color w:val="auto"/>
                <w:szCs w:val="21"/>
                <w:highlight w:val="none"/>
              </w:rPr>
            </w:pPr>
          </w:p>
        </w:tc>
        <w:tc>
          <w:tcPr>
            <w:tcW w:w="1548" w:type="dxa"/>
            <w:vAlign w:val="center"/>
          </w:tcPr>
          <w:p w14:paraId="44497304">
            <w:pPr>
              <w:pStyle w:val="137"/>
              <w:jc w:val="center"/>
              <w:outlineLvl w:val="0"/>
              <w:rPr>
                <w:color w:val="auto"/>
                <w:szCs w:val="21"/>
                <w:highlight w:val="none"/>
              </w:rPr>
            </w:pPr>
          </w:p>
        </w:tc>
      </w:tr>
      <w:tr w14:paraId="1D9F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886" w:type="dxa"/>
            <w:gridSpan w:val="8"/>
            <w:vAlign w:val="center"/>
          </w:tcPr>
          <w:p w14:paraId="101A9067">
            <w:pPr>
              <w:pStyle w:val="137"/>
              <w:jc w:val="center"/>
              <w:outlineLvl w:val="0"/>
              <w:rPr>
                <w:color w:val="auto"/>
                <w:szCs w:val="21"/>
                <w:highlight w:val="none"/>
              </w:rPr>
            </w:pPr>
            <w:r>
              <w:rPr>
                <w:rFonts w:ascii="宋体" w:hAnsi="宋体" w:cs="宋体"/>
                <w:color w:val="auto"/>
                <w:spacing w:val="-7"/>
                <w:highlight w:val="none"/>
              </w:rPr>
              <w:t>已完成和正在实施或新承接的类似</w:t>
            </w:r>
            <w:r>
              <w:rPr>
                <w:rFonts w:hint="eastAsia" w:ascii="宋体" w:hAnsi="宋体" w:cs="宋体"/>
                <w:color w:val="auto"/>
                <w:spacing w:val="-7"/>
                <w:highlight w:val="none"/>
              </w:rPr>
              <w:t>项目</w:t>
            </w:r>
            <w:r>
              <w:rPr>
                <w:rFonts w:ascii="宋体" w:hAnsi="宋体" w:cs="宋体"/>
                <w:color w:val="auto"/>
                <w:spacing w:val="-7"/>
                <w:highlight w:val="none"/>
              </w:rPr>
              <w:t>情况</w:t>
            </w:r>
          </w:p>
        </w:tc>
      </w:tr>
      <w:tr w14:paraId="7E36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6EFBE3B0">
            <w:pPr>
              <w:pStyle w:val="137"/>
              <w:jc w:val="center"/>
              <w:outlineLvl w:val="0"/>
              <w:rPr>
                <w:color w:val="auto"/>
                <w:szCs w:val="21"/>
                <w:highlight w:val="none"/>
              </w:rPr>
            </w:pPr>
            <w:r>
              <w:rPr>
                <w:color w:val="auto"/>
                <w:szCs w:val="21"/>
                <w:highlight w:val="none"/>
              </w:rPr>
              <w:t>合同签订时间</w:t>
            </w:r>
          </w:p>
        </w:tc>
        <w:tc>
          <w:tcPr>
            <w:tcW w:w="1276" w:type="dxa"/>
            <w:vAlign w:val="center"/>
          </w:tcPr>
          <w:p w14:paraId="064842DF">
            <w:pPr>
              <w:pStyle w:val="137"/>
              <w:jc w:val="center"/>
              <w:outlineLvl w:val="0"/>
              <w:rPr>
                <w:color w:val="auto"/>
                <w:szCs w:val="21"/>
                <w:highlight w:val="none"/>
              </w:rPr>
            </w:pPr>
            <w:r>
              <w:rPr>
                <w:rFonts w:hint="eastAsia"/>
                <w:color w:val="auto"/>
                <w:szCs w:val="21"/>
                <w:highlight w:val="none"/>
              </w:rPr>
              <w:t>项目完成</w:t>
            </w:r>
            <w:r>
              <w:rPr>
                <w:color w:val="auto"/>
                <w:szCs w:val="21"/>
                <w:highlight w:val="none"/>
              </w:rPr>
              <w:t>时间</w:t>
            </w:r>
          </w:p>
        </w:tc>
        <w:tc>
          <w:tcPr>
            <w:tcW w:w="1701" w:type="dxa"/>
            <w:gridSpan w:val="3"/>
            <w:vAlign w:val="center"/>
          </w:tcPr>
          <w:p w14:paraId="3F4D7927">
            <w:pPr>
              <w:pStyle w:val="137"/>
              <w:jc w:val="center"/>
              <w:outlineLvl w:val="0"/>
              <w:rPr>
                <w:color w:val="auto"/>
                <w:szCs w:val="21"/>
                <w:highlight w:val="none"/>
              </w:rPr>
            </w:pPr>
            <w:r>
              <w:rPr>
                <w:color w:val="auto"/>
                <w:szCs w:val="21"/>
                <w:highlight w:val="none"/>
              </w:rPr>
              <w:t>项目名称</w:t>
            </w:r>
          </w:p>
        </w:tc>
        <w:tc>
          <w:tcPr>
            <w:tcW w:w="1276" w:type="dxa"/>
            <w:vAlign w:val="center"/>
          </w:tcPr>
          <w:p w14:paraId="357AA844">
            <w:pPr>
              <w:pStyle w:val="137"/>
              <w:jc w:val="center"/>
              <w:outlineLvl w:val="0"/>
              <w:rPr>
                <w:color w:val="auto"/>
                <w:szCs w:val="21"/>
                <w:highlight w:val="none"/>
              </w:rPr>
            </w:pPr>
            <w:r>
              <w:rPr>
                <w:color w:val="auto"/>
                <w:szCs w:val="21"/>
                <w:highlight w:val="none"/>
              </w:rPr>
              <w:t>担任角色</w:t>
            </w:r>
          </w:p>
        </w:tc>
        <w:tc>
          <w:tcPr>
            <w:tcW w:w="1843" w:type="dxa"/>
            <w:vAlign w:val="center"/>
          </w:tcPr>
          <w:p w14:paraId="74836D0F">
            <w:pPr>
              <w:pStyle w:val="137"/>
              <w:jc w:val="center"/>
              <w:outlineLvl w:val="0"/>
              <w:rPr>
                <w:color w:val="auto"/>
                <w:szCs w:val="21"/>
                <w:highlight w:val="none"/>
              </w:rPr>
            </w:pPr>
            <w:r>
              <w:rPr>
                <w:color w:val="auto"/>
                <w:szCs w:val="21"/>
                <w:highlight w:val="none"/>
              </w:rPr>
              <w:t>合同金额</w:t>
            </w:r>
            <w:r>
              <w:rPr>
                <w:rFonts w:hint="eastAsia"/>
                <w:color w:val="auto"/>
                <w:szCs w:val="21"/>
                <w:highlight w:val="none"/>
              </w:rPr>
              <w:t>（元）</w:t>
            </w:r>
          </w:p>
        </w:tc>
        <w:tc>
          <w:tcPr>
            <w:tcW w:w="1548" w:type="dxa"/>
            <w:vAlign w:val="center"/>
          </w:tcPr>
          <w:p w14:paraId="65F492E0">
            <w:pPr>
              <w:pStyle w:val="137"/>
              <w:jc w:val="center"/>
              <w:outlineLvl w:val="0"/>
              <w:rPr>
                <w:color w:val="auto"/>
                <w:szCs w:val="21"/>
                <w:highlight w:val="none"/>
              </w:rPr>
            </w:pPr>
            <w:r>
              <w:rPr>
                <w:color w:val="auto"/>
                <w:szCs w:val="21"/>
                <w:highlight w:val="none"/>
              </w:rPr>
              <w:t>项目规模</w:t>
            </w:r>
          </w:p>
        </w:tc>
      </w:tr>
      <w:tr w14:paraId="5B17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4BCD4074">
            <w:pPr>
              <w:pStyle w:val="137"/>
              <w:jc w:val="center"/>
              <w:outlineLvl w:val="0"/>
              <w:rPr>
                <w:color w:val="auto"/>
                <w:szCs w:val="21"/>
                <w:highlight w:val="none"/>
              </w:rPr>
            </w:pPr>
          </w:p>
        </w:tc>
        <w:tc>
          <w:tcPr>
            <w:tcW w:w="1276" w:type="dxa"/>
            <w:vAlign w:val="center"/>
          </w:tcPr>
          <w:p w14:paraId="2DBCB3C5">
            <w:pPr>
              <w:pStyle w:val="137"/>
              <w:jc w:val="center"/>
              <w:outlineLvl w:val="0"/>
              <w:rPr>
                <w:color w:val="auto"/>
                <w:szCs w:val="21"/>
                <w:highlight w:val="none"/>
              </w:rPr>
            </w:pPr>
          </w:p>
        </w:tc>
        <w:tc>
          <w:tcPr>
            <w:tcW w:w="1701" w:type="dxa"/>
            <w:gridSpan w:val="3"/>
            <w:vAlign w:val="center"/>
          </w:tcPr>
          <w:p w14:paraId="7AC4D88A">
            <w:pPr>
              <w:pStyle w:val="137"/>
              <w:jc w:val="center"/>
              <w:outlineLvl w:val="0"/>
              <w:rPr>
                <w:color w:val="auto"/>
                <w:szCs w:val="21"/>
                <w:highlight w:val="none"/>
              </w:rPr>
            </w:pPr>
          </w:p>
        </w:tc>
        <w:tc>
          <w:tcPr>
            <w:tcW w:w="1276" w:type="dxa"/>
            <w:vAlign w:val="center"/>
          </w:tcPr>
          <w:p w14:paraId="7EC05EA0">
            <w:pPr>
              <w:pStyle w:val="137"/>
              <w:jc w:val="center"/>
              <w:outlineLvl w:val="0"/>
              <w:rPr>
                <w:color w:val="auto"/>
                <w:szCs w:val="21"/>
                <w:highlight w:val="none"/>
              </w:rPr>
            </w:pPr>
          </w:p>
        </w:tc>
        <w:tc>
          <w:tcPr>
            <w:tcW w:w="1843" w:type="dxa"/>
            <w:vAlign w:val="center"/>
          </w:tcPr>
          <w:p w14:paraId="5730A69D">
            <w:pPr>
              <w:pStyle w:val="137"/>
              <w:jc w:val="center"/>
              <w:outlineLvl w:val="0"/>
              <w:rPr>
                <w:color w:val="auto"/>
                <w:szCs w:val="21"/>
                <w:highlight w:val="none"/>
              </w:rPr>
            </w:pPr>
          </w:p>
        </w:tc>
        <w:tc>
          <w:tcPr>
            <w:tcW w:w="1548" w:type="dxa"/>
            <w:vAlign w:val="center"/>
          </w:tcPr>
          <w:p w14:paraId="46185C0C">
            <w:pPr>
              <w:pStyle w:val="137"/>
              <w:jc w:val="center"/>
              <w:outlineLvl w:val="0"/>
              <w:rPr>
                <w:color w:val="auto"/>
                <w:szCs w:val="21"/>
                <w:highlight w:val="none"/>
              </w:rPr>
            </w:pPr>
          </w:p>
        </w:tc>
      </w:tr>
      <w:tr w14:paraId="6117D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3DDA9D78">
            <w:pPr>
              <w:pStyle w:val="137"/>
              <w:jc w:val="center"/>
              <w:outlineLvl w:val="0"/>
              <w:rPr>
                <w:color w:val="auto"/>
                <w:szCs w:val="21"/>
                <w:highlight w:val="none"/>
              </w:rPr>
            </w:pPr>
          </w:p>
        </w:tc>
        <w:tc>
          <w:tcPr>
            <w:tcW w:w="1276" w:type="dxa"/>
            <w:vAlign w:val="center"/>
          </w:tcPr>
          <w:p w14:paraId="6556E864">
            <w:pPr>
              <w:pStyle w:val="137"/>
              <w:jc w:val="center"/>
              <w:outlineLvl w:val="0"/>
              <w:rPr>
                <w:color w:val="auto"/>
                <w:szCs w:val="21"/>
                <w:highlight w:val="none"/>
              </w:rPr>
            </w:pPr>
          </w:p>
        </w:tc>
        <w:tc>
          <w:tcPr>
            <w:tcW w:w="1701" w:type="dxa"/>
            <w:gridSpan w:val="3"/>
            <w:vAlign w:val="center"/>
          </w:tcPr>
          <w:p w14:paraId="56101091">
            <w:pPr>
              <w:pStyle w:val="137"/>
              <w:jc w:val="center"/>
              <w:outlineLvl w:val="0"/>
              <w:rPr>
                <w:color w:val="auto"/>
                <w:szCs w:val="21"/>
                <w:highlight w:val="none"/>
              </w:rPr>
            </w:pPr>
          </w:p>
        </w:tc>
        <w:tc>
          <w:tcPr>
            <w:tcW w:w="1276" w:type="dxa"/>
            <w:vAlign w:val="center"/>
          </w:tcPr>
          <w:p w14:paraId="7CCE34FF">
            <w:pPr>
              <w:pStyle w:val="137"/>
              <w:jc w:val="center"/>
              <w:outlineLvl w:val="0"/>
              <w:rPr>
                <w:color w:val="auto"/>
                <w:szCs w:val="21"/>
                <w:highlight w:val="none"/>
              </w:rPr>
            </w:pPr>
          </w:p>
        </w:tc>
        <w:tc>
          <w:tcPr>
            <w:tcW w:w="1843" w:type="dxa"/>
            <w:vAlign w:val="center"/>
          </w:tcPr>
          <w:p w14:paraId="4CB0076E">
            <w:pPr>
              <w:pStyle w:val="137"/>
              <w:jc w:val="center"/>
              <w:outlineLvl w:val="0"/>
              <w:rPr>
                <w:color w:val="auto"/>
                <w:szCs w:val="21"/>
                <w:highlight w:val="none"/>
              </w:rPr>
            </w:pPr>
          </w:p>
        </w:tc>
        <w:tc>
          <w:tcPr>
            <w:tcW w:w="1548" w:type="dxa"/>
            <w:vAlign w:val="center"/>
          </w:tcPr>
          <w:p w14:paraId="337B4610">
            <w:pPr>
              <w:pStyle w:val="137"/>
              <w:jc w:val="center"/>
              <w:outlineLvl w:val="0"/>
              <w:rPr>
                <w:color w:val="auto"/>
                <w:szCs w:val="21"/>
                <w:highlight w:val="none"/>
              </w:rPr>
            </w:pPr>
          </w:p>
        </w:tc>
      </w:tr>
      <w:tr w14:paraId="0C04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0CCD2465">
            <w:pPr>
              <w:pStyle w:val="137"/>
              <w:jc w:val="center"/>
              <w:outlineLvl w:val="0"/>
              <w:rPr>
                <w:color w:val="auto"/>
                <w:szCs w:val="21"/>
                <w:highlight w:val="none"/>
              </w:rPr>
            </w:pPr>
          </w:p>
        </w:tc>
        <w:tc>
          <w:tcPr>
            <w:tcW w:w="1276" w:type="dxa"/>
            <w:vAlign w:val="center"/>
          </w:tcPr>
          <w:p w14:paraId="12B1D0C4">
            <w:pPr>
              <w:pStyle w:val="137"/>
              <w:jc w:val="center"/>
              <w:outlineLvl w:val="0"/>
              <w:rPr>
                <w:color w:val="auto"/>
                <w:szCs w:val="21"/>
                <w:highlight w:val="none"/>
              </w:rPr>
            </w:pPr>
          </w:p>
        </w:tc>
        <w:tc>
          <w:tcPr>
            <w:tcW w:w="1701" w:type="dxa"/>
            <w:gridSpan w:val="3"/>
            <w:vAlign w:val="center"/>
          </w:tcPr>
          <w:p w14:paraId="4AA5DDB8">
            <w:pPr>
              <w:pStyle w:val="137"/>
              <w:jc w:val="center"/>
              <w:outlineLvl w:val="0"/>
              <w:rPr>
                <w:color w:val="auto"/>
                <w:szCs w:val="21"/>
                <w:highlight w:val="none"/>
              </w:rPr>
            </w:pPr>
          </w:p>
        </w:tc>
        <w:tc>
          <w:tcPr>
            <w:tcW w:w="1276" w:type="dxa"/>
            <w:vAlign w:val="center"/>
          </w:tcPr>
          <w:p w14:paraId="085B154B">
            <w:pPr>
              <w:pStyle w:val="137"/>
              <w:jc w:val="center"/>
              <w:outlineLvl w:val="0"/>
              <w:rPr>
                <w:color w:val="auto"/>
                <w:szCs w:val="21"/>
                <w:highlight w:val="none"/>
              </w:rPr>
            </w:pPr>
          </w:p>
        </w:tc>
        <w:tc>
          <w:tcPr>
            <w:tcW w:w="1843" w:type="dxa"/>
            <w:vAlign w:val="center"/>
          </w:tcPr>
          <w:p w14:paraId="4AE90A2F">
            <w:pPr>
              <w:pStyle w:val="137"/>
              <w:jc w:val="center"/>
              <w:outlineLvl w:val="0"/>
              <w:rPr>
                <w:color w:val="auto"/>
                <w:szCs w:val="21"/>
                <w:highlight w:val="none"/>
              </w:rPr>
            </w:pPr>
          </w:p>
        </w:tc>
        <w:tc>
          <w:tcPr>
            <w:tcW w:w="1548" w:type="dxa"/>
            <w:vAlign w:val="center"/>
          </w:tcPr>
          <w:p w14:paraId="48B6B7F3">
            <w:pPr>
              <w:pStyle w:val="137"/>
              <w:jc w:val="center"/>
              <w:outlineLvl w:val="0"/>
              <w:rPr>
                <w:color w:val="auto"/>
                <w:szCs w:val="21"/>
                <w:highlight w:val="none"/>
              </w:rPr>
            </w:pPr>
          </w:p>
        </w:tc>
      </w:tr>
      <w:tr w14:paraId="2477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3A4B29B4">
            <w:pPr>
              <w:pStyle w:val="137"/>
              <w:jc w:val="center"/>
              <w:outlineLvl w:val="0"/>
              <w:rPr>
                <w:color w:val="auto"/>
                <w:szCs w:val="21"/>
                <w:highlight w:val="none"/>
              </w:rPr>
            </w:pPr>
          </w:p>
        </w:tc>
        <w:tc>
          <w:tcPr>
            <w:tcW w:w="1276" w:type="dxa"/>
            <w:vAlign w:val="center"/>
          </w:tcPr>
          <w:p w14:paraId="7CE1CAD9">
            <w:pPr>
              <w:pStyle w:val="137"/>
              <w:jc w:val="center"/>
              <w:outlineLvl w:val="0"/>
              <w:rPr>
                <w:color w:val="auto"/>
                <w:szCs w:val="21"/>
                <w:highlight w:val="none"/>
              </w:rPr>
            </w:pPr>
          </w:p>
        </w:tc>
        <w:tc>
          <w:tcPr>
            <w:tcW w:w="1701" w:type="dxa"/>
            <w:gridSpan w:val="3"/>
            <w:vAlign w:val="center"/>
          </w:tcPr>
          <w:p w14:paraId="1A400AAC">
            <w:pPr>
              <w:pStyle w:val="137"/>
              <w:jc w:val="center"/>
              <w:outlineLvl w:val="0"/>
              <w:rPr>
                <w:color w:val="auto"/>
                <w:szCs w:val="21"/>
                <w:highlight w:val="none"/>
              </w:rPr>
            </w:pPr>
          </w:p>
        </w:tc>
        <w:tc>
          <w:tcPr>
            <w:tcW w:w="1276" w:type="dxa"/>
            <w:vAlign w:val="center"/>
          </w:tcPr>
          <w:p w14:paraId="49E55FCE">
            <w:pPr>
              <w:pStyle w:val="137"/>
              <w:jc w:val="center"/>
              <w:outlineLvl w:val="0"/>
              <w:rPr>
                <w:color w:val="auto"/>
                <w:szCs w:val="21"/>
                <w:highlight w:val="none"/>
              </w:rPr>
            </w:pPr>
          </w:p>
        </w:tc>
        <w:tc>
          <w:tcPr>
            <w:tcW w:w="1843" w:type="dxa"/>
            <w:vAlign w:val="center"/>
          </w:tcPr>
          <w:p w14:paraId="6E939C8F">
            <w:pPr>
              <w:pStyle w:val="137"/>
              <w:jc w:val="center"/>
              <w:outlineLvl w:val="0"/>
              <w:rPr>
                <w:color w:val="auto"/>
                <w:szCs w:val="21"/>
                <w:highlight w:val="none"/>
              </w:rPr>
            </w:pPr>
          </w:p>
        </w:tc>
        <w:tc>
          <w:tcPr>
            <w:tcW w:w="1548" w:type="dxa"/>
            <w:vAlign w:val="center"/>
          </w:tcPr>
          <w:p w14:paraId="575B2627">
            <w:pPr>
              <w:pStyle w:val="137"/>
              <w:jc w:val="center"/>
              <w:outlineLvl w:val="0"/>
              <w:rPr>
                <w:color w:val="auto"/>
                <w:szCs w:val="21"/>
                <w:highlight w:val="none"/>
              </w:rPr>
            </w:pPr>
          </w:p>
        </w:tc>
      </w:tr>
      <w:tr w14:paraId="4E6F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7FD577E0">
            <w:pPr>
              <w:pStyle w:val="137"/>
              <w:jc w:val="center"/>
              <w:outlineLvl w:val="0"/>
              <w:rPr>
                <w:color w:val="auto"/>
                <w:szCs w:val="21"/>
                <w:highlight w:val="none"/>
              </w:rPr>
            </w:pPr>
          </w:p>
        </w:tc>
        <w:tc>
          <w:tcPr>
            <w:tcW w:w="1276" w:type="dxa"/>
            <w:vAlign w:val="center"/>
          </w:tcPr>
          <w:p w14:paraId="5E9EACB1">
            <w:pPr>
              <w:pStyle w:val="137"/>
              <w:jc w:val="center"/>
              <w:outlineLvl w:val="0"/>
              <w:rPr>
                <w:color w:val="auto"/>
                <w:szCs w:val="21"/>
                <w:highlight w:val="none"/>
              </w:rPr>
            </w:pPr>
          </w:p>
        </w:tc>
        <w:tc>
          <w:tcPr>
            <w:tcW w:w="1701" w:type="dxa"/>
            <w:gridSpan w:val="3"/>
            <w:vAlign w:val="center"/>
          </w:tcPr>
          <w:p w14:paraId="3A8136A9">
            <w:pPr>
              <w:pStyle w:val="137"/>
              <w:jc w:val="center"/>
              <w:outlineLvl w:val="0"/>
              <w:rPr>
                <w:color w:val="auto"/>
                <w:szCs w:val="21"/>
                <w:highlight w:val="none"/>
              </w:rPr>
            </w:pPr>
          </w:p>
        </w:tc>
        <w:tc>
          <w:tcPr>
            <w:tcW w:w="1276" w:type="dxa"/>
            <w:vAlign w:val="center"/>
          </w:tcPr>
          <w:p w14:paraId="78736BFE">
            <w:pPr>
              <w:pStyle w:val="137"/>
              <w:jc w:val="center"/>
              <w:outlineLvl w:val="0"/>
              <w:rPr>
                <w:color w:val="auto"/>
                <w:szCs w:val="21"/>
                <w:highlight w:val="none"/>
              </w:rPr>
            </w:pPr>
          </w:p>
        </w:tc>
        <w:tc>
          <w:tcPr>
            <w:tcW w:w="1843" w:type="dxa"/>
            <w:vAlign w:val="center"/>
          </w:tcPr>
          <w:p w14:paraId="6565416E">
            <w:pPr>
              <w:pStyle w:val="137"/>
              <w:jc w:val="center"/>
              <w:outlineLvl w:val="0"/>
              <w:rPr>
                <w:color w:val="auto"/>
                <w:szCs w:val="21"/>
                <w:highlight w:val="none"/>
              </w:rPr>
            </w:pPr>
          </w:p>
        </w:tc>
        <w:tc>
          <w:tcPr>
            <w:tcW w:w="1548" w:type="dxa"/>
            <w:vAlign w:val="center"/>
          </w:tcPr>
          <w:p w14:paraId="50FB1BAA">
            <w:pPr>
              <w:pStyle w:val="137"/>
              <w:jc w:val="center"/>
              <w:outlineLvl w:val="0"/>
              <w:rPr>
                <w:color w:val="auto"/>
                <w:szCs w:val="21"/>
                <w:highlight w:val="none"/>
              </w:rPr>
            </w:pPr>
          </w:p>
        </w:tc>
      </w:tr>
    </w:tbl>
    <w:p w14:paraId="3EC0FC5A">
      <w:pPr>
        <w:spacing w:line="360" w:lineRule="auto"/>
        <w:rPr>
          <w:color w:val="auto"/>
          <w:szCs w:val="21"/>
          <w:highlight w:val="none"/>
        </w:rPr>
      </w:pPr>
    </w:p>
    <w:p w14:paraId="36FE50C6">
      <w:pPr>
        <w:spacing w:line="360" w:lineRule="auto"/>
        <w:ind w:firstLine="422" w:firstLineChars="200"/>
        <w:rPr>
          <w:rFonts w:eastAsia="楷体_GB2312" w:cs="楷体_GB2312"/>
          <w:b/>
          <w:bCs/>
          <w:color w:val="auto"/>
          <w:highlight w:val="none"/>
        </w:rPr>
      </w:pPr>
      <w:r>
        <w:rPr>
          <w:rFonts w:hint="eastAsia" w:eastAsia="楷体_GB2312" w:cs="楷体_GB2312"/>
          <w:b/>
          <w:bCs/>
          <w:color w:val="auto"/>
          <w:highlight w:val="none"/>
        </w:rPr>
        <w:t>备注：</w:t>
      </w:r>
      <w:r>
        <w:rPr>
          <w:rFonts w:eastAsia="楷体_GB2312"/>
          <w:b/>
          <w:bCs/>
          <w:color w:val="auto"/>
          <w:highlight w:val="none"/>
        </w:rPr>
        <w:t>1</w:t>
      </w:r>
      <w:r>
        <w:rPr>
          <w:rFonts w:hint="eastAsia" w:eastAsia="楷体_GB2312" w:cs="楷体_GB2312"/>
          <w:b/>
          <w:bCs/>
          <w:color w:val="auto"/>
          <w:highlight w:val="none"/>
        </w:rPr>
        <w:t>、相关信息应与“桂建云”系统信息一致，</w:t>
      </w:r>
      <w:r>
        <w:rPr>
          <w:rFonts w:eastAsia="楷体_GB2312" w:cs="楷体_GB2312"/>
          <w:b/>
          <w:bCs/>
          <w:color w:val="auto"/>
          <w:highlight w:val="none"/>
        </w:rPr>
        <w:t>否则</w:t>
      </w:r>
      <w:r>
        <w:rPr>
          <w:rFonts w:hint="eastAsia" w:eastAsia="楷体_GB2312" w:cs="楷体_GB2312"/>
          <w:b/>
          <w:bCs/>
          <w:color w:val="auto"/>
          <w:highlight w:val="none"/>
        </w:rPr>
        <w:t>评审时不予承认。</w:t>
      </w:r>
    </w:p>
    <w:p w14:paraId="237B0E21">
      <w:pPr>
        <w:numPr>
          <w:ilvl w:val="0"/>
          <w:numId w:val="3"/>
        </w:numPr>
        <w:spacing w:line="360" w:lineRule="auto"/>
        <w:ind w:firstLine="1054" w:firstLineChars="500"/>
        <w:rPr>
          <w:rFonts w:eastAsia="楷体_GB2312"/>
          <w:b/>
          <w:bCs/>
          <w:color w:val="auto"/>
          <w:highlight w:val="none"/>
        </w:rPr>
      </w:pPr>
      <w:r>
        <w:rPr>
          <w:rFonts w:hint="eastAsia" w:eastAsia="楷体_GB2312"/>
          <w:b/>
          <w:bCs/>
          <w:color w:val="auto"/>
          <w:highlight w:val="none"/>
        </w:rPr>
        <w:t>项目</w:t>
      </w:r>
      <w:r>
        <w:rPr>
          <w:rFonts w:eastAsia="楷体_GB2312"/>
          <w:b/>
          <w:bCs/>
          <w:color w:val="auto"/>
          <w:highlight w:val="none"/>
        </w:rPr>
        <w:t>数</w:t>
      </w:r>
      <w:r>
        <w:rPr>
          <w:rFonts w:hint="eastAsia" w:eastAsia="楷体_GB2312"/>
          <w:b/>
          <w:bCs/>
          <w:color w:val="auto"/>
          <w:highlight w:val="none"/>
        </w:rPr>
        <w:t>可</w:t>
      </w:r>
      <w:r>
        <w:rPr>
          <w:rFonts w:eastAsia="楷体_GB2312"/>
          <w:b/>
          <w:bCs/>
          <w:color w:val="auto"/>
          <w:highlight w:val="none"/>
        </w:rPr>
        <w:t>根据需要增加</w:t>
      </w:r>
      <w:r>
        <w:rPr>
          <w:rFonts w:hint="eastAsia" w:eastAsia="楷体_GB2312"/>
          <w:b/>
          <w:bCs/>
          <w:color w:val="auto"/>
          <w:highlight w:val="none"/>
        </w:rPr>
        <w:t>。</w:t>
      </w:r>
    </w:p>
    <w:p w14:paraId="295BC5F4">
      <w:pPr>
        <w:numPr>
          <w:ilvl w:val="0"/>
          <w:numId w:val="2"/>
        </w:numPr>
        <w:spacing w:line="360" w:lineRule="auto"/>
        <w:ind w:firstLine="1054" w:firstLineChars="500"/>
        <w:rPr>
          <w:rFonts w:eastAsia="楷体_GB2312"/>
          <w:b/>
          <w:bCs/>
          <w:color w:val="auto"/>
          <w:highlight w:val="none"/>
        </w:rPr>
      </w:pPr>
      <w:r>
        <w:rPr>
          <w:rFonts w:hint="eastAsia" w:eastAsia="楷体_GB2312"/>
          <w:b/>
          <w:bCs/>
          <w:color w:val="auto"/>
          <w:highlight w:val="none"/>
        </w:rPr>
        <w:t>3 、除有特殊要求项目，项目完成时间，指的是设计文件取得施工图审查</w:t>
      </w:r>
      <w:r>
        <w:rPr>
          <w:rFonts w:hint="eastAsia" w:ascii="楷体" w:hAnsi="楷体" w:eastAsia="楷体"/>
          <w:b/>
          <w:bCs/>
          <w:color w:val="auto"/>
          <w:szCs w:val="21"/>
          <w:highlight w:val="none"/>
        </w:rPr>
        <w:t>合格报告书</w:t>
      </w:r>
      <w:r>
        <w:rPr>
          <w:rFonts w:hint="eastAsia" w:eastAsia="楷体_GB2312"/>
          <w:b/>
          <w:bCs/>
          <w:color w:val="auto"/>
          <w:highlight w:val="none"/>
        </w:rPr>
        <w:t>的时间。如进行设计方案招标（不含施工图部分内容）的，项目完成时间，指的是方案或初步设计批复文件的时间。</w:t>
      </w:r>
    </w:p>
    <w:p w14:paraId="07648020">
      <w:pPr>
        <w:spacing w:line="360" w:lineRule="auto"/>
        <w:ind w:firstLine="1054" w:firstLineChars="500"/>
        <w:rPr>
          <w:rFonts w:eastAsia="楷体_GB2312"/>
          <w:b/>
          <w:bCs/>
          <w:color w:val="auto"/>
          <w:highlight w:val="none"/>
        </w:rPr>
      </w:pPr>
    </w:p>
    <w:p w14:paraId="213A4F5A">
      <w:pPr>
        <w:spacing w:line="360" w:lineRule="auto"/>
        <w:rPr>
          <w:rFonts w:eastAsia="楷体_GB2312"/>
          <w:color w:val="auto"/>
          <w:highlight w:val="none"/>
        </w:rPr>
      </w:pPr>
    </w:p>
    <w:p w14:paraId="4C9D8B78">
      <w:pPr>
        <w:spacing w:line="360" w:lineRule="auto"/>
        <w:rPr>
          <w:color w:val="auto"/>
          <w:szCs w:val="21"/>
          <w:highlight w:val="none"/>
        </w:rPr>
      </w:pPr>
    </w:p>
    <w:p w14:paraId="23916F2A">
      <w:pPr>
        <w:spacing w:line="360" w:lineRule="auto"/>
        <w:rPr>
          <w:color w:val="auto"/>
          <w:szCs w:val="21"/>
          <w:highlight w:val="none"/>
        </w:rPr>
      </w:pPr>
    </w:p>
    <w:p w14:paraId="5B261385">
      <w:pPr>
        <w:spacing w:line="360" w:lineRule="auto"/>
        <w:rPr>
          <w:color w:val="auto"/>
          <w:szCs w:val="21"/>
          <w:highlight w:val="none"/>
        </w:rPr>
      </w:pPr>
    </w:p>
    <w:p w14:paraId="69DD33CD">
      <w:pPr>
        <w:spacing w:line="360" w:lineRule="auto"/>
        <w:rPr>
          <w:color w:val="auto"/>
          <w:szCs w:val="21"/>
          <w:highlight w:val="none"/>
        </w:rPr>
      </w:pPr>
    </w:p>
    <w:p w14:paraId="0855F98A">
      <w:pPr>
        <w:spacing w:line="360" w:lineRule="auto"/>
        <w:ind w:right="420"/>
        <w:jc w:val="center"/>
        <w:rPr>
          <w:rFonts w:ascii="宋体" w:hAnsi="宋体"/>
          <w:b/>
          <w:color w:val="auto"/>
          <w:sz w:val="28"/>
          <w:szCs w:val="28"/>
          <w:highlight w:val="none"/>
        </w:rPr>
      </w:pPr>
      <w:r>
        <w:rPr>
          <w:rFonts w:hint="eastAsia" w:ascii="宋体" w:hAnsi="宋体"/>
          <w:b/>
          <w:color w:val="auto"/>
          <w:sz w:val="28"/>
          <w:szCs w:val="28"/>
          <w:highlight w:val="none"/>
        </w:rPr>
        <w:t>（二）</w:t>
      </w:r>
      <w:r>
        <w:rPr>
          <w:rFonts w:ascii="宋体" w:hAnsi="宋体"/>
          <w:b/>
          <w:color w:val="auto"/>
          <w:sz w:val="28"/>
          <w:szCs w:val="28"/>
          <w:highlight w:val="none"/>
        </w:rPr>
        <w:t>项目组人员配备情况表</w:t>
      </w:r>
    </w:p>
    <w:tbl>
      <w:tblPr>
        <w:tblStyle w:val="40"/>
        <w:tblW w:w="9889" w:type="dxa"/>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34"/>
        <w:gridCol w:w="1152"/>
        <w:gridCol w:w="1258"/>
        <w:gridCol w:w="992"/>
        <w:gridCol w:w="992"/>
        <w:gridCol w:w="1560"/>
        <w:gridCol w:w="1557"/>
        <w:gridCol w:w="569"/>
      </w:tblGrid>
      <w:tr w14:paraId="4FD2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54B39CA">
            <w:pPr>
              <w:pStyle w:val="137"/>
              <w:jc w:val="center"/>
              <w:outlineLvl w:val="0"/>
              <w:rPr>
                <w:b/>
                <w:color w:val="auto"/>
                <w:szCs w:val="21"/>
                <w:highlight w:val="none"/>
              </w:rPr>
            </w:pPr>
            <w:r>
              <w:rPr>
                <w:b/>
                <w:color w:val="auto"/>
                <w:szCs w:val="21"/>
                <w:highlight w:val="none"/>
              </w:rPr>
              <w:t>序号</w:t>
            </w:r>
          </w:p>
        </w:tc>
        <w:tc>
          <w:tcPr>
            <w:tcW w:w="1134" w:type="dxa"/>
            <w:vAlign w:val="center"/>
          </w:tcPr>
          <w:p w14:paraId="432F27FD">
            <w:pPr>
              <w:pStyle w:val="137"/>
              <w:jc w:val="center"/>
              <w:outlineLvl w:val="0"/>
              <w:rPr>
                <w:b/>
                <w:color w:val="auto"/>
                <w:szCs w:val="21"/>
                <w:highlight w:val="none"/>
              </w:rPr>
            </w:pPr>
            <w:r>
              <w:rPr>
                <w:rFonts w:hint="eastAsia"/>
                <w:b/>
                <w:color w:val="auto"/>
                <w:szCs w:val="21"/>
                <w:highlight w:val="none"/>
              </w:rPr>
              <w:t>姓名</w:t>
            </w:r>
          </w:p>
        </w:tc>
        <w:tc>
          <w:tcPr>
            <w:tcW w:w="1152" w:type="dxa"/>
            <w:vAlign w:val="center"/>
          </w:tcPr>
          <w:p w14:paraId="2E6196FE">
            <w:pPr>
              <w:pStyle w:val="137"/>
              <w:jc w:val="center"/>
              <w:outlineLvl w:val="0"/>
              <w:rPr>
                <w:b/>
                <w:color w:val="auto"/>
                <w:szCs w:val="21"/>
                <w:highlight w:val="none"/>
              </w:rPr>
            </w:pPr>
            <w:r>
              <w:rPr>
                <w:rFonts w:hint="eastAsia"/>
                <w:b/>
                <w:color w:val="auto"/>
                <w:szCs w:val="21"/>
                <w:highlight w:val="none"/>
              </w:rPr>
              <w:t>身份证</w:t>
            </w:r>
          </w:p>
          <w:p w14:paraId="2EA3EEF7">
            <w:pPr>
              <w:pStyle w:val="137"/>
              <w:jc w:val="center"/>
              <w:outlineLvl w:val="0"/>
              <w:rPr>
                <w:b/>
                <w:color w:val="auto"/>
                <w:szCs w:val="21"/>
                <w:highlight w:val="none"/>
              </w:rPr>
            </w:pPr>
            <w:r>
              <w:rPr>
                <w:rFonts w:hint="eastAsia"/>
                <w:b/>
                <w:color w:val="auto"/>
                <w:szCs w:val="21"/>
                <w:highlight w:val="none"/>
              </w:rPr>
              <w:t>号码</w:t>
            </w:r>
          </w:p>
        </w:tc>
        <w:tc>
          <w:tcPr>
            <w:tcW w:w="1258" w:type="dxa"/>
            <w:vAlign w:val="center"/>
          </w:tcPr>
          <w:p w14:paraId="26E14203">
            <w:pPr>
              <w:pStyle w:val="137"/>
              <w:jc w:val="center"/>
              <w:outlineLvl w:val="0"/>
              <w:rPr>
                <w:b/>
                <w:color w:val="auto"/>
                <w:szCs w:val="21"/>
                <w:highlight w:val="none"/>
              </w:rPr>
            </w:pPr>
            <w:r>
              <w:rPr>
                <w:b/>
                <w:color w:val="auto"/>
                <w:szCs w:val="21"/>
                <w:highlight w:val="none"/>
              </w:rPr>
              <w:t>拟在本项目任职</w:t>
            </w:r>
          </w:p>
        </w:tc>
        <w:tc>
          <w:tcPr>
            <w:tcW w:w="992" w:type="dxa"/>
            <w:vAlign w:val="center"/>
          </w:tcPr>
          <w:p w14:paraId="2384382C">
            <w:pPr>
              <w:pStyle w:val="137"/>
              <w:jc w:val="center"/>
              <w:outlineLvl w:val="0"/>
              <w:rPr>
                <w:b/>
                <w:color w:val="auto"/>
                <w:szCs w:val="21"/>
                <w:highlight w:val="none"/>
              </w:rPr>
            </w:pPr>
            <w:r>
              <w:rPr>
                <w:b/>
                <w:color w:val="auto"/>
                <w:szCs w:val="21"/>
                <w:highlight w:val="none"/>
              </w:rPr>
              <w:t>职</w:t>
            </w:r>
            <w:r>
              <w:rPr>
                <w:rFonts w:hint="eastAsia"/>
                <w:b/>
                <w:color w:val="auto"/>
                <w:szCs w:val="21"/>
                <w:highlight w:val="none"/>
              </w:rPr>
              <w:t xml:space="preserve"> </w:t>
            </w:r>
            <w:r>
              <w:rPr>
                <w:b/>
                <w:color w:val="auto"/>
                <w:szCs w:val="21"/>
                <w:highlight w:val="none"/>
              </w:rPr>
              <w:t>称</w:t>
            </w:r>
          </w:p>
        </w:tc>
        <w:tc>
          <w:tcPr>
            <w:tcW w:w="992" w:type="dxa"/>
            <w:vAlign w:val="center"/>
          </w:tcPr>
          <w:p w14:paraId="427D100E">
            <w:pPr>
              <w:pStyle w:val="137"/>
              <w:jc w:val="center"/>
              <w:outlineLvl w:val="0"/>
              <w:rPr>
                <w:b/>
                <w:color w:val="auto"/>
                <w:szCs w:val="21"/>
                <w:highlight w:val="none"/>
              </w:rPr>
            </w:pPr>
            <w:r>
              <w:rPr>
                <w:b/>
                <w:color w:val="auto"/>
                <w:szCs w:val="21"/>
                <w:highlight w:val="none"/>
              </w:rPr>
              <w:t>专</w:t>
            </w:r>
            <w:r>
              <w:rPr>
                <w:rFonts w:hint="eastAsia"/>
                <w:b/>
                <w:color w:val="auto"/>
                <w:szCs w:val="21"/>
                <w:highlight w:val="none"/>
              </w:rPr>
              <w:t xml:space="preserve"> </w:t>
            </w:r>
            <w:r>
              <w:rPr>
                <w:b/>
                <w:color w:val="auto"/>
                <w:szCs w:val="21"/>
                <w:highlight w:val="none"/>
              </w:rPr>
              <w:t>业</w:t>
            </w:r>
          </w:p>
        </w:tc>
        <w:tc>
          <w:tcPr>
            <w:tcW w:w="1560" w:type="dxa"/>
            <w:vAlign w:val="center"/>
          </w:tcPr>
          <w:p w14:paraId="58385332">
            <w:pPr>
              <w:pStyle w:val="137"/>
              <w:jc w:val="center"/>
              <w:outlineLvl w:val="0"/>
              <w:rPr>
                <w:b/>
                <w:color w:val="auto"/>
                <w:szCs w:val="21"/>
                <w:highlight w:val="none"/>
              </w:rPr>
            </w:pPr>
            <w:r>
              <w:rPr>
                <w:b/>
                <w:color w:val="auto"/>
                <w:szCs w:val="21"/>
                <w:highlight w:val="none"/>
              </w:rPr>
              <w:t>执业</w:t>
            </w:r>
            <w:r>
              <w:rPr>
                <w:rFonts w:hint="eastAsia"/>
                <w:b/>
                <w:color w:val="auto"/>
                <w:szCs w:val="21"/>
                <w:highlight w:val="none"/>
              </w:rPr>
              <w:t>注册</w:t>
            </w:r>
            <w:r>
              <w:rPr>
                <w:b/>
                <w:color w:val="auto"/>
                <w:szCs w:val="21"/>
                <w:highlight w:val="none"/>
              </w:rPr>
              <w:t>资格</w:t>
            </w:r>
            <w:r>
              <w:rPr>
                <w:rFonts w:hint="eastAsia"/>
                <w:b/>
                <w:color w:val="auto"/>
                <w:szCs w:val="21"/>
                <w:highlight w:val="none"/>
              </w:rPr>
              <w:t>（如有）</w:t>
            </w:r>
          </w:p>
        </w:tc>
        <w:tc>
          <w:tcPr>
            <w:tcW w:w="1557" w:type="dxa"/>
            <w:vAlign w:val="center"/>
          </w:tcPr>
          <w:p w14:paraId="767A565F">
            <w:pPr>
              <w:pStyle w:val="137"/>
              <w:jc w:val="center"/>
              <w:outlineLvl w:val="0"/>
              <w:rPr>
                <w:b/>
                <w:color w:val="auto"/>
                <w:szCs w:val="21"/>
                <w:highlight w:val="none"/>
              </w:rPr>
            </w:pPr>
            <w:r>
              <w:rPr>
                <w:b/>
                <w:color w:val="auto"/>
                <w:szCs w:val="21"/>
                <w:highlight w:val="none"/>
              </w:rPr>
              <w:t>证书编号</w:t>
            </w:r>
          </w:p>
        </w:tc>
        <w:tc>
          <w:tcPr>
            <w:tcW w:w="569" w:type="dxa"/>
            <w:vAlign w:val="center"/>
          </w:tcPr>
          <w:p w14:paraId="4ABB8D98">
            <w:pPr>
              <w:pStyle w:val="137"/>
              <w:jc w:val="center"/>
              <w:outlineLvl w:val="0"/>
              <w:rPr>
                <w:b/>
                <w:color w:val="auto"/>
                <w:szCs w:val="21"/>
                <w:highlight w:val="none"/>
              </w:rPr>
            </w:pPr>
            <w:r>
              <w:rPr>
                <w:b/>
                <w:color w:val="auto"/>
                <w:szCs w:val="21"/>
                <w:highlight w:val="none"/>
              </w:rPr>
              <w:t>备注</w:t>
            </w:r>
          </w:p>
        </w:tc>
      </w:tr>
      <w:tr w14:paraId="79BC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6F6DF1DD">
            <w:pPr>
              <w:pStyle w:val="137"/>
              <w:jc w:val="center"/>
              <w:outlineLvl w:val="0"/>
              <w:rPr>
                <w:color w:val="auto"/>
                <w:szCs w:val="21"/>
                <w:highlight w:val="none"/>
              </w:rPr>
            </w:pPr>
          </w:p>
        </w:tc>
        <w:tc>
          <w:tcPr>
            <w:tcW w:w="1134" w:type="dxa"/>
          </w:tcPr>
          <w:p w14:paraId="22B5B488">
            <w:pPr>
              <w:pStyle w:val="137"/>
              <w:jc w:val="center"/>
              <w:outlineLvl w:val="0"/>
              <w:rPr>
                <w:color w:val="auto"/>
                <w:szCs w:val="21"/>
                <w:highlight w:val="none"/>
              </w:rPr>
            </w:pPr>
          </w:p>
        </w:tc>
        <w:tc>
          <w:tcPr>
            <w:tcW w:w="1152" w:type="dxa"/>
          </w:tcPr>
          <w:p w14:paraId="2F4DB327">
            <w:pPr>
              <w:pStyle w:val="137"/>
              <w:jc w:val="center"/>
              <w:outlineLvl w:val="0"/>
              <w:rPr>
                <w:color w:val="auto"/>
                <w:szCs w:val="21"/>
                <w:highlight w:val="none"/>
              </w:rPr>
            </w:pPr>
          </w:p>
        </w:tc>
        <w:tc>
          <w:tcPr>
            <w:tcW w:w="1258" w:type="dxa"/>
          </w:tcPr>
          <w:p w14:paraId="714485AF">
            <w:pPr>
              <w:pStyle w:val="137"/>
              <w:jc w:val="center"/>
              <w:outlineLvl w:val="0"/>
              <w:rPr>
                <w:color w:val="auto"/>
                <w:szCs w:val="21"/>
                <w:highlight w:val="none"/>
              </w:rPr>
            </w:pPr>
          </w:p>
        </w:tc>
        <w:tc>
          <w:tcPr>
            <w:tcW w:w="992" w:type="dxa"/>
          </w:tcPr>
          <w:p w14:paraId="6158C5AD">
            <w:pPr>
              <w:pStyle w:val="137"/>
              <w:jc w:val="center"/>
              <w:outlineLvl w:val="0"/>
              <w:rPr>
                <w:color w:val="auto"/>
                <w:szCs w:val="21"/>
                <w:highlight w:val="none"/>
              </w:rPr>
            </w:pPr>
          </w:p>
        </w:tc>
        <w:tc>
          <w:tcPr>
            <w:tcW w:w="992" w:type="dxa"/>
          </w:tcPr>
          <w:p w14:paraId="617C39F5">
            <w:pPr>
              <w:pStyle w:val="137"/>
              <w:jc w:val="center"/>
              <w:outlineLvl w:val="0"/>
              <w:rPr>
                <w:color w:val="auto"/>
                <w:szCs w:val="21"/>
                <w:highlight w:val="none"/>
              </w:rPr>
            </w:pPr>
          </w:p>
        </w:tc>
        <w:tc>
          <w:tcPr>
            <w:tcW w:w="1560" w:type="dxa"/>
          </w:tcPr>
          <w:p w14:paraId="74B2F0A9">
            <w:pPr>
              <w:pStyle w:val="137"/>
              <w:jc w:val="center"/>
              <w:outlineLvl w:val="0"/>
              <w:rPr>
                <w:color w:val="auto"/>
                <w:szCs w:val="21"/>
                <w:highlight w:val="none"/>
              </w:rPr>
            </w:pPr>
          </w:p>
        </w:tc>
        <w:tc>
          <w:tcPr>
            <w:tcW w:w="1557" w:type="dxa"/>
          </w:tcPr>
          <w:p w14:paraId="06F4AC47">
            <w:pPr>
              <w:pStyle w:val="137"/>
              <w:jc w:val="center"/>
              <w:outlineLvl w:val="0"/>
              <w:rPr>
                <w:color w:val="auto"/>
                <w:szCs w:val="21"/>
                <w:highlight w:val="none"/>
              </w:rPr>
            </w:pPr>
          </w:p>
        </w:tc>
        <w:tc>
          <w:tcPr>
            <w:tcW w:w="569" w:type="dxa"/>
          </w:tcPr>
          <w:p w14:paraId="50CFD111">
            <w:pPr>
              <w:pStyle w:val="137"/>
              <w:jc w:val="center"/>
              <w:outlineLvl w:val="0"/>
              <w:rPr>
                <w:color w:val="auto"/>
                <w:szCs w:val="21"/>
                <w:highlight w:val="none"/>
              </w:rPr>
            </w:pPr>
          </w:p>
        </w:tc>
      </w:tr>
      <w:tr w14:paraId="19E6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4F8664C4">
            <w:pPr>
              <w:pStyle w:val="137"/>
              <w:jc w:val="center"/>
              <w:outlineLvl w:val="0"/>
              <w:rPr>
                <w:color w:val="auto"/>
                <w:szCs w:val="21"/>
                <w:highlight w:val="none"/>
              </w:rPr>
            </w:pPr>
          </w:p>
        </w:tc>
        <w:tc>
          <w:tcPr>
            <w:tcW w:w="1134" w:type="dxa"/>
          </w:tcPr>
          <w:p w14:paraId="3DDD45CC">
            <w:pPr>
              <w:pStyle w:val="137"/>
              <w:jc w:val="center"/>
              <w:outlineLvl w:val="0"/>
              <w:rPr>
                <w:color w:val="auto"/>
                <w:szCs w:val="21"/>
                <w:highlight w:val="none"/>
              </w:rPr>
            </w:pPr>
          </w:p>
        </w:tc>
        <w:tc>
          <w:tcPr>
            <w:tcW w:w="1152" w:type="dxa"/>
          </w:tcPr>
          <w:p w14:paraId="5907E1F7">
            <w:pPr>
              <w:pStyle w:val="137"/>
              <w:jc w:val="center"/>
              <w:outlineLvl w:val="0"/>
              <w:rPr>
                <w:color w:val="auto"/>
                <w:szCs w:val="21"/>
                <w:highlight w:val="none"/>
              </w:rPr>
            </w:pPr>
          </w:p>
        </w:tc>
        <w:tc>
          <w:tcPr>
            <w:tcW w:w="1258" w:type="dxa"/>
          </w:tcPr>
          <w:p w14:paraId="191282FC">
            <w:pPr>
              <w:pStyle w:val="137"/>
              <w:jc w:val="center"/>
              <w:outlineLvl w:val="0"/>
              <w:rPr>
                <w:color w:val="auto"/>
                <w:szCs w:val="21"/>
                <w:highlight w:val="none"/>
              </w:rPr>
            </w:pPr>
          </w:p>
        </w:tc>
        <w:tc>
          <w:tcPr>
            <w:tcW w:w="992" w:type="dxa"/>
          </w:tcPr>
          <w:p w14:paraId="29DE2AC0">
            <w:pPr>
              <w:pStyle w:val="137"/>
              <w:jc w:val="center"/>
              <w:outlineLvl w:val="0"/>
              <w:rPr>
                <w:color w:val="auto"/>
                <w:szCs w:val="21"/>
                <w:highlight w:val="none"/>
              </w:rPr>
            </w:pPr>
          </w:p>
        </w:tc>
        <w:tc>
          <w:tcPr>
            <w:tcW w:w="992" w:type="dxa"/>
          </w:tcPr>
          <w:p w14:paraId="0283F789">
            <w:pPr>
              <w:pStyle w:val="137"/>
              <w:jc w:val="center"/>
              <w:outlineLvl w:val="0"/>
              <w:rPr>
                <w:color w:val="auto"/>
                <w:szCs w:val="21"/>
                <w:highlight w:val="none"/>
              </w:rPr>
            </w:pPr>
          </w:p>
        </w:tc>
        <w:tc>
          <w:tcPr>
            <w:tcW w:w="1560" w:type="dxa"/>
          </w:tcPr>
          <w:p w14:paraId="45DEB72E">
            <w:pPr>
              <w:pStyle w:val="137"/>
              <w:jc w:val="center"/>
              <w:outlineLvl w:val="0"/>
              <w:rPr>
                <w:color w:val="auto"/>
                <w:szCs w:val="21"/>
                <w:highlight w:val="none"/>
              </w:rPr>
            </w:pPr>
          </w:p>
        </w:tc>
        <w:tc>
          <w:tcPr>
            <w:tcW w:w="1557" w:type="dxa"/>
          </w:tcPr>
          <w:p w14:paraId="53DAF68E">
            <w:pPr>
              <w:pStyle w:val="137"/>
              <w:jc w:val="center"/>
              <w:outlineLvl w:val="0"/>
              <w:rPr>
                <w:color w:val="auto"/>
                <w:szCs w:val="21"/>
                <w:highlight w:val="none"/>
              </w:rPr>
            </w:pPr>
          </w:p>
        </w:tc>
        <w:tc>
          <w:tcPr>
            <w:tcW w:w="569" w:type="dxa"/>
          </w:tcPr>
          <w:p w14:paraId="6E53C804">
            <w:pPr>
              <w:pStyle w:val="137"/>
              <w:jc w:val="center"/>
              <w:outlineLvl w:val="0"/>
              <w:rPr>
                <w:color w:val="auto"/>
                <w:szCs w:val="21"/>
                <w:highlight w:val="none"/>
              </w:rPr>
            </w:pPr>
          </w:p>
        </w:tc>
      </w:tr>
      <w:tr w14:paraId="0A45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665C1477">
            <w:pPr>
              <w:pStyle w:val="137"/>
              <w:jc w:val="center"/>
              <w:outlineLvl w:val="0"/>
              <w:rPr>
                <w:color w:val="auto"/>
                <w:szCs w:val="21"/>
                <w:highlight w:val="none"/>
              </w:rPr>
            </w:pPr>
          </w:p>
        </w:tc>
        <w:tc>
          <w:tcPr>
            <w:tcW w:w="1134" w:type="dxa"/>
          </w:tcPr>
          <w:p w14:paraId="49880A38">
            <w:pPr>
              <w:pStyle w:val="137"/>
              <w:jc w:val="center"/>
              <w:outlineLvl w:val="0"/>
              <w:rPr>
                <w:color w:val="auto"/>
                <w:szCs w:val="21"/>
                <w:highlight w:val="none"/>
              </w:rPr>
            </w:pPr>
          </w:p>
        </w:tc>
        <w:tc>
          <w:tcPr>
            <w:tcW w:w="1152" w:type="dxa"/>
          </w:tcPr>
          <w:p w14:paraId="39714525">
            <w:pPr>
              <w:pStyle w:val="137"/>
              <w:jc w:val="center"/>
              <w:outlineLvl w:val="0"/>
              <w:rPr>
                <w:color w:val="auto"/>
                <w:szCs w:val="21"/>
                <w:highlight w:val="none"/>
              </w:rPr>
            </w:pPr>
          </w:p>
        </w:tc>
        <w:tc>
          <w:tcPr>
            <w:tcW w:w="1258" w:type="dxa"/>
          </w:tcPr>
          <w:p w14:paraId="6F7A9E82">
            <w:pPr>
              <w:pStyle w:val="137"/>
              <w:jc w:val="center"/>
              <w:outlineLvl w:val="0"/>
              <w:rPr>
                <w:color w:val="auto"/>
                <w:szCs w:val="21"/>
                <w:highlight w:val="none"/>
              </w:rPr>
            </w:pPr>
          </w:p>
        </w:tc>
        <w:tc>
          <w:tcPr>
            <w:tcW w:w="992" w:type="dxa"/>
          </w:tcPr>
          <w:p w14:paraId="3F2D2A7D">
            <w:pPr>
              <w:pStyle w:val="137"/>
              <w:jc w:val="center"/>
              <w:outlineLvl w:val="0"/>
              <w:rPr>
                <w:color w:val="auto"/>
                <w:szCs w:val="21"/>
                <w:highlight w:val="none"/>
              </w:rPr>
            </w:pPr>
          </w:p>
        </w:tc>
        <w:tc>
          <w:tcPr>
            <w:tcW w:w="992" w:type="dxa"/>
          </w:tcPr>
          <w:p w14:paraId="5E691360">
            <w:pPr>
              <w:pStyle w:val="137"/>
              <w:jc w:val="center"/>
              <w:outlineLvl w:val="0"/>
              <w:rPr>
                <w:color w:val="auto"/>
                <w:szCs w:val="21"/>
                <w:highlight w:val="none"/>
              </w:rPr>
            </w:pPr>
          </w:p>
        </w:tc>
        <w:tc>
          <w:tcPr>
            <w:tcW w:w="1560" w:type="dxa"/>
          </w:tcPr>
          <w:p w14:paraId="6D1604CA">
            <w:pPr>
              <w:pStyle w:val="137"/>
              <w:jc w:val="center"/>
              <w:outlineLvl w:val="0"/>
              <w:rPr>
                <w:color w:val="auto"/>
                <w:szCs w:val="21"/>
                <w:highlight w:val="none"/>
              </w:rPr>
            </w:pPr>
          </w:p>
        </w:tc>
        <w:tc>
          <w:tcPr>
            <w:tcW w:w="1557" w:type="dxa"/>
          </w:tcPr>
          <w:p w14:paraId="454E243A">
            <w:pPr>
              <w:pStyle w:val="137"/>
              <w:jc w:val="center"/>
              <w:outlineLvl w:val="0"/>
              <w:rPr>
                <w:color w:val="auto"/>
                <w:szCs w:val="21"/>
                <w:highlight w:val="none"/>
              </w:rPr>
            </w:pPr>
          </w:p>
        </w:tc>
        <w:tc>
          <w:tcPr>
            <w:tcW w:w="569" w:type="dxa"/>
          </w:tcPr>
          <w:p w14:paraId="1C73C854">
            <w:pPr>
              <w:pStyle w:val="137"/>
              <w:jc w:val="center"/>
              <w:outlineLvl w:val="0"/>
              <w:rPr>
                <w:color w:val="auto"/>
                <w:szCs w:val="21"/>
                <w:highlight w:val="none"/>
              </w:rPr>
            </w:pPr>
          </w:p>
        </w:tc>
      </w:tr>
      <w:tr w14:paraId="378C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43D29F21">
            <w:pPr>
              <w:pStyle w:val="137"/>
              <w:jc w:val="center"/>
              <w:outlineLvl w:val="0"/>
              <w:rPr>
                <w:color w:val="auto"/>
                <w:szCs w:val="21"/>
                <w:highlight w:val="none"/>
              </w:rPr>
            </w:pPr>
          </w:p>
        </w:tc>
        <w:tc>
          <w:tcPr>
            <w:tcW w:w="1134" w:type="dxa"/>
          </w:tcPr>
          <w:p w14:paraId="0AA444F2">
            <w:pPr>
              <w:pStyle w:val="137"/>
              <w:jc w:val="center"/>
              <w:outlineLvl w:val="0"/>
              <w:rPr>
                <w:color w:val="auto"/>
                <w:szCs w:val="21"/>
                <w:highlight w:val="none"/>
              </w:rPr>
            </w:pPr>
          </w:p>
        </w:tc>
        <w:tc>
          <w:tcPr>
            <w:tcW w:w="1152" w:type="dxa"/>
          </w:tcPr>
          <w:p w14:paraId="17C3396A">
            <w:pPr>
              <w:pStyle w:val="137"/>
              <w:jc w:val="center"/>
              <w:outlineLvl w:val="0"/>
              <w:rPr>
                <w:color w:val="auto"/>
                <w:szCs w:val="21"/>
                <w:highlight w:val="none"/>
              </w:rPr>
            </w:pPr>
          </w:p>
        </w:tc>
        <w:tc>
          <w:tcPr>
            <w:tcW w:w="1258" w:type="dxa"/>
          </w:tcPr>
          <w:p w14:paraId="7699EF44">
            <w:pPr>
              <w:pStyle w:val="137"/>
              <w:jc w:val="center"/>
              <w:outlineLvl w:val="0"/>
              <w:rPr>
                <w:color w:val="auto"/>
                <w:szCs w:val="21"/>
                <w:highlight w:val="none"/>
              </w:rPr>
            </w:pPr>
          </w:p>
        </w:tc>
        <w:tc>
          <w:tcPr>
            <w:tcW w:w="992" w:type="dxa"/>
          </w:tcPr>
          <w:p w14:paraId="494934F6">
            <w:pPr>
              <w:pStyle w:val="137"/>
              <w:jc w:val="center"/>
              <w:outlineLvl w:val="0"/>
              <w:rPr>
                <w:color w:val="auto"/>
                <w:szCs w:val="21"/>
                <w:highlight w:val="none"/>
              </w:rPr>
            </w:pPr>
          </w:p>
        </w:tc>
        <w:tc>
          <w:tcPr>
            <w:tcW w:w="992" w:type="dxa"/>
          </w:tcPr>
          <w:p w14:paraId="7AB2CE21">
            <w:pPr>
              <w:pStyle w:val="137"/>
              <w:jc w:val="center"/>
              <w:outlineLvl w:val="0"/>
              <w:rPr>
                <w:color w:val="auto"/>
                <w:szCs w:val="21"/>
                <w:highlight w:val="none"/>
              </w:rPr>
            </w:pPr>
          </w:p>
        </w:tc>
        <w:tc>
          <w:tcPr>
            <w:tcW w:w="1560" w:type="dxa"/>
          </w:tcPr>
          <w:p w14:paraId="1FD664DE">
            <w:pPr>
              <w:pStyle w:val="137"/>
              <w:jc w:val="center"/>
              <w:outlineLvl w:val="0"/>
              <w:rPr>
                <w:color w:val="auto"/>
                <w:szCs w:val="21"/>
                <w:highlight w:val="none"/>
              </w:rPr>
            </w:pPr>
          </w:p>
        </w:tc>
        <w:tc>
          <w:tcPr>
            <w:tcW w:w="1557" w:type="dxa"/>
          </w:tcPr>
          <w:p w14:paraId="1A0ACF0C">
            <w:pPr>
              <w:pStyle w:val="137"/>
              <w:jc w:val="center"/>
              <w:outlineLvl w:val="0"/>
              <w:rPr>
                <w:color w:val="auto"/>
                <w:szCs w:val="21"/>
                <w:highlight w:val="none"/>
              </w:rPr>
            </w:pPr>
          </w:p>
        </w:tc>
        <w:tc>
          <w:tcPr>
            <w:tcW w:w="569" w:type="dxa"/>
          </w:tcPr>
          <w:p w14:paraId="6E8F399E">
            <w:pPr>
              <w:pStyle w:val="137"/>
              <w:jc w:val="center"/>
              <w:outlineLvl w:val="0"/>
              <w:rPr>
                <w:color w:val="auto"/>
                <w:szCs w:val="21"/>
                <w:highlight w:val="none"/>
              </w:rPr>
            </w:pPr>
          </w:p>
        </w:tc>
      </w:tr>
      <w:tr w14:paraId="6205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5C72A796">
            <w:pPr>
              <w:pStyle w:val="137"/>
              <w:jc w:val="center"/>
              <w:outlineLvl w:val="0"/>
              <w:rPr>
                <w:color w:val="auto"/>
                <w:szCs w:val="21"/>
                <w:highlight w:val="none"/>
              </w:rPr>
            </w:pPr>
          </w:p>
        </w:tc>
        <w:tc>
          <w:tcPr>
            <w:tcW w:w="1134" w:type="dxa"/>
          </w:tcPr>
          <w:p w14:paraId="1BF43EE4">
            <w:pPr>
              <w:pStyle w:val="137"/>
              <w:jc w:val="center"/>
              <w:outlineLvl w:val="0"/>
              <w:rPr>
                <w:color w:val="auto"/>
                <w:szCs w:val="21"/>
                <w:highlight w:val="none"/>
              </w:rPr>
            </w:pPr>
          </w:p>
        </w:tc>
        <w:tc>
          <w:tcPr>
            <w:tcW w:w="1152" w:type="dxa"/>
          </w:tcPr>
          <w:p w14:paraId="4971B373">
            <w:pPr>
              <w:pStyle w:val="137"/>
              <w:jc w:val="center"/>
              <w:outlineLvl w:val="0"/>
              <w:rPr>
                <w:color w:val="auto"/>
                <w:szCs w:val="21"/>
                <w:highlight w:val="none"/>
              </w:rPr>
            </w:pPr>
          </w:p>
        </w:tc>
        <w:tc>
          <w:tcPr>
            <w:tcW w:w="1258" w:type="dxa"/>
          </w:tcPr>
          <w:p w14:paraId="665F9FA7">
            <w:pPr>
              <w:pStyle w:val="137"/>
              <w:jc w:val="center"/>
              <w:outlineLvl w:val="0"/>
              <w:rPr>
                <w:color w:val="auto"/>
                <w:szCs w:val="21"/>
                <w:highlight w:val="none"/>
              </w:rPr>
            </w:pPr>
          </w:p>
        </w:tc>
        <w:tc>
          <w:tcPr>
            <w:tcW w:w="992" w:type="dxa"/>
          </w:tcPr>
          <w:p w14:paraId="08205664">
            <w:pPr>
              <w:pStyle w:val="137"/>
              <w:jc w:val="center"/>
              <w:outlineLvl w:val="0"/>
              <w:rPr>
                <w:color w:val="auto"/>
                <w:szCs w:val="21"/>
                <w:highlight w:val="none"/>
              </w:rPr>
            </w:pPr>
          </w:p>
        </w:tc>
        <w:tc>
          <w:tcPr>
            <w:tcW w:w="992" w:type="dxa"/>
          </w:tcPr>
          <w:p w14:paraId="7522CE33">
            <w:pPr>
              <w:pStyle w:val="137"/>
              <w:jc w:val="center"/>
              <w:outlineLvl w:val="0"/>
              <w:rPr>
                <w:color w:val="auto"/>
                <w:szCs w:val="21"/>
                <w:highlight w:val="none"/>
              </w:rPr>
            </w:pPr>
          </w:p>
        </w:tc>
        <w:tc>
          <w:tcPr>
            <w:tcW w:w="1560" w:type="dxa"/>
          </w:tcPr>
          <w:p w14:paraId="436FF41F">
            <w:pPr>
              <w:pStyle w:val="137"/>
              <w:jc w:val="center"/>
              <w:outlineLvl w:val="0"/>
              <w:rPr>
                <w:color w:val="auto"/>
                <w:szCs w:val="21"/>
                <w:highlight w:val="none"/>
              </w:rPr>
            </w:pPr>
          </w:p>
        </w:tc>
        <w:tc>
          <w:tcPr>
            <w:tcW w:w="1557" w:type="dxa"/>
          </w:tcPr>
          <w:p w14:paraId="7536C888">
            <w:pPr>
              <w:pStyle w:val="137"/>
              <w:jc w:val="center"/>
              <w:outlineLvl w:val="0"/>
              <w:rPr>
                <w:color w:val="auto"/>
                <w:szCs w:val="21"/>
                <w:highlight w:val="none"/>
              </w:rPr>
            </w:pPr>
          </w:p>
        </w:tc>
        <w:tc>
          <w:tcPr>
            <w:tcW w:w="569" w:type="dxa"/>
          </w:tcPr>
          <w:p w14:paraId="53BFAA7A">
            <w:pPr>
              <w:pStyle w:val="137"/>
              <w:jc w:val="center"/>
              <w:outlineLvl w:val="0"/>
              <w:rPr>
                <w:color w:val="auto"/>
                <w:szCs w:val="21"/>
                <w:highlight w:val="none"/>
              </w:rPr>
            </w:pPr>
          </w:p>
        </w:tc>
      </w:tr>
      <w:tr w14:paraId="4E34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22A2AE79">
            <w:pPr>
              <w:pStyle w:val="137"/>
              <w:jc w:val="center"/>
              <w:outlineLvl w:val="0"/>
              <w:rPr>
                <w:color w:val="auto"/>
                <w:szCs w:val="21"/>
                <w:highlight w:val="none"/>
              </w:rPr>
            </w:pPr>
          </w:p>
        </w:tc>
        <w:tc>
          <w:tcPr>
            <w:tcW w:w="1134" w:type="dxa"/>
          </w:tcPr>
          <w:p w14:paraId="4BA03D9F">
            <w:pPr>
              <w:pStyle w:val="137"/>
              <w:jc w:val="center"/>
              <w:outlineLvl w:val="0"/>
              <w:rPr>
                <w:color w:val="auto"/>
                <w:szCs w:val="21"/>
                <w:highlight w:val="none"/>
              </w:rPr>
            </w:pPr>
          </w:p>
        </w:tc>
        <w:tc>
          <w:tcPr>
            <w:tcW w:w="1152" w:type="dxa"/>
          </w:tcPr>
          <w:p w14:paraId="6230DC9F">
            <w:pPr>
              <w:pStyle w:val="137"/>
              <w:jc w:val="center"/>
              <w:outlineLvl w:val="0"/>
              <w:rPr>
                <w:color w:val="auto"/>
                <w:szCs w:val="21"/>
                <w:highlight w:val="none"/>
              </w:rPr>
            </w:pPr>
          </w:p>
        </w:tc>
        <w:tc>
          <w:tcPr>
            <w:tcW w:w="1258" w:type="dxa"/>
          </w:tcPr>
          <w:p w14:paraId="29C81D1E">
            <w:pPr>
              <w:pStyle w:val="137"/>
              <w:jc w:val="center"/>
              <w:outlineLvl w:val="0"/>
              <w:rPr>
                <w:color w:val="auto"/>
                <w:szCs w:val="21"/>
                <w:highlight w:val="none"/>
              </w:rPr>
            </w:pPr>
          </w:p>
        </w:tc>
        <w:tc>
          <w:tcPr>
            <w:tcW w:w="992" w:type="dxa"/>
          </w:tcPr>
          <w:p w14:paraId="329437DB">
            <w:pPr>
              <w:pStyle w:val="137"/>
              <w:jc w:val="center"/>
              <w:outlineLvl w:val="0"/>
              <w:rPr>
                <w:color w:val="auto"/>
                <w:szCs w:val="21"/>
                <w:highlight w:val="none"/>
              </w:rPr>
            </w:pPr>
          </w:p>
        </w:tc>
        <w:tc>
          <w:tcPr>
            <w:tcW w:w="992" w:type="dxa"/>
          </w:tcPr>
          <w:p w14:paraId="32CA14ED">
            <w:pPr>
              <w:pStyle w:val="137"/>
              <w:jc w:val="center"/>
              <w:outlineLvl w:val="0"/>
              <w:rPr>
                <w:color w:val="auto"/>
                <w:szCs w:val="21"/>
                <w:highlight w:val="none"/>
              </w:rPr>
            </w:pPr>
          </w:p>
        </w:tc>
        <w:tc>
          <w:tcPr>
            <w:tcW w:w="1560" w:type="dxa"/>
          </w:tcPr>
          <w:p w14:paraId="5C514EC1">
            <w:pPr>
              <w:pStyle w:val="137"/>
              <w:jc w:val="center"/>
              <w:outlineLvl w:val="0"/>
              <w:rPr>
                <w:color w:val="auto"/>
                <w:szCs w:val="21"/>
                <w:highlight w:val="none"/>
              </w:rPr>
            </w:pPr>
          </w:p>
        </w:tc>
        <w:tc>
          <w:tcPr>
            <w:tcW w:w="1557" w:type="dxa"/>
          </w:tcPr>
          <w:p w14:paraId="481BA2D8">
            <w:pPr>
              <w:pStyle w:val="137"/>
              <w:jc w:val="center"/>
              <w:outlineLvl w:val="0"/>
              <w:rPr>
                <w:color w:val="auto"/>
                <w:szCs w:val="21"/>
                <w:highlight w:val="none"/>
              </w:rPr>
            </w:pPr>
          </w:p>
        </w:tc>
        <w:tc>
          <w:tcPr>
            <w:tcW w:w="569" w:type="dxa"/>
          </w:tcPr>
          <w:p w14:paraId="1D256C3E">
            <w:pPr>
              <w:pStyle w:val="137"/>
              <w:jc w:val="center"/>
              <w:outlineLvl w:val="0"/>
              <w:rPr>
                <w:color w:val="auto"/>
                <w:szCs w:val="21"/>
                <w:highlight w:val="none"/>
              </w:rPr>
            </w:pPr>
          </w:p>
        </w:tc>
      </w:tr>
      <w:tr w14:paraId="6E70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6BB54745">
            <w:pPr>
              <w:pStyle w:val="137"/>
              <w:jc w:val="center"/>
              <w:outlineLvl w:val="0"/>
              <w:rPr>
                <w:color w:val="auto"/>
                <w:szCs w:val="21"/>
                <w:highlight w:val="none"/>
              </w:rPr>
            </w:pPr>
          </w:p>
        </w:tc>
        <w:tc>
          <w:tcPr>
            <w:tcW w:w="1134" w:type="dxa"/>
          </w:tcPr>
          <w:p w14:paraId="2F49D601">
            <w:pPr>
              <w:pStyle w:val="137"/>
              <w:jc w:val="center"/>
              <w:outlineLvl w:val="0"/>
              <w:rPr>
                <w:color w:val="auto"/>
                <w:szCs w:val="21"/>
                <w:highlight w:val="none"/>
              </w:rPr>
            </w:pPr>
          </w:p>
        </w:tc>
        <w:tc>
          <w:tcPr>
            <w:tcW w:w="1152" w:type="dxa"/>
          </w:tcPr>
          <w:p w14:paraId="521DA6CE">
            <w:pPr>
              <w:pStyle w:val="137"/>
              <w:jc w:val="center"/>
              <w:outlineLvl w:val="0"/>
              <w:rPr>
                <w:color w:val="auto"/>
                <w:szCs w:val="21"/>
                <w:highlight w:val="none"/>
              </w:rPr>
            </w:pPr>
          </w:p>
        </w:tc>
        <w:tc>
          <w:tcPr>
            <w:tcW w:w="1258" w:type="dxa"/>
          </w:tcPr>
          <w:p w14:paraId="566071FE">
            <w:pPr>
              <w:pStyle w:val="137"/>
              <w:jc w:val="center"/>
              <w:outlineLvl w:val="0"/>
              <w:rPr>
                <w:color w:val="auto"/>
                <w:szCs w:val="21"/>
                <w:highlight w:val="none"/>
              </w:rPr>
            </w:pPr>
          </w:p>
        </w:tc>
        <w:tc>
          <w:tcPr>
            <w:tcW w:w="992" w:type="dxa"/>
          </w:tcPr>
          <w:p w14:paraId="211DE5D2">
            <w:pPr>
              <w:pStyle w:val="137"/>
              <w:jc w:val="center"/>
              <w:outlineLvl w:val="0"/>
              <w:rPr>
                <w:color w:val="auto"/>
                <w:szCs w:val="21"/>
                <w:highlight w:val="none"/>
              </w:rPr>
            </w:pPr>
          </w:p>
        </w:tc>
        <w:tc>
          <w:tcPr>
            <w:tcW w:w="992" w:type="dxa"/>
          </w:tcPr>
          <w:p w14:paraId="28723504">
            <w:pPr>
              <w:pStyle w:val="137"/>
              <w:jc w:val="center"/>
              <w:outlineLvl w:val="0"/>
              <w:rPr>
                <w:color w:val="auto"/>
                <w:szCs w:val="21"/>
                <w:highlight w:val="none"/>
              </w:rPr>
            </w:pPr>
          </w:p>
        </w:tc>
        <w:tc>
          <w:tcPr>
            <w:tcW w:w="1560" w:type="dxa"/>
          </w:tcPr>
          <w:p w14:paraId="2F534DBB">
            <w:pPr>
              <w:pStyle w:val="137"/>
              <w:jc w:val="center"/>
              <w:outlineLvl w:val="0"/>
              <w:rPr>
                <w:color w:val="auto"/>
                <w:szCs w:val="21"/>
                <w:highlight w:val="none"/>
              </w:rPr>
            </w:pPr>
          </w:p>
        </w:tc>
        <w:tc>
          <w:tcPr>
            <w:tcW w:w="1557" w:type="dxa"/>
          </w:tcPr>
          <w:p w14:paraId="6FF07453">
            <w:pPr>
              <w:pStyle w:val="137"/>
              <w:jc w:val="center"/>
              <w:outlineLvl w:val="0"/>
              <w:rPr>
                <w:color w:val="auto"/>
                <w:szCs w:val="21"/>
                <w:highlight w:val="none"/>
              </w:rPr>
            </w:pPr>
          </w:p>
        </w:tc>
        <w:tc>
          <w:tcPr>
            <w:tcW w:w="569" w:type="dxa"/>
          </w:tcPr>
          <w:p w14:paraId="6FEBDAB2">
            <w:pPr>
              <w:pStyle w:val="137"/>
              <w:jc w:val="center"/>
              <w:outlineLvl w:val="0"/>
              <w:rPr>
                <w:color w:val="auto"/>
                <w:szCs w:val="21"/>
                <w:highlight w:val="none"/>
              </w:rPr>
            </w:pPr>
          </w:p>
        </w:tc>
      </w:tr>
    </w:tbl>
    <w:p w14:paraId="44B18F70">
      <w:pPr>
        <w:spacing w:line="360" w:lineRule="auto"/>
        <w:ind w:firstLine="422" w:firstLineChars="200"/>
        <w:rPr>
          <w:b/>
          <w:bCs/>
          <w:color w:val="auto"/>
          <w:szCs w:val="21"/>
          <w:highlight w:val="none"/>
        </w:rPr>
      </w:pPr>
    </w:p>
    <w:p w14:paraId="0D3088B6">
      <w:pPr>
        <w:spacing w:line="360" w:lineRule="auto"/>
        <w:ind w:firstLine="422" w:firstLineChars="200"/>
        <w:rPr>
          <w:rFonts w:eastAsia="楷体_GB2312" w:cs="楷体_GB2312"/>
          <w:b/>
          <w:bCs/>
          <w:color w:val="auto"/>
          <w:highlight w:val="none"/>
        </w:rPr>
      </w:pPr>
      <w:r>
        <w:rPr>
          <w:rFonts w:hint="eastAsia" w:eastAsia="楷体_GB2312" w:cs="楷体_GB2312"/>
          <w:b/>
          <w:bCs/>
          <w:color w:val="auto"/>
          <w:highlight w:val="none"/>
        </w:rPr>
        <w:t>备注：1.相关信息应与“桂建云”系统信息一致，</w:t>
      </w:r>
      <w:r>
        <w:rPr>
          <w:rFonts w:eastAsia="楷体_GB2312" w:cs="楷体_GB2312"/>
          <w:b/>
          <w:bCs/>
          <w:color w:val="auto"/>
          <w:highlight w:val="none"/>
        </w:rPr>
        <w:t>否则</w:t>
      </w:r>
      <w:r>
        <w:rPr>
          <w:rFonts w:hint="eastAsia" w:eastAsia="楷体_GB2312" w:cs="楷体_GB2312"/>
          <w:b/>
          <w:bCs/>
          <w:color w:val="auto"/>
          <w:highlight w:val="none"/>
        </w:rPr>
        <w:t>评审时不予承认。2.</w:t>
      </w:r>
      <w:r>
        <w:rPr>
          <w:rFonts w:hint="eastAsia" w:ascii="楷体" w:hAnsi="楷体" w:eastAsia="楷体" w:cs="宋体"/>
          <w:b/>
          <w:color w:val="auto"/>
          <w:highlight w:val="none"/>
        </w:rPr>
        <w:t>注册城乡规划师，咨询工程师，注册土木工程师（道路）等未在住建部注册或者未实施注册制度的资格证书，在人员信息中备注一栏填写该人员为某专业注册人员，并在投标人认为的其他材料内补充上传电子证书，</w:t>
      </w:r>
      <w:r>
        <w:rPr>
          <w:rFonts w:ascii="楷体" w:hAnsi="楷体" w:eastAsia="楷体" w:cs="宋体"/>
          <w:b/>
          <w:color w:val="auto"/>
          <w:highlight w:val="none"/>
          <w:lang w:val="en"/>
        </w:rPr>
        <w:t>非电子证书，均不予以认可。</w:t>
      </w:r>
      <w:r>
        <w:rPr>
          <w:rFonts w:hint="eastAsia" w:ascii="楷体" w:hAnsi="楷体" w:eastAsia="楷体" w:cs="宋体"/>
          <w:b/>
          <w:color w:val="auto"/>
          <w:highlight w:val="none"/>
        </w:rPr>
        <w:t>。</w:t>
      </w:r>
    </w:p>
    <w:p w14:paraId="62D652F0">
      <w:pPr>
        <w:spacing w:before="120" w:beforeLines="50" w:after="240" w:afterLines="100" w:line="440" w:lineRule="exact"/>
        <w:rPr>
          <w:rFonts w:ascii="宋体" w:hAnsi="宋体"/>
          <w:color w:val="auto"/>
          <w:sz w:val="24"/>
          <w:highlight w:val="none"/>
        </w:rPr>
      </w:pPr>
    </w:p>
    <w:p w14:paraId="529F25E2">
      <w:pPr>
        <w:spacing w:before="120" w:beforeLines="50" w:after="240" w:afterLines="100" w:line="440" w:lineRule="exact"/>
        <w:rPr>
          <w:rFonts w:ascii="宋体" w:hAnsi="宋体"/>
          <w:color w:val="auto"/>
          <w:sz w:val="24"/>
          <w:highlight w:val="none"/>
        </w:rPr>
      </w:pPr>
    </w:p>
    <w:p w14:paraId="020368FC">
      <w:pPr>
        <w:spacing w:before="120" w:beforeLines="50" w:after="240" w:afterLines="100" w:line="440" w:lineRule="exact"/>
        <w:rPr>
          <w:rFonts w:ascii="宋体" w:hAnsi="宋体"/>
          <w:color w:val="auto"/>
          <w:sz w:val="24"/>
          <w:highlight w:val="none"/>
        </w:rPr>
      </w:pPr>
    </w:p>
    <w:p w14:paraId="4E05F058">
      <w:pPr>
        <w:spacing w:before="120" w:beforeLines="50" w:after="240" w:afterLines="100" w:line="440" w:lineRule="exact"/>
        <w:rPr>
          <w:rFonts w:ascii="宋体" w:hAnsi="宋体"/>
          <w:color w:val="auto"/>
          <w:sz w:val="24"/>
          <w:highlight w:val="none"/>
        </w:rPr>
      </w:pPr>
    </w:p>
    <w:p w14:paraId="77CB6C69">
      <w:pPr>
        <w:spacing w:before="120" w:beforeLines="50" w:after="240" w:afterLines="100" w:line="440" w:lineRule="exact"/>
        <w:rPr>
          <w:rFonts w:ascii="宋体" w:hAnsi="宋体"/>
          <w:color w:val="auto"/>
          <w:sz w:val="24"/>
          <w:highlight w:val="none"/>
        </w:rPr>
      </w:pPr>
    </w:p>
    <w:p w14:paraId="1C806B34">
      <w:pPr>
        <w:spacing w:before="120" w:beforeLines="50" w:after="240" w:afterLines="100" w:line="440" w:lineRule="exact"/>
        <w:rPr>
          <w:rFonts w:ascii="宋体" w:hAnsi="宋体"/>
          <w:color w:val="auto"/>
          <w:sz w:val="24"/>
          <w:highlight w:val="none"/>
        </w:rPr>
      </w:pPr>
    </w:p>
    <w:p w14:paraId="39801DEA">
      <w:pPr>
        <w:spacing w:before="120" w:beforeLines="50" w:after="240" w:afterLines="100" w:line="440" w:lineRule="exact"/>
        <w:rPr>
          <w:rFonts w:ascii="宋体" w:hAnsi="宋体"/>
          <w:color w:val="auto"/>
          <w:sz w:val="24"/>
          <w:highlight w:val="none"/>
        </w:rPr>
      </w:pPr>
    </w:p>
    <w:p w14:paraId="2198014A">
      <w:pPr>
        <w:spacing w:before="120" w:beforeLines="50" w:after="240" w:afterLines="100" w:line="440" w:lineRule="exact"/>
        <w:rPr>
          <w:rFonts w:ascii="宋体" w:hAnsi="宋体"/>
          <w:b/>
          <w:color w:val="auto"/>
          <w:sz w:val="24"/>
          <w:highlight w:val="none"/>
        </w:rPr>
      </w:pPr>
      <w:r>
        <w:rPr>
          <w:rFonts w:hint="eastAsia" w:ascii="宋体" w:hAnsi="宋体"/>
          <w:b/>
          <w:color w:val="auto"/>
          <w:sz w:val="24"/>
          <w:highlight w:val="none"/>
        </w:rPr>
        <w:t>（三）</w:t>
      </w:r>
      <w:r>
        <w:rPr>
          <w:rFonts w:hint="eastAsia"/>
          <w:b/>
          <w:color w:val="auto"/>
          <w:sz w:val="28"/>
          <w:szCs w:val="28"/>
          <w:highlight w:val="none"/>
        </w:rPr>
        <w:t>投标人认为有必要提供的其他材料。</w:t>
      </w:r>
    </w:p>
    <w:sectPr>
      <w:pgSz w:w="11907" w:h="16840"/>
      <w:pgMar w:top="1440" w:right="1440" w:bottom="1440" w:left="179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343803B8-32A8-4545-94B4-FD01DD3E78FA}"/>
  </w:font>
  <w:font w:name="黑体">
    <w:panose1 w:val="02010609060101010101"/>
    <w:charset w:val="86"/>
    <w:family w:val="auto"/>
    <w:pitch w:val="default"/>
    <w:sig w:usb0="800002BF" w:usb1="38CF7CFA" w:usb2="00000016" w:usb3="00000000" w:csb0="00040001" w:csb1="00000000"/>
    <w:embedRegular r:id="rId2" w:fontKey="{809173F9-2A52-4A9B-9FF4-6ECC18AEDCD1}"/>
  </w:font>
  <w:font w:name="Courier New">
    <w:panose1 w:val="02070309020205020404"/>
    <w:charset w:val="01"/>
    <w:family w:val="modern"/>
    <w:pitch w:val="default"/>
    <w:sig w:usb0="E0002AFF" w:usb1="C0007843" w:usb2="00000009" w:usb3="00000000" w:csb0="400001FF" w:csb1="FFFF0000"/>
    <w:embedRegular r:id="rId3" w:fontKey="{AF8E34F0-7814-460B-92B7-B29A5A2CCF9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4" w:fontKey="{4A012AA7-3F46-4678-8645-A24B1F10A20D}"/>
  </w:font>
  <w:font w:name="Cambria">
    <w:panose1 w:val="02040503050406030204"/>
    <w:charset w:val="00"/>
    <w:family w:val="roman"/>
    <w:pitch w:val="default"/>
    <w:sig w:usb0="A00002EF" w:usb1="4000004B" w:usb2="00000000" w:usb3="00000000" w:csb0="2000009F"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64EA5A9E-0D5F-4D57-B8CD-8053FA72F521}"/>
  </w:font>
  <w:font w:name="楷体_GB2312">
    <w:panose1 w:val="02010609030101010101"/>
    <w:charset w:val="86"/>
    <w:family w:val="modern"/>
    <w:pitch w:val="default"/>
    <w:sig w:usb0="00000001" w:usb1="080E0000" w:usb2="00000000" w:usb3="00000000" w:csb0="00040000" w:csb1="00000000"/>
    <w:embedRegular r:id="rId6" w:fontKey="{BAC1AD1B-4C88-41EF-889E-D075D8C1B2AE}"/>
  </w:font>
  <w:font w:name="楷体">
    <w:panose1 w:val="02010609060101010101"/>
    <w:charset w:val="86"/>
    <w:family w:val="modern"/>
    <w:pitch w:val="default"/>
    <w:sig w:usb0="800002BF" w:usb1="38CF7CFA" w:usb2="00000016" w:usb3="00000000" w:csb0="00040001" w:csb1="00000000"/>
    <w:embedRegular r:id="rId7" w:fontKey="{218DA784-FE4F-4B13-B530-BF76B8369D9A}"/>
  </w:font>
  <w:font w:name="Sweetie">
    <w:altName w:val="Segoe Print"/>
    <w:panose1 w:val="020B0606030804020204"/>
    <w:charset w:val="00"/>
    <w:family w:val="auto"/>
    <w:pitch w:val="default"/>
    <w:sig w:usb0="00000000" w:usb1="00000000" w:usb2="00000028" w:usb3="00000000" w:csb0="2000019F" w:csb1="00000000"/>
    <w:embedRegular r:id="rId8" w:fontKey="{A2EF1A97-761C-4731-8612-55B90D25E13A}"/>
  </w:font>
  <w:font w:name="Segoe Print">
    <w:panose1 w:val="02000600000000000000"/>
    <w:charset w:val="00"/>
    <w:family w:val="auto"/>
    <w:pitch w:val="default"/>
    <w:sig w:usb0="0000028F" w:usb1="00000000" w:usb2="00000000" w:usb3="00000000" w:csb0="2000009F" w:csb1="47010000"/>
  </w:font>
  <w:font w:name="Wingdings 2">
    <w:panose1 w:val="05020102010507070707"/>
    <w:charset w:val="02"/>
    <w:family w:val="auto"/>
    <w:pitch w:val="default"/>
    <w:sig w:usb0="00000000" w:usb1="00000000" w:usb2="00000000" w:usb3="00000000" w:csb0="80000000" w:csb1="00000000"/>
    <w:embedRegular r:id="rId9" w:fontKey="{0A7728A1-2AC0-466E-B431-A53A17E7C20F}"/>
  </w:font>
  <w:font w:name="Therese">
    <w:altName w:val="Segoe Print"/>
    <w:panose1 w:val="00000500000000000000"/>
    <w:charset w:val="00"/>
    <w:family w:val="auto"/>
    <w:pitch w:val="default"/>
    <w:sig w:usb0="00000000" w:usb1="00000000" w:usb2="00000000" w:usb3="00000000" w:csb0="00000193" w:csb1="00000000"/>
    <w:embedRegular r:id="rId10" w:fontKey="{F3E165F8-894D-43D5-8D4E-EF073D48B77D}"/>
  </w:font>
  <w:font w:name="方正楷体_GBK">
    <w:panose1 w:val="02000000000000000000"/>
    <w:charset w:val="86"/>
    <w:family w:val="auto"/>
    <w:pitch w:val="default"/>
    <w:sig w:usb0="800002BF" w:usb1="38CF7CFA" w:usb2="00000016" w:usb3="00000000" w:csb0="00040000" w:csb1="00000000"/>
    <w:embedRegular r:id="rId11" w:fontKey="{06B2BD10-4138-4D6B-A34F-74D1A6FFBF0C}"/>
  </w:font>
  <w:font w:name="MingLiU_HKSCS-ExtB">
    <w:panose1 w:val="02020500000000000000"/>
    <w:charset w:val="88"/>
    <w:family w:val="auto"/>
    <w:pitch w:val="default"/>
    <w:sig w:usb0="8000002F" w:usb1="02000008" w:usb2="00000000" w:usb3="00000000" w:csb0="00100001" w:csb1="00000000"/>
    <w:embedRegular r:id="rId12" w:fontKey="{98773B34-CA49-49C5-BD44-72FADE9A263D}"/>
  </w:font>
  <w:font w:name="微软雅黑">
    <w:panose1 w:val="020B0503020204020204"/>
    <w:charset w:val="86"/>
    <w:family w:val="swiss"/>
    <w:pitch w:val="default"/>
    <w:sig w:usb0="80000287" w:usb1="280F3C52" w:usb2="00000016" w:usb3="00000000" w:csb0="0004001F" w:csb1="00000000"/>
    <w:embedRegular r:id="rId13" w:fontKey="{6F971DB4-D037-4FCC-8CFD-634B4A0A869F}"/>
  </w:font>
  <w:font w:name="方正小标宋简体">
    <w:panose1 w:val="02000000000000000000"/>
    <w:charset w:val="86"/>
    <w:family w:val="script"/>
    <w:pitch w:val="default"/>
    <w:sig w:usb0="00000001" w:usb1="08000000" w:usb2="00000000" w:usb3="00000000" w:csb0="00040000" w:csb1="00000000"/>
    <w:embedRegular r:id="rId14" w:fontKey="{4B1412CE-864B-46A8-8753-0374836D25AA}"/>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800002BF" w:usb1="38C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4D62F">
    <w:pPr>
      <w:pStyle w:val="26"/>
      <w:framePr w:wrap="around" w:vAnchor="text" w:hAnchor="margin" w:xAlign="center" w:y="1"/>
      <w:rPr>
        <w:rStyle w:val="44"/>
      </w:rPr>
    </w:pPr>
    <w:r>
      <w:fldChar w:fldCharType="begin"/>
    </w:r>
    <w:r>
      <w:rPr>
        <w:rStyle w:val="44"/>
      </w:rPr>
      <w:instrText xml:space="preserve">PAGE  </w:instrText>
    </w:r>
    <w:r>
      <w:fldChar w:fldCharType="separate"/>
    </w:r>
    <w:r>
      <w:rPr>
        <w:rStyle w:val="44"/>
      </w:rPr>
      <w:t>IV</w:t>
    </w:r>
    <w:r>
      <w:fldChar w:fldCharType="end"/>
    </w:r>
  </w:p>
  <w:p w14:paraId="2F870D8B">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A6CAD">
    <w:pPr>
      <w:pStyle w:val="26"/>
      <w:framePr w:wrap="around" w:vAnchor="text" w:hAnchor="margin" w:xAlign="center" w:y="1"/>
      <w:rPr>
        <w:rStyle w:val="44"/>
      </w:rPr>
    </w:pPr>
    <w:r>
      <w:fldChar w:fldCharType="begin"/>
    </w:r>
    <w:r>
      <w:rPr>
        <w:rStyle w:val="44"/>
      </w:rPr>
      <w:instrText xml:space="preserve">PAGE  </w:instrText>
    </w:r>
    <w:r>
      <w:fldChar w:fldCharType="separate"/>
    </w:r>
    <w:r>
      <w:rPr>
        <w:rStyle w:val="44"/>
      </w:rPr>
      <w:t>IX</w:t>
    </w:r>
    <w:r>
      <w:fldChar w:fldCharType="end"/>
    </w:r>
  </w:p>
  <w:p w14:paraId="2EB3AF01">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6328E">
    <w:pPr>
      <w:pStyle w:val="26"/>
      <w:framePr w:wrap="around" w:vAnchor="text" w:hAnchor="margin" w:xAlign="center" w:y="1"/>
      <w:rPr>
        <w:rStyle w:val="44"/>
      </w:rPr>
    </w:pPr>
    <w:r>
      <w:fldChar w:fldCharType="begin"/>
    </w:r>
    <w:r>
      <w:rPr>
        <w:rStyle w:val="44"/>
      </w:rPr>
      <w:instrText xml:space="preserve">PAGE  </w:instrText>
    </w:r>
    <w:r>
      <w:fldChar w:fldCharType="separate"/>
    </w:r>
    <w:r>
      <w:rPr>
        <w:rStyle w:val="44"/>
      </w:rPr>
      <w:t>13</w:t>
    </w:r>
    <w:r>
      <w:fldChar w:fldCharType="end"/>
    </w:r>
  </w:p>
  <w:p w14:paraId="560341DD">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7164E">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0165F">
    <w:pPr>
      <w:pStyle w:val="2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BFB464"/>
    <w:multiLevelType w:val="singleLevel"/>
    <w:tmpl w:val="BBBFB464"/>
    <w:lvl w:ilvl="0" w:tentative="0">
      <w:start w:val="2"/>
      <w:numFmt w:val="decimal"/>
      <w:suff w:val="nothing"/>
      <w:lvlText w:val="%1、"/>
      <w:lvlJc w:val="left"/>
    </w:lvl>
  </w:abstractNum>
  <w:abstractNum w:abstractNumId="1">
    <w:nsid w:val="EBDE88A2"/>
    <w:multiLevelType w:val="singleLevel"/>
    <w:tmpl w:val="EBDE88A2"/>
    <w:lvl w:ilvl="0" w:tentative="0">
      <w:start w:val="4"/>
      <w:numFmt w:val="decimal"/>
      <w:suff w:val="space"/>
      <w:lvlText w:val="%1."/>
      <w:lvlJc w:val="left"/>
    </w:lvl>
  </w:abstractNum>
  <w:abstractNum w:abstractNumId="2">
    <w:nsid w:val="7BCF8902"/>
    <w:multiLevelType w:val="singleLevel"/>
    <w:tmpl w:val="7BCF8902"/>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E6"/>
    <w:rsid w:val="00001E3A"/>
    <w:rsid w:val="00002F3A"/>
    <w:rsid w:val="00003404"/>
    <w:rsid w:val="00006C99"/>
    <w:rsid w:val="000073AC"/>
    <w:rsid w:val="00007F0A"/>
    <w:rsid w:val="00010AE1"/>
    <w:rsid w:val="00015872"/>
    <w:rsid w:val="000163DB"/>
    <w:rsid w:val="00016441"/>
    <w:rsid w:val="00016793"/>
    <w:rsid w:val="000206B6"/>
    <w:rsid w:val="0002144C"/>
    <w:rsid w:val="00022F9E"/>
    <w:rsid w:val="0002760C"/>
    <w:rsid w:val="00027858"/>
    <w:rsid w:val="00034717"/>
    <w:rsid w:val="00034ADC"/>
    <w:rsid w:val="00034E97"/>
    <w:rsid w:val="00036989"/>
    <w:rsid w:val="0004035C"/>
    <w:rsid w:val="000426CF"/>
    <w:rsid w:val="000451AE"/>
    <w:rsid w:val="00045FC6"/>
    <w:rsid w:val="0005013D"/>
    <w:rsid w:val="00050DBC"/>
    <w:rsid w:val="0005117A"/>
    <w:rsid w:val="0005134B"/>
    <w:rsid w:val="000518CB"/>
    <w:rsid w:val="00053522"/>
    <w:rsid w:val="00053B1C"/>
    <w:rsid w:val="00056F3A"/>
    <w:rsid w:val="0006061E"/>
    <w:rsid w:val="000609E7"/>
    <w:rsid w:val="00060ED7"/>
    <w:rsid w:val="000613A0"/>
    <w:rsid w:val="00063E6E"/>
    <w:rsid w:val="00064704"/>
    <w:rsid w:val="000647B6"/>
    <w:rsid w:val="000721D8"/>
    <w:rsid w:val="000724D3"/>
    <w:rsid w:val="00073489"/>
    <w:rsid w:val="00074B94"/>
    <w:rsid w:val="000758AD"/>
    <w:rsid w:val="00077268"/>
    <w:rsid w:val="00081FCF"/>
    <w:rsid w:val="00082B3A"/>
    <w:rsid w:val="0008405C"/>
    <w:rsid w:val="00087B50"/>
    <w:rsid w:val="00090F61"/>
    <w:rsid w:val="00091178"/>
    <w:rsid w:val="00091C1D"/>
    <w:rsid w:val="00091EC2"/>
    <w:rsid w:val="00093FBF"/>
    <w:rsid w:val="0009451A"/>
    <w:rsid w:val="000962F2"/>
    <w:rsid w:val="00097151"/>
    <w:rsid w:val="000A0426"/>
    <w:rsid w:val="000A0DFA"/>
    <w:rsid w:val="000A1944"/>
    <w:rsid w:val="000A28AE"/>
    <w:rsid w:val="000A3BD7"/>
    <w:rsid w:val="000A480E"/>
    <w:rsid w:val="000A60C2"/>
    <w:rsid w:val="000A68C8"/>
    <w:rsid w:val="000A7E01"/>
    <w:rsid w:val="000B0615"/>
    <w:rsid w:val="000B0982"/>
    <w:rsid w:val="000B0C27"/>
    <w:rsid w:val="000B0C56"/>
    <w:rsid w:val="000B19F5"/>
    <w:rsid w:val="000B4FC6"/>
    <w:rsid w:val="000B5FE8"/>
    <w:rsid w:val="000B7816"/>
    <w:rsid w:val="000C0B41"/>
    <w:rsid w:val="000C112A"/>
    <w:rsid w:val="000C3EC7"/>
    <w:rsid w:val="000C46A2"/>
    <w:rsid w:val="000C5547"/>
    <w:rsid w:val="000C6F33"/>
    <w:rsid w:val="000C7AAD"/>
    <w:rsid w:val="000C7F95"/>
    <w:rsid w:val="000D2AB8"/>
    <w:rsid w:val="000D2CA2"/>
    <w:rsid w:val="000D5CA0"/>
    <w:rsid w:val="000D6E27"/>
    <w:rsid w:val="000E0025"/>
    <w:rsid w:val="000E1E3E"/>
    <w:rsid w:val="000E24CB"/>
    <w:rsid w:val="000E4F22"/>
    <w:rsid w:val="000E51BD"/>
    <w:rsid w:val="000E747A"/>
    <w:rsid w:val="000E785D"/>
    <w:rsid w:val="000F0EBA"/>
    <w:rsid w:val="000F33A2"/>
    <w:rsid w:val="000F3878"/>
    <w:rsid w:val="000F5C5E"/>
    <w:rsid w:val="000F6DC8"/>
    <w:rsid w:val="00100514"/>
    <w:rsid w:val="00100651"/>
    <w:rsid w:val="0010157B"/>
    <w:rsid w:val="00101D3D"/>
    <w:rsid w:val="00102D8A"/>
    <w:rsid w:val="00106EE6"/>
    <w:rsid w:val="00114EB1"/>
    <w:rsid w:val="0011523B"/>
    <w:rsid w:val="00115481"/>
    <w:rsid w:val="00115B81"/>
    <w:rsid w:val="00115EF0"/>
    <w:rsid w:val="001175FE"/>
    <w:rsid w:val="00117E99"/>
    <w:rsid w:val="00120A6B"/>
    <w:rsid w:val="00120D97"/>
    <w:rsid w:val="001229CA"/>
    <w:rsid w:val="001235B5"/>
    <w:rsid w:val="0012390F"/>
    <w:rsid w:val="00130DFD"/>
    <w:rsid w:val="00130E3E"/>
    <w:rsid w:val="00131730"/>
    <w:rsid w:val="00132EC3"/>
    <w:rsid w:val="00133FD7"/>
    <w:rsid w:val="001354B4"/>
    <w:rsid w:val="001355A3"/>
    <w:rsid w:val="0013572B"/>
    <w:rsid w:val="00136114"/>
    <w:rsid w:val="00136B7D"/>
    <w:rsid w:val="00136D41"/>
    <w:rsid w:val="00137015"/>
    <w:rsid w:val="00137DBC"/>
    <w:rsid w:val="00140140"/>
    <w:rsid w:val="001403FF"/>
    <w:rsid w:val="00141280"/>
    <w:rsid w:val="00141367"/>
    <w:rsid w:val="00142327"/>
    <w:rsid w:val="00143820"/>
    <w:rsid w:val="001440E9"/>
    <w:rsid w:val="00145116"/>
    <w:rsid w:val="00145357"/>
    <w:rsid w:val="001458CB"/>
    <w:rsid w:val="001460CB"/>
    <w:rsid w:val="00147376"/>
    <w:rsid w:val="0014739A"/>
    <w:rsid w:val="00147AB0"/>
    <w:rsid w:val="00150D89"/>
    <w:rsid w:val="001514E3"/>
    <w:rsid w:val="001517B3"/>
    <w:rsid w:val="00152716"/>
    <w:rsid w:val="00152D12"/>
    <w:rsid w:val="00153398"/>
    <w:rsid w:val="00153A46"/>
    <w:rsid w:val="0015455D"/>
    <w:rsid w:val="001554E9"/>
    <w:rsid w:val="001562DA"/>
    <w:rsid w:val="00156B9D"/>
    <w:rsid w:val="00156EBF"/>
    <w:rsid w:val="0015738A"/>
    <w:rsid w:val="001607F8"/>
    <w:rsid w:val="0016083F"/>
    <w:rsid w:val="00160A6A"/>
    <w:rsid w:val="00160D83"/>
    <w:rsid w:val="00162043"/>
    <w:rsid w:val="001631FC"/>
    <w:rsid w:val="00166790"/>
    <w:rsid w:val="001708AD"/>
    <w:rsid w:val="00171912"/>
    <w:rsid w:val="00172A27"/>
    <w:rsid w:val="001749D7"/>
    <w:rsid w:val="00174B75"/>
    <w:rsid w:val="00174CB8"/>
    <w:rsid w:val="00174CF5"/>
    <w:rsid w:val="0017763E"/>
    <w:rsid w:val="0018026A"/>
    <w:rsid w:val="00180838"/>
    <w:rsid w:val="0018085D"/>
    <w:rsid w:val="00180976"/>
    <w:rsid w:val="00183D53"/>
    <w:rsid w:val="00183DC2"/>
    <w:rsid w:val="0018551B"/>
    <w:rsid w:val="00187EAD"/>
    <w:rsid w:val="0019196C"/>
    <w:rsid w:val="00191DF2"/>
    <w:rsid w:val="00194A45"/>
    <w:rsid w:val="00194D15"/>
    <w:rsid w:val="001954FB"/>
    <w:rsid w:val="0019615E"/>
    <w:rsid w:val="00197F3C"/>
    <w:rsid w:val="001A1D24"/>
    <w:rsid w:val="001A27DD"/>
    <w:rsid w:val="001A4D53"/>
    <w:rsid w:val="001B34DA"/>
    <w:rsid w:val="001B3783"/>
    <w:rsid w:val="001B6564"/>
    <w:rsid w:val="001C0D86"/>
    <w:rsid w:val="001C2CCA"/>
    <w:rsid w:val="001C326C"/>
    <w:rsid w:val="001C7E68"/>
    <w:rsid w:val="001D03B7"/>
    <w:rsid w:val="001D089D"/>
    <w:rsid w:val="001D257F"/>
    <w:rsid w:val="001D269E"/>
    <w:rsid w:val="001D352D"/>
    <w:rsid w:val="001D53EC"/>
    <w:rsid w:val="001D5B87"/>
    <w:rsid w:val="001E015A"/>
    <w:rsid w:val="001E3989"/>
    <w:rsid w:val="001E57E6"/>
    <w:rsid w:val="001E5E1D"/>
    <w:rsid w:val="001E7906"/>
    <w:rsid w:val="001E7CD5"/>
    <w:rsid w:val="001F0B1E"/>
    <w:rsid w:val="001F2307"/>
    <w:rsid w:val="001F3347"/>
    <w:rsid w:val="001F3E25"/>
    <w:rsid w:val="001F4005"/>
    <w:rsid w:val="001F4A59"/>
    <w:rsid w:val="001F4A8E"/>
    <w:rsid w:val="001F5D6F"/>
    <w:rsid w:val="001F6D48"/>
    <w:rsid w:val="00201149"/>
    <w:rsid w:val="00201731"/>
    <w:rsid w:val="002021FF"/>
    <w:rsid w:val="00202324"/>
    <w:rsid w:val="002027F8"/>
    <w:rsid w:val="00202926"/>
    <w:rsid w:val="002038CB"/>
    <w:rsid w:val="00203B04"/>
    <w:rsid w:val="0020477E"/>
    <w:rsid w:val="00205717"/>
    <w:rsid w:val="00207669"/>
    <w:rsid w:val="00210395"/>
    <w:rsid w:val="002114C6"/>
    <w:rsid w:val="002119AB"/>
    <w:rsid w:val="00212942"/>
    <w:rsid w:val="00213CD1"/>
    <w:rsid w:val="002147A0"/>
    <w:rsid w:val="00215283"/>
    <w:rsid w:val="002175CE"/>
    <w:rsid w:val="0021765C"/>
    <w:rsid w:val="00217B02"/>
    <w:rsid w:val="00224DB4"/>
    <w:rsid w:val="002254C8"/>
    <w:rsid w:val="00226544"/>
    <w:rsid w:val="00230838"/>
    <w:rsid w:val="002325FE"/>
    <w:rsid w:val="00232F24"/>
    <w:rsid w:val="00235723"/>
    <w:rsid w:val="00236EA2"/>
    <w:rsid w:val="002404CF"/>
    <w:rsid w:val="00240907"/>
    <w:rsid w:val="00241D59"/>
    <w:rsid w:val="002423EE"/>
    <w:rsid w:val="00243713"/>
    <w:rsid w:val="00243C1C"/>
    <w:rsid w:val="002450DE"/>
    <w:rsid w:val="00245235"/>
    <w:rsid w:val="002471EC"/>
    <w:rsid w:val="002504D9"/>
    <w:rsid w:val="00252EEB"/>
    <w:rsid w:val="00254A3F"/>
    <w:rsid w:val="002561E5"/>
    <w:rsid w:val="00256FB0"/>
    <w:rsid w:val="002573F3"/>
    <w:rsid w:val="0025740F"/>
    <w:rsid w:val="00260483"/>
    <w:rsid w:val="0026158B"/>
    <w:rsid w:val="00261CED"/>
    <w:rsid w:val="00262139"/>
    <w:rsid w:val="00263A14"/>
    <w:rsid w:val="002652CE"/>
    <w:rsid w:val="00265565"/>
    <w:rsid w:val="002656AA"/>
    <w:rsid w:val="00265A81"/>
    <w:rsid w:val="0026637A"/>
    <w:rsid w:val="002669DB"/>
    <w:rsid w:val="00270C5E"/>
    <w:rsid w:val="00271636"/>
    <w:rsid w:val="00271CEA"/>
    <w:rsid w:val="00272FFF"/>
    <w:rsid w:val="002738F2"/>
    <w:rsid w:val="00274798"/>
    <w:rsid w:val="00276838"/>
    <w:rsid w:val="0027717B"/>
    <w:rsid w:val="00277218"/>
    <w:rsid w:val="00280C53"/>
    <w:rsid w:val="0028204A"/>
    <w:rsid w:val="002840C6"/>
    <w:rsid w:val="00284CFE"/>
    <w:rsid w:val="00285B31"/>
    <w:rsid w:val="00285D90"/>
    <w:rsid w:val="00286263"/>
    <w:rsid w:val="00287C4C"/>
    <w:rsid w:val="00291ADD"/>
    <w:rsid w:val="00291C03"/>
    <w:rsid w:val="00292408"/>
    <w:rsid w:val="00293511"/>
    <w:rsid w:val="0029413A"/>
    <w:rsid w:val="00297A6D"/>
    <w:rsid w:val="002A02D8"/>
    <w:rsid w:val="002A1DFC"/>
    <w:rsid w:val="002A32D5"/>
    <w:rsid w:val="002A501D"/>
    <w:rsid w:val="002B018F"/>
    <w:rsid w:val="002B4AA5"/>
    <w:rsid w:val="002B646C"/>
    <w:rsid w:val="002B7836"/>
    <w:rsid w:val="002B7DC7"/>
    <w:rsid w:val="002C0BEE"/>
    <w:rsid w:val="002C2142"/>
    <w:rsid w:val="002C26BC"/>
    <w:rsid w:val="002C2C1B"/>
    <w:rsid w:val="002C7411"/>
    <w:rsid w:val="002D0774"/>
    <w:rsid w:val="002D15FD"/>
    <w:rsid w:val="002D22D3"/>
    <w:rsid w:val="002D24F8"/>
    <w:rsid w:val="002D2C86"/>
    <w:rsid w:val="002D5340"/>
    <w:rsid w:val="002D76DE"/>
    <w:rsid w:val="002E3C53"/>
    <w:rsid w:val="002E40D4"/>
    <w:rsid w:val="002E4564"/>
    <w:rsid w:val="002E49AC"/>
    <w:rsid w:val="002E55CD"/>
    <w:rsid w:val="002E57DA"/>
    <w:rsid w:val="002E5A32"/>
    <w:rsid w:val="002F0D86"/>
    <w:rsid w:val="002F0FB8"/>
    <w:rsid w:val="002F1513"/>
    <w:rsid w:val="002F2CEC"/>
    <w:rsid w:val="002F4F73"/>
    <w:rsid w:val="002F5D86"/>
    <w:rsid w:val="0030138A"/>
    <w:rsid w:val="003016EE"/>
    <w:rsid w:val="00302D8A"/>
    <w:rsid w:val="003037B8"/>
    <w:rsid w:val="003044BE"/>
    <w:rsid w:val="00305C61"/>
    <w:rsid w:val="00306944"/>
    <w:rsid w:val="00310A3F"/>
    <w:rsid w:val="00315894"/>
    <w:rsid w:val="00317086"/>
    <w:rsid w:val="00321687"/>
    <w:rsid w:val="003226CF"/>
    <w:rsid w:val="003261EF"/>
    <w:rsid w:val="00326828"/>
    <w:rsid w:val="00327B47"/>
    <w:rsid w:val="00330E25"/>
    <w:rsid w:val="003334D7"/>
    <w:rsid w:val="00342A5D"/>
    <w:rsid w:val="0034402A"/>
    <w:rsid w:val="00344687"/>
    <w:rsid w:val="003447F8"/>
    <w:rsid w:val="00345054"/>
    <w:rsid w:val="00345812"/>
    <w:rsid w:val="00346727"/>
    <w:rsid w:val="003475E9"/>
    <w:rsid w:val="00347A35"/>
    <w:rsid w:val="00347BC0"/>
    <w:rsid w:val="00347EC0"/>
    <w:rsid w:val="00350032"/>
    <w:rsid w:val="003500A6"/>
    <w:rsid w:val="003502CF"/>
    <w:rsid w:val="00350F35"/>
    <w:rsid w:val="00351AE0"/>
    <w:rsid w:val="00351F5A"/>
    <w:rsid w:val="00353E9E"/>
    <w:rsid w:val="00355965"/>
    <w:rsid w:val="00356BB5"/>
    <w:rsid w:val="00357934"/>
    <w:rsid w:val="00357AB3"/>
    <w:rsid w:val="0036073E"/>
    <w:rsid w:val="003613B4"/>
    <w:rsid w:val="00361C8A"/>
    <w:rsid w:val="00361DDC"/>
    <w:rsid w:val="0036205F"/>
    <w:rsid w:val="00363CCB"/>
    <w:rsid w:val="00365EEB"/>
    <w:rsid w:val="00366741"/>
    <w:rsid w:val="00366A0A"/>
    <w:rsid w:val="00367074"/>
    <w:rsid w:val="00367F5F"/>
    <w:rsid w:val="0037041D"/>
    <w:rsid w:val="003713E3"/>
    <w:rsid w:val="00371CBD"/>
    <w:rsid w:val="00371F99"/>
    <w:rsid w:val="00372E44"/>
    <w:rsid w:val="00380273"/>
    <w:rsid w:val="0038167F"/>
    <w:rsid w:val="00381B2C"/>
    <w:rsid w:val="00382B24"/>
    <w:rsid w:val="00383521"/>
    <w:rsid w:val="00383D0D"/>
    <w:rsid w:val="0038424F"/>
    <w:rsid w:val="0038628B"/>
    <w:rsid w:val="00386365"/>
    <w:rsid w:val="0038783C"/>
    <w:rsid w:val="00391E30"/>
    <w:rsid w:val="00392DDB"/>
    <w:rsid w:val="00394787"/>
    <w:rsid w:val="00394EE8"/>
    <w:rsid w:val="0039541E"/>
    <w:rsid w:val="00397CDE"/>
    <w:rsid w:val="003A0B9D"/>
    <w:rsid w:val="003A2B3F"/>
    <w:rsid w:val="003A311C"/>
    <w:rsid w:val="003A3EA4"/>
    <w:rsid w:val="003A4981"/>
    <w:rsid w:val="003A53AE"/>
    <w:rsid w:val="003A5990"/>
    <w:rsid w:val="003A797D"/>
    <w:rsid w:val="003A798C"/>
    <w:rsid w:val="003A7B7E"/>
    <w:rsid w:val="003B0AEC"/>
    <w:rsid w:val="003B0FBD"/>
    <w:rsid w:val="003B17F9"/>
    <w:rsid w:val="003B1DDE"/>
    <w:rsid w:val="003B1EA6"/>
    <w:rsid w:val="003B25CD"/>
    <w:rsid w:val="003B2A66"/>
    <w:rsid w:val="003B3D6C"/>
    <w:rsid w:val="003C0737"/>
    <w:rsid w:val="003C0C78"/>
    <w:rsid w:val="003C0FD8"/>
    <w:rsid w:val="003C2AA9"/>
    <w:rsid w:val="003C355A"/>
    <w:rsid w:val="003C45B9"/>
    <w:rsid w:val="003C6A50"/>
    <w:rsid w:val="003C6B99"/>
    <w:rsid w:val="003D0610"/>
    <w:rsid w:val="003D3424"/>
    <w:rsid w:val="003D48F9"/>
    <w:rsid w:val="003D4DA3"/>
    <w:rsid w:val="003D668F"/>
    <w:rsid w:val="003D6C14"/>
    <w:rsid w:val="003D77BC"/>
    <w:rsid w:val="003E0665"/>
    <w:rsid w:val="003E1119"/>
    <w:rsid w:val="003E1780"/>
    <w:rsid w:val="003E2492"/>
    <w:rsid w:val="003E2644"/>
    <w:rsid w:val="003E2FED"/>
    <w:rsid w:val="003E3798"/>
    <w:rsid w:val="003E43B0"/>
    <w:rsid w:val="003E6BB3"/>
    <w:rsid w:val="003E77AE"/>
    <w:rsid w:val="003F0F26"/>
    <w:rsid w:val="003F1AA3"/>
    <w:rsid w:val="003F2506"/>
    <w:rsid w:val="003F3429"/>
    <w:rsid w:val="003F3B84"/>
    <w:rsid w:val="003F41E0"/>
    <w:rsid w:val="003F535E"/>
    <w:rsid w:val="00400195"/>
    <w:rsid w:val="00402077"/>
    <w:rsid w:val="0040370F"/>
    <w:rsid w:val="00403D06"/>
    <w:rsid w:val="00406C53"/>
    <w:rsid w:val="004101E4"/>
    <w:rsid w:val="00413EE1"/>
    <w:rsid w:val="0041460D"/>
    <w:rsid w:val="00414800"/>
    <w:rsid w:val="00414C29"/>
    <w:rsid w:val="00415852"/>
    <w:rsid w:val="00416650"/>
    <w:rsid w:val="00420E63"/>
    <w:rsid w:val="00420EEE"/>
    <w:rsid w:val="004224C6"/>
    <w:rsid w:val="00422DB3"/>
    <w:rsid w:val="004255E8"/>
    <w:rsid w:val="004259BB"/>
    <w:rsid w:val="004267C6"/>
    <w:rsid w:val="00430199"/>
    <w:rsid w:val="004310D3"/>
    <w:rsid w:val="00437EFA"/>
    <w:rsid w:val="0044151E"/>
    <w:rsid w:val="00441757"/>
    <w:rsid w:val="00442B98"/>
    <w:rsid w:val="00444EF5"/>
    <w:rsid w:val="00444F19"/>
    <w:rsid w:val="0044631E"/>
    <w:rsid w:val="00446B7E"/>
    <w:rsid w:val="00446E55"/>
    <w:rsid w:val="0045311E"/>
    <w:rsid w:val="004534C7"/>
    <w:rsid w:val="00453B73"/>
    <w:rsid w:val="004549BC"/>
    <w:rsid w:val="00455546"/>
    <w:rsid w:val="004559EE"/>
    <w:rsid w:val="00455E35"/>
    <w:rsid w:val="00460D94"/>
    <w:rsid w:val="004623F8"/>
    <w:rsid w:val="00462894"/>
    <w:rsid w:val="00462C07"/>
    <w:rsid w:val="00464C4C"/>
    <w:rsid w:val="00464DE0"/>
    <w:rsid w:val="004651C0"/>
    <w:rsid w:val="00465981"/>
    <w:rsid w:val="00466506"/>
    <w:rsid w:val="00466582"/>
    <w:rsid w:val="0046684C"/>
    <w:rsid w:val="00466BF0"/>
    <w:rsid w:val="00467282"/>
    <w:rsid w:val="00470826"/>
    <w:rsid w:val="0047149D"/>
    <w:rsid w:val="0047187F"/>
    <w:rsid w:val="004718FE"/>
    <w:rsid w:val="00472238"/>
    <w:rsid w:val="00472BCA"/>
    <w:rsid w:val="0047342B"/>
    <w:rsid w:val="00473F92"/>
    <w:rsid w:val="00474583"/>
    <w:rsid w:val="00474706"/>
    <w:rsid w:val="00475E4C"/>
    <w:rsid w:val="004765A3"/>
    <w:rsid w:val="00476986"/>
    <w:rsid w:val="00476C8E"/>
    <w:rsid w:val="0047702D"/>
    <w:rsid w:val="00477A92"/>
    <w:rsid w:val="00477B38"/>
    <w:rsid w:val="0048211F"/>
    <w:rsid w:val="004825E4"/>
    <w:rsid w:val="00487CB8"/>
    <w:rsid w:val="00490579"/>
    <w:rsid w:val="004909C1"/>
    <w:rsid w:val="00491AD9"/>
    <w:rsid w:val="00492735"/>
    <w:rsid w:val="00493EB9"/>
    <w:rsid w:val="0049468E"/>
    <w:rsid w:val="00495863"/>
    <w:rsid w:val="004966D9"/>
    <w:rsid w:val="00496ABB"/>
    <w:rsid w:val="0049731D"/>
    <w:rsid w:val="004A1B37"/>
    <w:rsid w:val="004A3D06"/>
    <w:rsid w:val="004A44F4"/>
    <w:rsid w:val="004A513B"/>
    <w:rsid w:val="004A5872"/>
    <w:rsid w:val="004A6C9C"/>
    <w:rsid w:val="004B01EF"/>
    <w:rsid w:val="004B0741"/>
    <w:rsid w:val="004B1430"/>
    <w:rsid w:val="004B373E"/>
    <w:rsid w:val="004B3D3E"/>
    <w:rsid w:val="004B3D63"/>
    <w:rsid w:val="004B4FF0"/>
    <w:rsid w:val="004B5C6D"/>
    <w:rsid w:val="004B6801"/>
    <w:rsid w:val="004B6899"/>
    <w:rsid w:val="004B6F37"/>
    <w:rsid w:val="004C2C42"/>
    <w:rsid w:val="004C3B42"/>
    <w:rsid w:val="004C5661"/>
    <w:rsid w:val="004C5E7D"/>
    <w:rsid w:val="004D012D"/>
    <w:rsid w:val="004D1678"/>
    <w:rsid w:val="004D19AC"/>
    <w:rsid w:val="004D28F0"/>
    <w:rsid w:val="004D305D"/>
    <w:rsid w:val="004D32E5"/>
    <w:rsid w:val="004D4A23"/>
    <w:rsid w:val="004D5524"/>
    <w:rsid w:val="004D795B"/>
    <w:rsid w:val="004E0FBF"/>
    <w:rsid w:val="004E1A93"/>
    <w:rsid w:val="004E3714"/>
    <w:rsid w:val="004E3A91"/>
    <w:rsid w:val="004E5380"/>
    <w:rsid w:val="004E55A3"/>
    <w:rsid w:val="004E6EBF"/>
    <w:rsid w:val="004F01E4"/>
    <w:rsid w:val="004F3109"/>
    <w:rsid w:val="004F6EF6"/>
    <w:rsid w:val="00501809"/>
    <w:rsid w:val="00501EA2"/>
    <w:rsid w:val="005049C2"/>
    <w:rsid w:val="00505918"/>
    <w:rsid w:val="005077BE"/>
    <w:rsid w:val="00507C9A"/>
    <w:rsid w:val="00512143"/>
    <w:rsid w:val="00512C76"/>
    <w:rsid w:val="0051490C"/>
    <w:rsid w:val="005163E1"/>
    <w:rsid w:val="00516D2D"/>
    <w:rsid w:val="00522AEF"/>
    <w:rsid w:val="00523002"/>
    <w:rsid w:val="00523056"/>
    <w:rsid w:val="0052346E"/>
    <w:rsid w:val="00523836"/>
    <w:rsid w:val="00524BBA"/>
    <w:rsid w:val="005256C1"/>
    <w:rsid w:val="00525DD1"/>
    <w:rsid w:val="005267BB"/>
    <w:rsid w:val="00526F4D"/>
    <w:rsid w:val="00531264"/>
    <w:rsid w:val="0053169F"/>
    <w:rsid w:val="00533F50"/>
    <w:rsid w:val="0053522A"/>
    <w:rsid w:val="0053547B"/>
    <w:rsid w:val="00535A3B"/>
    <w:rsid w:val="005405E4"/>
    <w:rsid w:val="00541647"/>
    <w:rsid w:val="005416C3"/>
    <w:rsid w:val="00541F3A"/>
    <w:rsid w:val="0054255E"/>
    <w:rsid w:val="005432A2"/>
    <w:rsid w:val="00543C89"/>
    <w:rsid w:val="005443EC"/>
    <w:rsid w:val="0055015A"/>
    <w:rsid w:val="0055028A"/>
    <w:rsid w:val="005502C7"/>
    <w:rsid w:val="00551F8C"/>
    <w:rsid w:val="00552F40"/>
    <w:rsid w:val="005538AA"/>
    <w:rsid w:val="00553CEA"/>
    <w:rsid w:val="00554BFB"/>
    <w:rsid w:val="00557F67"/>
    <w:rsid w:val="00561911"/>
    <w:rsid w:val="00561CA9"/>
    <w:rsid w:val="00567BE3"/>
    <w:rsid w:val="005731A4"/>
    <w:rsid w:val="005775BC"/>
    <w:rsid w:val="00580652"/>
    <w:rsid w:val="005813FA"/>
    <w:rsid w:val="005827D5"/>
    <w:rsid w:val="00584977"/>
    <w:rsid w:val="00586AF5"/>
    <w:rsid w:val="005879B1"/>
    <w:rsid w:val="005915C5"/>
    <w:rsid w:val="00591997"/>
    <w:rsid w:val="00591B96"/>
    <w:rsid w:val="00592153"/>
    <w:rsid w:val="005929CE"/>
    <w:rsid w:val="005958CD"/>
    <w:rsid w:val="005961BB"/>
    <w:rsid w:val="0059771F"/>
    <w:rsid w:val="005A3B43"/>
    <w:rsid w:val="005A45B7"/>
    <w:rsid w:val="005A5E72"/>
    <w:rsid w:val="005A6157"/>
    <w:rsid w:val="005A66B6"/>
    <w:rsid w:val="005A6840"/>
    <w:rsid w:val="005B00D1"/>
    <w:rsid w:val="005B23BA"/>
    <w:rsid w:val="005B3827"/>
    <w:rsid w:val="005B536C"/>
    <w:rsid w:val="005B5954"/>
    <w:rsid w:val="005B76D0"/>
    <w:rsid w:val="005B7D74"/>
    <w:rsid w:val="005C50CB"/>
    <w:rsid w:val="005C5E56"/>
    <w:rsid w:val="005C6168"/>
    <w:rsid w:val="005C794A"/>
    <w:rsid w:val="005C7C78"/>
    <w:rsid w:val="005D16FA"/>
    <w:rsid w:val="005D2A3F"/>
    <w:rsid w:val="005D34B3"/>
    <w:rsid w:val="005D4A14"/>
    <w:rsid w:val="005D4CDC"/>
    <w:rsid w:val="005D6C2D"/>
    <w:rsid w:val="005D7E6F"/>
    <w:rsid w:val="005E014A"/>
    <w:rsid w:val="005E0EA5"/>
    <w:rsid w:val="005E2CB2"/>
    <w:rsid w:val="005E2EEC"/>
    <w:rsid w:val="005E2EF6"/>
    <w:rsid w:val="005E403A"/>
    <w:rsid w:val="005E6742"/>
    <w:rsid w:val="005E700A"/>
    <w:rsid w:val="005E789A"/>
    <w:rsid w:val="005E7C64"/>
    <w:rsid w:val="005F3076"/>
    <w:rsid w:val="005F3D0C"/>
    <w:rsid w:val="005F3FDB"/>
    <w:rsid w:val="005F41A5"/>
    <w:rsid w:val="005F753A"/>
    <w:rsid w:val="005F7D6E"/>
    <w:rsid w:val="0060026F"/>
    <w:rsid w:val="00603669"/>
    <w:rsid w:val="0060387B"/>
    <w:rsid w:val="00604C61"/>
    <w:rsid w:val="00607080"/>
    <w:rsid w:val="00607DB9"/>
    <w:rsid w:val="006102C4"/>
    <w:rsid w:val="00612972"/>
    <w:rsid w:val="00613B35"/>
    <w:rsid w:val="0061445F"/>
    <w:rsid w:val="006161C3"/>
    <w:rsid w:val="006162AD"/>
    <w:rsid w:val="00621EEA"/>
    <w:rsid w:val="0062290A"/>
    <w:rsid w:val="006238CF"/>
    <w:rsid w:val="00623A4A"/>
    <w:rsid w:val="00623D7A"/>
    <w:rsid w:val="006241B7"/>
    <w:rsid w:val="00625DBE"/>
    <w:rsid w:val="00626123"/>
    <w:rsid w:val="006311F1"/>
    <w:rsid w:val="006314C3"/>
    <w:rsid w:val="006319FD"/>
    <w:rsid w:val="00632109"/>
    <w:rsid w:val="00642C09"/>
    <w:rsid w:val="00647C58"/>
    <w:rsid w:val="00650816"/>
    <w:rsid w:val="00650EE5"/>
    <w:rsid w:val="006511F7"/>
    <w:rsid w:val="0065213B"/>
    <w:rsid w:val="006522A6"/>
    <w:rsid w:val="0065362C"/>
    <w:rsid w:val="00656A13"/>
    <w:rsid w:val="00656DC2"/>
    <w:rsid w:val="00656E16"/>
    <w:rsid w:val="00660121"/>
    <w:rsid w:val="006612B5"/>
    <w:rsid w:val="00662719"/>
    <w:rsid w:val="00664BDB"/>
    <w:rsid w:val="00665A21"/>
    <w:rsid w:val="00665FD2"/>
    <w:rsid w:val="00667D6E"/>
    <w:rsid w:val="00670C4E"/>
    <w:rsid w:val="00671DA5"/>
    <w:rsid w:val="00672DC9"/>
    <w:rsid w:val="00674806"/>
    <w:rsid w:val="00676DF3"/>
    <w:rsid w:val="00677C2C"/>
    <w:rsid w:val="006809EF"/>
    <w:rsid w:val="0068424C"/>
    <w:rsid w:val="00684AE7"/>
    <w:rsid w:val="00686F9A"/>
    <w:rsid w:val="0069276D"/>
    <w:rsid w:val="006932F3"/>
    <w:rsid w:val="00694894"/>
    <w:rsid w:val="00694F1C"/>
    <w:rsid w:val="006960FD"/>
    <w:rsid w:val="00696209"/>
    <w:rsid w:val="00696348"/>
    <w:rsid w:val="0069636C"/>
    <w:rsid w:val="00696A6F"/>
    <w:rsid w:val="00696AFB"/>
    <w:rsid w:val="006A1130"/>
    <w:rsid w:val="006A117D"/>
    <w:rsid w:val="006A4727"/>
    <w:rsid w:val="006A6589"/>
    <w:rsid w:val="006A6DC7"/>
    <w:rsid w:val="006A7C4F"/>
    <w:rsid w:val="006B336E"/>
    <w:rsid w:val="006B3C54"/>
    <w:rsid w:val="006B4E08"/>
    <w:rsid w:val="006B517B"/>
    <w:rsid w:val="006B5367"/>
    <w:rsid w:val="006B62A3"/>
    <w:rsid w:val="006B6E2C"/>
    <w:rsid w:val="006C0777"/>
    <w:rsid w:val="006C0CA5"/>
    <w:rsid w:val="006C0DD3"/>
    <w:rsid w:val="006C117E"/>
    <w:rsid w:val="006C28F5"/>
    <w:rsid w:val="006C2D7D"/>
    <w:rsid w:val="006C5624"/>
    <w:rsid w:val="006C60EC"/>
    <w:rsid w:val="006D00B7"/>
    <w:rsid w:val="006D2767"/>
    <w:rsid w:val="006D4C9A"/>
    <w:rsid w:val="006D5A3B"/>
    <w:rsid w:val="006D61AE"/>
    <w:rsid w:val="006D7443"/>
    <w:rsid w:val="006E14FE"/>
    <w:rsid w:val="006E1B91"/>
    <w:rsid w:val="006E1BCA"/>
    <w:rsid w:val="006E1FBA"/>
    <w:rsid w:val="006E326D"/>
    <w:rsid w:val="006E5024"/>
    <w:rsid w:val="006E511E"/>
    <w:rsid w:val="006E593B"/>
    <w:rsid w:val="006E59AE"/>
    <w:rsid w:val="006E5EFA"/>
    <w:rsid w:val="006E6426"/>
    <w:rsid w:val="006E7A79"/>
    <w:rsid w:val="006F337E"/>
    <w:rsid w:val="006F70FD"/>
    <w:rsid w:val="006F7D86"/>
    <w:rsid w:val="00701F93"/>
    <w:rsid w:val="00703604"/>
    <w:rsid w:val="00703AA6"/>
    <w:rsid w:val="00704183"/>
    <w:rsid w:val="0070519C"/>
    <w:rsid w:val="00706656"/>
    <w:rsid w:val="00710B1F"/>
    <w:rsid w:val="00712A97"/>
    <w:rsid w:val="0071312E"/>
    <w:rsid w:val="00714923"/>
    <w:rsid w:val="00716CD4"/>
    <w:rsid w:val="00716E79"/>
    <w:rsid w:val="00717CA4"/>
    <w:rsid w:val="00720D89"/>
    <w:rsid w:val="00720FAA"/>
    <w:rsid w:val="00721008"/>
    <w:rsid w:val="00721E3C"/>
    <w:rsid w:val="00721F32"/>
    <w:rsid w:val="0072276A"/>
    <w:rsid w:val="00723964"/>
    <w:rsid w:val="0072469D"/>
    <w:rsid w:val="00727AA5"/>
    <w:rsid w:val="0073062A"/>
    <w:rsid w:val="00730BD6"/>
    <w:rsid w:val="00730C82"/>
    <w:rsid w:val="007374E3"/>
    <w:rsid w:val="00737709"/>
    <w:rsid w:val="00740897"/>
    <w:rsid w:val="007414C4"/>
    <w:rsid w:val="007414E5"/>
    <w:rsid w:val="00741BE6"/>
    <w:rsid w:val="00741E5B"/>
    <w:rsid w:val="0074451A"/>
    <w:rsid w:val="007452D2"/>
    <w:rsid w:val="00745FCB"/>
    <w:rsid w:val="0074646B"/>
    <w:rsid w:val="00746F13"/>
    <w:rsid w:val="00747CEA"/>
    <w:rsid w:val="007506D4"/>
    <w:rsid w:val="007518CA"/>
    <w:rsid w:val="00752AAB"/>
    <w:rsid w:val="0075443F"/>
    <w:rsid w:val="00754E30"/>
    <w:rsid w:val="00755EE7"/>
    <w:rsid w:val="00760811"/>
    <w:rsid w:val="00760EDD"/>
    <w:rsid w:val="0076113A"/>
    <w:rsid w:val="00762E35"/>
    <w:rsid w:val="0076468A"/>
    <w:rsid w:val="00765CC9"/>
    <w:rsid w:val="0076647D"/>
    <w:rsid w:val="00767D56"/>
    <w:rsid w:val="00772582"/>
    <w:rsid w:val="00772BA8"/>
    <w:rsid w:val="0077308B"/>
    <w:rsid w:val="007763B9"/>
    <w:rsid w:val="00776F48"/>
    <w:rsid w:val="00777176"/>
    <w:rsid w:val="007802C2"/>
    <w:rsid w:val="00783883"/>
    <w:rsid w:val="00783EC1"/>
    <w:rsid w:val="007847A5"/>
    <w:rsid w:val="00784CF7"/>
    <w:rsid w:val="007862F5"/>
    <w:rsid w:val="00786539"/>
    <w:rsid w:val="00786FAA"/>
    <w:rsid w:val="00787B93"/>
    <w:rsid w:val="0079097D"/>
    <w:rsid w:val="00790B58"/>
    <w:rsid w:val="00790DA0"/>
    <w:rsid w:val="00790FBE"/>
    <w:rsid w:val="00793329"/>
    <w:rsid w:val="00794831"/>
    <w:rsid w:val="00794ACC"/>
    <w:rsid w:val="00796498"/>
    <w:rsid w:val="007A009A"/>
    <w:rsid w:val="007A01DC"/>
    <w:rsid w:val="007A1295"/>
    <w:rsid w:val="007A16D4"/>
    <w:rsid w:val="007A1E61"/>
    <w:rsid w:val="007A3175"/>
    <w:rsid w:val="007A4503"/>
    <w:rsid w:val="007A6AF0"/>
    <w:rsid w:val="007A711F"/>
    <w:rsid w:val="007A7B26"/>
    <w:rsid w:val="007B1667"/>
    <w:rsid w:val="007B29CB"/>
    <w:rsid w:val="007B2BF5"/>
    <w:rsid w:val="007B4BA2"/>
    <w:rsid w:val="007B6E07"/>
    <w:rsid w:val="007B6F5F"/>
    <w:rsid w:val="007B7939"/>
    <w:rsid w:val="007C04E6"/>
    <w:rsid w:val="007C1437"/>
    <w:rsid w:val="007C14F8"/>
    <w:rsid w:val="007C2BF0"/>
    <w:rsid w:val="007C2EB1"/>
    <w:rsid w:val="007C2FF2"/>
    <w:rsid w:val="007C380F"/>
    <w:rsid w:val="007C3CC7"/>
    <w:rsid w:val="007C4488"/>
    <w:rsid w:val="007C512D"/>
    <w:rsid w:val="007C5882"/>
    <w:rsid w:val="007D0AAE"/>
    <w:rsid w:val="007D1A3B"/>
    <w:rsid w:val="007D20AB"/>
    <w:rsid w:val="007D3778"/>
    <w:rsid w:val="007D4E85"/>
    <w:rsid w:val="007D5789"/>
    <w:rsid w:val="007D6170"/>
    <w:rsid w:val="007E055B"/>
    <w:rsid w:val="007E10FA"/>
    <w:rsid w:val="007E15E9"/>
    <w:rsid w:val="007E26F1"/>
    <w:rsid w:val="007E2E4E"/>
    <w:rsid w:val="007E6FDA"/>
    <w:rsid w:val="007F2517"/>
    <w:rsid w:val="007F2687"/>
    <w:rsid w:val="007F31E6"/>
    <w:rsid w:val="007F3A77"/>
    <w:rsid w:val="008009B4"/>
    <w:rsid w:val="0080117C"/>
    <w:rsid w:val="008016AD"/>
    <w:rsid w:val="008027A9"/>
    <w:rsid w:val="0080332F"/>
    <w:rsid w:val="008044B5"/>
    <w:rsid w:val="00805566"/>
    <w:rsid w:val="00810937"/>
    <w:rsid w:val="008109D3"/>
    <w:rsid w:val="00812BC8"/>
    <w:rsid w:val="0081754A"/>
    <w:rsid w:val="00817A0C"/>
    <w:rsid w:val="00821523"/>
    <w:rsid w:val="00822A6C"/>
    <w:rsid w:val="0082327C"/>
    <w:rsid w:val="00824619"/>
    <w:rsid w:val="0082723A"/>
    <w:rsid w:val="00827EAC"/>
    <w:rsid w:val="00830610"/>
    <w:rsid w:val="00830FA3"/>
    <w:rsid w:val="00830FDE"/>
    <w:rsid w:val="0083279C"/>
    <w:rsid w:val="00832CD3"/>
    <w:rsid w:val="00832E8D"/>
    <w:rsid w:val="00833D82"/>
    <w:rsid w:val="0083438D"/>
    <w:rsid w:val="00834AC1"/>
    <w:rsid w:val="00834FAB"/>
    <w:rsid w:val="00835E6E"/>
    <w:rsid w:val="00835FDB"/>
    <w:rsid w:val="00836707"/>
    <w:rsid w:val="00837693"/>
    <w:rsid w:val="0084220B"/>
    <w:rsid w:val="00842E9C"/>
    <w:rsid w:val="00843276"/>
    <w:rsid w:val="00843FFA"/>
    <w:rsid w:val="0084519A"/>
    <w:rsid w:val="00846D5C"/>
    <w:rsid w:val="008513B7"/>
    <w:rsid w:val="00851A64"/>
    <w:rsid w:val="008568A8"/>
    <w:rsid w:val="00856A34"/>
    <w:rsid w:val="00856A58"/>
    <w:rsid w:val="00857324"/>
    <w:rsid w:val="0086201B"/>
    <w:rsid w:val="00863227"/>
    <w:rsid w:val="008634DD"/>
    <w:rsid w:val="00863F03"/>
    <w:rsid w:val="0086657B"/>
    <w:rsid w:val="00866E10"/>
    <w:rsid w:val="0087067B"/>
    <w:rsid w:val="00871669"/>
    <w:rsid w:val="00876663"/>
    <w:rsid w:val="00877CA9"/>
    <w:rsid w:val="00883A58"/>
    <w:rsid w:val="008840B6"/>
    <w:rsid w:val="008842CE"/>
    <w:rsid w:val="0088493B"/>
    <w:rsid w:val="008862AD"/>
    <w:rsid w:val="00890450"/>
    <w:rsid w:val="00892A1F"/>
    <w:rsid w:val="00895029"/>
    <w:rsid w:val="0089598B"/>
    <w:rsid w:val="00896211"/>
    <w:rsid w:val="00896813"/>
    <w:rsid w:val="008968A8"/>
    <w:rsid w:val="0089690A"/>
    <w:rsid w:val="00896DD8"/>
    <w:rsid w:val="00897120"/>
    <w:rsid w:val="0089746F"/>
    <w:rsid w:val="00897707"/>
    <w:rsid w:val="00897AA0"/>
    <w:rsid w:val="008A063C"/>
    <w:rsid w:val="008A1115"/>
    <w:rsid w:val="008A200C"/>
    <w:rsid w:val="008A2832"/>
    <w:rsid w:val="008A2A3F"/>
    <w:rsid w:val="008A3666"/>
    <w:rsid w:val="008A64E6"/>
    <w:rsid w:val="008A6A47"/>
    <w:rsid w:val="008B1306"/>
    <w:rsid w:val="008B1928"/>
    <w:rsid w:val="008B2382"/>
    <w:rsid w:val="008B2D05"/>
    <w:rsid w:val="008B39FC"/>
    <w:rsid w:val="008B3D64"/>
    <w:rsid w:val="008B713D"/>
    <w:rsid w:val="008C02FA"/>
    <w:rsid w:val="008C12BE"/>
    <w:rsid w:val="008C2806"/>
    <w:rsid w:val="008C3A33"/>
    <w:rsid w:val="008C4457"/>
    <w:rsid w:val="008C5220"/>
    <w:rsid w:val="008C6141"/>
    <w:rsid w:val="008C6925"/>
    <w:rsid w:val="008C742B"/>
    <w:rsid w:val="008C7D45"/>
    <w:rsid w:val="008D09E3"/>
    <w:rsid w:val="008D0C10"/>
    <w:rsid w:val="008D28D9"/>
    <w:rsid w:val="008D374A"/>
    <w:rsid w:val="008D4170"/>
    <w:rsid w:val="008D4C58"/>
    <w:rsid w:val="008D51A3"/>
    <w:rsid w:val="008D6198"/>
    <w:rsid w:val="008D6614"/>
    <w:rsid w:val="008D744C"/>
    <w:rsid w:val="008E02C9"/>
    <w:rsid w:val="008E0F6F"/>
    <w:rsid w:val="008E1127"/>
    <w:rsid w:val="008E11DD"/>
    <w:rsid w:val="008E51D0"/>
    <w:rsid w:val="008F3967"/>
    <w:rsid w:val="008F4E0F"/>
    <w:rsid w:val="008F5DA0"/>
    <w:rsid w:val="0090042C"/>
    <w:rsid w:val="0090087C"/>
    <w:rsid w:val="00902951"/>
    <w:rsid w:val="00904547"/>
    <w:rsid w:val="009073A4"/>
    <w:rsid w:val="00907601"/>
    <w:rsid w:val="009078A3"/>
    <w:rsid w:val="00907DE8"/>
    <w:rsid w:val="00910D2B"/>
    <w:rsid w:val="009115C8"/>
    <w:rsid w:val="009125DF"/>
    <w:rsid w:val="009126C6"/>
    <w:rsid w:val="00912809"/>
    <w:rsid w:val="00912F3E"/>
    <w:rsid w:val="00912F72"/>
    <w:rsid w:val="009140A1"/>
    <w:rsid w:val="00915079"/>
    <w:rsid w:val="00915501"/>
    <w:rsid w:val="00917380"/>
    <w:rsid w:val="00917EA3"/>
    <w:rsid w:val="00920E59"/>
    <w:rsid w:val="0092304B"/>
    <w:rsid w:val="00923F2D"/>
    <w:rsid w:val="00924321"/>
    <w:rsid w:val="009252DC"/>
    <w:rsid w:val="00925F24"/>
    <w:rsid w:val="00926408"/>
    <w:rsid w:val="0092791D"/>
    <w:rsid w:val="0093142A"/>
    <w:rsid w:val="009335FF"/>
    <w:rsid w:val="0093574F"/>
    <w:rsid w:val="00936AB8"/>
    <w:rsid w:val="00940C84"/>
    <w:rsid w:val="0094167E"/>
    <w:rsid w:val="00941F30"/>
    <w:rsid w:val="00942FC2"/>
    <w:rsid w:val="009456D4"/>
    <w:rsid w:val="009457B9"/>
    <w:rsid w:val="00946878"/>
    <w:rsid w:val="00947651"/>
    <w:rsid w:val="00950A95"/>
    <w:rsid w:val="00952F4C"/>
    <w:rsid w:val="00953DC8"/>
    <w:rsid w:val="0095712B"/>
    <w:rsid w:val="009601D8"/>
    <w:rsid w:val="00961316"/>
    <w:rsid w:val="00962F00"/>
    <w:rsid w:val="00963747"/>
    <w:rsid w:val="009660A1"/>
    <w:rsid w:val="009665AD"/>
    <w:rsid w:val="00966AFF"/>
    <w:rsid w:val="0097123D"/>
    <w:rsid w:val="00971BEA"/>
    <w:rsid w:val="00973162"/>
    <w:rsid w:val="00973EA1"/>
    <w:rsid w:val="00974C24"/>
    <w:rsid w:val="0097500B"/>
    <w:rsid w:val="00975131"/>
    <w:rsid w:val="00975B0B"/>
    <w:rsid w:val="00975C05"/>
    <w:rsid w:val="009779DD"/>
    <w:rsid w:val="0098161D"/>
    <w:rsid w:val="009816B9"/>
    <w:rsid w:val="00981EE6"/>
    <w:rsid w:val="00984890"/>
    <w:rsid w:val="00985538"/>
    <w:rsid w:val="009862DC"/>
    <w:rsid w:val="009865A1"/>
    <w:rsid w:val="0098719C"/>
    <w:rsid w:val="009909EF"/>
    <w:rsid w:val="009931EF"/>
    <w:rsid w:val="00993D79"/>
    <w:rsid w:val="0099513E"/>
    <w:rsid w:val="00997D83"/>
    <w:rsid w:val="009A0AEB"/>
    <w:rsid w:val="009A19A8"/>
    <w:rsid w:val="009A215C"/>
    <w:rsid w:val="009A22CF"/>
    <w:rsid w:val="009A2660"/>
    <w:rsid w:val="009A2F7A"/>
    <w:rsid w:val="009A4A66"/>
    <w:rsid w:val="009A4AEB"/>
    <w:rsid w:val="009A517B"/>
    <w:rsid w:val="009A655F"/>
    <w:rsid w:val="009A701A"/>
    <w:rsid w:val="009B0E45"/>
    <w:rsid w:val="009B2577"/>
    <w:rsid w:val="009B445E"/>
    <w:rsid w:val="009B5717"/>
    <w:rsid w:val="009C0BBB"/>
    <w:rsid w:val="009C11B9"/>
    <w:rsid w:val="009C373C"/>
    <w:rsid w:val="009C4514"/>
    <w:rsid w:val="009D166D"/>
    <w:rsid w:val="009D2A0D"/>
    <w:rsid w:val="009D3019"/>
    <w:rsid w:val="009D3250"/>
    <w:rsid w:val="009D3C5E"/>
    <w:rsid w:val="009D4680"/>
    <w:rsid w:val="009D6177"/>
    <w:rsid w:val="009D7F66"/>
    <w:rsid w:val="009E1058"/>
    <w:rsid w:val="009E4C4C"/>
    <w:rsid w:val="009E56B4"/>
    <w:rsid w:val="009E570C"/>
    <w:rsid w:val="009E5E4E"/>
    <w:rsid w:val="009E6B5F"/>
    <w:rsid w:val="009E6C10"/>
    <w:rsid w:val="009F4696"/>
    <w:rsid w:val="009F5CB2"/>
    <w:rsid w:val="009F62AB"/>
    <w:rsid w:val="009F6574"/>
    <w:rsid w:val="009F6FC7"/>
    <w:rsid w:val="009F7C4A"/>
    <w:rsid w:val="00A00502"/>
    <w:rsid w:val="00A007BF"/>
    <w:rsid w:val="00A0112B"/>
    <w:rsid w:val="00A01317"/>
    <w:rsid w:val="00A0230A"/>
    <w:rsid w:val="00A03F96"/>
    <w:rsid w:val="00A05AFB"/>
    <w:rsid w:val="00A05EB9"/>
    <w:rsid w:val="00A0627E"/>
    <w:rsid w:val="00A06613"/>
    <w:rsid w:val="00A10313"/>
    <w:rsid w:val="00A10326"/>
    <w:rsid w:val="00A109CE"/>
    <w:rsid w:val="00A114E7"/>
    <w:rsid w:val="00A12EEF"/>
    <w:rsid w:val="00A13007"/>
    <w:rsid w:val="00A1386D"/>
    <w:rsid w:val="00A14A59"/>
    <w:rsid w:val="00A154E3"/>
    <w:rsid w:val="00A15DD0"/>
    <w:rsid w:val="00A15F11"/>
    <w:rsid w:val="00A17619"/>
    <w:rsid w:val="00A214AB"/>
    <w:rsid w:val="00A21B71"/>
    <w:rsid w:val="00A23569"/>
    <w:rsid w:val="00A238C1"/>
    <w:rsid w:val="00A24E3A"/>
    <w:rsid w:val="00A261C8"/>
    <w:rsid w:val="00A269F2"/>
    <w:rsid w:val="00A26D57"/>
    <w:rsid w:val="00A3068F"/>
    <w:rsid w:val="00A33AC8"/>
    <w:rsid w:val="00A340D8"/>
    <w:rsid w:val="00A368E9"/>
    <w:rsid w:val="00A37639"/>
    <w:rsid w:val="00A400E9"/>
    <w:rsid w:val="00A406D7"/>
    <w:rsid w:val="00A40869"/>
    <w:rsid w:val="00A41717"/>
    <w:rsid w:val="00A42EE4"/>
    <w:rsid w:val="00A43801"/>
    <w:rsid w:val="00A43DA7"/>
    <w:rsid w:val="00A47582"/>
    <w:rsid w:val="00A47D72"/>
    <w:rsid w:val="00A50026"/>
    <w:rsid w:val="00A500F0"/>
    <w:rsid w:val="00A509C6"/>
    <w:rsid w:val="00A515E4"/>
    <w:rsid w:val="00A5302F"/>
    <w:rsid w:val="00A53ABC"/>
    <w:rsid w:val="00A53C11"/>
    <w:rsid w:val="00A559A2"/>
    <w:rsid w:val="00A55CF5"/>
    <w:rsid w:val="00A573F2"/>
    <w:rsid w:val="00A611A2"/>
    <w:rsid w:val="00A62EF3"/>
    <w:rsid w:val="00A64DBF"/>
    <w:rsid w:val="00A65770"/>
    <w:rsid w:val="00A65AEB"/>
    <w:rsid w:val="00A66002"/>
    <w:rsid w:val="00A6686B"/>
    <w:rsid w:val="00A66CB1"/>
    <w:rsid w:val="00A66CFB"/>
    <w:rsid w:val="00A71A83"/>
    <w:rsid w:val="00A72771"/>
    <w:rsid w:val="00A73044"/>
    <w:rsid w:val="00A73577"/>
    <w:rsid w:val="00A735CC"/>
    <w:rsid w:val="00A74E65"/>
    <w:rsid w:val="00A808EE"/>
    <w:rsid w:val="00A843FC"/>
    <w:rsid w:val="00A9025D"/>
    <w:rsid w:val="00A928FC"/>
    <w:rsid w:val="00A9421D"/>
    <w:rsid w:val="00A9453F"/>
    <w:rsid w:val="00A95CE2"/>
    <w:rsid w:val="00A96594"/>
    <w:rsid w:val="00A96A02"/>
    <w:rsid w:val="00A96B02"/>
    <w:rsid w:val="00A97270"/>
    <w:rsid w:val="00AA38A3"/>
    <w:rsid w:val="00AA5B10"/>
    <w:rsid w:val="00AB0F8F"/>
    <w:rsid w:val="00AB2A7D"/>
    <w:rsid w:val="00AB62C7"/>
    <w:rsid w:val="00AB7A1A"/>
    <w:rsid w:val="00AB7C61"/>
    <w:rsid w:val="00AC2A3E"/>
    <w:rsid w:val="00AC4FD1"/>
    <w:rsid w:val="00AC5D00"/>
    <w:rsid w:val="00AC6CE4"/>
    <w:rsid w:val="00AD01A1"/>
    <w:rsid w:val="00AD0259"/>
    <w:rsid w:val="00AD125F"/>
    <w:rsid w:val="00AD3F23"/>
    <w:rsid w:val="00AD5648"/>
    <w:rsid w:val="00AE0171"/>
    <w:rsid w:val="00AE055D"/>
    <w:rsid w:val="00AE1212"/>
    <w:rsid w:val="00AE1824"/>
    <w:rsid w:val="00AE2320"/>
    <w:rsid w:val="00AE2809"/>
    <w:rsid w:val="00AE2FF1"/>
    <w:rsid w:val="00AE5957"/>
    <w:rsid w:val="00AE69CD"/>
    <w:rsid w:val="00AE770E"/>
    <w:rsid w:val="00AE78A3"/>
    <w:rsid w:val="00AE7A5A"/>
    <w:rsid w:val="00AF14E2"/>
    <w:rsid w:val="00AF27CC"/>
    <w:rsid w:val="00AF332B"/>
    <w:rsid w:val="00AF53DE"/>
    <w:rsid w:val="00AF647D"/>
    <w:rsid w:val="00B006A1"/>
    <w:rsid w:val="00B00B72"/>
    <w:rsid w:val="00B00DBC"/>
    <w:rsid w:val="00B013B0"/>
    <w:rsid w:val="00B02550"/>
    <w:rsid w:val="00B02754"/>
    <w:rsid w:val="00B03663"/>
    <w:rsid w:val="00B03C83"/>
    <w:rsid w:val="00B03D7E"/>
    <w:rsid w:val="00B05682"/>
    <w:rsid w:val="00B05D7B"/>
    <w:rsid w:val="00B06327"/>
    <w:rsid w:val="00B0744B"/>
    <w:rsid w:val="00B07AE6"/>
    <w:rsid w:val="00B07FF0"/>
    <w:rsid w:val="00B112A1"/>
    <w:rsid w:val="00B13133"/>
    <w:rsid w:val="00B135E7"/>
    <w:rsid w:val="00B14467"/>
    <w:rsid w:val="00B151D4"/>
    <w:rsid w:val="00B17712"/>
    <w:rsid w:val="00B22FC8"/>
    <w:rsid w:val="00B22FFD"/>
    <w:rsid w:val="00B245F7"/>
    <w:rsid w:val="00B27119"/>
    <w:rsid w:val="00B27B3A"/>
    <w:rsid w:val="00B30A19"/>
    <w:rsid w:val="00B32AF5"/>
    <w:rsid w:val="00B32EAD"/>
    <w:rsid w:val="00B330F8"/>
    <w:rsid w:val="00B34AB8"/>
    <w:rsid w:val="00B35BDF"/>
    <w:rsid w:val="00B36B44"/>
    <w:rsid w:val="00B36F5D"/>
    <w:rsid w:val="00B418D4"/>
    <w:rsid w:val="00B42510"/>
    <w:rsid w:val="00B42767"/>
    <w:rsid w:val="00B438F7"/>
    <w:rsid w:val="00B46D77"/>
    <w:rsid w:val="00B50194"/>
    <w:rsid w:val="00B503BE"/>
    <w:rsid w:val="00B520B9"/>
    <w:rsid w:val="00B54350"/>
    <w:rsid w:val="00B60209"/>
    <w:rsid w:val="00B609B0"/>
    <w:rsid w:val="00B618ED"/>
    <w:rsid w:val="00B61A15"/>
    <w:rsid w:val="00B63A01"/>
    <w:rsid w:val="00B64B9B"/>
    <w:rsid w:val="00B65587"/>
    <w:rsid w:val="00B66068"/>
    <w:rsid w:val="00B66A3C"/>
    <w:rsid w:val="00B66B2A"/>
    <w:rsid w:val="00B70A36"/>
    <w:rsid w:val="00B72493"/>
    <w:rsid w:val="00B771CA"/>
    <w:rsid w:val="00B8104F"/>
    <w:rsid w:val="00B84C98"/>
    <w:rsid w:val="00B853FB"/>
    <w:rsid w:val="00B8542C"/>
    <w:rsid w:val="00B8570F"/>
    <w:rsid w:val="00B86EF5"/>
    <w:rsid w:val="00B87D8F"/>
    <w:rsid w:val="00B908E3"/>
    <w:rsid w:val="00B90D88"/>
    <w:rsid w:val="00B9206C"/>
    <w:rsid w:val="00B9244A"/>
    <w:rsid w:val="00B92EAC"/>
    <w:rsid w:val="00B941FA"/>
    <w:rsid w:val="00B95CFA"/>
    <w:rsid w:val="00B96DDD"/>
    <w:rsid w:val="00BA3C56"/>
    <w:rsid w:val="00BA51F3"/>
    <w:rsid w:val="00BA5AE6"/>
    <w:rsid w:val="00BA6315"/>
    <w:rsid w:val="00BA72AC"/>
    <w:rsid w:val="00BA7B04"/>
    <w:rsid w:val="00BB08C0"/>
    <w:rsid w:val="00BB1358"/>
    <w:rsid w:val="00BB1379"/>
    <w:rsid w:val="00BB16BD"/>
    <w:rsid w:val="00BB1715"/>
    <w:rsid w:val="00BB69D2"/>
    <w:rsid w:val="00BB7624"/>
    <w:rsid w:val="00BB764C"/>
    <w:rsid w:val="00BB7DE4"/>
    <w:rsid w:val="00BC0E31"/>
    <w:rsid w:val="00BC2F4B"/>
    <w:rsid w:val="00BC51FA"/>
    <w:rsid w:val="00BC60C4"/>
    <w:rsid w:val="00BC72C2"/>
    <w:rsid w:val="00BC7B04"/>
    <w:rsid w:val="00BD001F"/>
    <w:rsid w:val="00BD06FD"/>
    <w:rsid w:val="00BD2230"/>
    <w:rsid w:val="00BD26E0"/>
    <w:rsid w:val="00BD2F95"/>
    <w:rsid w:val="00BD3F00"/>
    <w:rsid w:val="00BD5D57"/>
    <w:rsid w:val="00BD6074"/>
    <w:rsid w:val="00BD6309"/>
    <w:rsid w:val="00BE0DC4"/>
    <w:rsid w:val="00BE250E"/>
    <w:rsid w:val="00BE2726"/>
    <w:rsid w:val="00BE3163"/>
    <w:rsid w:val="00BE65EE"/>
    <w:rsid w:val="00BF05A6"/>
    <w:rsid w:val="00BF1E9D"/>
    <w:rsid w:val="00BF2D8E"/>
    <w:rsid w:val="00BF33C2"/>
    <w:rsid w:val="00BF391F"/>
    <w:rsid w:val="00BF3ABA"/>
    <w:rsid w:val="00BF3CD2"/>
    <w:rsid w:val="00BF5673"/>
    <w:rsid w:val="00C003BE"/>
    <w:rsid w:val="00C01094"/>
    <w:rsid w:val="00C02A5E"/>
    <w:rsid w:val="00C032AE"/>
    <w:rsid w:val="00C03375"/>
    <w:rsid w:val="00C0547A"/>
    <w:rsid w:val="00C057A7"/>
    <w:rsid w:val="00C06CDC"/>
    <w:rsid w:val="00C07C53"/>
    <w:rsid w:val="00C1085B"/>
    <w:rsid w:val="00C10B0E"/>
    <w:rsid w:val="00C10D36"/>
    <w:rsid w:val="00C111CE"/>
    <w:rsid w:val="00C1243C"/>
    <w:rsid w:val="00C12CB2"/>
    <w:rsid w:val="00C13C18"/>
    <w:rsid w:val="00C17028"/>
    <w:rsid w:val="00C17BCB"/>
    <w:rsid w:val="00C17F1A"/>
    <w:rsid w:val="00C20183"/>
    <w:rsid w:val="00C2030F"/>
    <w:rsid w:val="00C21E29"/>
    <w:rsid w:val="00C22327"/>
    <w:rsid w:val="00C2483B"/>
    <w:rsid w:val="00C24A70"/>
    <w:rsid w:val="00C255DB"/>
    <w:rsid w:val="00C25D56"/>
    <w:rsid w:val="00C31AA3"/>
    <w:rsid w:val="00C32331"/>
    <w:rsid w:val="00C32815"/>
    <w:rsid w:val="00C33A85"/>
    <w:rsid w:val="00C34195"/>
    <w:rsid w:val="00C36360"/>
    <w:rsid w:val="00C36F7F"/>
    <w:rsid w:val="00C418ED"/>
    <w:rsid w:val="00C42B7B"/>
    <w:rsid w:val="00C435E4"/>
    <w:rsid w:val="00C4568E"/>
    <w:rsid w:val="00C45B27"/>
    <w:rsid w:val="00C5126B"/>
    <w:rsid w:val="00C5482B"/>
    <w:rsid w:val="00C56A66"/>
    <w:rsid w:val="00C56DA8"/>
    <w:rsid w:val="00C571FB"/>
    <w:rsid w:val="00C62357"/>
    <w:rsid w:val="00C62935"/>
    <w:rsid w:val="00C639F6"/>
    <w:rsid w:val="00C64265"/>
    <w:rsid w:val="00C64658"/>
    <w:rsid w:val="00C670D4"/>
    <w:rsid w:val="00C6782A"/>
    <w:rsid w:val="00C721D4"/>
    <w:rsid w:val="00C72A8A"/>
    <w:rsid w:val="00C72D60"/>
    <w:rsid w:val="00C72EB6"/>
    <w:rsid w:val="00C759EF"/>
    <w:rsid w:val="00C77227"/>
    <w:rsid w:val="00C82547"/>
    <w:rsid w:val="00C8400B"/>
    <w:rsid w:val="00C84767"/>
    <w:rsid w:val="00C84EB0"/>
    <w:rsid w:val="00C86EB2"/>
    <w:rsid w:val="00C874DF"/>
    <w:rsid w:val="00C8779D"/>
    <w:rsid w:val="00C906D9"/>
    <w:rsid w:val="00C91D32"/>
    <w:rsid w:val="00C91E39"/>
    <w:rsid w:val="00C92109"/>
    <w:rsid w:val="00C9252D"/>
    <w:rsid w:val="00C95568"/>
    <w:rsid w:val="00C96558"/>
    <w:rsid w:val="00C97DAC"/>
    <w:rsid w:val="00CA0345"/>
    <w:rsid w:val="00CA0C16"/>
    <w:rsid w:val="00CA49C6"/>
    <w:rsid w:val="00CA4A60"/>
    <w:rsid w:val="00CA4B0A"/>
    <w:rsid w:val="00CA7807"/>
    <w:rsid w:val="00CA7AD1"/>
    <w:rsid w:val="00CA7F65"/>
    <w:rsid w:val="00CB0077"/>
    <w:rsid w:val="00CB129D"/>
    <w:rsid w:val="00CB21C0"/>
    <w:rsid w:val="00CB26BE"/>
    <w:rsid w:val="00CB407B"/>
    <w:rsid w:val="00CB4A4E"/>
    <w:rsid w:val="00CB522B"/>
    <w:rsid w:val="00CB5E79"/>
    <w:rsid w:val="00CB71B0"/>
    <w:rsid w:val="00CC1884"/>
    <w:rsid w:val="00CC34C9"/>
    <w:rsid w:val="00CC352E"/>
    <w:rsid w:val="00CC7CE3"/>
    <w:rsid w:val="00CD1D62"/>
    <w:rsid w:val="00CD2145"/>
    <w:rsid w:val="00CD25F3"/>
    <w:rsid w:val="00CD4FDB"/>
    <w:rsid w:val="00CD648A"/>
    <w:rsid w:val="00CD6C57"/>
    <w:rsid w:val="00CD73B8"/>
    <w:rsid w:val="00CD768B"/>
    <w:rsid w:val="00CE02F5"/>
    <w:rsid w:val="00CE0666"/>
    <w:rsid w:val="00CE1494"/>
    <w:rsid w:val="00CE275F"/>
    <w:rsid w:val="00CE3AD8"/>
    <w:rsid w:val="00CE4443"/>
    <w:rsid w:val="00CE4B99"/>
    <w:rsid w:val="00CE6B63"/>
    <w:rsid w:val="00CE6CA8"/>
    <w:rsid w:val="00CF0399"/>
    <w:rsid w:val="00CF0CE3"/>
    <w:rsid w:val="00CF3A10"/>
    <w:rsid w:val="00CF769C"/>
    <w:rsid w:val="00CF7B4B"/>
    <w:rsid w:val="00D00527"/>
    <w:rsid w:val="00D0239E"/>
    <w:rsid w:val="00D02BE8"/>
    <w:rsid w:val="00D06427"/>
    <w:rsid w:val="00D06A84"/>
    <w:rsid w:val="00D06AEB"/>
    <w:rsid w:val="00D0740F"/>
    <w:rsid w:val="00D07419"/>
    <w:rsid w:val="00D10061"/>
    <w:rsid w:val="00D10632"/>
    <w:rsid w:val="00D1182D"/>
    <w:rsid w:val="00D11CD8"/>
    <w:rsid w:val="00D11F28"/>
    <w:rsid w:val="00D12178"/>
    <w:rsid w:val="00D13F94"/>
    <w:rsid w:val="00D14248"/>
    <w:rsid w:val="00D1486B"/>
    <w:rsid w:val="00D15626"/>
    <w:rsid w:val="00D163ED"/>
    <w:rsid w:val="00D17281"/>
    <w:rsid w:val="00D20337"/>
    <w:rsid w:val="00D21296"/>
    <w:rsid w:val="00D21F06"/>
    <w:rsid w:val="00D221E7"/>
    <w:rsid w:val="00D2232A"/>
    <w:rsid w:val="00D2630C"/>
    <w:rsid w:val="00D2677E"/>
    <w:rsid w:val="00D26F69"/>
    <w:rsid w:val="00D31409"/>
    <w:rsid w:val="00D34783"/>
    <w:rsid w:val="00D34D3B"/>
    <w:rsid w:val="00D36518"/>
    <w:rsid w:val="00D36C8B"/>
    <w:rsid w:val="00D41665"/>
    <w:rsid w:val="00D418C4"/>
    <w:rsid w:val="00D41CB9"/>
    <w:rsid w:val="00D41D93"/>
    <w:rsid w:val="00D428FF"/>
    <w:rsid w:val="00D44797"/>
    <w:rsid w:val="00D44BDB"/>
    <w:rsid w:val="00D45017"/>
    <w:rsid w:val="00D45C09"/>
    <w:rsid w:val="00D50671"/>
    <w:rsid w:val="00D52770"/>
    <w:rsid w:val="00D53908"/>
    <w:rsid w:val="00D53952"/>
    <w:rsid w:val="00D5478B"/>
    <w:rsid w:val="00D550D1"/>
    <w:rsid w:val="00D5746B"/>
    <w:rsid w:val="00D6140C"/>
    <w:rsid w:val="00D61DFE"/>
    <w:rsid w:val="00D655CB"/>
    <w:rsid w:val="00D655FF"/>
    <w:rsid w:val="00D65F50"/>
    <w:rsid w:val="00D70462"/>
    <w:rsid w:val="00D719BB"/>
    <w:rsid w:val="00D7396F"/>
    <w:rsid w:val="00D73971"/>
    <w:rsid w:val="00D739C8"/>
    <w:rsid w:val="00D766A6"/>
    <w:rsid w:val="00D77682"/>
    <w:rsid w:val="00D77F78"/>
    <w:rsid w:val="00D8184A"/>
    <w:rsid w:val="00D81878"/>
    <w:rsid w:val="00D82C18"/>
    <w:rsid w:val="00D83A10"/>
    <w:rsid w:val="00D85EDD"/>
    <w:rsid w:val="00D86658"/>
    <w:rsid w:val="00D878DB"/>
    <w:rsid w:val="00D933C3"/>
    <w:rsid w:val="00D94ED8"/>
    <w:rsid w:val="00D95763"/>
    <w:rsid w:val="00D95E7B"/>
    <w:rsid w:val="00D966DE"/>
    <w:rsid w:val="00D971EC"/>
    <w:rsid w:val="00D97C03"/>
    <w:rsid w:val="00DA0ED6"/>
    <w:rsid w:val="00DA1F58"/>
    <w:rsid w:val="00DA349C"/>
    <w:rsid w:val="00DA4610"/>
    <w:rsid w:val="00DA58C6"/>
    <w:rsid w:val="00DA625A"/>
    <w:rsid w:val="00DA75FE"/>
    <w:rsid w:val="00DA7610"/>
    <w:rsid w:val="00DB0420"/>
    <w:rsid w:val="00DB0C86"/>
    <w:rsid w:val="00DB2509"/>
    <w:rsid w:val="00DB3971"/>
    <w:rsid w:val="00DB4755"/>
    <w:rsid w:val="00DB4AD8"/>
    <w:rsid w:val="00DB562D"/>
    <w:rsid w:val="00DB5D4B"/>
    <w:rsid w:val="00DC5402"/>
    <w:rsid w:val="00DC7D22"/>
    <w:rsid w:val="00DD0593"/>
    <w:rsid w:val="00DD24BD"/>
    <w:rsid w:val="00DD3D07"/>
    <w:rsid w:val="00DD45AC"/>
    <w:rsid w:val="00DD5064"/>
    <w:rsid w:val="00DD524F"/>
    <w:rsid w:val="00DD53F4"/>
    <w:rsid w:val="00DD54E8"/>
    <w:rsid w:val="00DD573A"/>
    <w:rsid w:val="00DD5DB2"/>
    <w:rsid w:val="00DE2599"/>
    <w:rsid w:val="00DE39E0"/>
    <w:rsid w:val="00DE3FF5"/>
    <w:rsid w:val="00DE42AD"/>
    <w:rsid w:val="00DE4722"/>
    <w:rsid w:val="00DE5A24"/>
    <w:rsid w:val="00DE73AF"/>
    <w:rsid w:val="00DF0A09"/>
    <w:rsid w:val="00DF20C1"/>
    <w:rsid w:val="00DF244A"/>
    <w:rsid w:val="00DF71FA"/>
    <w:rsid w:val="00DF7278"/>
    <w:rsid w:val="00E01F15"/>
    <w:rsid w:val="00E02B22"/>
    <w:rsid w:val="00E02C17"/>
    <w:rsid w:val="00E03199"/>
    <w:rsid w:val="00E0474F"/>
    <w:rsid w:val="00E04C7B"/>
    <w:rsid w:val="00E05138"/>
    <w:rsid w:val="00E078D4"/>
    <w:rsid w:val="00E112EF"/>
    <w:rsid w:val="00E11486"/>
    <w:rsid w:val="00E1268E"/>
    <w:rsid w:val="00E128B7"/>
    <w:rsid w:val="00E1406A"/>
    <w:rsid w:val="00E173E3"/>
    <w:rsid w:val="00E1743C"/>
    <w:rsid w:val="00E17E04"/>
    <w:rsid w:val="00E20458"/>
    <w:rsid w:val="00E205FD"/>
    <w:rsid w:val="00E21954"/>
    <w:rsid w:val="00E27439"/>
    <w:rsid w:val="00E27D3A"/>
    <w:rsid w:val="00E3028B"/>
    <w:rsid w:val="00E3077C"/>
    <w:rsid w:val="00E31D44"/>
    <w:rsid w:val="00E32CAA"/>
    <w:rsid w:val="00E33063"/>
    <w:rsid w:val="00E3429D"/>
    <w:rsid w:val="00E34B25"/>
    <w:rsid w:val="00E37273"/>
    <w:rsid w:val="00E409BE"/>
    <w:rsid w:val="00E415AB"/>
    <w:rsid w:val="00E41E9E"/>
    <w:rsid w:val="00E42D45"/>
    <w:rsid w:val="00E437C9"/>
    <w:rsid w:val="00E43C83"/>
    <w:rsid w:val="00E45726"/>
    <w:rsid w:val="00E45ED4"/>
    <w:rsid w:val="00E464D6"/>
    <w:rsid w:val="00E46A7B"/>
    <w:rsid w:val="00E5069C"/>
    <w:rsid w:val="00E50B33"/>
    <w:rsid w:val="00E52025"/>
    <w:rsid w:val="00E52356"/>
    <w:rsid w:val="00E524AA"/>
    <w:rsid w:val="00E531BD"/>
    <w:rsid w:val="00E53C7E"/>
    <w:rsid w:val="00E54217"/>
    <w:rsid w:val="00E5503C"/>
    <w:rsid w:val="00E568CD"/>
    <w:rsid w:val="00E601B2"/>
    <w:rsid w:val="00E621BA"/>
    <w:rsid w:val="00E62EDB"/>
    <w:rsid w:val="00E66B6A"/>
    <w:rsid w:val="00E70063"/>
    <w:rsid w:val="00E71215"/>
    <w:rsid w:val="00E72A5C"/>
    <w:rsid w:val="00E73BF3"/>
    <w:rsid w:val="00E742B3"/>
    <w:rsid w:val="00E74B3A"/>
    <w:rsid w:val="00E7575C"/>
    <w:rsid w:val="00E75BAF"/>
    <w:rsid w:val="00E76523"/>
    <w:rsid w:val="00E7655F"/>
    <w:rsid w:val="00E76D35"/>
    <w:rsid w:val="00E8065F"/>
    <w:rsid w:val="00E80BA6"/>
    <w:rsid w:val="00E80DD1"/>
    <w:rsid w:val="00E82317"/>
    <w:rsid w:val="00E82529"/>
    <w:rsid w:val="00E83DFA"/>
    <w:rsid w:val="00E83FA9"/>
    <w:rsid w:val="00E85115"/>
    <w:rsid w:val="00E85272"/>
    <w:rsid w:val="00E85D42"/>
    <w:rsid w:val="00E85E66"/>
    <w:rsid w:val="00E86356"/>
    <w:rsid w:val="00E87ECA"/>
    <w:rsid w:val="00E90908"/>
    <w:rsid w:val="00E91C17"/>
    <w:rsid w:val="00E922D1"/>
    <w:rsid w:val="00E9262D"/>
    <w:rsid w:val="00E93427"/>
    <w:rsid w:val="00E93EDD"/>
    <w:rsid w:val="00E953AC"/>
    <w:rsid w:val="00E95456"/>
    <w:rsid w:val="00E9548B"/>
    <w:rsid w:val="00EA0DCA"/>
    <w:rsid w:val="00EA49FF"/>
    <w:rsid w:val="00EA76CD"/>
    <w:rsid w:val="00EA76F4"/>
    <w:rsid w:val="00EB0337"/>
    <w:rsid w:val="00EB12D5"/>
    <w:rsid w:val="00EB2ACF"/>
    <w:rsid w:val="00EB310B"/>
    <w:rsid w:val="00EB5465"/>
    <w:rsid w:val="00EB5A24"/>
    <w:rsid w:val="00EB66F8"/>
    <w:rsid w:val="00EC0353"/>
    <w:rsid w:val="00EC07A1"/>
    <w:rsid w:val="00EC41E3"/>
    <w:rsid w:val="00EC4F78"/>
    <w:rsid w:val="00EC509A"/>
    <w:rsid w:val="00EC65DD"/>
    <w:rsid w:val="00EC729D"/>
    <w:rsid w:val="00ED0846"/>
    <w:rsid w:val="00ED23C1"/>
    <w:rsid w:val="00ED46D5"/>
    <w:rsid w:val="00ED4DC4"/>
    <w:rsid w:val="00ED666A"/>
    <w:rsid w:val="00ED6B97"/>
    <w:rsid w:val="00ED6F18"/>
    <w:rsid w:val="00ED7415"/>
    <w:rsid w:val="00ED7B7F"/>
    <w:rsid w:val="00EE1547"/>
    <w:rsid w:val="00EE29B9"/>
    <w:rsid w:val="00EE3595"/>
    <w:rsid w:val="00EE459A"/>
    <w:rsid w:val="00EE45AC"/>
    <w:rsid w:val="00EE4840"/>
    <w:rsid w:val="00EE5783"/>
    <w:rsid w:val="00EE63D3"/>
    <w:rsid w:val="00EE725C"/>
    <w:rsid w:val="00EF06F6"/>
    <w:rsid w:val="00EF13AE"/>
    <w:rsid w:val="00EF5216"/>
    <w:rsid w:val="00EF5816"/>
    <w:rsid w:val="00EF7AD5"/>
    <w:rsid w:val="00EF7E23"/>
    <w:rsid w:val="00F0152B"/>
    <w:rsid w:val="00F0319D"/>
    <w:rsid w:val="00F05D94"/>
    <w:rsid w:val="00F05E50"/>
    <w:rsid w:val="00F0761A"/>
    <w:rsid w:val="00F115F7"/>
    <w:rsid w:val="00F12059"/>
    <w:rsid w:val="00F12E32"/>
    <w:rsid w:val="00F13D5C"/>
    <w:rsid w:val="00F14530"/>
    <w:rsid w:val="00F14829"/>
    <w:rsid w:val="00F150C7"/>
    <w:rsid w:val="00F159E8"/>
    <w:rsid w:val="00F15AC2"/>
    <w:rsid w:val="00F15FF4"/>
    <w:rsid w:val="00F16F52"/>
    <w:rsid w:val="00F16F5D"/>
    <w:rsid w:val="00F1782C"/>
    <w:rsid w:val="00F22493"/>
    <w:rsid w:val="00F237EA"/>
    <w:rsid w:val="00F23AED"/>
    <w:rsid w:val="00F25A16"/>
    <w:rsid w:val="00F30A50"/>
    <w:rsid w:val="00F32274"/>
    <w:rsid w:val="00F33C8C"/>
    <w:rsid w:val="00F35528"/>
    <w:rsid w:val="00F375FE"/>
    <w:rsid w:val="00F407A1"/>
    <w:rsid w:val="00F41108"/>
    <w:rsid w:val="00F42F81"/>
    <w:rsid w:val="00F43113"/>
    <w:rsid w:val="00F449E8"/>
    <w:rsid w:val="00F44E52"/>
    <w:rsid w:val="00F473DF"/>
    <w:rsid w:val="00F51404"/>
    <w:rsid w:val="00F51996"/>
    <w:rsid w:val="00F51DFE"/>
    <w:rsid w:val="00F53CBE"/>
    <w:rsid w:val="00F541C0"/>
    <w:rsid w:val="00F55F1C"/>
    <w:rsid w:val="00F57BA3"/>
    <w:rsid w:val="00F60151"/>
    <w:rsid w:val="00F621D5"/>
    <w:rsid w:val="00F62D11"/>
    <w:rsid w:val="00F62ED9"/>
    <w:rsid w:val="00F63C26"/>
    <w:rsid w:val="00F645C8"/>
    <w:rsid w:val="00F645DE"/>
    <w:rsid w:val="00F64EFE"/>
    <w:rsid w:val="00F665BF"/>
    <w:rsid w:val="00F70429"/>
    <w:rsid w:val="00F70828"/>
    <w:rsid w:val="00F71D59"/>
    <w:rsid w:val="00F72343"/>
    <w:rsid w:val="00F729E5"/>
    <w:rsid w:val="00F73C26"/>
    <w:rsid w:val="00F74435"/>
    <w:rsid w:val="00F74DAA"/>
    <w:rsid w:val="00F75A12"/>
    <w:rsid w:val="00F77C2F"/>
    <w:rsid w:val="00F80EA7"/>
    <w:rsid w:val="00F8137B"/>
    <w:rsid w:val="00F82BA5"/>
    <w:rsid w:val="00F8360B"/>
    <w:rsid w:val="00F8423D"/>
    <w:rsid w:val="00F844B1"/>
    <w:rsid w:val="00F8457B"/>
    <w:rsid w:val="00F86E50"/>
    <w:rsid w:val="00F9059A"/>
    <w:rsid w:val="00F90681"/>
    <w:rsid w:val="00F90ACA"/>
    <w:rsid w:val="00F93761"/>
    <w:rsid w:val="00F93A5F"/>
    <w:rsid w:val="00F93C4C"/>
    <w:rsid w:val="00F93FB3"/>
    <w:rsid w:val="00F943DF"/>
    <w:rsid w:val="00F9554A"/>
    <w:rsid w:val="00F95D03"/>
    <w:rsid w:val="00F974BC"/>
    <w:rsid w:val="00FA1982"/>
    <w:rsid w:val="00FA21F8"/>
    <w:rsid w:val="00FA2B08"/>
    <w:rsid w:val="00FA2E89"/>
    <w:rsid w:val="00FA317A"/>
    <w:rsid w:val="00FA4B2A"/>
    <w:rsid w:val="00FA4E86"/>
    <w:rsid w:val="00FA6410"/>
    <w:rsid w:val="00FA784C"/>
    <w:rsid w:val="00FA7C91"/>
    <w:rsid w:val="00FB06F2"/>
    <w:rsid w:val="00FB0EC0"/>
    <w:rsid w:val="00FB387F"/>
    <w:rsid w:val="00FB4E66"/>
    <w:rsid w:val="00FB530E"/>
    <w:rsid w:val="00FB5ABD"/>
    <w:rsid w:val="00FB649A"/>
    <w:rsid w:val="00FB7DF8"/>
    <w:rsid w:val="00FC1C8E"/>
    <w:rsid w:val="00FC2829"/>
    <w:rsid w:val="00FC3ABB"/>
    <w:rsid w:val="00FC4B4C"/>
    <w:rsid w:val="00FC6220"/>
    <w:rsid w:val="00FC66C0"/>
    <w:rsid w:val="00FD1CBA"/>
    <w:rsid w:val="00FD388E"/>
    <w:rsid w:val="00FD4441"/>
    <w:rsid w:val="00FD6227"/>
    <w:rsid w:val="00FD6F34"/>
    <w:rsid w:val="00FE58DF"/>
    <w:rsid w:val="00FE5928"/>
    <w:rsid w:val="00FE7D11"/>
    <w:rsid w:val="00FE7F4B"/>
    <w:rsid w:val="00FF09DC"/>
    <w:rsid w:val="00FF1D4B"/>
    <w:rsid w:val="00FF1FBE"/>
    <w:rsid w:val="00FF261E"/>
    <w:rsid w:val="00FF6465"/>
    <w:rsid w:val="00FF67DE"/>
    <w:rsid w:val="00FF7809"/>
    <w:rsid w:val="011353B3"/>
    <w:rsid w:val="01154EDD"/>
    <w:rsid w:val="0176160E"/>
    <w:rsid w:val="019F636B"/>
    <w:rsid w:val="01A44028"/>
    <w:rsid w:val="01A81584"/>
    <w:rsid w:val="01BB4812"/>
    <w:rsid w:val="01CE63F9"/>
    <w:rsid w:val="021013A5"/>
    <w:rsid w:val="022B3A7A"/>
    <w:rsid w:val="025329F7"/>
    <w:rsid w:val="02A975D0"/>
    <w:rsid w:val="02B527AB"/>
    <w:rsid w:val="030626B8"/>
    <w:rsid w:val="03276455"/>
    <w:rsid w:val="03346C50"/>
    <w:rsid w:val="0335629C"/>
    <w:rsid w:val="033D34A2"/>
    <w:rsid w:val="036D70E8"/>
    <w:rsid w:val="038334D8"/>
    <w:rsid w:val="03E55313"/>
    <w:rsid w:val="0449381C"/>
    <w:rsid w:val="045235A6"/>
    <w:rsid w:val="046044C5"/>
    <w:rsid w:val="04A15406"/>
    <w:rsid w:val="05204079"/>
    <w:rsid w:val="05657278"/>
    <w:rsid w:val="059D4539"/>
    <w:rsid w:val="05C8248C"/>
    <w:rsid w:val="05ED0B51"/>
    <w:rsid w:val="06585F98"/>
    <w:rsid w:val="06725B16"/>
    <w:rsid w:val="067A4160"/>
    <w:rsid w:val="06A67EA4"/>
    <w:rsid w:val="06B17181"/>
    <w:rsid w:val="06C67397"/>
    <w:rsid w:val="06D93F13"/>
    <w:rsid w:val="072146B9"/>
    <w:rsid w:val="07462E10"/>
    <w:rsid w:val="07491CD5"/>
    <w:rsid w:val="07BE0888"/>
    <w:rsid w:val="080804DF"/>
    <w:rsid w:val="081D19D4"/>
    <w:rsid w:val="085F5790"/>
    <w:rsid w:val="089B6FC5"/>
    <w:rsid w:val="08D05398"/>
    <w:rsid w:val="08E16747"/>
    <w:rsid w:val="0905127D"/>
    <w:rsid w:val="093F6F9B"/>
    <w:rsid w:val="094F3E63"/>
    <w:rsid w:val="09AA282B"/>
    <w:rsid w:val="09C43F96"/>
    <w:rsid w:val="09D27E0F"/>
    <w:rsid w:val="09D73E84"/>
    <w:rsid w:val="09FF2395"/>
    <w:rsid w:val="0A2F5262"/>
    <w:rsid w:val="0A7E0162"/>
    <w:rsid w:val="0BB367A8"/>
    <w:rsid w:val="0BCB3067"/>
    <w:rsid w:val="0BEC6E1F"/>
    <w:rsid w:val="0C4B0A81"/>
    <w:rsid w:val="0C873133"/>
    <w:rsid w:val="0CBB6F30"/>
    <w:rsid w:val="0D2B52CD"/>
    <w:rsid w:val="0D725B91"/>
    <w:rsid w:val="0D821B4C"/>
    <w:rsid w:val="0D995D7A"/>
    <w:rsid w:val="0DC6620F"/>
    <w:rsid w:val="0DD01FDB"/>
    <w:rsid w:val="0DFE792F"/>
    <w:rsid w:val="0DFF0D20"/>
    <w:rsid w:val="0E1809F9"/>
    <w:rsid w:val="0E1E1875"/>
    <w:rsid w:val="0E7C5338"/>
    <w:rsid w:val="0E807489"/>
    <w:rsid w:val="0ED04C23"/>
    <w:rsid w:val="0ED860C8"/>
    <w:rsid w:val="0EDC100B"/>
    <w:rsid w:val="0F0A279A"/>
    <w:rsid w:val="0F45A05F"/>
    <w:rsid w:val="0F6B0AEA"/>
    <w:rsid w:val="1025572E"/>
    <w:rsid w:val="105248E6"/>
    <w:rsid w:val="10C64A93"/>
    <w:rsid w:val="10CD5B0C"/>
    <w:rsid w:val="118B5AD6"/>
    <w:rsid w:val="11D03235"/>
    <w:rsid w:val="12753A2E"/>
    <w:rsid w:val="127E54C9"/>
    <w:rsid w:val="13411924"/>
    <w:rsid w:val="135049C5"/>
    <w:rsid w:val="13B67DBD"/>
    <w:rsid w:val="13E13A2C"/>
    <w:rsid w:val="13FF8850"/>
    <w:rsid w:val="14423DE3"/>
    <w:rsid w:val="14451AF7"/>
    <w:rsid w:val="14475985"/>
    <w:rsid w:val="1488419F"/>
    <w:rsid w:val="14BF48D0"/>
    <w:rsid w:val="155C679B"/>
    <w:rsid w:val="15886FA6"/>
    <w:rsid w:val="159B72A0"/>
    <w:rsid w:val="15A10189"/>
    <w:rsid w:val="16E519A2"/>
    <w:rsid w:val="16FB3FB1"/>
    <w:rsid w:val="175B44B9"/>
    <w:rsid w:val="175E43D3"/>
    <w:rsid w:val="17890271"/>
    <w:rsid w:val="178A7CAA"/>
    <w:rsid w:val="17A43F37"/>
    <w:rsid w:val="17AC65CD"/>
    <w:rsid w:val="17C25FFF"/>
    <w:rsid w:val="17ED5DF9"/>
    <w:rsid w:val="18142FE8"/>
    <w:rsid w:val="18455C50"/>
    <w:rsid w:val="18482D61"/>
    <w:rsid w:val="18B52DD6"/>
    <w:rsid w:val="18D577D8"/>
    <w:rsid w:val="18FF4D2C"/>
    <w:rsid w:val="19193365"/>
    <w:rsid w:val="197A73AC"/>
    <w:rsid w:val="19C05321"/>
    <w:rsid w:val="19C41B53"/>
    <w:rsid w:val="19EE170F"/>
    <w:rsid w:val="1A034FE9"/>
    <w:rsid w:val="1A524556"/>
    <w:rsid w:val="1ABF5404"/>
    <w:rsid w:val="1ADF05DE"/>
    <w:rsid w:val="1B103D73"/>
    <w:rsid w:val="1B4A0C0E"/>
    <w:rsid w:val="1B59326E"/>
    <w:rsid w:val="1B710915"/>
    <w:rsid w:val="1B876920"/>
    <w:rsid w:val="1BD1056A"/>
    <w:rsid w:val="1BD66F3A"/>
    <w:rsid w:val="1BFF8B74"/>
    <w:rsid w:val="1C0E1A98"/>
    <w:rsid w:val="1C3C642A"/>
    <w:rsid w:val="1C727D62"/>
    <w:rsid w:val="1C792855"/>
    <w:rsid w:val="1C8A1CDC"/>
    <w:rsid w:val="1CE67A02"/>
    <w:rsid w:val="1CF10D56"/>
    <w:rsid w:val="1D064342"/>
    <w:rsid w:val="1D3A3BEE"/>
    <w:rsid w:val="1D425BEC"/>
    <w:rsid w:val="1D735893"/>
    <w:rsid w:val="1D797D09"/>
    <w:rsid w:val="1DAF58A5"/>
    <w:rsid w:val="1DB25B36"/>
    <w:rsid w:val="1DCA772B"/>
    <w:rsid w:val="1E1A60B9"/>
    <w:rsid w:val="1E1C3DB0"/>
    <w:rsid w:val="1E1F60CD"/>
    <w:rsid w:val="1E3065B9"/>
    <w:rsid w:val="1E5A7326"/>
    <w:rsid w:val="1E7E1114"/>
    <w:rsid w:val="1ED11AE9"/>
    <w:rsid w:val="1EDA332A"/>
    <w:rsid w:val="1EE03162"/>
    <w:rsid w:val="1F4A2D37"/>
    <w:rsid w:val="1F561EDF"/>
    <w:rsid w:val="1F6076D5"/>
    <w:rsid w:val="1F607885"/>
    <w:rsid w:val="1F667210"/>
    <w:rsid w:val="1F8333CB"/>
    <w:rsid w:val="2008261D"/>
    <w:rsid w:val="2014173D"/>
    <w:rsid w:val="2037354F"/>
    <w:rsid w:val="203B1088"/>
    <w:rsid w:val="20CA7965"/>
    <w:rsid w:val="22CE48D3"/>
    <w:rsid w:val="22FD3CF7"/>
    <w:rsid w:val="2351005F"/>
    <w:rsid w:val="23C81659"/>
    <w:rsid w:val="23F724F4"/>
    <w:rsid w:val="24443260"/>
    <w:rsid w:val="24BA35E1"/>
    <w:rsid w:val="250D077C"/>
    <w:rsid w:val="25137802"/>
    <w:rsid w:val="253A2943"/>
    <w:rsid w:val="256604EB"/>
    <w:rsid w:val="25716FD1"/>
    <w:rsid w:val="25AF1BE4"/>
    <w:rsid w:val="25C7128F"/>
    <w:rsid w:val="25DF4872"/>
    <w:rsid w:val="2685368E"/>
    <w:rsid w:val="269A360B"/>
    <w:rsid w:val="26B20278"/>
    <w:rsid w:val="26B804BE"/>
    <w:rsid w:val="26DE04FB"/>
    <w:rsid w:val="26E7236F"/>
    <w:rsid w:val="27194B8A"/>
    <w:rsid w:val="279F6E91"/>
    <w:rsid w:val="27B15011"/>
    <w:rsid w:val="27BB513C"/>
    <w:rsid w:val="27DE6A05"/>
    <w:rsid w:val="28B4308D"/>
    <w:rsid w:val="2941623D"/>
    <w:rsid w:val="29670F13"/>
    <w:rsid w:val="29752090"/>
    <w:rsid w:val="29CB0D37"/>
    <w:rsid w:val="2A8975F4"/>
    <w:rsid w:val="2AA42601"/>
    <w:rsid w:val="2AC26D36"/>
    <w:rsid w:val="2AE245D5"/>
    <w:rsid w:val="2B33475A"/>
    <w:rsid w:val="2B710DDE"/>
    <w:rsid w:val="2B8446E8"/>
    <w:rsid w:val="2BE76B9F"/>
    <w:rsid w:val="2BEE07F7"/>
    <w:rsid w:val="2CB3197B"/>
    <w:rsid w:val="2CB568AF"/>
    <w:rsid w:val="2CD758D1"/>
    <w:rsid w:val="2CE8711B"/>
    <w:rsid w:val="2D052E51"/>
    <w:rsid w:val="2D33104F"/>
    <w:rsid w:val="2D6E6317"/>
    <w:rsid w:val="2DCD768D"/>
    <w:rsid w:val="2DDF67DB"/>
    <w:rsid w:val="2DF27519"/>
    <w:rsid w:val="2E2058CA"/>
    <w:rsid w:val="2E36217C"/>
    <w:rsid w:val="2E7013BD"/>
    <w:rsid w:val="2EEE6CA8"/>
    <w:rsid w:val="2F7A151A"/>
    <w:rsid w:val="2F7B742E"/>
    <w:rsid w:val="2FBE662C"/>
    <w:rsid w:val="2FEBE8C8"/>
    <w:rsid w:val="301A20DB"/>
    <w:rsid w:val="308A6C5B"/>
    <w:rsid w:val="309A0DD7"/>
    <w:rsid w:val="30B64928"/>
    <w:rsid w:val="30D42A97"/>
    <w:rsid w:val="31874330"/>
    <w:rsid w:val="31AD2FE7"/>
    <w:rsid w:val="31FB0564"/>
    <w:rsid w:val="325E51FD"/>
    <w:rsid w:val="32677565"/>
    <w:rsid w:val="32BB3937"/>
    <w:rsid w:val="32EA3B58"/>
    <w:rsid w:val="33072028"/>
    <w:rsid w:val="334B702B"/>
    <w:rsid w:val="3384219E"/>
    <w:rsid w:val="33FEAEE2"/>
    <w:rsid w:val="344E2060"/>
    <w:rsid w:val="345E559A"/>
    <w:rsid w:val="346046F4"/>
    <w:rsid w:val="34C410ED"/>
    <w:rsid w:val="34E0714C"/>
    <w:rsid w:val="34F226A3"/>
    <w:rsid w:val="35244C62"/>
    <w:rsid w:val="355B1DFF"/>
    <w:rsid w:val="357070B5"/>
    <w:rsid w:val="35777529"/>
    <w:rsid w:val="35CC4B52"/>
    <w:rsid w:val="35D95EFE"/>
    <w:rsid w:val="36136CCC"/>
    <w:rsid w:val="362F41ED"/>
    <w:rsid w:val="366805AA"/>
    <w:rsid w:val="36705424"/>
    <w:rsid w:val="36886EDD"/>
    <w:rsid w:val="37017A26"/>
    <w:rsid w:val="37252F10"/>
    <w:rsid w:val="372B2402"/>
    <w:rsid w:val="37866CC0"/>
    <w:rsid w:val="37CA01F4"/>
    <w:rsid w:val="382A7217"/>
    <w:rsid w:val="382E504E"/>
    <w:rsid w:val="38BA60BE"/>
    <w:rsid w:val="38C04775"/>
    <w:rsid w:val="38C9512E"/>
    <w:rsid w:val="38D117CD"/>
    <w:rsid w:val="392553E8"/>
    <w:rsid w:val="39414E17"/>
    <w:rsid w:val="3963B43C"/>
    <w:rsid w:val="397E2D22"/>
    <w:rsid w:val="39C13C32"/>
    <w:rsid w:val="3A154439"/>
    <w:rsid w:val="3A1F40FB"/>
    <w:rsid w:val="3ABC0A45"/>
    <w:rsid w:val="3B53405D"/>
    <w:rsid w:val="3B574570"/>
    <w:rsid w:val="3B8701AA"/>
    <w:rsid w:val="3BA70F26"/>
    <w:rsid w:val="3C342025"/>
    <w:rsid w:val="3CB52F38"/>
    <w:rsid w:val="3D744EDF"/>
    <w:rsid w:val="3D826E7B"/>
    <w:rsid w:val="3D8B1285"/>
    <w:rsid w:val="3DE25B6C"/>
    <w:rsid w:val="3E5F4D06"/>
    <w:rsid w:val="3E8E13CD"/>
    <w:rsid w:val="3F073ADC"/>
    <w:rsid w:val="3F166C79"/>
    <w:rsid w:val="3F1B465A"/>
    <w:rsid w:val="3F2A6011"/>
    <w:rsid w:val="3F3BC249"/>
    <w:rsid w:val="3F5763BF"/>
    <w:rsid w:val="3F77918F"/>
    <w:rsid w:val="3F7F14AD"/>
    <w:rsid w:val="3F8179A0"/>
    <w:rsid w:val="3FBF2074"/>
    <w:rsid w:val="3FDF4E54"/>
    <w:rsid w:val="3FEF0E53"/>
    <w:rsid w:val="3FF6595B"/>
    <w:rsid w:val="3FFE7A37"/>
    <w:rsid w:val="40132BD6"/>
    <w:rsid w:val="40394027"/>
    <w:rsid w:val="407F28F3"/>
    <w:rsid w:val="407F61A3"/>
    <w:rsid w:val="40B01993"/>
    <w:rsid w:val="4135107A"/>
    <w:rsid w:val="41CE268F"/>
    <w:rsid w:val="41F52311"/>
    <w:rsid w:val="4216733C"/>
    <w:rsid w:val="42764E63"/>
    <w:rsid w:val="42870F07"/>
    <w:rsid w:val="429A0AE7"/>
    <w:rsid w:val="42A0063C"/>
    <w:rsid w:val="42A96FB0"/>
    <w:rsid w:val="42DC0DDB"/>
    <w:rsid w:val="42E81DC2"/>
    <w:rsid w:val="42FA7C62"/>
    <w:rsid w:val="43222C7E"/>
    <w:rsid w:val="433C6FF8"/>
    <w:rsid w:val="43430E5B"/>
    <w:rsid w:val="43593652"/>
    <w:rsid w:val="43BC63D5"/>
    <w:rsid w:val="43C4145C"/>
    <w:rsid w:val="43E37BD0"/>
    <w:rsid w:val="444B2AE0"/>
    <w:rsid w:val="44702144"/>
    <w:rsid w:val="44C3636C"/>
    <w:rsid w:val="44C4259A"/>
    <w:rsid w:val="44E73A68"/>
    <w:rsid w:val="457810EA"/>
    <w:rsid w:val="469056EB"/>
    <w:rsid w:val="469949EB"/>
    <w:rsid w:val="46AA6AF6"/>
    <w:rsid w:val="4717435A"/>
    <w:rsid w:val="47437032"/>
    <w:rsid w:val="47633879"/>
    <w:rsid w:val="4767069A"/>
    <w:rsid w:val="476E1671"/>
    <w:rsid w:val="477A0A7C"/>
    <w:rsid w:val="478E1476"/>
    <w:rsid w:val="47EE148F"/>
    <w:rsid w:val="48591D32"/>
    <w:rsid w:val="48794C39"/>
    <w:rsid w:val="48950724"/>
    <w:rsid w:val="48DF6D20"/>
    <w:rsid w:val="48F645CC"/>
    <w:rsid w:val="48FC132D"/>
    <w:rsid w:val="498176A7"/>
    <w:rsid w:val="498503A7"/>
    <w:rsid w:val="498A7BB0"/>
    <w:rsid w:val="49B610C3"/>
    <w:rsid w:val="49CE4E75"/>
    <w:rsid w:val="49E11BA5"/>
    <w:rsid w:val="49FF85BA"/>
    <w:rsid w:val="4A0E66D8"/>
    <w:rsid w:val="4A7224B3"/>
    <w:rsid w:val="4A982B02"/>
    <w:rsid w:val="4AC67521"/>
    <w:rsid w:val="4B047121"/>
    <w:rsid w:val="4B050E75"/>
    <w:rsid w:val="4B3C1B7C"/>
    <w:rsid w:val="4B616322"/>
    <w:rsid w:val="4B720D9C"/>
    <w:rsid w:val="4B766EB0"/>
    <w:rsid w:val="4BAC6C62"/>
    <w:rsid w:val="4BD94EF1"/>
    <w:rsid w:val="4BF80538"/>
    <w:rsid w:val="4C1D094E"/>
    <w:rsid w:val="4C395357"/>
    <w:rsid w:val="4C5F2F99"/>
    <w:rsid w:val="4CAB127D"/>
    <w:rsid w:val="4CBC34A1"/>
    <w:rsid w:val="4CCA3094"/>
    <w:rsid w:val="4CDE5035"/>
    <w:rsid w:val="4CE2572F"/>
    <w:rsid w:val="4D64659D"/>
    <w:rsid w:val="4E2C5427"/>
    <w:rsid w:val="4ED07800"/>
    <w:rsid w:val="4F132CA2"/>
    <w:rsid w:val="4F2E2C8D"/>
    <w:rsid w:val="4F2E5F82"/>
    <w:rsid w:val="4F552641"/>
    <w:rsid w:val="4F5E0042"/>
    <w:rsid w:val="4F80187B"/>
    <w:rsid w:val="4FD77EAA"/>
    <w:rsid w:val="50153B7F"/>
    <w:rsid w:val="50551558"/>
    <w:rsid w:val="50DD221E"/>
    <w:rsid w:val="510335BA"/>
    <w:rsid w:val="513EE486"/>
    <w:rsid w:val="51423430"/>
    <w:rsid w:val="51B82EC6"/>
    <w:rsid w:val="51BE2492"/>
    <w:rsid w:val="51DD3BB0"/>
    <w:rsid w:val="52164A38"/>
    <w:rsid w:val="522847C2"/>
    <w:rsid w:val="52B41429"/>
    <w:rsid w:val="52F56CFF"/>
    <w:rsid w:val="53427ACB"/>
    <w:rsid w:val="5358361F"/>
    <w:rsid w:val="537FBE94"/>
    <w:rsid w:val="538D7B37"/>
    <w:rsid w:val="53D03E65"/>
    <w:rsid w:val="53FB59FC"/>
    <w:rsid w:val="544D1B39"/>
    <w:rsid w:val="54B578DB"/>
    <w:rsid w:val="54C35DBC"/>
    <w:rsid w:val="54E1260A"/>
    <w:rsid w:val="54E37D2F"/>
    <w:rsid w:val="552A1E7A"/>
    <w:rsid w:val="555B05A0"/>
    <w:rsid w:val="5579364D"/>
    <w:rsid w:val="55914857"/>
    <w:rsid w:val="55B14676"/>
    <w:rsid w:val="55E0078B"/>
    <w:rsid w:val="55FDE069"/>
    <w:rsid w:val="569E4071"/>
    <w:rsid w:val="56F62932"/>
    <w:rsid w:val="570F675B"/>
    <w:rsid w:val="575190D2"/>
    <w:rsid w:val="577618FC"/>
    <w:rsid w:val="5789766D"/>
    <w:rsid w:val="57E22015"/>
    <w:rsid w:val="57F3E4AC"/>
    <w:rsid w:val="57FFD9A8"/>
    <w:rsid w:val="58337298"/>
    <w:rsid w:val="588A4EF4"/>
    <w:rsid w:val="58D75988"/>
    <w:rsid w:val="59831B59"/>
    <w:rsid w:val="59944A8D"/>
    <w:rsid w:val="59BA2F05"/>
    <w:rsid w:val="5A234278"/>
    <w:rsid w:val="5ADD173D"/>
    <w:rsid w:val="5AEDE3FE"/>
    <w:rsid w:val="5AF65F47"/>
    <w:rsid w:val="5B833462"/>
    <w:rsid w:val="5BA75886"/>
    <w:rsid w:val="5BAA27F5"/>
    <w:rsid w:val="5BB3647D"/>
    <w:rsid w:val="5BCD1F7A"/>
    <w:rsid w:val="5BF26384"/>
    <w:rsid w:val="5BF3746A"/>
    <w:rsid w:val="5BF837D6"/>
    <w:rsid w:val="5BFE3079"/>
    <w:rsid w:val="5C095946"/>
    <w:rsid w:val="5C507600"/>
    <w:rsid w:val="5C665E6A"/>
    <w:rsid w:val="5C860C58"/>
    <w:rsid w:val="5C97218E"/>
    <w:rsid w:val="5CAC13C7"/>
    <w:rsid w:val="5CD765E0"/>
    <w:rsid w:val="5CFFDAAB"/>
    <w:rsid w:val="5D0BECF0"/>
    <w:rsid w:val="5D51202A"/>
    <w:rsid w:val="5DAE5FF5"/>
    <w:rsid w:val="5DD92868"/>
    <w:rsid w:val="5DE78FF5"/>
    <w:rsid w:val="5E17116A"/>
    <w:rsid w:val="5EAA77E0"/>
    <w:rsid w:val="5ECA6A10"/>
    <w:rsid w:val="5F1DB941"/>
    <w:rsid w:val="5F304BBB"/>
    <w:rsid w:val="5F4A6064"/>
    <w:rsid w:val="5F574BB8"/>
    <w:rsid w:val="5F715F24"/>
    <w:rsid w:val="5F9A51C7"/>
    <w:rsid w:val="5FCF4D99"/>
    <w:rsid w:val="5FDB3F6F"/>
    <w:rsid w:val="5FDF485F"/>
    <w:rsid w:val="5FFB9E17"/>
    <w:rsid w:val="5FFE32F0"/>
    <w:rsid w:val="604E5940"/>
    <w:rsid w:val="60706D24"/>
    <w:rsid w:val="607E751E"/>
    <w:rsid w:val="60E47381"/>
    <w:rsid w:val="61161505"/>
    <w:rsid w:val="612C2939"/>
    <w:rsid w:val="618333ED"/>
    <w:rsid w:val="61A1598C"/>
    <w:rsid w:val="61F82BD4"/>
    <w:rsid w:val="6219421A"/>
    <w:rsid w:val="62320C1C"/>
    <w:rsid w:val="625F7AA0"/>
    <w:rsid w:val="626A142C"/>
    <w:rsid w:val="627A0149"/>
    <w:rsid w:val="62E07E6F"/>
    <w:rsid w:val="63565366"/>
    <w:rsid w:val="639E52BD"/>
    <w:rsid w:val="63FD9DDB"/>
    <w:rsid w:val="64171FB2"/>
    <w:rsid w:val="647E58FA"/>
    <w:rsid w:val="64E262CE"/>
    <w:rsid w:val="64F733FB"/>
    <w:rsid w:val="65171198"/>
    <w:rsid w:val="65181CEF"/>
    <w:rsid w:val="652A6FAA"/>
    <w:rsid w:val="652E5B61"/>
    <w:rsid w:val="65690E28"/>
    <w:rsid w:val="660022E7"/>
    <w:rsid w:val="660B3B79"/>
    <w:rsid w:val="661221A0"/>
    <w:rsid w:val="668148AD"/>
    <w:rsid w:val="66854175"/>
    <w:rsid w:val="66F83B86"/>
    <w:rsid w:val="672F7AA8"/>
    <w:rsid w:val="674B0565"/>
    <w:rsid w:val="674B6EBA"/>
    <w:rsid w:val="674E6C15"/>
    <w:rsid w:val="67765C92"/>
    <w:rsid w:val="67840CA7"/>
    <w:rsid w:val="67F9EF76"/>
    <w:rsid w:val="67FD4C7D"/>
    <w:rsid w:val="68185C29"/>
    <w:rsid w:val="6868145A"/>
    <w:rsid w:val="687C29E3"/>
    <w:rsid w:val="68AA0DA2"/>
    <w:rsid w:val="68F27327"/>
    <w:rsid w:val="68F97675"/>
    <w:rsid w:val="699F4E99"/>
    <w:rsid w:val="6A0B1E23"/>
    <w:rsid w:val="6ADF4039"/>
    <w:rsid w:val="6B093EE7"/>
    <w:rsid w:val="6B224E60"/>
    <w:rsid w:val="6B5C2005"/>
    <w:rsid w:val="6BCE450A"/>
    <w:rsid w:val="6BEE51E2"/>
    <w:rsid w:val="6C0022F4"/>
    <w:rsid w:val="6D9314CB"/>
    <w:rsid w:val="6DDE81D6"/>
    <w:rsid w:val="6DF4438C"/>
    <w:rsid w:val="6E3D4575"/>
    <w:rsid w:val="6E8C5901"/>
    <w:rsid w:val="6EB24F9D"/>
    <w:rsid w:val="6EB7B3F6"/>
    <w:rsid w:val="6ED9D510"/>
    <w:rsid w:val="6EE3511C"/>
    <w:rsid w:val="6F175D12"/>
    <w:rsid w:val="6F651359"/>
    <w:rsid w:val="6F795A80"/>
    <w:rsid w:val="6FA9CA30"/>
    <w:rsid w:val="6FD25146"/>
    <w:rsid w:val="6FD745B9"/>
    <w:rsid w:val="6FFD83F4"/>
    <w:rsid w:val="6FFD97BA"/>
    <w:rsid w:val="6FFE241D"/>
    <w:rsid w:val="6FFFB917"/>
    <w:rsid w:val="704A4F50"/>
    <w:rsid w:val="70654152"/>
    <w:rsid w:val="7069236F"/>
    <w:rsid w:val="70CC45E4"/>
    <w:rsid w:val="70E247A7"/>
    <w:rsid w:val="70EB02B8"/>
    <w:rsid w:val="71167A14"/>
    <w:rsid w:val="711A294B"/>
    <w:rsid w:val="71236D2A"/>
    <w:rsid w:val="713941A6"/>
    <w:rsid w:val="717209D9"/>
    <w:rsid w:val="718979FE"/>
    <w:rsid w:val="71A37DA0"/>
    <w:rsid w:val="71A62C12"/>
    <w:rsid w:val="71CF53A1"/>
    <w:rsid w:val="71F53D16"/>
    <w:rsid w:val="71FCDE8E"/>
    <w:rsid w:val="71FF5D16"/>
    <w:rsid w:val="72065967"/>
    <w:rsid w:val="72145B0C"/>
    <w:rsid w:val="722A2659"/>
    <w:rsid w:val="722A535E"/>
    <w:rsid w:val="72AA51AB"/>
    <w:rsid w:val="72D4471C"/>
    <w:rsid w:val="73245576"/>
    <w:rsid w:val="7324732B"/>
    <w:rsid w:val="7334634D"/>
    <w:rsid w:val="73586CCA"/>
    <w:rsid w:val="73622644"/>
    <w:rsid w:val="737F4571"/>
    <w:rsid w:val="73AF45B8"/>
    <w:rsid w:val="73B00424"/>
    <w:rsid w:val="7412312F"/>
    <w:rsid w:val="743273F9"/>
    <w:rsid w:val="743D3AC4"/>
    <w:rsid w:val="74404DBF"/>
    <w:rsid w:val="74580F62"/>
    <w:rsid w:val="746C10C7"/>
    <w:rsid w:val="74DF6386"/>
    <w:rsid w:val="756C78BD"/>
    <w:rsid w:val="758243E3"/>
    <w:rsid w:val="75BE4A6F"/>
    <w:rsid w:val="75EA4FE2"/>
    <w:rsid w:val="75F73B86"/>
    <w:rsid w:val="76213F07"/>
    <w:rsid w:val="7624270C"/>
    <w:rsid w:val="76724C8A"/>
    <w:rsid w:val="767D3396"/>
    <w:rsid w:val="76CF01E3"/>
    <w:rsid w:val="76CF057A"/>
    <w:rsid w:val="76D46C00"/>
    <w:rsid w:val="77055B4F"/>
    <w:rsid w:val="775BF837"/>
    <w:rsid w:val="777E6F57"/>
    <w:rsid w:val="77862C5A"/>
    <w:rsid w:val="77891C63"/>
    <w:rsid w:val="77B178E4"/>
    <w:rsid w:val="77BED0D4"/>
    <w:rsid w:val="77C01188"/>
    <w:rsid w:val="77EFC726"/>
    <w:rsid w:val="77F37F96"/>
    <w:rsid w:val="78633A07"/>
    <w:rsid w:val="789444B7"/>
    <w:rsid w:val="78F6DE19"/>
    <w:rsid w:val="790E2F6A"/>
    <w:rsid w:val="791A3E30"/>
    <w:rsid w:val="794E7636"/>
    <w:rsid w:val="796B347B"/>
    <w:rsid w:val="797C75C3"/>
    <w:rsid w:val="797EA2B2"/>
    <w:rsid w:val="79B778D1"/>
    <w:rsid w:val="79C13EEC"/>
    <w:rsid w:val="7A4F7B0A"/>
    <w:rsid w:val="7A5E1AFB"/>
    <w:rsid w:val="7A633959"/>
    <w:rsid w:val="7ACE1511"/>
    <w:rsid w:val="7AF95EAC"/>
    <w:rsid w:val="7B4D75B4"/>
    <w:rsid w:val="7B5C38F7"/>
    <w:rsid w:val="7B6D68C3"/>
    <w:rsid w:val="7B6FBBC0"/>
    <w:rsid w:val="7B787C13"/>
    <w:rsid w:val="7B8F5E30"/>
    <w:rsid w:val="7B9E0D40"/>
    <w:rsid w:val="7BAC5722"/>
    <w:rsid w:val="7BB13390"/>
    <w:rsid w:val="7BDD4411"/>
    <w:rsid w:val="7BF54F1B"/>
    <w:rsid w:val="7C37318E"/>
    <w:rsid w:val="7C5A6013"/>
    <w:rsid w:val="7C675328"/>
    <w:rsid w:val="7C8C1F92"/>
    <w:rsid w:val="7CBB7E17"/>
    <w:rsid w:val="7CBD0C23"/>
    <w:rsid w:val="7CD67ABD"/>
    <w:rsid w:val="7D23205C"/>
    <w:rsid w:val="7DBEAA8D"/>
    <w:rsid w:val="7DC27838"/>
    <w:rsid w:val="7DC30520"/>
    <w:rsid w:val="7DFC5176"/>
    <w:rsid w:val="7DFF6B79"/>
    <w:rsid w:val="7E260B81"/>
    <w:rsid w:val="7E6738CD"/>
    <w:rsid w:val="7EB611D5"/>
    <w:rsid w:val="7EBA5185"/>
    <w:rsid w:val="7EBBFA5E"/>
    <w:rsid w:val="7ECC6D8D"/>
    <w:rsid w:val="7ECE4181"/>
    <w:rsid w:val="7EDF2274"/>
    <w:rsid w:val="7EDF55B9"/>
    <w:rsid w:val="7EE61E6B"/>
    <w:rsid w:val="7EEC05F5"/>
    <w:rsid w:val="7EF747EA"/>
    <w:rsid w:val="7EF945B4"/>
    <w:rsid w:val="7F3AECE3"/>
    <w:rsid w:val="7F6BD2F9"/>
    <w:rsid w:val="7F750CA7"/>
    <w:rsid w:val="7F75AFC9"/>
    <w:rsid w:val="7F7A4FE2"/>
    <w:rsid w:val="7F7BC1F8"/>
    <w:rsid w:val="7F910091"/>
    <w:rsid w:val="7F935F3E"/>
    <w:rsid w:val="7FB4A348"/>
    <w:rsid w:val="7FBC45A4"/>
    <w:rsid w:val="7FD7120B"/>
    <w:rsid w:val="7FEA99EF"/>
    <w:rsid w:val="7FEFA946"/>
    <w:rsid w:val="7FEFBF86"/>
    <w:rsid w:val="7FF007FC"/>
    <w:rsid w:val="7FFB6F39"/>
    <w:rsid w:val="7FFDF744"/>
    <w:rsid w:val="88EE46D6"/>
    <w:rsid w:val="A6DE3E28"/>
    <w:rsid w:val="A9DB758C"/>
    <w:rsid w:val="ACEF7BAA"/>
    <w:rsid w:val="B312B622"/>
    <w:rsid w:val="BCDE802D"/>
    <w:rsid w:val="BD7FA82E"/>
    <w:rsid w:val="BDFF83F7"/>
    <w:rsid w:val="BE2F8D6B"/>
    <w:rsid w:val="BFADD9FA"/>
    <w:rsid w:val="BFAF4EEB"/>
    <w:rsid w:val="BFDD3CDD"/>
    <w:rsid w:val="BFEF4F50"/>
    <w:rsid w:val="BFF3EC84"/>
    <w:rsid w:val="BFFFBC86"/>
    <w:rsid w:val="C9571A24"/>
    <w:rsid w:val="CAB3D56F"/>
    <w:rsid w:val="CD3A6478"/>
    <w:rsid w:val="D37DED68"/>
    <w:rsid w:val="D4DE9F17"/>
    <w:rsid w:val="D6C33E17"/>
    <w:rsid w:val="D7174211"/>
    <w:rsid w:val="D7DB39A3"/>
    <w:rsid w:val="D9DB2915"/>
    <w:rsid w:val="DAFA5490"/>
    <w:rsid w:val="DC3F5D67"/>
    <w:rsid w:val="DDFF44F1"/>
    <w:rsid w:val="DF9ECB9F"/>
    <w:rsid w:val="DFECA6EC"/>
    <w:rsid w:val="DFF2B103"/>
    <w:rsid w:val="E3ED27A2"/>
    <w:rsid w:val="E66F1282"/>
    <w:rsid w:val="E7975C29"/>
    <w:rsid w:val="E7EFCC13"/>
    <w:rsid w:val="E8FD33EE"/>
    <w:rsid w:val="E9EF14FC"/>
    <w:rsid w:val="EBFB2DBE"/>
    <w:rsid w:val="EE7992AB"/>
    <w:rsid w:val="EEFBF184"/>
    <w:rsid w:val="EF49878B"/>
    <w:rsid w:val="EF7787D4"/>
    <w:rsid w:val="EFFF759E"/>
    <w:rsid w:val="EFFFC71C"/>
    <w:rsid w:val="F0568D98"/>
    <w:rsid w:val="F15FA6B1"/>
    <w:rsid w:val="F1B5259D"/>
    <w:rsid w:val="F36F417F"/>
    <w:rsid w:val="F3FBA458"/>
    <w:rsid w:val="F57DA280"/>
    <w:rsid w:val="F5BB6C69"/>
    <w:rsid w:val="F5CF2FF4"/>
    <w:rsid w:val="F5FFA0CB"/>
    <w:rsid w:val="F6EEA419"/>
    <w:rsid w:val="F75F2D4F"/>
    <w:rsid w:val="F77B2F2B"/>
    <w:rsid w:val="F7B74AE9"/>
    <w:rsid w:val="F7DEA660"/>
    <w:rsid w:val="FBAFA590"/>
    <w:rsid w:val="FBC73784"/>
    <w:rsid w:val="FBDAD46A"/>
    <w:rsid w:val="FBF56113"/>
    <w:rsid w:val="FBFF847F"/>
    <w:rsid w:val="FBFFB794"/>
    <w:rsid w:val="FBFFCCE2"/>
    <w:rsid w:val="FCF44C80"/>
    <w:rsid w:val="FDD44475"/>
    <w:rsid w:val="FE575496"/>
    <w:rsid w:val="FEA4AE7E"/>
    <w:rsid w:val="FEFF3A03"/>
    <w:rsid w:val="FF3BF485"/>
    <w:rsid w:val="FF3E3316"/>
    <w:rsid w:val="FF5FC3A1"/>
    <w:rsid w:val="FF6FBC85"/>
    <w:rsid w:val="FF7B1BA8"/>
    <w:rsid w:val="FFBF52FF"/>
    <w:rsid w:val="FFDD3DBD"/>
    <w:rsid w:val="FFDD490C"/>
    <w:rsid w:val="FFDDC054"/>
    <w:rsid w:val="FFF7F4F4"/>
    <w:rsid w:val="FFFDD68C"/>
    <w:rsid w:val="FFFE4C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1"/>
    <w:qFormat/>
    <w:uiPriority w:val="0"/>
    <w:pPr>
      <w:keepNext/>
      <w:keepLines/>
      <w:spacing w:line="360" w:lineRule="auto"/>
      <w:jc w:val="center"/>
      <w:outlineLvl w:val="0"/>
    </w:pPr>
    <w:rPr>
      <w:rFonts w:eastAsia="黑体"/>
      <w:b/>
      <w:bCs/>
      <w:kern w:val="44"/>
      <w:sz w:val="32"/>
      <w:szCs w:val="44"/>
    </w:rPr>
  </w:style>
  <w:style w:type="paragraph" w:styleId="3">
    <w:name w:val="heading 2"/>
    <w:basedOn w:val="1"/>
    <w:next w:val="1"/>
    <w:link w:val="52"/>
    <w:qFormat/>
    <w:uiPriority w:val="0"/>
    <w:pPr>
      <w:keepNext/>
      <w:keepLines/>
      <w:spacing w:before="60" w:after="60" w:line="413" w:lineRule="auto"/>
      <w:jc w:val="left"/>
      <w:outlineLvl w:val="1"/>
    </w:pPr>
    <w:rPr>
      <w:rFonts w:ascii="Arial" w:hAnsi="Arial" w:eastAsia="黑体"/>
      <w:b/>
      <w:bCs/>
      <w:szCs w:val="32"/>
    </w:rPr>
  </w:style>
  <w:style w:type="paragraph" w:styleId="4">
    <w:name w:val="heading 3"/>
    <w:basedOn w:val="1"/>
    <w:next w:val="1"/>
    <w:link w:val="53"/>
    <w:qFormat/>
    <w:uiPriority w:val="0"/>
    <w:pPr>
      <w:keepNext/>
      <w:keepLines/>
      <w:spacing w:line="360" w:lineRule="auto"/>
      <w:jc w:val="left"/>
      <w:outlineLvl w:val="2"/>
    </w:pPr>
    <w:rPr>
      <w:rFonts w:eastAsia="黑体"/>
      <w:b/>
      <w:bCs/>
      <w:szCs w:val="32"/>
    </w:rPr>
  </w:style>
  <w:style w:type="paragraph" w:styleId="5">
    <w:name w:val="heading 4"/>
    <w:basedOn w:val="1"/>
    <w:next w:val="1"/>
    <w:link w:val="54"/>
    <w:qFormat/>
    <w:uiPriority w:val="0"/>
    <w:pPr>
      <w:keepNext/>
      <w:keepLines/>
      <w:spacing w:line="360" w:lineRule="auto"/>
      <w:outlineLvl w:val="3"/>
    </w:pPr>
    <w:rPr>
      <w:rFonts w:ascii="Arial" w:hAnsi="Arial"/>
      <w:b/>
      <w:bCs/>
      <w:szCs w:val="28"/>
    </w:rPr>
  </w:style>
  <w:style w:type="paragraph" w:styleId="6">
    <w:name w:val="heading 5"/>
    <w:basedOn w:val="1"/>
    <w:next w:val="1"/>
    <w:link w:val="55"/>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17" w:lineRule="auto"/>
      <w:outlineLvl w:val="5"/>
    </w:pPr>
    <w:rPr>
      <w:rFonts w:ascii="Cambria" w:hAnsi="Cambria"/>
      <w:b/>
      <w:bCs/>
      <w:sz w:val="24"/>
    </w:rPr>
  </w:style>
  <w:style w:type="paragraph" w:styleId="8">
    <w:name w:val="heading 7"/>
    <w:basedOn w:val="1"/>
    <w:next w:val="1"/>
    <w:qFormat/>
    <w:uiPriority w:val="0"/>
    <w:pPr>
      <w:keepNext/>
      <w:keepLines/>
      <w:spacing w:before="240" w:after="64" w:line="317" w:lineRule="auto"/>
      <w:outlineLvl w:val="6"/>
    </w:pPr>
    <w:rPr>
      <w:rFonts w:ascii="Calibri" w:hAnsi="Calibri"/>
      <w:b/>
      <w:bCs/>
      <w:sz w:val="24"/>
    </w:rPr>
  </w:style>
  <w:style w:type="paragraph" w:styleId="9">
    <w:name w:val="heading 8"/>
    <w:basedOn w:val="1"/>
    <w:next w:val="1"/>
    <w:qFormat/>
    <w:uiPriority w:val="0"/>
    <w:pPr>
      <w:keepNext/>
      <w:keepLines/>
      <w:spacing w:before="240" w:after="64" w:line="317" w:lineRule="auto"/>
      <w:outlineLvl w:val="7"/>
    </w:pPr>
    <w:rPr>
      <w:rFonts w:ascii="Cambria" w:hAnsi="Cambria"/>
      <w:sz w:val="24"/>
    </w:rPr>
  </w:style>
  <w:style w:type="paragraph" w:styleId="10">
    <w:name w:val="heading 9"/>
    <w:basedOn w:val="1"/>
    <w:next w:val="1"/>
    <w:qFormat/>
    <w:uiPriority w:val="0"/>
    <w:pPr>
      <w:keepNext/>
      <w:keepLines/>
      <w:spacing w:before="240" w:after="64" w:line="317" w:lineRule="auto"/>
      <w:outlineLvl w:val="8"/>
    </w:pPr>
    <w:rPr>
      <w:rFonts w:ascii="Cambria" w:hAnsi="Cambria"/>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rPr>
      <w:rFonts w:ascii="Calibri" w:hAnsi="Calibri"/>
      <w:szCs w:val="22"/>
    </w:rPr>
  </w:style>
  <w:style w:type="paragraph" w:styleId="12">
    <w:name w:val="Normal Indent"/>
    <w:basedOn w:val="1"/>
    <w:qFormat/>
    <w:uiPriority w:val="0"/>
    <w:pPr>
      <w:widowControl/>
      <w:ind w:firstLine="420"/>
      <w:jc w:val="left"/>
    </w:pPr>
    <w:rPr>
      <w:sz w:val="20"/>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56"/>
    <w:qFormat/>
    <w:uiPriority w:val="0"/>
    <w:pPr>
      <w:shd w:val="clear" w:color="auto" w:fill="000080"/>
    </w:pPr>
    <w:rPr>
      <w:shd w:val="clear" w:color="auto" w:fill="000080"/>
    </w:rPr>
  </w:style>
  <w:style w:type="paragraph" w:styleId="15">
    <w:name w:val="annotation text"/>
    <w:basedOn w:val="1"/>
    <w:link w:val="57"/>
    <w:qFormat/>
    <w:uiPriority w:val="0"/>
    <w:pPr>
      <w:jc w:val="left"/>
    </w:pPr>
  </w:style>
  <w:style w:type="paragraph" w:styleId="16">
    <w:name w:val="Body Text"/>
    <w:basedOn w:val="1"/>
    <w:link w:val="58"/>
    <w:qFormat/>
    <w:uiPriority w:val="0"/>
    <w:pPr>
      <w:adjustRightInd w:val="0"/>
      <w:spacing w:after="60" w:line="360" w:lineRule="atLeast"/>
      <w:ind w:left="72" w:leftChars="30" w:right="30" w:rightChars="30"/>
      <w:jc w:val="center"/>
      <w:textAlignment w:val="baseline"/>
    </w:pPr>
    <w:rPr>
      <w:szCs w:val="22"/>
    </w:rPr>
  </w:style>
  <w:style w:type="paragraph" w:styleId="17">
    <w:name w:val="Body Text Indent"/>
    <w:basedOn w:val="1"/>
    <w:link w:val="59"/>
    <w:qFormat/>
    <w:uiPriority w:val="0"/>
    <w:pPr>
      <w:spacing w:before="240" w:line="360" w:lineRule="auto"/>
      <w:ind w:firstLine="552" w:firstLineChars="263"/>
    </w:pPr>
    <w:rPr>
      <w:rFonts w:ascii="宋体" w:hAnsi="宋体"/>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1680" w:leftChars="800"/>
    </w:pPr>
    <w:rPr>
      <w:rFonts w:ascii="Calibri" w:hAnsi="Calibri"/>
      <w:szCs w:val="22"/>
    </w:rPr>
  </w:style>
  <w:style w:type="paragraph" w:styleId="20">
    <w:name w:val="toc 3"/>
    <w:basedOn w:val="1"/>
    <w:next w:val="1"/>
    <w:qFormat/>
    <w:uiPriority w:val="39"/>
    <w:pPr>
      <w:ind w:left="840" w:leftChars="400"/>
    </w:pPr>
  </w:style>
  <w:style w:type="paragraph" w:styleId="21">
    <w:name w:val="Plain Text"/>
    <w:basedOn w:val="1"/>
    <w:link w:val="60"/>
    <w:qFormat/>
    <w:uiPriority w:val="0"/>
    <w:rPr>
      <w:rFonts w:ascii="宋体" w:hAnsi="Courier New"/>
    </w:rPr>
  </w:style>
  <w:style w:type="paragraph" w:styleId="22">
    <w:name w:val="toc 8"/>
    <w:basedOn w:val="1"/>
    <w:next w:val="1"/>
    <w:qFormat/>
    <w:uiPriority w:val="39"/>
    <w:pPr>
      <w:ind w:left="2940" w:leftChars="1400"/>
    </w:pPr>
    <w:rPr>
      <w:rFonts w:ascii="Calibri" w:hAnsi="Calibri"/>
      <w:szCs w:val="22"/>
    </w:rPr>
  </w:style>
  <w:style w:type="paragraph" w:styleId="23">
    <w:name w:val="Date"/>
    <w:basedOn w:val="1"/>
    <w:next w:val="1"/>
    <w:link w:val="61"/>
    <w:qFormat/>
    <w:uiPriority w:val="0"/>
    <w:pPr>
      <w:ind w:left="100" w:leftChars="2500"/>
    </w:pPr>
  </w:style>
  <w:style w:type="paragraph" w:styleId="24">
    <w:name w:val="Body Text Indent 2"/>
    <w:basedOn w:val="1"/>
    <w:link w:val="62"/>
    <w:qFormat/>
    <w:uiPriority w:val="0"/>
    <w:pPr>
      <w:spacing w:after="120" w:line="480" w:lineRule="auto"/>
      <w:ind w:left="420" w:leftChars="200"/>
    </w:pPr>
  </w:style>
  <w:style w:type="paragraph" w:styleId="25">
    <w:name w:val="Balloon Text"/>
    <w:basedOn w:val="1"/>
    <w:link w:val="63"/>
    <w:qFormat/>
    <w:uiPriority w:val="0"/>
    <w:rPr>
      <w:sz w:val="18"/>
      <w:szCs w:val="18"/>
    </w:rPr>
  </w:style>
  <w:style w:type="paragraph" w:styleId="26">
    <w:name w:val="footer"/>
    <w:basedOn w:val="1"/>
    <w:link w:val="64"/>
    <w:qFormat/>
    <w:uiPriority w:val="0"/>
    <w:pPr>
      <w:tabs>
        <w:tab w:val="center" w:pos="4153"/>
        <w:tab w:val="right" w:pos="8306"/>
      </w:tabs>
      <w:snapToGrid w:val="0"/>
      <w:jc w:val="left"/>
    </w:pPr>
    <w:rPr>
      <w:sz w:val="18"/>
      <w:szCs w:val="18"/>
    </w:rPr>
  </w:style>
  <w:style w:type="paragraph" w:styleId="27">
    <w:name w:val="header"/>
    <w:basedOn w:val="1"/>
    <w:link w:val="65"/>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before="60" w:line="400" w:lineRule="exact"/>
    </w:pPr>
    <w:rPr>
      <w:rFonts w:eastAsia="黑体"/>
    </w:rPr>
  </w:style>
  <w:style w:type="paragraph" w:styleId="29">
    <w:name w:val="toc 4"/>
    <w:basedOn w:val="1"/>
    <w:next w:val="1"/>
    <w:qFormat/>
    <w:uiPriority w:val="39"/>
    <w:pPr>
      <w:ind w:left="1260" w:leftChars="600"/>
    </w:pPr>
    <w:rPr>
      <w:rFonts w:ascii="Calibri" w:hAnsi="Calibri"/>
      <w:szCs w:val="22"/>
    </w:rPr>
  </w:style>
  <w:style w:type="paragraph" w:styleId="30">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31">
    <w:name w:val="footnote text"/>
    <w:basedOn w:val="1"/>
    <w:link w:val="66"/>
    <w:qFormat/>
    <w:uiPriority w:val="0"/>
    <w:pPr>
      <w:adjustRightInd w:val="0"/>
      <w:spacing w:line="312" w:lineRule="atLeast"/>
      <w:jc w:val="left"/>
      <w:textAlignment w:val="baseline"/>
    </w:pPr>
    <w:rPr>
      <w:kern w:val="0"/>
      <w:sz w:val="18"/>
      <w:szCs w:val="20"/>
    </w:rPr>
  </w:style>
  <w:style w:type="paragraph" w:styleId="32">
    <w:name w:val="toc 6"/>
    <w:basedOn w:val="1"/>
    <w:next w:val="1"/>
    <w:qFormat/>
    <w:uiPriority w:val="39"/>
    <w:pPr>
      <w:ind w:left="2100" w:leftChars="1000"/>
    </w:pPr>
    <w:rPr>
      <w:rFonts w:ascii="Calibri" w:hAnsi="Calibri"/>
      <w:szCs w:val="22"/>
    </w:rPr>
  </w:style>
  <w:style w:type="paragraph" w:styleId="33">
    <w:name w:val="toc 2"/>
    <w:basedOn w:val="1"/>
    <w:next w:val="1"/>
    <w:qFormat/>
    <w:uiPriority w:val="39"/>
    <w:pPr>
      <w:ind w:left="420" w:leftChars="200"/>
    </w:pPr>
    <w:rPr>
      <w:rFonts w:ascii="Calibri" w:hAnsi="Calibri"/>
      <w:szCs w:val="22"/>
    </w:rPr>
  </w:style>
  <w:style w:type="paragraph" w:styleId="34">
    <w:name w:val="toc 9"/>
    <w:basedOn w:val="1"/>
    <w:next w:val="1"/>
    <w:qFormat/>
    <w:uiPriority w:val="39"/>
    <w:pPr>
      <w:ind w:left="3360" w:leftChars="1600"/>
    </w:pPr>
    <w:rPr>
      <w:rFonts w:ascii="Calibri" w:hAnsi="Calibri"/>
      <w:szCs w:val="22"/>
    </w:rPr>
  </w:style>
  <w:style w:type="paragraph" w:styleId="3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3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7">
    <w:name w:val="index 1"/>
    <w:basedOn w:val="1"/>
    <w:next w:val="1"/>
    <w:qFormat/>
    <w:uiPriority w:val="0"/>
  </w:style>
  <w:style w:type="paragraph" w:styleId="38">
    <w:name w:val="Title"/>
    <w:basedOn w:val="1"/>
    <w:next w:val="1"/>
    <w:link w:val="67"/>
    <w:qFormat/>
    <w:uiPriority w:val="0"/>
    <w:pPr>
      <w:spacing w:before="240" w:after="60"/>
      <w:jc w:val="center"/>
      <w:outlineLvl w:val="0"/>
    </w:pPr>
    <w:rPr>
      <w:rFonts w:ascii="Cambria" w:hAnsi="Cambria"/>
      <w:b/>
      <w:bCs/>
      <w:sz w:val="32"/>
      <w:szCs w:val="32"/>
    </w:rPr>
  </w:style>
  <w:style w:type="paragraph" w:styleId="39">
    <w:name w:val="annotation subject"/>
    <w:basedOn w:val="15"/>
    <w:next w:val="15"/>
    <w:link w:val="68"/>
    <w:qFormat/>
    <w:uiPriority w:val="0"/>
    <w:rPr>
      <w:b/>
      <w:bCs/>
    </w:rPr>
  </w:style>
  <w:style w:type="table" w:styleId="41">
    <w:name w:val="Table Grid"/>
    <w:basedOn w:val="40"/>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qFormat/>
    <w:uiPriority w:val="0"/>
    <w:rPr>
      <w:b/>
      <w:bCs/>
    </w:rPr>
  </w:style>
  <w:style w:type="character" w:styleId="44">
    <w:name w:val="page number"/>
    <w:qFormat/>
    <w:uiPriority w:val="0"/>
  </w:style>
  <w:style w:type="character" w:styleId="45">
    <w:name w:val="FollowedHyperlink"/>
    <w:qFormat/>
    <w:uiPriority w:val="0"/>
    <w:rPr>
      <w:color w:val="666666"/>
      <w:u w:val="none"/>
    </w:rPr>
  </w:style>
  <w:style w:type="character" w:styleId="46">
    <w:name w:val="Emphasis"/>
    <w:qFormat/>
    <w:uiPriority w:val="0"/>
    <w:rPr>
      <w:i/>
      <w:iCs/>
    </w:rPr>
  </w:style>
  <w:style w:type="character" w:styleId="47">
    <w:name w:val="Hyperlink"/>
    <w:qFormat/>
    <w:uiPriority w:val="99"/>
    <w:rPr>
      <w:color w:val="666666"/>
      <w:u w:val="none"/>
    </w:rPr>
  </w:style>
  <w:style w:type="character" w:styleId="48">
    <w:name w:val="HTML Code"/>
    <w:qFormat/>
    <w:uiPriority w:val="0"/>
    <w:rPr>
      <w:rFonts w:ascii="Courier New" w:hAnsi="Courier New"/>
      <w:sz w:val="20"/>
    </w:rPr>
  </w:style>
  <w:style w:type="character" w:styleId="49">
    <w:name w:val="annotation reference"/>
    <w:qFormat/>
    <w:uiPriority w:val="0"/>
    <w:rPr>
      <w:sz w:val="21"/>
      <w:szCs w:val="21"/>
    </w:rPr>
  </w:style>
  <w:style w:type="character" w:styleId="50">
    <w:name w:val="HTML Cite"/>
    <w:qFormat/>
    <w:uiPriority w:val="0"/>
  </w:style>
  <w:style w:type="character" w:customStyle="1" w:styleId="51">
    <w:name w:val="标题 1 Char"/>
    <w:link w:val="2"/>
    <w:qFormat/>
    <w:uiPriority w:val="0"/>
    <w:rPr>
      <w:rFonts w:eastAsia="黑体"/>
      <w:b/>
      <w:bCs/>
      <w:kern w:val="44"/>
      <w:sz w:val="32"/>
      <w:szCs w:val="44"/>
    </w:rPr>
  </w:style>
  <w:style w:type="character" w:customStyle="1" w:styleId="52">
    <w:name w:val="标题 2 Char"/>
    <w:link w:val="3"/>
    <w:qFormat/>
    <w:uiPriority w:val="0"/>
    <w:rPr>
      <w:rFonts w:ascii="Arial" w:hAnsi="Arial" w:eastAsia="黑体"/>
      <w:b/>
      <w:bCs/>
      <w:kern w:val="2"/>
      <w:sz w:val="21"/>
      <w:szCs w:val="32"/>
    </w:rPr>
  </w:style>
  <w:style w:type="character" w:customStyle="1" w:styleId="53">
    <w:name w:val="标题 3 Char"/>
    <w:link w:val="4"/>
    <w:qFormat/>
    <w:uiPriority w:val="0"/>
    <w:rPr>
      <w:rFonts w:eastAsia="黑体"/>
      <w:b/>
      <w:bCs/>
      <w:kern w:val="2"/>
      <w:sz w:val="21"/>
      <w:szCs w:val="32"/>
    </w:rPr>
  </w:style>
  <w:style w:type="character" w:customStyle="1" w:styleId="54">
    <w:name w:val="标题 4 Char"/>
    <w:link w:val="5"/>
    <w:qFormat/>
    <w:uiPriority w:val="0"/>
    <w:rPr>
      <w:rFonts w:ascii="Arial" w:hAnsi="Arial" w:eastAsia="宋体"/>
      <w:b/>
      <w:bCs/>
      <w:kern w:val="2"/>
      <w:sz w:val="21"/>
      <w:szCs w:val="28"/>
      <w:lang w:val="en-US" w:eastAsia="zh-CN" w:bidi="ar-SA"/>
    </w:rPr>
  </w:style>
  <w:style w:type="character" w:customStyle="1" w:styleId="55">
    <w:name w:val="标题 5 Char"/>
    <w:link w:val="6"/>
    <w:qFormat/>
    <w:uiPriority w:val="0"/>
    <w:rPr>
      <w:rFonts w:eastAsia="宋体"/>
      <w:b/>
      <w:bCs/>
      <w:kern w:val="2"/>
      <w:sz w:val="28"/>
      <w:szCs w:val="28"/>
      <w:lang w:val="en-US" w:eastAsia="zh-CN" w:bidi="ar-SA"/>
    </w:rPr>
  </w:style>
  <w:style w:type="character" w:customStyle="1" w:styleId="56">
    <w:name w:val="文档结构图 Char"/>
    <w:link w:val="14"/>
    <w:qFormat/>
    <w:uiPriority w:val="0"/>
    <w:rPr>
      <w:kern w:val="2"/>
      <w:sz w:val="21"/>
      <w:szCs w:val="24"/>
      <w:shd w:val="clear" w:color="auto" w:fill="000080"/>
      <w:lang w:bidi="ar-SA"/>
    </w:rPr>
  </w:style>
  <w:style w:type="character" w:customStyle="1" w:styleId="57">
    <w:name w:val="批注文字 Char2"/>
    <w:link w:val="15"/>
    <w:qFormat/>
    <w:uiPriority w:val="0"/>
    <w:rPr>
      <w:kern w:val="2"/>
      <w:sz w:val="21"/>
      <w:szCs w:val="24"/>
      <w:lang w:bidi="ar-SA"/>
    </w:rPr>
  </w:style>
  <w:style w:type="character" w:customStyle="1" w:styleId="58">
    <w:name w:val="正文文本 Char"/>
    <w:link w:val="16"/>
    <w:qFormat/>
    <w:uiPriority w:val="0"/>
    <w:rPr>
      <w:rFonts w:eastAsia="宋体"/>
      <w:kern w:val="2"/>
      <w:sz w:val="21"/>
      <w:szCs w:val="22"/>
      <w:lang w:val="en-US" w:eastAsia="zh-CN" w:bidi="ar-SA"/>
    </w:rPr>
  </w:style>
  <w:style w:type="character" w:customStyle="1" w:styleId="59">
    <w:name w:val="正文文本缩进 Char"/>
    <w:link w:val="17"/>
    <w:qFormat/>
    <w:uiPriority w:val="0"/>
    <w:rPr>
      <w:rFonts w:ascii="宋体" w:hAnsi="宋体"/>
      <w:kern w:val="2"/>
      <w:sz w:val="21"/>
      <w:lang w:bidi="ar-SA"/>
    </w:rPr>
  </w:style>
  <w:style w:type="character" w:customStyle="1" w:styleId="60">
    <w:name w:val="纯文本 Char"/>
    <w:link w:val="21"/>
    <w:qFormat/>
    <w:uiPriority w:val="0"/>
    <w:rPr>
      <w:rFonts w:ascii="宋体" w:hAnsi="Courier New" w:eastAsia="宋体"/>
      <w:kern w:val="2"/>
      <w:sz w:val="21"/>
      <w:szCs w:val="24"/>
      <w:lang w:val="en-US" w:eastAsia="zh-CN" w:bidi="ar-SA"/>
    </w:rPr>
  </w:style>
  <w:style w:type="character" w:customStyle="1" w:styleId="61">
    <w:name w:val="日期 Char"/>
    <w:link w:val="23"/>
    <w:qFormat/>
    <w:uiPriority w:val="0"/>
    <w:rPr>
      <w:kern w:val="2"/>
      <w:sz w:val="21"/>
      <w:szCs w:val="24"/>
      <w:lang w:bidi="ar-SA"/>
    </w:rPr>
  </w:style>
  <w:style w:type="character" w:customStyle="1" w:styleId="62">
    <w:name w:val="正文文本缩进 2 Char"/>
    <w:link w:val="24"/>
    <w:qFormat/>
    <w:uiPriority w:val="0"/>
    <w:rPr>
      <w:kern w:val="2"/>
      <w:sz w:val="21"/>
      <w:szCs w:val="24"/>
      <w:lang w:bidi="ar-SA"/>
    </w:rPr>
  </w:style>
  <w:style w:type="character" w:customStyle="1" w:styleId="63">
    <w:name w:val="批注框文本 Char"/>
    <w:link w:val="25"/>
    <w:qFormat/>
    <w:uiPriority w:val="0"/>
    <w:rPr>
      <w:kern w:val="2"/>
      <w:sz w:val="18"/>
      <w:szCs w:val="18"/>
      <w:lang w:bidi="ar-SA"/>
    </w:rPr>
  </w:style>
  <w:style w:type="character" w:customStyle="1" w:styleId="64">
    <w:name w:val="页脚 Char"/>
    <w:link w:val="26"/>
    <w:qFormat/>
    <w:uiPriority w:val="0"/>
    <w:rPr>
      <w:kern w:val="2"/>
      <w:sz w:val="18"/>
      <w:szCs w:val="18"/>
      <w:lang w:bidi="ar-SA"/>
    </w:rPr>
  </w:style>
  <w:style w:type="character" w:customStyle="1" w:styleId="65">
    <w:name w:val="页眉 Char"/>
    <w:link w:val="27"/>
    <w:qFormat/>
    <w:uiPriority w:val="0"/>
    <w:rPr>
      <w:kern w:val="2"/>
      <w:sz w:val="18"/>
      <w:szCs w:val="18"/>
      <w:lang w:bidi="ar-SA"/>
    </w:rPr>
  </w:style>
  <w:style w:type="character" w:customStyle="1" w:styleId="66">
    <w:name w:val="脚注文本 Char"/>
    <w:link w:val="31"/>
    <w:qFormat/>
    <w:uiPriority w:val="0"/>
    <w:rPr>
      <w:sz w:val="18"/>
      <w:lang w:bidi="ar-SA"/>
    </w:rPr>
  </w:style>
  <w:style w:type="character" w:customStyle="1" w:styleId="67">
    <w:name w:val="标题 Char"/>
    <w:link w:val="38"/>
    <w:qFormat/>
    <w:uiPriority w:val="0"/>
    <w:rPr>
      <w:rFonts w:ascii="Cambria" w:hAnsi="Cambria"/>
      <w:b/>
      <w:bCs/>
      <w:kern w:val="2"/>
      <w:sz w:val="32"/>
      <w:szCs w:val="32"/>
      <w:lang w:bidi="ar-SA"/>
    </w:rPr>
  </w:style>
  <w:style w:type="character" w:customStyle="1" w:styleId="68">
    <w:name w:val="批注主题 Char"/>
    <w:link w:val="39"/>
    <w:qFormat/>
    <w:uiPriority w:val="0"/>
    <w:rPr>
      <w:b/>
      <w:bCs/>
      <w:kern w:val="2"/>
      <w:sz w:val="21"/>
      <w:szCs w:val="24"/>
      <w:lang w:bidi="ar-SA"/>
    </w:rPr>
  </w:style>
  <w:style w:type="character" w:customStyle="1" w:styleId="69">
    <w:name w:val="Title Char"/>
    <w:qFormat/>
    <w:uiPriority w:val="0"/>
    <w:rPr>
      <w:rFonts w:ascii="Cambria" w:hAnsi="Cambria"/>
      <w:b/>
      <w:sz w:val="32"/>
      <w:lang w:bidi="ar-SA"/>
    </w:rPr>
  </w:style>
  <w:style w:type="character" w:customStyle="1" w:styleId="70">
    <w:name w:val="批注文字 Char Char"/>
    <w:qFormat/>
    <w:uiPriority w:val="0"/>
    <w:rPr>
      <w:rFonts w:ascii="宋体" w:hAnsi="Times New Roman" w:eastAsia="宋体" w:cs="Times New Roman"/>
      <w:sz w:val="28"/>
      <w:szCs w:val="20"/>
    </w:rPr>
  </w:style>
  <w:style w:type="character" w:customStyle="1" w:styleId="71">
    <w:name w:val="批注文字 Char1"/>
    <w:qFormat/>
    <w:uiPriority w:val="0"/>
    <w:rPr>
      <w:rFonts w:ascii="Times New Roman" w:hAnsi="Times New Roman" w:eastAsia="宋体" w:cs="Times New Roman"/>
      <w:szCs w:val="24"/>
    </w:rPr>
  </w:style>
  <w:style w:type="character" w:customStyle="1" w:styleId="72">
    <w:name w:val="Char Char6"/>
    <w:qFormat/>
    <w:uiPriority w:val="0"/>
    <w:rPr>
      <w:rFonts w:eastAsia="宋体"/>
      <w:b/>
      <w:bCs/>
      <w:kern w:val="44"/>
      <w:sz w:val="32"/>
      <w:szCs w:val="44"/>
      <w:lang w:val="en-US" w:eastAsia="zh-CN" w:bidi="ar-SA"/>
    </w:rPr>
  </w:style>
  <w:style w:type="character" w:customStyle="1" w:styleId="73">
    <w:name w:val="标题4 Char Char"/>
    <w:link w:val="74"/>
    <w:qFormat/>
    <w:uiPriority w:val="0"/>
    <w:rPr>
      <w:rFonts w:ascii="Arial" w:hAnsi="Arial"/>
      <w:b/>
      <w:bCs/>
      <w:sz w:val="24"/>
      <w:szCs w:val="32"/>
      <w:lang w:bidi="ar-SA"/>
    </w:rPr>
  </w:style>
  <w:style w:type="paragraph" w:customStyle="1" w:styleId="74">
    <w:name w:val="标题4"/>
    <w:basedOn w:val="3"/>
    <w:next w:val="18"/>
    <w:link w:val="73"/>
    <w:qFormat/>
    <w:uiPriority w:val="0"/>
    <w:rPr>
      <w:rFonts w:eastAsia="宋体"/>
      <w:kern w:val="0"/>
      <w:sz w:val="24"/>
    </w:rPr>
  </w:style>
  <w:style w:type="character" w:customStyle="1" w:styleId="75">
    <w:name w:val="标题5 Char Char"/>
    <w:link w:val="76"/>
    <w:qFormat/>
    <w:uiPriority w:val="0"/>
    <w:rPr>
      <w:rFonts w:ascii="Arial" w:hAnsi="Arial"/>
      <w:b/>
      <w:bCs/>
      <w:sz w:val="24"/>
      <w:szCs w:val="32"/>
      <w:lang w:bidi="ar-SA"/>
    </w:rPr>
  </w:style>
  <w:style w:type="paragraph" w:customStyle="1" w:styleId="76">
    <w:name w:val="标题5"/>
    <w:basedOn w:val="4"/>
    <w:link w:val="75"/>
    <w:qFormat/>
    <w:uiPriority w:val="0"/>
    <w:pPr>
      <w:spacing w:before="260" w:after="260" w:line="413" w:lineRule="auto"/>
    </w:pPr>
    <w:rPr>
      <w:rFonts w:ascii="Arial" w:hAnsi="Arial" w:eastAsia="宋体"/>
      <w:kern w:val="0"/>
      <w:sz w:val="24"/>
    </w:rPr>
  </w:style>
  <w:style w:type="character" w:customStyle="1" w:styleId="77">
    <w:name w:val="Char Char19"/>
    <w:qFormat/>
    <w:uiPriority w:val="0"/>
    <w:rPr>
      <w:rFonts w:ascii="Arial" w:hAnsi="Arial" w:eastAsia="宋体" w:cs="Times New Roman"/>
      <w:b/>
      <w:bCs/>
      <w:szCs w:val="28"/>
    </w:rPr>
  </w:style>
  <w:style w:type="character" w:customStyle="1" w:styleId="78">
    <w:name w:val="Heading 4 Char"/>
    <w:qFormat/>
    <w:uiPriority w:val="0"/>
    <w:rPr>
      <w:rFonts w:ascii="Arial" w:hAnsi="Arial" w:eastAsia="宋体"/>
      <w:b/>
      <w:bCs/>
      <w:kern w:val="2"/>
      <w:sz w:val="21"/>
      <w:szCs w:val="28"/>
      <w:lang w:val="en-US" w:eastAsia="zh-CN" w:bidi="ar-SA"/>
    </w:rPr>
  </w:style>
  <w:style w:type="character" w:customStyle="1" w:styleId="79">
    <w:name w:val="Char Char181"/>
    <w:qFormat/>
    <w:uiPriority w:val="0"/>
    <w:rPr>
      <w:b/>
      <w:bCs/>
      <w:kern w:val="44"/>
      <w:sz w:val="44"/>
      <w:szCs w:val="44"/>
    </w:rPr>
  </w:style>
  <w:style w:type="character" w:customStyle="1" w:styleId="80">
    <w:name w:val="Char Char18"/>
    <w:qFormat/>
    <w:uiPriority w:val="0"/>
    <w:rPr>
      <w:rFonts w:ascii="Times New Roman" w:hAnsi="Times New Roman" w:eastAsia="宋体" w:cs="Times New Roman"/>
      <w:b/>
      <w:bCs/>
      <w:sz w:val="28"/>
      <w:szCs w:val="28"/>
    </w:rPr>
  </w:style>
  <w:style w:type="character" w:customStyle="1" w:styleId="81">
    <w:name w:val="_Style 80"/>
    <w:qFormat/>
    <w:uiPriority w:val="0"/>
    <w:rPr>
      <w:b/>
      <w:bCs/>
      <w:smallCaps/>
      <w:color w:val="C0504D"/>
      <w:spacing w:val="5"/>
      <w:u w:val="single"/>
    </w:rPr>
  </w:style>
  <w:style w:type="character" w:customStyle="1" w:styleId="82">
    <w:name w:val="纯文本 Char1"/>
    <w:qFormat/>
    <w:uiPriority w:val="0"/>
    <w:rPr>
      <w:rFonts w:ascii="宋体" w:hAnsi="Courier New" w:eastAsia="宋体" w:cs="Courier New"/>
      <w:szCs w:val="21"/>
    </w:rPr>
  </w:style>
  <w:style w:type="character" w:customStyle="1" w:styleId="83">
    <w:name w:val="Comment Text Char1"/>
    <w:qFormat/>
    <w:uiPriority w:val="0"/>
    <w:rPr>
      <w:sz w:val="24"/>
      <w:lang w:bidi="ar-SA"/>
    </w:rPr>
  </w:style>
  <w:style w:type="character" w:customStyle="1" w:styleId="84">
    <w:name w:val="批注主题 Char1"/>
    <w:qFormat/>
    <w:uiPriority w:val="0"/>
    <w:rPr>
      <w:rFonts w:ascii="Times New Roman" w:hAnsi="Times New Roman" w:eastAsia="宋体" w:cs="Times New Roman"/>
      <w:b/>
      <w:bCs/>
      <w:szCs w:val="24"/>
    </w:rPr>
  </w:style>
  <w:style w:type="character" w:customStyle="1" w:styleId="85">
    <w:name w:val="Footnote Text Char"/>
    <w:qFormat/>
    <w:uiPriority w:val="0"/>
    <w:rPr>
      <w:rFonts w:eastAsia="宋体"/>
      <w:sz w:val="18"/>
      <w:lang w:val="en-US" w:eastAsia="zh-CN" w:bidi="ar-SA"/>
    </w:rPr>
  </w:style>
  <w:style w:type="character" w:customStyle="1" w:styleId="86">
    <w:name w:val="Body Text Indent Char"/>
    <w:qFormat/>
    <w:uiPriority w:val="0"/>
    <w:rPr>
      <w:rFonts w:ascii="宋体" w:hAnsi="宋体" w:eastAsia="宋体"/>
      <w:kern w:val="2"/>
      <w:sz w:val="21"/>
      <w:lang w:val="en-US" w:eastAsia="zh-CN" w:bidi="ar-SA"/>
    </w:rPr>
  </w:style>
  <w:style w:type="character" w:customStyle="1" w:styleId="87">
    <w:name w:val="批注框文本 Char1"/>
    <w:qFormat/>
    <w:uiPriority w:val="0"/>
    <w:rPr>
      <w:rFonts w:ascii="Times New Roman" w:hAnsi="Times New Roman" w:eastAsia="宋体" w:cs="Times New Roman"/>
      <w:sz w:val="18"/>
      <w:szCs w:val="18"/>
    </w:rPr>
  </w:style>
  <w:style w:type="character" w:customStyle="1" w:styleId="88">
    <w:name w:val="Balloon Text Char"/>
    <w:qFormat/>
    <w:uiPriority w:val="0"/>
    <w:rPr>
      <w:sz w:val="18"/>
      <w:lang w:bidi="ar-SA"/>
    </w:rPr>
  </w:style>
  <w:style w:type="character" w:customStyle="1" w:styleId="89">
    <w:name w:val="日期 Char1"/>
    <w:qFormat/>
    <w:uiPriority w:val="0"/>
    <w:rPr>
      <w:rFonts w:ascii="Times New Roman" w:hAnsi="Times New Roman" w:eastAsia="宋体" w:cs="Times New Roman"/>
      <w:szCs w:val="24"/>
    </w:rPr>
  </w:style>
  <w:style w:type="character" w:customStyle="1" w:styleId="90">
    <w:name w:val="Comment Subject Char"/>
    <w:qFormat/>
    <w:uiPriority w:val="0"/>
    <w:rPr>
      <w:b/>
      <w:sz w:val="24"/>
      <w:lang w:bidi="ar-SA"/>
    </w:rPr>
  </w:style>
  <w:style w:type="character" w:customStyle="1" w:styleId="91">
    <w:name w:val="Document Map Char"/>
    <w:qFormat/>
    <w:uiPriority w:val="0"/>
    <w:rPr>
      <w:rFonts w:eastAsia="宋体"/>
      <w:kern w:val="2"/>
      <w:sz w:val="21"/>
      <w:szCs w:val="24"/>
      <w:lang w:val="en-US" w:eastAsia="zh-CN" w:bidi="ar-SA"/>
    </w:rPr>
  </w:style>
  <w:style w:type="character" w:customStyle="1" w:styleId="92">
    <w:name w:val="Char Char20"/>
    <w:qFormat/>
    <w:uiPriority w:val="0"/>
    <w:rPr>
      <w:rFonts w:ascii="Times New Roman" w:hAnsi="Times New Roman" w:eastAsia="宋体" w:cs="Times New Roman"/>
      <w:b/>
      <w:bCs/>
      <w:sz w:val="24"/>
      <w:szCs w:val="32"/>
    </w:rPr>
  </w:style>
  <w:style w:type="character" w:customStyle="1" w:styleId="93">
    <w:name w:val="Header Char"/>
    <w:qFormat/>
    <w:uiPriority w:val="0"/>
    <w:rPr>
      <w:rFonts w:eastAsia="宋体"/>
      <w:kern w:val="2"/>
      <w:sz w:val="18"/>
      <w:szCs w:val="18"/>
      <w:lang w:val="en-US" w:eastAsia="zh-CN" w:bidi="ar-SA"/>
    </w:rPr>
  </w:style>
  <w:style w:type="character" w:customStyle="1" w:styleId="94">
    <w:name w:val="引用 Char1"/>
    <w:qFormat/>
    <w:uiPriority w:val="0"/>
    <w:rPr>
      <w:rFonts w:ascii="Times New Roman" w:hAnsi="Times New Roman" w:eastAsia="宋体" w:cs="Times New Roman"/>
      <w:i/>
      <w:iCs/>
      <w:color w:val="000000"/>
      <w:szCs w:val="24"/>
    </w:rPr>
  </w:style>
  <w:style w:type="character" w:customStyle="1" w:styleId="95">
    <w:name w:val="_Style 94"/>
    <w:qFormat/>
    <w:uiPriority w:val="0"/>
    <w:rPr>
      <w:b/>
      <w:bCs/>
      <w:i/>
      <w:iCs/>
      <w:color w:val="4F81BD"/>
    </w:rPr>
  </w:style>
  <w:style w:type="character" w:customStyle="1" w:styleId="96">
    <w:name w:val="textcontents"/>
    <w:qFormat/>
    <w:uiPriority w:val="0"/>
    <w:rPr>
      <w:rFonts w:cs="Times New Roman"/>
    </w:rPr>
  </w:style>
  <w:style w:type="character" w:customStyle="1" w:styleId="97">
    <w:name w:val="Plain Text Char"/>
    <w:qFormat/>
    <w:uiPriority w:val="0"/>
    <w:rPr>
      <w:rFonts w:ascii="宋体" w:hAnsi="Courier New" w:eastAsia="宋体"/>
      <w:sz w:val="24"/>
      <w:lang w:bidi="ar-SA"/>
    </w:rPr>
  </w:style>
  <w:style w:type="character" w:customStyle="1" w:styleId="98">
    <w:name w:val="Char Char91"/>
    <w:qFormat/>
    <w:uiPriority w:val="0"/>
    <w:rPr>
      <w:rFonts w:eastAsia="宋体"/>
      <w:b/>
      <w:bCs/>
      <w:kern w:val="44"/>
      <w:sz w:val="32"/>
      <w:szCs w:val="44"/>
      <w:lang w:val="en-US" w:eastAsia="zh-CN" w:bidi="ar-SA"/>
    </w:rPr>
  </w:style>
  <w:style w:type="character" w:customStyle="1" w:styleId="99">
    <w:name w:val="明显引用 Char"/>
    <w:link w:val="100"/>
    <w:qFormat/>
    <w:uiPriority w:val="0"/>
    <w:rPr>
      <w:b/>
      <w:bCs/>
      <w:i/>
      <w:iCs/>
      <w:color w:val="4F81BD"/>
      <w:lang w:bidi="ar-SA"/>
    </w:rPr>
  </w:style>
  <w:style w:type="paragraph" w:styleId="100">
    <w:name w:val="Intense Quote"/>
    <w:basedOn w:val="1"/>
    <w:next w:val="1"/>
    <w:link w:val="99"/>
    <w:qFormat/>
    <w:uiPriority w:val="0"/>
    <w:pPr>
      <w:pBdr>
        <w:bottom w:val="single" w:color="4F81BD" w:sz="4" w:space="4"/>
      </w:pBdr>
      <w:spacing w:before="200" w:after="280"/>
      <w:ind w:left="936" w:right="936"/>
    </w:pPr>
    <w:rPr>
      <w:b/>
      <w:bCs/>
      <w:i/>
      <w:iCs/>
      <w:color w:val="4F81BD"/>
      <w:kern w:val="0"/>
      <w:sz w:val="20"/>
      <w:szCs w:val="20"/>
    </w:rPr>
  </w:style>
  <w:style w:type="character" w:customStyle="1" w:styleId="101">
    <w:name w:val="Char Char24"/>
    <w:qFormat/>
    <w:uiPriority w:val="0"/>
    <w:rPr>
      <w:rFonts w:eastAsia="宋体"/>
      <w:b/>
      <w:bCs/>
      <w:kern w:val="44"/>
      <w:sz w:val="32"/>
      <w:szCs w:val="44"/>
      <w:lang w:val="en-US" w:eastAsia="zh-CN" w:bidi="ar-SA"/>
    </w:rPr>
  </w:style>
  <w:style w:type="character" w:customStyle="1" w:styleId="102">
    <w:name w:val="Comment Text Char"/>
    <w:qFormat/>
    <w:uiPriority w:val="0"/>
    <w:rPr>
      <w:rFonts w:cs="Times New Roman"/>
      <w:sz w:val="24"/>
      <w:szCs w:val="24"/>
    </w:rPr>
  </w:style>
  <w:style w:type="character" w:customStyle="1" w:styleId="103">
    <w:name w:val="_Style 102"/>
    <w:qFormat/>
    <w:uiPriority w:val="0"/>
    <w:rPr>
      <w:i/>
      <w:iCs/>
      <w:color w:val="808080"/>
    </w:rPr>
  </w:style>
  <w:style w:type="character" w:customStyle="1" w:styleId="104">
    <w:name w:val="文档结构图 Char1"/>
    <w:qFormat/>
    <w:uiPriority w:val="0"/>
    <w:rPr>
      <w:rFonts w:ascii="宋体" w:hAnsi="Times New Roman" w:eastAsia="宋体" w:cs="Times New Roman"/>
      <w:sz w:val="18"/>
      <w:szCs w:val="18"/>
    </w:rPr>
  </w:style>
  <w:style w:type="character" w:customStyle="1" w:styleId="105">
    <w:name w:val="Heading 2 Char"/>
    <w:qFormat/>
    <w:uiPriority w:val="0"/>
    <w:rPr>
      <w:rFonts w:ascii="Arial" w:hAnsi="Arial" w:eastAsia="黑体"/>
      <w:b/>
      <w:bCs/>
      <w:kern w:val="2"/>
      <w:sz w:val="32"/>
      <w:szCs w:val="32"/>
      <w:lang w:val="en-US" w:eastAsia="zh-CN" w:bidi="ar-SA"/>
    </w:rPr>
  </w:style>
  <w:style w:type="character" w:customStyle="1" w:styleId="106">
    <w:name w:val="Char Char22"/>
    <w:qFormat/>
    <w:uiPriority w:val="0"/>
    <w:rPr>
      <w:rFonts w:ascii="Times New Roman" w:hAnsi="Times New Roman" w:eastAsia="宋体" w:cs="Times New Roman"/>
      <w:b/>
      <w:bCs/>
      <w:kern w:val="44"/>
      <w:sz w:val="32"/>
      <w:szCs w:val="44"/>
    </w:rPr>
  </w:style>
  <w:style w:type="character" w:customStyle="1" w:styleId="107">
    <w:name w:val="Footer Char"/>
    <w:qFormat/>
    <w:uiPriority w:val="0"/>
    <w:rPr>
      <w:rFonts w:eastAsia="宋体"/>
      <w:kern w:val="2"/>
      <w:sz w:val="18"/>
      <w:szCs w:val="18"/>
      <w:lang w:val="en-US" w:eastAsia="zh-CN" w:bidi="ar-SA"/>
    </w:rPr>
  </w:style>
  <w:style w:type="character" w:customStyle="1" w:styleId="108">
    <w:name w:val="批注文字 Char"/>
    <w:qFormat/>
    <w:uiPriority w:val="0"/>
    <w:rPr>
      <w:kern w:val="2"/>
      <w:sz w:val="21"/>
      <w:szCs w:val="24"/>
    </w:rPr>
  </w:style>
  <w:style w:type="character" w:customStyle="1" w:styleId="109">
    <w:name w:val="_Style 108"/>
    <w:qFormat/>
    <w:uiPriority w:val="0"/>
    <w:rPr>
      <w:b/>
      <w:bCs/>
      <w:smallCaps/>
      <w:spacing w:val="5"/>
    </w:rPr>
  </w:style>
  <w:style w:type="character" w:customStyle="1" w:styleId="110">
    <w:name w:val="Char Char21"/>
    <w:qFormat/>
    <w:uiPriority w:val="0"/>
    <w:rPr>
      <w:rFonts w:ascii="Arial" w:hAnsi="Arial" w:eastAsia="黑体" w:cs="Times New Roman"/>
      <w:b/>
      <w:bCs/>
      <w:sz w:val="32"/>
      <w:szCs w:val="32"/>
    </w:rPr>
  </w:style>
  <w:style w:type="character" w:customStyle="1" w:styleId="111">
    <w:name w:val="Heading 3 Char"/>
    <w:qFormat/>
    <w:uiPriority w:val="0"/>
    <w:rPr>
      <w:rFonts w:cs="Times New Roman"/>
      <w:b/>
      <w:bCs/>
      <w:kern w:val="2"/>
      <w:sz w:val="32"/>
      <w:szCs w:val="32"/>
    </w:rPr>
  </w:style>
  <w:style w:type="character" w:customStyle="1" w:styleId="112">
    <w:name w:val="_Style 111"/>
    <w:qFormat/>
    <w:uiPriority w:val="0"/>
    <w:rPr>
      <w:smallCaps/>
      <w:color w:val="C0504D"/>
      <w:u w:val="single"/>
    </w:rPr>
  </w:style>
  <w:style w:type="character" w:customStyle="1" w:styleId="113">
    <w:name w:val="引用 Char"/>
    <w:link w:val="114"/>
    <w:qFormat/>
    <w:uiPriority w:val="0"/>
    <w:rPr>
      <w:i/>
      <w:iCs/>
      <w:color w:val="000000"/>
      <w:lang w:bidi="ar-SA"/>
    </w:rPr>
  </w:style>
  <w:style w:type="paragraph" w:styleId="114">
    <w:name w:val="Quote"/>
    <w:basedOn w:val="1"/>
    <w:next w:val="1"/>
    <w:link w:val="113"/>
    <w:qFormat/>
    <w:uiPriority w:val="0"/>
    <w:rPr>
      <w:i/>
      <w:iCs/>
      <w:color w:val="000000"/>
      <w:kern w:val="0"/>
      <w:sz w:val="20"/>
      <w:szCs w:val="20"/>
    </w:rPr>
  </w:style>
  <w:style w:type="character" w:customStyle="1" w:styleId="115">
    <w:name w:val="明显引用 Char1"/>
    <w:qFormat/>
    <w:uiPriority w:val="0"/>
    <w:rPr>
      <w:rFonts w:ascii="Times New Roman" w:hAnsi="Times New Roman" w:eastAsia="宋体" w:cs="Times New Roman"/>
      <w:b/>
      <w:bCs/>
      <w:i/>
      <w:iCs/>
      <w:color w:val="4F81BD"/>
      <w:szCs w:val="24"/>
    </w:rPr>
  </w:style>
  <w:style w:type="character" w:customStyle="1" w:styleId="116">
    <w:name w:val="bsharetext"/>
    <w:qFormat/>
    <w:uiPriority w:val="0"/>
  </w:style>
  <w:style w:type="character" w:customStyle="1" w:styleId="117">
    <w:name w:val="标题 Char1"/>
    <w:qFormat/>
    <w:uiPriority w:val="0"/>
    <w:rPr>
      <w:rFonts w:ascii="Cambria" w:hAnsi="Cambria" w:eastAsia="宋体" w:cs="Times New Roman"/>
      <w:b/>
      <w:bCs/>
      <w:sz w:val="32"/>
      <w:szCs w:val="32"/>
    </w:rPr>
  </w:style>
  <w:style w:type="character" w:customStyle="1" w:styleId="118">
    <w:name w:val="Char Char9"/>
    <w:qFormat/>
    <w:uiPriority w:val="0"/>
    <w:rPr>
      <w:rFonts w:eastAsia="宋体"/>
      <w:b/>
      <w:bCs/>
      <w:kern w:val="44"/>
      <w:sz w:val="32"/>
      <w:szCs w:val="44"/>
      <w:lang w:val="en-US" w:eastAsia="zh-CN" w:bidi="ar-SA"/>
    </w:rPr>
  </w:style>
  <w:style w:type="character" w:customStyle="1" w:styleId="119">
    <w:name w:val="Char Char23"/>
    <w:qFormat/>
    <w:uiPriority w:val="0"/>
    <w:rPr>
      <w:rFonts w:eastAsia="宋体"/>
      <w:b/>
      <w:bCs/>
      <w:kern w:val="44"/>
      <w:sz w:val="32"/>
      <w:szCs w:val="44"/>
      <w:lang w:val="en-US" w:eastAsia="zh-CN" w:bidi="ar-SA"/>
    </w:rPr>
  </w:style>
  <w:style w:type="character" w:customStyle="1" w:styleId="120">
    <w:name w:val="Body Text Indent 2 Char"/>
    <w:qFormat/>
    <w:uiPriority w:val="0"/>
    <w:rPr>
      <w:rFonts w:eastAsia="宋体"/>
      <w:kern w:val="2"/>
      <w:sz w:val="21"/>
      <w:szCs w:val="24"/>
      <w:lang w:val="en-US" w:eastAsia="zh-CN" w:bidi="ar-SA"/>
    </w:rPr>
  </w:style>
  <w:style w:type="character" w:customStyle="1" w:styleId="121">
    <w:name w:val="current"/>
    <w:qFormat/>
    <w:uiPriority w:val="0"/>
    <w:rPr>
      <w:color w:val="FFFFFF"/>
      <w:bdr w:val="single" w:color="028BD3" w:sz="6" w:space="0"/>
      <w:shd w:val="clear" w:color="auto" w:fill="028BD3"/>
    </w:rPr>
  </w:style>
  <w:style w:type="character" w:customStyle="1" w:styleId="122">
    <w:name w:val="Date Char"/>
    <w:qFormat/>
    <w:uiPriority w:val="0"/>
    <w:rPr>
      <w:rFonts w:eastAsia="宋体"/>
      <w:kern w:val="2"/>
      <w:sz w:val="21"/>
      <w:szCs w:val="24"/>
      <w:lang w:val="en-US" w:eastAsia="zh-CN" w:bidi="ar-SA"/>
    </w:rPr>
  </w:style>
  <w:style w:type="character" w:customStyle="1" w:styleId="123">
    <w:name w:val="Heading 5 Char"/>
    <w:qFormat/>
    <w:uiPriority w:val="0"/>
    <w:rPr>
      <w:rFonts w:eastAsia="宋体"/>
      <w:b/>
      <w:bCs/>
      <w:kern w:val="2"/>
      <w:sz w:val="28"/>
      <w:szCs w:val="28"/>
      <w:lang w:val="en-US" w:eastAsia="zh-CN" w:bidi="ar-SA"/>
    </w:rPr>
  </w:style>
  <w:style w:type="character" w:customStyle="1" w:styleId="124">
    <w:name w:val="正文文本 Char1"/>
    <w:qFormat/>
    <w:uiPriority w:val="0"/>
    <w:rPr>
      <w:kern w:val="2"/>
      <w:sz w:val="21"/>
      <w:szCs w:val="22"/>
    </w:rPr>
  </w:style>
  <w:style w:type="character" w:customStyle="1" w:styleId="125">
    <w:name w:val="Heading 3 Char1"/>
    <w:qFormat/>
    <w:uiPriority w:val="0"/>
    <w:rPr>
      <w:rFonts w:eastAsia="宋体"/>
      <w:b/>
      <w:bCs/>
      <w:kern w:val="2"/>
      <w:sz w:val="24"/>
      <w:szCs w:val="32"/>
      <w:lang w:val="en-US" w:eastAsia="zh-CN" w:bidi="ar-SA"/>
    </w:rPr>
  </w:style>
  <w:style w:type="character" w:customStyle="1" w:styleId="126">
    <w:name w:val="标题 Char2"/>
    <w:qFormat/>
    <w:uiPriority w:val="0"/>
    <w:rPr>
      <w:rFonts w:ascii="Cambria" w:hAnsi="Cambria" w:eastAsia="宋体" w:cs="Times New Roman"/>
      <w:b/>
      <w:bCs/>
      <w:sz w:val="32"/>
      <w:szCs w:val="32"/>
    </w:rPr>
  </w:style>
  <w:style w:type="character" w:customStyle="1" w:styleId="127">
    <w:name w:val="Heading 1 Char"/>
    <w:qFormat/>
    <w:uiPriority w:val="0"/>
    <w:rPr>
      <w:rFonts w:eastAsia="宋体"/>
      <w:b/>
      <w:bCs/>
      <w:kern w:val="44"/>
      <w:sz w:val="32"/>
      <w:szCs w:val="44"/>
      <w:lang w:val="en-US" w:eastAsia="zh-CN" w:bidi="ar-SA"/>
    </w:rPr>
  </w:style>
  <w:style w:type="character" w:customStyle="1" w:styleId="128">
    <w:name w:val="disabled"/>
    <w:qFormat/>
    <w:uiPriority w:val="0"/>
    <w:rPr>
      <w:vanish/>
    </w:rPr>
  </w:style>
  <w:style w:type="paragraph" w:customStyle="1" w:styleId="129">
    <w:name w:val="Char Char Char Char Char Char Char"/>
    <w:basedOn w:val="1"/>
    <w:qFormat/>
    <w:uiPriority w:val="0"/>
    <w:pPr>
      <w:widowControl/>
      <w:spacing w:after="160" w:line="240" w:lineRule="exact"/>
      <w:jc w:val="left"/>
    </w:pPr>
  </w:style>
  <w:style w:type="paragraph" w:customStyle="1" w:styleId="130">
    <w:name w:val="_Style 37"/>
    <w:basedOn w:val="1"/>
    <w:next w:val="1"/>
    <w:qFormat/>
    <w:uiPriority w:val="0"/>
  </w:style>
  <w:style w:type="paragraph" w:customStyle="1" w:styleId="131">
    <w:name w:val="样式1"/>
    <w:basedOn w:val="1"/>
    <w:next w:val="5"/>
    <w:qFormat/>
    <w:uiPriority w:val="0"/>
    <w:pPr>
      <w:spacing w:line="360" w:lineRule="auto"/>
      <w:ind w:firstLine="420" w:firstLineChars="200"/>
    </w:pPr>
    <w:rPr>
      <w:rFonts w:ascii="宋体" w:hAnsi="宋体"/>
      <w:szCs w:val="21"/>
    </w:rPr>
  </w:style>
  <w:style w:type="paragraph" w:customStyle="1" w:styleId="132">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33">
    <w:name w:val="1"/>
    <w:basedOn w:val="1"/>
    <w:next w:val="1"/>
    <w:qFormat/>
    <w:uiPriority w:val="0"/>
  </w:style>
  <w:style w:type="paragraph" w:customStyle="1" w:styleId="134">
    <w:name w:val="_Style 133"/>
    <w:qFormat/>
    <w:uiPriority w:val="0"/>
    <w:rPr>
      <w:rFonts w:ascii="Times New Roman" w:hAnsi="Times New Roman" w:eastAsia="宋体" w:cs="Times New Roman"/>
      <w:kern w:val="2"/>
      <w:sz w:val="21"/>
      <w:szCs w:val="24"/>
      <w:lang w:val="en-US" w:eastAsia="zh-CN" w:bidi="ar-SA"/>
    </w:rPr>
  </w:style>
  <w:style w:type="paragraph" w:customStyle="1" w:styleId="13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kern w:val="0"/>
      <w:sz w:val="28"/>
      <w:szCs w:val="20"/>
    </w:rPr>
  </w:style>
  <w:style w:type="paragraph" w:customStyle="1" w:styleId="136">
    <w:name w:val="Char"/>
    <w:basedOn w:val="1"/>
    <w:qFormat/>
    <w:uiPriority w:val="0"/>
    <w:pPr>
      <w:widowControl/>
      <w:spacing w:after="160" w:line="240" w:lineRule="exact"/>
      <w:jc w:val="left"/>
    </w:pPr>
  </w:style>
  <w:style w:type="paragraph" w:styleId="13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8">
    <w:name w:val="Char Char Char 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39">
    <w:name w:val="2-2ji"/>
    <w:basedOn w:val="3"/>
    <w:qFormat/>
    <w:uiPriority w:val="0"/>
    <w:pPr>
      <w:spacing w:before="0" w:after="0" w:line="360" w:lineRule="auto"/>
      <w:jc w:val="center"/>
    </w:pPr>
    <w:rPr>
      <w:rFonts w:ascii="宋体" w:hAnsi="宋体" w:eastAsia="宋体"/>
      <w:sz w:val="36"/>
      <w:szCs w:val="24"/>
    </w:rPr>
  </w:style>
  <w:style w:type="paragraph" w:customStyle="1" w:styleId="140">
    <w:name w:val="_Style 139"/>
    <w:basedOn w:val="2"/>
    <w:next w:val="1"/>
    <w:qFormat/>
    <w:uiPriority w:val="0"/>
    <w:pPr>
      <w:spacing w:before="340" w:after="330" w:line="576" w:lineRule="auto"/>
      <w:outlineLvl w:val="9"/>
    </w:pPr>
    <w:rPr>
      <w:rFonts w:ascii="Calibri" w:hAnsi="Calibri"/>
      <w:sz w:val="44"/>
    </w:rPr>
  </w:style>
  <w:style w:type="paragraph" w:customStyle="1" w:styleId="141">
    <w:name w:val="Char1"/>
    <w:basedOn w:val="1"/>
    <w:qFormat/>
    <w:uiPriority w:val="0"/>
    <w:pPr>
      <w:widowControl/>
      <w:spacing w:after="160" w:line="240" w:lineRule="exact"/>
      <w:jc w:val="left"/>
    </w:pPr>
  </w:style>
  <w:style w:type="paragraph" w:customStyle="1" w:styleId="142">
    <w:name w:val="p0"/>
    <w:basedOn w:val="1"/>
    <w:qFormat/>
    <w:uiPriority w:val="0"/>
    <w:pPr>
      <w:widowControl/>
    </w:pPr>
    <w:rPr>
      <w:rFonts w:ascii="Calibri" w:hAnsi="Calibri" w:cs="宋体"/>
      <w:kern w:val="0"/>
      <w:szCs w:val="21"/>
    </w:rPr>
  </w:style>
  <w:style w:type="paragraph" w:customStyle="1" w:styleId="143">
    <w:name w:val="Default"/>
    <w:qFormat/>
    <w:uiPriority w:val="99"/>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144">
    <w:name w:val="List Paragraph"/>
    <w:basedOn w:val="1"/>
    <w:qFormat/>
    <w:uiPriority w:val="0"/>
    <w:pPr>
      <w:ind w:firstLine="420" w:firstLineChars="200"/>
    </w:pPr>
    <w:rPr>
      <w:rFonts w:ascii="Calibri" w:hAnsi="Calibri"/>
      <w:szCs w:val="22"/>
    </w:rPr>
  </w:style>
  <w:style w:type="paragraph" w:customStyle="1" w:styleId="145">
    <w:name w:val="样式 标题 3 + (中文) 黑体 小四 非加粗 段前: 7.8 磅 段后: 0 磅 行距: 固定值 20 磅"/>
    <w:basedOn w:val="4"/>
    <w:qFormat/>
    <w:uiPriority w:val="0"/>
    <w:pPr>
      <w:spacing w:line="400" w:lineRule="exact"/>
    </w:pPr>
    <w:rPr>
      <w:rFonts w:cs="宋体"/>
      <w:b w:val="0"/>
      <w:bCs w:val="0"/>
      <w:szCs w:val="20"/>
    </w:rPr>
  </w:style>
  <w:style w:type="paragraph" w:customStyle="1" w:styleId="146">
    <w:name w:val="列出段落1"/>
    <w:basedOn w:val="1"/>
    <w:qFormat/>
    <w:uiPriority w:val="0"/>
    <w:pPr>
      <w:ind w:firstLine="420" w:firstLineChars="200"/>
    </w:pPr>
    <w:rPr>
      <w:rFonts w:ascii="Calibri" w:hAnsi="Calibri"/>
      <w:szCs w:val="22"/>
    </w:rPr>
  </w:style>
  <w:style w:type="paragraph" w:customStyle="1" w:styleId="147">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49">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150">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2">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3">
    <w:name w:val="Table Paragraph"/>
    <w:basedOn w:val="1"/>
    <w:qFormat/>
    <w:uiPriority w:val="1"/>
    <w:pPr>
      <w:jc w:val="left"/>
    </w:pPr>
    <w:rPr>
      <w:rFonts w:ascii="Calibri" w:hAnsi="Calibri"/>
      <w:kern w:val="0"/>
      <w:sz w:val="22"/>
      <w:szCs w:val="22"/>
      <w:lang w:eastAsia="en-US"/>
    </w:rPr>
  </w:style>
  <w:style w:type="paragraph" w:customStyle="1" w:styleId="154">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155">
    <w:name w:val="Char Char"/>
    <w:qFormat/>
    <w:uiPriority w:val="0"/>
    <w:rPr>
      <w:rFonts w:ascii="黑体" w:hAnsi="Courier New" w:eastAsia="黑体" w:cs="Courier New"/>
      <w:lang w:val="en-US" w:eastAsia="zh-CN" w:bidi="ar-SA"/>
    </w:rPr>
  </w:style>
  <w:style w:type="character" w:customStyle="1" w:styleId="156">
    <w:name w:val="NormalCharacter"/>
    <w:qFormat/>
    <w:uiPriority w:val="0"/>
  </w:style>
  <w:style w:type="paragraph" w:customStyle="1" w:styleId="157">
    <w:name w:val="Normal_1"/>
    <w:qFormat/>
    <w:uiPriority w:val="0"/>
    <w:pPr>
      <w:widowControl w:val="0"/>
      <w:jc w:val="both"/>
    </w:pPr>
    <w:rPr>
      <w:rFonts w:ascii="Calibri" w:hAnsi="Calibri" w:eastAsia="宋体" w:cs="Times New Roman"/>
      <w:lang w:val="en-US" w:eastAsia="zh-CN" w:bidi="ar-SA"/>
    </w:rPr>
  </w:style>
  <w:style w:type="paragraph" w:customStyle="1" w:styleId="158">
    <w:name w:val="_Style 2"/>
    <w:next w:val="1"/>
    <w:qFormat/>
    <w:uiPriority w:val="1"/>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163</Pages>
  <Words>6153</Words>
  <Characters>6776</Characters>
  <Lines>793</Lines>
  <Paragraphs>223</Paragraphs>
  <TotalTime>37</TotalTime>
  <ScaleCrop>false</ScaleCrop>
  <LinksUpToDate>false</LinksUpToDate>
  <CharactersWithSpaces>7082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2022-10-25T07:17:00Z</dcterms:created>
  <dc:creator>杨羡</dc:creator>
  <cp:lastModifiedBy>wps</cp:lastModifiedBy>
  <cp:lastPrinted>2025-11-27T05:16:00Z</cp:lastPrinted>
  <dcterms:modified xsi:type="dcterms:W3CDTF">2026-05-28T08:17:16Z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0AA9F3DE9EE2466CAC1E27517CDEBF1B_13</vt:lpwstr>
  </property>
  <property fmtid="{D5CDD505-2E9C-101B-9397-08002B2CF9AE}" pid="4" name="KSOTemplateDocerSaveRecord">
    <vt:lpwstr>eyJoZGlkIjoiNzI5OWM3OGY1NTAzMjZjNjUxMTAzMDE0ZGZiNTY1MWMiLCJ1c2VySWQiOiI4MDU1NDc2MDIifQ==</vt:lpwstr>
  </property>
</Properties>
</file>