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DC1E4">
      <w:pPr>
        <w:spacing w:line="360" w:lineRule="auto"/>
        <w:jc w:val="center"/>
        <w:rPr>
          <w:rFonts w:ascii="宋体" w:hAnsi="宋体" w:cs="宋体"/>
          <w:color w:val="auto"/>
          <w:sz w:val="52"/>
          <w:szCs w:val="52"/>
          <w:highlight w:val="none"/>
        </w:rPr>
      </w:pPr>
    </w:p>
    <w:p w14:paraId="2D06C9DF">
      <w:pPr>
        <w:pStyle w:val="2"/>
        <w:rPr>
          <w:color w:val="auto"/>
          <w:highlight w:val="none"/>
        </w:rPr>
      </w:pPr>
    </w:p>
    <w:p w14:paraId="61CF6865">
      <w:pPr>
        <w:pStyle w:val="2"/>
        <w:rPr>
          <w:color w:val="auto"/>
          <w:highlight w:val="none"/>
        </w:rPr>
      </w:pPr>
    </w:p>
    <w:p w14:paraId="6A34068A">
      <w:pPr>
        <w:spacing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云之龙咨询集团有限公司</w:t>
      </w:r>
    </w:p>
    <w:p w14:paraId="68EBDD9B">
      <w:pPr>
        <w:spacing w:line="360" w:lineRule="auto"/>
        <w:jc w:val="center"/>
        <w:rPr>
          <w:rFonts w:ascii="宋体" w:hAnsi="宋体" w:cs="宋体"/>
          <w:b/>
          <w:color w:val="auto"/>
          <w:sz w:val="48"/>
          <w:szCs w:val="48"/>
          <w:highlight w:val="none"/>
        </w:rPr>
      </w:pPr>
    </w:p>
    <w:p w14:paraId="3BA17EB7">
      <w:pPr>
        <w:snapToGrid w:val="0"/>
        <w:spacing w:before="156" w:beforeLines="50" w:line="360" w:lineRule="auto"/>
        <w:jc w:val="center"/>
        <w:rPr>
          <w:rFonts w:ascii="宋体" w:hAnsi="宋体" w:cs="宋体"/>
          <w:color w:val="auto"/>
          <w:sz w:val="120"/>
          <w:szCs w:val="120"/>
          <w:highlight w:val="none"/>
        </w:rPr>
      </w:pPr>
      <w:r>
        <w:rPr>
          <w:rFonts w:hint="eastAsia" w:ascii="宋体" w:hAnsi="宋体" w:cs="宋体"/>
          <w:color w:val="auto"/>
          <w:sz w:val="120"/>
          <w:szCs w:val="120"/>
          <w:highlight w:val="none"/>
        </w:rPr>
        <w:t>招 标 文 件</w:t>
      </w:r>
    </w:p>
    <w:p w14:paraId="3D87128A">
      <w:pPr>
        <w:snapToGrid w:val="0"/>
        <w:spacing w:line="360" w:lineRule="auto"/>
        <w:rPr>
          <w:rFonts w:ascii="宋体" w:hAnsi="宋体" w:cs="宋体"/>
          <w:color w:val="auto"/>
          <w:sz w:val="30"/>
          <w:szCs w:val="72"/>
          <w:highlight w:val="none"/>
        </w:rPr>
      </w:pPr>
    </w:p>
    <w:p w14:paraId="01DF0CBB">
      <w:pPr>
        <w:pStyle w:val="24"/>
        <w:snapToGrid w:val="0"/>
        <w:spacing w:line="360" w:lineRule="auto"/>
        <w:ind w:left="840" w:leftChars="400" w:firstLine="286" w:firstLineChars="100"/>
        <w:rPr>
          <w:rFonts w:hint="eastAsia" w:hAnsi="宋体" w:eastAsia="宋体" w:cs="宋体"/>
          <w:b/>
          <w:bCs/>
          <w:color w:val="auto"/>
          <w:w w:val="95"/>
          <w:sz w:val="30"/>
          <w:szCs w:val="30"/>
          <w:highlight w:val="none"/>
          <w:lang w:val="en-US" w:eastAsia="zh-CN"/>
        </w:rPr>
      </w:pPr>
      <w:r>
        <w:rPr>
          <w:rFonts w:hint="eastAsia" w:hAnsi="宋体" w:cs="宋体"/>
          <w:b/>
          <w:bCs/>
          <w:color w:val="auto"/>
          <w:w w:val="95"/>
          <w:sz w:val="30"/>
          <w:szCs w:val="30"/>
          <w:highlight w:val="none"/>
        </w:rPr>
        <w:t>项目名称：</w:t>
      </w:r>
      <w:r>
        <w:rPr>
          <w:rFonts w:hint="eastAsia" w:hAnsi="宋体" w:cs="宋体"/>
          <w:b/>
          <w:bCs/>
          <w:color w:val="auto"/>
          <w:w w:val="95"/>
          <w:sz w:val="30"/>
          <w:szCs w:val="30"/>
          <w:highlight w:val="none"/>
          <w:lang w:eastAsia="zh-CN"/>
        </w:rPr>
        <w:t>麻醉机采购项目</w:t>
      </w:r>
    </w:p>
    <w:p w14:paraId="64F8182E">
      <w:pPr>
        <w:pStyle w:val="24"/>
        <w:snapToGrid w:val="0"/>
        <w:spacing w:line="360" w:lineRule="auto"/>
        <w:ind w:left="840" w:leftChars="400" w:firstLine="286" w:firstLineChars="100"/>
        <w:rPr>
          <w:rFonts w:hAnsi="宋体" w:cs="宋体"/>
          <w:b/>
          <w:bCs/>
          <w:color w:val="auto"/>
          <w:w w:val="95"/>
          <w:sz w:val="30"/>
          <w:szCs w:val="30"/>
          <w:highlight w:val="none"/>
        </w:rPr>
      </w:pPr>
      <w:r>
        <w:rPr>
          <w:rFonts w:hint="eastAsia" w:hAnsi="宋体" w:cs="宋体"/>
          <w:b/>
          <w:bCs/>
          <w:color w:val="auto"/>
          <w:w w:val="95"/>
          <w:sz w:val="30"/>
          <w:szCs w:val="30"/>
          <w:highlight w:val="none"/>
        </w:rPr>
        <w:t>项目编号</w:t>
      </w:r>
      <w:r>
        <w:rPr>
          <w:rFonts w:hint="eastAsia" w:hAnsi="宋体" w:cs="宋体"/>
          <w:b/>
          <w:bCs/>
          <w:color w:val="auto"/>
          <w:w w:val="95"/>
          <w:sz w:val="30"/>
          <w:szCs w:val="30"/>
          <w:highlight w:val="none"/>
          <w:lang w:eastAsia="zh-CN"/>
        </w:rPr>
        <w:t>：GXZC2026-G1-001488-YZLZ</w:t>
      </w:r>
    </w:p>
    <w:p w14:paraId="1CC48A09">
      <w:pPr>
        <w:pStyle w:val="24"/>
        <w:snapToGrid w:val="0"/>
        <w:spacing w:line="360" w:lineRule="auto"/>
        <w:ind w:firstLine="1145" w:firstLineChars="400"/>
        <w:rPr>
          <w:rFonts w:hAnsi="宋体" w:cs="宋体"/>
          <w:b/>
          <w:bCs/>
          <w:color w:val="auto"/>
          <w:w w:val="95"/>
          <w:sz w:val="30"/>
          <w:szCs w:val="30"/>
          <w:highlight w:val="none"/>
        </w:rPr>
      </w:pPr>
      <w:r>
        <w:rPr>
          <w:rFonts w:hint="eastAsia" w:hAnsi="宋体" w:cs="宋体"/>
          <w:b/>
          <w:bCs/>
          <w:color w:val="auto"/>
          <w:w w:val="95"/>
          <w:sz w:val="30"/>
          <w:szCs w:val="30"/>
          <w:highlight w:val="none"/>
        </w:rPr>
        <w:t>采 购 人：桂林医科大学第一附属医院</w:t>
      </w:r>
    </w:p>
    <w:p w14:paraId="3AF04646">
      <w:pPr>
        <w:pStyle w:val="24"/>
        <w:snapToGrid w:val="0"/>
        <w:spacing w:line="360" w:lineRule="auto"/>
        <w:ind w:firstLine="1145" w:firstLineChars="400"/>
        <w:rPr>
          <w:rFonts w:hAnsi="宋体" w:cs="宋体"/>
          <w:b/>
          <w:bCs/>
          <w:color w:val="auto"/>
          <w:w w:val="95"/>
          <w:sz w:val="30"/>
          <w:szCs w:val="30"/>
          <w:highlight w:val="none"/>
        </w:rPr>
      </w:pPr>
      <w:r>
        <w:rPr>
          <w:rFonts w:hint="eastAsia" w:hAnsi="宋体" w:cs="宋体"/>
          <w:b/>
          <w:bCs/>
          <w:color w:val="auto"/>
          <w:w w:val="95"/>
          <w:sz w:val="30"/>
          <w:szCs w:val="30"/>
          <w:highlight w:val="none"/>
        </w:rPr>
        <w:t>采购代理机构：云之龙咨询集团有限公司</w:t>
      </w:r>
    </w:p>
    <w:p w14:paraId="2EC4BE74">
      <w:pPr>
        <w:pStyle w:val="24"/>
        <w:snapToGrid w:val="0"/>
        <w:spacing w:line="360" w:lineRule="auto"/>
        <w:ind w:firstLine="1125" w:firstLineChars="393"/>
        <w:rPr>
          <w:rFonts w:hAnsi="宋体" w:cs="宋体"/>
          <w:b/>
          <w:bCs/>
          <w:color w:val="auto"/>
          <w:w w:val="95"/>
          <w:sz w:val="30"/>
          <w:szCs w:val="30"/>
          <w:highlight w:val="none"/>
        </w:rPr>
      </w:pPr>
    </w:p>
    <w:p w14:paraId="4CCB2582">
      <w:pPr>
        <w:pStyle w:val="24"/>
        <w:snapToGrid w:val="0"/>
        <w:spacing w:line="360" w:lineRule="auto"/>
        <w:ind w:firstLine="1125" w:firstLineChars="393"/>
        <w:rPr>
          <w:rFonts w:hAnsi="宋体" w:cs="宋体"/>
          <w:b/>
          <w:bCs/>
          <w:color w:val="auto"/>
          <w:w w:val="95"/>
          <w:sz w:val="30"/>
          <w:szCs w:val="30"/>
          <w:highlight w:val="none"/>
        </w:rPr>
      </w:pPr>
    </w:p>
    <w:p w14:paraId="286ABD00">
      <w:pPr>
        <w:pStyle w:val="24"/>
        <w:snapToGrid w:val="0"/>
        <w:spacing w:line="360" w:lineRule="auto"/>
        <w:jc w:val="center"/>
        <w:rPr>
          <w:rFonts w:hAnsi="宋体" w:cs="宋体"/>
          <w:color w:val="auto"/>
          <w:szCs w:val="20"/>
          <w:highlight w:val="none"/>
        </w:rPr>
      </w:pPr>
      <w:r>
        <w:rPr>
          <w:rFonts w:hint="eastAsia" w:hAnsi="宋体" w:cs="宋体"/>
          <w:b/>
          <w:bCs/>
          <w:color w:val="auto"/>
          <w:w w:val="95"/>
          <w:sz w:val="30"/>
          <w:szCs w:val="30"/>
          <w:highlight w:val="none"/>
        </w:rPr>
        <w:t>2026年  月  日</w:t>
      </w:r>
    </w:p>
    <w:p w14:paraId="21E17B80">
      <w:pPr>
        <w:pStyle w:val="17"/>
        <w:ind w:firstLine="803"/>
        <w:jc w:val="center"/>
        <w:rPr>
          <w:rFonts w:ascii="宋体" w:hAnsi="宋体" w:cs="宋体"/>
          <w:bCs/>
          <w:color w:val="auto"/>
          <w:kern w:val="0"/>
          <w:sz w:val="32"/>
          <w:szCs w:val="32"/>
          <w:highlight w:val="none"/>
        </w:rPr>
      </w:pPr>
    </w:p>
    <w:p w14:paraId="624B9073">
      <w:pPr>
        <w:pStyle w:val="24"/>
        <w:spacing w:before="120" w:after="120" w:line="360" w:lineRule="auto"/>
        <w:jc w:val="center"/>
        <w:rPr>
          <w:rFonts w:hAnsi="宋体" w:cs="宋体"/>
          <w:b/>
          <w:color w:val="auto"/>
          <w:sz w:val="44"/>
          <w:szCs w:val="44"/>
          <w:highlight w:val="none"/>
        </w:rPr>
      </w:pPr>
    </w:p>
    <w:p w14:paraId="07F17967">
      <w:pPr>
        <w:pStyle w:val="24"/>
        <w:spacing w:before="120" w:after="120" w:line="360" w:lineRule="auto"/>
        <w:jc w:val="center"/>
        <w:rPr>
          <w:rFonts w:hAnsi="宋体" w:cs="宋体"/>
          <w:b/>
          <w:color w:val="auto"/>
          <w:sz w:val="44"/>
          <w:szCs w:val="44"/>
          <w:highlight w:val="none"/>
        </w:rPr>
      </w:pPr>
    </w:p>
    <w:p w14:paraId="55CB0DED">
      <w:pPr>
        <w:pStyle w:val="24"/>
        <w:spacing w:before="120" w:after="120" w:line="360" w:lineRule="auto"/>
        <w:jc w:val="center"/>
        <w:rPr>
          <w:rFonts w:hAnsi="宋体" w:cs="宋体"/>
          <w:b/>
          <w:color w:val="auto"/>
          <w:sz w:val="44"/>
          <w:szCs w:val="44"/>
          <w:highlight w:val="none"/>
        </w:rPr>
      </w:pPr>
    </w:p>
    <w:p w14:paraId="25345D38">
      <w:pPr>
        <w:pStyle w:val="24"/>
        <w:spacing w:before="120" w:after="120" w:line="360" w:lineRule="auto"/>
        <w:jc w:val="both"/>
        <w:rPr>
          <w:rFonts w:hAnsi="宋体" w:cs="宋体"/>
          <w:b/>
          <w:color w:val="auto"/>
          <w:sz w:val="44"/>
          <w:szCs w:val="44"/>
          <w:highlight w:val="none"/>
        </w:rPr>
      </w:pPr>
    </w:p>
    <w:p w14:paraId="64E8F01A">
      <w:pPr>
        <w:pStyle w:val="24"/>
        <w:spacing w:before="120" w:after="120" w:line="360" w:lineRule="auto"/>
        <w:jc w:val="center"/>
        <w:rPr>
          <w:rFonts w:hAnsi="宋体" w:cs="宋体"/>
          <w:b/>
          <w:color w:val="auto"/>
          <w:sz w:val="44"/>
          <w:szCs w:val="44"/>
          <w:highlight w:val="none"/>
        </w:rPr>
        <w:sectPr>
          <w:headerReference r:id="rId3" w:type="default"/>
          <w:footerReference r:id="rId4" w:type="default"/>
          <w:pgSz w:w="11906" w:h="16838"/>
          <w:pgMar w:top="1417" w:right="1587" w:bottom="1417" w:left="1587" w:header="851" w:footer="992" w:gutter="0"/>
          <w:pgNumType w:start="0"/>
          <w:cols w:space="425" w:num="1"/>
          <w:docGrid w:type="lines" w:linePitch="312" w:charSpace="0"/>
        </w:sectPr>
      </w:pPr>
    </w:p>
    <w:p w14:paraId="57500F94">
      <w:pPr>
        <w:pStyle w:val="24"/>
        <w:spacing w:before="120" w:after="120" w:line="360" w:lineRule="auto"/>
        <w:jc w:val="center"/>
        <w:rPr>
          <w:rFonts w:hAnsi="宋体" w:cs="宋体"/>
          <w:b/>
          <w:color w:val="auto"/>
          <w:sz w:val="44"/>
          <w:szCs w:val="44"/>
          <w:highlight w:val="none"/>
        </w:rPr>
      </w:pPr>
    </w:p>
    <w:p w14:paraId="35727D74">
      <w:pPr>
        <w:pStyle w:val="24"/>
        <w:spacing w:before="120" w:after="120" w:line="360" w:lineRule="auto"/>
        <w:jc w:val="center"/>
        <w:rPr>
          <w:rFonts w:hAnsi="宋体" w:cs="宋体"/>
          <w:b/>
          <w:color w:val="auto"/>
          <w:sz w:val="44"/>
          <w:szCs w:val="44"/>
          <w:highlight w:val="none"/>
        </w:rPr>
      </w:pPr>
      <w:r>
        <w:rPr>
          <w:rFonts w:hint="eastAsia" w:hAnsi="宋体" w:cs="宋体"/>
          <w:b/>
          <w:color w:val="auto"/>
          <w:sz w:val="44"/>
          <w:szCs w:val="44"/>
          <w:highlight w:val="none"/>
        </w:rPr>
        <w:t>目  录</w:t>
      </w:r>
    </w:p>
    <w:p w14:paraId="04439912">
      <w:pPr>
        <w:pStyle w:val="33"/>
        <w:tabs>
          <w:tab w:val="right" w:leader="dot" w:pos="8732"/>
          <w:tab w:val="clear" w:pos="8398"/>
        </w:tabs>
        <w:rPr>
          <w:color w:val="auto"/>
          <w:highlight w:val="none"/>
        </w:rPr>
      </w:pPr>
      <w:r>
        <w:rPr>
          <w:rFonts w:hint="eastAsia" w:cs="宋体"/>
          <w:b w:val="0"/>
          <w:bCs w:val="0"/>
          <w:caps w:val="0"/>
          <w:color w:val="auto"/>
          <w:highlight w:val="none"/>
        </w:rPr>
        <w:fldChar w:fldCharType="begin"/>
      </w:r>
      <w:r>
        <w:rPr>
          <w:rFonts w:hint="eastAsia" w:cs="宋体"/>
          <w:b w:val="0"/>
          <w:bCs w:val="0"/>
          <w:caps w:val="0"/>
          <w:color w:val="auto"/>
          <w:highlight w:val="none"/>
        </w:rPr>
        <w:instrText xml:space="preserve">TOC \o "1-1" \h \z \u</w:instrText>
      </w:r>
      <w:r>
        <w:rPr>
          <w:rFonts w:hint="eastAsia" w:cs="宋体"/>
          <w:b w:val="0"/>
          <w:bCs w:val="0"/>
          <w:caps w:val="0"/>
          <w:color w:val="auto"/>
          <w:highlight w:val="none"/>
        </w:rPr>
        <w:fldChar w:fldCharType="separate"/>
      </w:r>
      <w:r>
        <w:rPr>
          <w:color w:val="auto"/>
          <w:highlight w:val="none"/>
        </w:rPr>
        <w:fldChar w:fldCharType="begin"/>
      </w:r>
      <w:r>
        <w:rPr>
          <w:color w:val="auto"/>
          <w:highlight w:val="none"/>
        </w:rPr>
        <w:instrText xml:space="preserve"> HYPERLINK \l "_Toc15923" </w:instrText>
      </w:r>
      <w:r>
        <w:rPr>
          <w:color w:val="auto"/>
          <w:highlight w:val="none"/>
        </w:rPr>
        <w:fldChar w:fldCharType="separate"/>
      </w:r>
      <w:r>
        <w:rPr>
          <w:rFonts w:hint="eastAsia"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_Toc15923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3053F76B">
      <w:pPr>
        <w:pStyle w:val="33"/>
        <w:tabs>
          <w:tab w:val="right" w:leader="dot" w:pos="8732"/>
          <w:tab w:val="clear" w:pos="8398"/>
        </w:tabs>
        <w:ind w:firstLine="241"/>
        <w:rPr>
          <w:color w:val="auto"/>
          <w:highlight w:val="none"/>
        </w:rPr>
      </w:pPr>
      <w:r>
        <w:rPr>
          <w:color w:val="auto"/>
          <w:highlight w:val="none"/>
        </w:rPr>
        <w:fldChar w:fldCharType="begin"/>
      </w:r>
      <w:r>
        <w:rPr>
          <w:color w:val="auto"/>
          <w:highlight w:val="none"/>
        </w:rPr>
        <w:instrText xml:space="preserve"> HYPERLINK \l "_Toc29385" </w:instrText>
      </w:r>
      <w:r>
        <w:rPr>
          <w:color w:val="auto"/>
          <w:highlight w:val="none"/>
        </w:rPr>
        <w:fldChar w:fldCharType="separate"/>
      </w:r>
      <w:r>
        <w:rPr>
          <w:rFonts w:hint="eastAsia"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_Toc29385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2047A056">
      <w:pPr>
        <w:pStyle w:val="33"/>
        <w:tabs>
          <w:tab w:val="right" w:leader="dot" w:pos="8732"/>
          <w:tab w:val="clear" w:pos="8398"/>
        </w:tabs>
        <w:ind w:firstLine="241"/>
        <w:rPr>
          <w:color w:val="auto"/>
          <w:highlight w:val="none"/>
        </w:rPr>
      </w:pPr>
      <w:r>
        <w:rPr>
          <w:color w:val="auto"/>
          <w:highlight w:val="none"/>
        </w:rPr>
        <w:fldChar w:fldCharType="begin"/>
      </w:r>
      <w:r>
        <w:rPr>
          <w:color w:val="auto"/>
          <w:highlight w:val="none"/>
        </w:rPr>
        <w:instrText xml:space="preserve"> HYPERLINK \l "_Toc23318" </w:instrText>
      </w:r>
      <w:r>
        <w:rPr>
          <w:color w:val="auto"/>
          <w:highlight w:val="none"/>
        </w:rPr>
        <w:fldChar w:fldCharType="separate"/>
      </w:r>
      <w:r>
        <w:rPr>
          <w:rFonts w:hint="eastAsia" w:cs="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_Toc23318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76DEBC42">
      <w:pPr>
        <w:pStyle w:val="33"/>
        <w:tabs>
          <w:tab w:val="right" w:leader="dot" w:pos="8732"/>
          <w:tab w:val="clear" w:pos="8398"/>
        </w:tabs>
        <w:ind w:firstLine="241"/>
        <w:rPr>
          <w:color w:val="auto"/>
          <w:highlight w:val="none"/>
        </w:rPr>
      </w:pPr>
      <w:r>
        <w:rPr>
          <w:color w:val="auto"/>
          <w:highlight w:val="none"/>
        </w:rPr>
        <w:fldChar w:fldCharType="begin"/>
      </w:r>
      <w:r>
        <w:rPr>
          <w:color w:val="auto"/>
          <w:highlight w:val="none"/>
        </w:rPr>
        <w:instrText xml:space="preserve"> HYPERLINK \l "_Toc18422" </w:instrText>
      </w:r>
      <w:r>
        <w:rPr>
          <w:color w:val="auto"/>
          <w:highlight w:val="none"/>
        </w:rPr>
        <w:fldChar w:fldCharType="separate"/>
      </w:r>
      <w:r>
        <w:rPr>
          <w:rFonts w:hint="eastAsia" w:cs="宋体"/>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_Toc18422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59E938F2">
      <w:pPr>
        <w:pStyle w:val="33"/>
        <w:tabs>
          <w:tab w:val="right" w:leader="dot" w:pos="8732"/>
          <w:tab w:val="clear" w:pos="8398"/>
        </w:tabs>
        <w:ind w:firstLine="241"/>
        <w:rPr>
          <w:color w:val="auto"/>
          <w:highlight w:val="none"/>
        </w:rPr>
      </w:pPr>
      <w:r>
        <w:rPr>
          <w:color w:val="auto"/>
          <w:highlight w:val="none"/>
        </w:rPr>
        <w:fldChar w:fldCharType="begin"/>
      </w:r>
      <w:r>
        <w:rPr>
          <w:color w:val="auto"/>
          <w:highlight w:val="none"/>
        </w:rPr>
        <w:instrText xml:space="preserve"> HYPERLINK \l "_Toc6078" </w:instrText>
      </w:r>
      <w:r>
        <w:rPr>
          <w:color w:val="auto"/>
          <w:highlight w:val="none"/>
        </w:rPr>
        <w:fldChar w:fldCharType="separate"/>
      </w:r>
      <w:r>
        <w:rPr>
          <w:rFonts w:hint="eastAsia" w:cs="宋体"/>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_Toc6078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14:paraId="633A7740">
      <w:pPr>
        <w:pStyle w:val="33"/>
        <w:tabs>
          <w:tab w:val="right" w:leader="dot" w:pos="8732"/>
          <w:tab w:val="clear" w:pos="8398"/>
        </w:tabs>
        <w:ind w:firstLine="241"/>
        <w:rPr>
          <w:color w:val="auto"/>
          <w:highlight w:val="none"/>
        </w:rPr>
      </w:pPr>
      <w:r>
        <w:rPr>
          <w:color w:val="auto"/>
          <w:highlight w:val="none"/>
        </w:rPr>
        <w:fldChar w:fldCharType="begin"/>
      </w:r>
      <w:r>
        <w:rPr>
          <w:color w:val="auto"/>
          <w:highlight w:val="none"/>
        </w:rPr>
        <w:instrText xml:space="preserve"> HYPERLINK \l "_Toc18850" </w:instrText>
      </w:r>
      <w:r>
        <w:rPr>
          <w:color w:val="auto"/>
          <w:highlight w:val="none"/>
        </w:rPr>
        <w:fldChar w:fldCharType="separate"/>
      </w:r>
      <w:r>
        <w:rPr>
          <w:rFonts w:hint="eastAsia" w:cs="宋体"/>
          <w:color w:val="auto"/>
          <w:highlight w:val="none"/>
        </w:rPr>
        <w:t>第六章 投标文件格式</w:t>
      </w:r>
      <w:r>
        <w:rPr>
          <w:color w:val="auto"/>
          <w:highlight w:val="none"/>
        </w:rPr>
        <w:tab/>
      </w:r>
      <w:r>
        <w:rPr>
          <w:rFonts w:hint="eastAsia"/>
          <w:color w:val="auto"/>
          <w:highlight w:val="none"/>
        </w:rPr>
        <w:t>7</w:t>
      </w:r>
      <w:r>
        <w:rPr>
          <w:rFonts w:hint="eastAsia"/>
          <w:color w:val="auto"/>
          <w:highlight w:val="none"/>
        </w:rPr>
        <w:fldChar w:fldCharType="end"/>
      </w:r>
      <w:r>
        <w:rPr>
          <w:rFonts w:hint="eastAsia" w:cs="宋体"/>
          <w:color w:val="auto"/>
          <w:highlight w:val="none"/>
        </w:rPr>
        <w:t>1</w:t>
      </w:r>
    </w:p>
    <w:p w14:paraId="54FDBC33">
      <w:pPr>
        <w:spacing w:before="156" w:beforeLines="50" w:line="480" w:lineRule="exact"/>
        <w:rPr>
          <w:rFonts w:ascii="宋体" w:hAnsi="宋体" w:cs="宋体"/>
          <w:color w:val="auto"/>
          <w:sz w:val="24"/>
          <w:highlight w:val="none"/>
        </w:rPr>
      </w:pPr>
      <w:r>
        <w:rPr>
          <w:rFonts w:hint="eastAsia" w:ascii="宋体" w:hAnsi="宋体" w:cs="宋体"/>
          <w:bCs/>
          <w:caps/>
          <w:color w:val="auto"/>
          <w:highlight w:val="none"/>
        </w:rPr>
        <w:fldChar w:fldCharType="end"/>
      </w:r>
    </w:p>
    <w:p w14:paraId="2529C439">
      <w:pPr>
        <w:spacing w:before="156" w:beforeLines="50" w:line="480" w:lineRule="exact"/>
        <w:rPr>
          <w:rFonts w:ascii="宋体" w:hAnsi="宋体" w:cs="宋体"/>
          <w:color w:val="auto"/>
          <w:sz w:val="30"/>
          <w:highlight w:val="none"/>
        </w:rPr>
      </w:pPr>
    </w:p>
    <w:p w14:paraId="4E59946D">
      <w:pPr>
        <w:rPr>
          <w:rFonts w:ascii="宋体" w:hAnsi="宋体" w:cs="宋体"/>
          <w:color w:val="auto"/>
          <w:highlight w:val="none"/>
        </w:rPr>
      </w:pPr>
    </w:p>
    <w:p w14:paraId="5D9FEBA5">
      <w:pPr>
        <w:spacing w:before="156" w:beforeLines="50" w:line="480" w:lineRule="exact"/>
        <w:rPr>
          <w:rFonts w:ascii="宋体" w:hAnsi="宋体" w:cs="宋体"/>
          <w:color w:val="auto"/>
          <w:sz w:val="30"/>
          <w:highlight w:val="none"/>
        </w:rPr>
      </w:pPr>
    </w:p>
    <w:p w14:paraId="5B1FEECF">
      <w:pPr>
        <w:spacing w:before="156" w:beforeLines="50" w:line="480" w:lineRule="exact"/>
        <w:rPr>
          <w:rFonts w:ascii="宋体" w:hAnsi="宋体" w:cs="宋体"/>
          <w:color w:val="auto"/>
          <w:sz w:val="30"/>
          <w:highlight w:val="none"/>
        </w:rPr>
      </w:pPr>
    </w:p>
    <w:p w14:paraId="73195B2E">
      <w:pPr>
        <w:pStyle w:val="17"/>
        <w:rPr>
          <w:rFonts w:ascii="宋体" w:hAnsi="宋体" w:cs="宋体"/>
          <w:b/>
          <w:bCs/>
          <w:color w:val="auto"/>
          <w:highlight w:val="none"/>
        </w:rPr>
      </w:pPr>
      <w:bookmarkStart w:id="0" w:name="_Toc254970489"/>
      <w:bookmarkStart w:id="1" w:name="_Toc254970630"/>
    </w:p>
    <w:p w14:paraId="2ECBE7B4">
      <w:pPr>
        <w:pStyle w:val="3"/>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pPr>
      <w:r>
        <w:rPr>
          <w:rFonts w:hint="eastAsia" w:ascii="宋体" w:hAnsi="宋体" w:cs="宋体"/>
          <w:b w:val="0"/>
          <w:bCs w:val="0"/>
          <w:color w:val="auto"/>
          <w:highlight w:val="none"/>
        </w:rPr>
        <w:br w:type="page"/>
      </w:r>
      <w:bookmarkStart w:id="2" w:name="_Toc74320800"/>
      <w:bookmarkStart w:id="3" w:name="_Toc15923"/>
      <w:r>
        <w:rPr>
          <w:rFonts w:hint="eastAsia" w:ascii="宋体" w:hAnsi="宋体" w:cs="宋体"/>
          <w:color w:val="auto"/>
          <w:highlight w:val="none"/>
        </w:rPr>
        <w:t>第一章</w:t>
      </w:r>
      <w:bookmarkEnd w:id="0"/>
      <w:bookmarkEnd w:id="1"/>
      <w:bookmarkStart w:id="4" w:name="_Toc35393789"/>
      <w:bookmarkStart w:id="5" w:name="_Toc28359001"/>
      <w:r>
        <w:rPr>
          <w:rFonts w:hint="eastAsia" w:ascii="宋体" w:hAnsi="宋体" w:cs="宋体"/>
          <w:color w:val="auto"/>
          <w:highlight w:val="none"/>
        </w:rPr>
        <w:t>招标公告</w:t>
      </w:r>
      <w:bookmarkEnd w:id="2"/>
      <w:bookmarkEnd w:id="3"/>
      <w:bookmarkEnd w:id="4"/>
      <w:bookmarkEnd w:id="5"/>
    </w:p>
    <w:p w14:paraId="5F849EC2">
      <w:pPr>
        <w:spacing w:line="360" w:lineRule="auto"/>
        <w:rPr>
          <w:rFonts w:ascii="宋体" w:hAnsi="宋体" w:cs="宋体"/>
          <w:color w:val="auto"/>
          <w:szCs w:val="21"/>
          <w:highlight w:val="none"/>
        </w:rPr>
      </w:pPr>
    </w:p>
    <w:p w14:paraId="7DCB656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7EFEBE1E">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麻醉机采购</w:t>
      </w:r>
      <w:r>
        <w:rPr>
          <w:rFonts w:hint="eastAsia" w:ascii="宋体" w:hAnsi="宋体" w:cs="宋体"/>
          <w:color w:val="auto"/>
          <w:szCs w:val="21"/>
          <w:highlight w:val="none"/>
        </w:rPr>
        <w:t>项目的潜在投标人应在“广西政府采购云平台”（</w:t>
      </w:r>
      <w:r>
        <w:rPr>
          <w:color w:val="auto"/>
          <w:highlight w:val="none"/>
        </w:rPr>
        <w:fldChar w:fldCharType="begin"/>
      </w:r>
      <w:r>
        <w:rPr>
          <w:color w:val="auto"/>
          <w:highlight w:val="none"/>
        </w:rPr>
        <w:instrText xml:space="preserve"> HYPERLINK "https://www.gcy.zfcg.gxzf.gov.cn/）获取（下载）招标文件，并于2024年" </w:instrText>
      </w:r>
      <w:r>
        <w:rPr>
          <w:color w:val="auto"/>
          <w:highlight w:val="none"/>
        </w:rPr>
        <w:fldChar w:fldCharType="separate"/>
      </w:r>
      <w:r>
        <w:rPr>
          <w:rFonts w:hint="eastAsia" w:ascii="宋体" w:hAnsi="宋体" w:cs="宋体"/>
          <w:color w:val="auto"/>
          <w:highlight w:val="none"/>
        </w:rPr>
        <w:t>https://www.gcy.zfcg.gxzf.gov.cn/）获取（下载）招标文件，并于2026年</w:t>
      </w:r>
      <w:r>
        <w:rPr>
          <w:rFonts w:hint="eastAsia" w:ascii="宋体" w:hAnsi="宋体" w:cs="宋体"/>
          <w:color w:val="auto"/>
          <w:highlight w:val="none"/>
        </w:rPr>
        <w:fldChar w:fldCharType="end"/>
      </w:r>
      <w:r>
        <w:rPr>
          <w:rFonts w:hint="eastAsia" w:ascii="宋体" w:hAnsi="宋体" w:cs="宋体"/>
          <w:color w:val="auto"/>
          <w:highlight w:val="none"/>
        </w:rPr>
        <w:t xml:space="preserve">  </w:t>
      </w:r>
      <w:r>
        <w:rPr>
          <w:rFonts w:hint="eastAsia" w:ascii="宋体" w:hAnsi="宋体" w:cs="宋体"/>
          <w:color w:val="auto"/>
          <w:szCs w:val="21"/>
          <w:highlight w:val="none"/>
        </w:rPr>
        <w:t>月  日9时30分（北京时间）前按要求递交（上传）投标文件。</w:t>
      </w:r>
      <w:bookmarkStart w:id="160" w:name="_GoBack"/>
      <w:bookmarkEnd w:id="160"/>
    </w:p>
    <w:p w14:paraId="0DD075AB">
      <w:pPr>
        <w:spacing w:line="380" w:lineRule="exact"/>
        <w:rPr>
          <w:rFonts w:ascii="宋体" w:hAnsi="宋体" w:cs="宋体"/>
          <w:b/>
          <w:bCs/>
          <w:color w:val="auto"/>
          <w:sz w:val="24"/>
          <w:highlight w:val="none"/>
        </w:rPr>
      </w:pPr>
      <w:bookmarkStart w:id="6" w:name="_Toc35393621"/>
      <w:bookmarkStart w:id="7" w:name="_Toc28359002"/>
      <w:bookmarkStart w:id="8" w:name="_Toc35393790"/>
      <w:bookmarkStart w:id="9" w:name="_Toc28359079"/>
      <w:bookmarkStart w:id="10" w:name="_Hlk24379207"/>
      <w:r>
        <w:rPr>
          <w:rFonts w:hint="eastAsia" w:ascii="宋体" w:hAnsi="宋体" w:cs="宋体"/>
          <w:b/>
          <w:bCs/>
          <w:color w:val="auto"/>
          <w:sz w:val="24"/>
          <w:highlight w:val="none"/>
        </w:rPr>
        <w:t>一、项目基本情况</w:t>
      </w:r>
      <w:bookmarkEnd w:id="6"/>
      <w:bookmarkEnd w:id="7"/>
      <w:bookmarkEnd w:id="8"/>
      <w:bookmarkEnd w:id="9"/>
    </w:p>
    <w:p w14:paraId="113EE2D6">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项目编号：GXZC2026-G1-001488-YZLZ（代理编号：YZLGL2026-G1-028-GXZC）</w:t>
      </w:r>
    </w:p>
    <w:p w14:paraId="3490EAAF">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麻醉机采购</w:t>
      </w:r>
      <w:r>
        <w:rPr>
          <w:rFonts w:hint="eastAsia" w:ascii="宋体" w:hAnsi="宋体" w:cs="宋体"/>
          <w:color w:val="auto"/>
          <w:szCs w:val="21"/>
          <w:highlight w:val="none"/>
        </w:rPr>
        <w:t>项目</w:t>
      </w:r>
    </w:p>
    <w:bookmarkEnd w:id="10"/>
    <w:p w14:paraId="3688053B">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预算金额：5880000.00元</w:t>
      </w:r>
    </w:p>
    <w:p w14:paraId="1B3D711E">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最高限价：4276000.00元</w:t>
      </w:r>
    </w:p>
    <w:p w14:paraId="1F2946B8">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p w14:paraId="0D8ACAE0">
      <w:pPr>
        <w:spacing w:line="360" w:lineRule="exact"/>
        <w:ind w:firstLine="422" w:firstLineChars="200"/>
        <w:rPr>
          <w:rFonts w:ascii="宋体" w:hAnsi="宋体" w:cs="宋体"/>
          <w:b/>
          <w:bCs/>
          <w:color w:val="auto"/>
          <w:szCs w:val="21"/>
          <w:highlight w:val="none"/>
        </w:rPr>
      </w:pPr>
      <w:r>
        <w:rPr>
          <w:rFonts w:hint="eastAsia" w:ascii="宋体" w:hAnsi="宋体"/>
          <w:b/>
          <w:bCs/>
          <w:color w:val="auto"/>
          <w:highlight w:val="none"/>
        </w:rPr>
        <w:t>预算金额为伍佰捌拾捌万元整（¥5880000.00），</w:t>
      </w:r>
      <w:r>
        <w:rPr>
          <w:rFonts w:hint="eastAsia" w:ascii="宋体" w:hAnsi="宋体" w:cs="宋体"/>
          <w:b/>
          <w:bCs/>
          <w:color w:val="auto"/>
          <w:highlight w:val="none"/>
        </w:rPr>
        <w:t>最高限价为肆佰贰拾柒万陆仟元整（¥4276000.00）。</w:t>
      </w:r>
    </w:p>
    <w:p w14:paraId="2095B889">
      <w:pPr>
        <w:spacing w:line="3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1.标的的名称、数量及单位：麻醉机（1）8套，麻醉机（2）2套，麻醉机（3）2套；</w:t>
      </w:r>
    </w:p>
    <w:p w14:paraId="2AD52C59">
      <w:pPr>
        <w:spacing w:line="3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2.简要技术需求或者服务要求：按国家有关产品“三包”规定执行“三包”；</w:t>
      </w:r>
      <w:r>
        <w:rPr>
          <w:rFonts w:hint="eastAsia"/>
          <w:color w:val="auto"/>
          <w:highlight w:val="none"/>
        </w:rPr>
        <w:t>第1项号产品：主机、内置无线网卡保修期不得少于5年，其余附件配置保修期不得少于6个月；第2项号产品：</w:t>
      </w:r>
      <w:r>
        <w:rPr>
          <w:rFonts w:hint="eastAsia" w:ascii="宋体" w:hAnsi="宋体" w:cs="宋体"/>
          <w:color w:val="auto"/>
          <w:highlight w:val="none"/>
        </w:rPr>
        <w:t>主机、内置无线网卡（Wi-Fi 功能）、麻醉输注工作站（dock）、呼吸力学软件系统</w:t>
      </w:r>
      <w:r>
        <w:rPr>
          <w:rFonts w:hint="eastAsia"/>
          <w:color w:val="auto"/>
          <w:highlight w:val="none"/>
        </w:rPr>
        <w:t>保修期不得少于5年，其余附件配置保修期不得少于6个月；第3项号产品：</w:t>
      </w:r>
      <w:r>
        <w:rPr>
          <w:rFonts w:hint="eastAsia" w:ascii="宋体" w:hAnsi="宋体" w:cs="宋体"/>
          <w:color w:val="auto"/>
          <w:highlight w:val="none"/>
        </w:rPr>
        <w:t>主机、内置无线网卡（Wi-Fi 功能）、静吸复合麻醉系统、高频喷射系统或高频喷射单机</w:t>
      </w:r>
      <w:r>
        <w:rPr>
          <w:rFonts w:hint="eastAsia"/>
          <w:color w:val="auto"/>
          <w:highlight w:val="none"/>
        </w:rPr>
        <w:t>保修期不得少于5年，其余附件配置保修期不得少于6个月</w:t>
      </w:r>
      <w:r>
        <w:rPr>
          <w:rFonts w:hint="eastAsia" w:ascii="宋体" w:hAnsi="宋体" w:cs="宋体"/>
          <w:bCs/>
          <w:color w:val="auto"/>
          <w:szCs w:val="21"/>
          <w:highlight w:val="none"/>
        </w:rPr>
        <w:t>（保修期从设备验收合格之日起计算），保修期内上门维修不收取任何费用</w:t>
      </w:r>
      <w:r>
        <w:rPr>
          <w:rFonts w:hint="eastAsia" w:ascii="宋体" w:hAnsi="宋体" w:cs="宋体"/>
          <w:bCs/>
          <w:color w:val="auto"/>
          <w:highlight w:val="none"/>
        </w:rPr>
        <w:t>。</w:t>
      </w:r>
      <w:r>
        <w:rPr>
          <w:rFonts w:hint="eastAsia" w:ascii="宋体" w:hAnsi="宋体" w:cs="宋体"/>
          <w:bCs/>
          <w:color w:val="auto"/>
          <w:szCs w:val="21"/>
          <w:highlight w:val="none"/>
        </w:rPr>
        <w:t>具体详见采购需求。</w:t>
      </w:r>
    </w:p>
    <w:p w14:paraId="4F131E3C">
      <w:pPr>
        <w:spacing w:line="3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合同履行期限：合同签订，接采购人供货通知后</w:t>
      </w:r>
      <w:r>
        <w:rPr>
          <w:rFonts w:hint="eastAsia" w:ascii="宋体" w:hAnsi="宋体" w:cs="宋体"/>
          <w:bCs/>
          <w:color w:val="auto"/>
          <w:szCs w:val="21"/>
          <w:highlight w:val="none"/>
          <w:u w:val="single"/>
        </w:rPr>
        <w:t xml:space="preserve"> 30 </w:t>
      </w:r>
      <w:r>
        <w:rPr>
          <w:rFonts w:hint="eastAsia" w:ascii="宋体" w:hAnsi="宋体" w:cs="宋体"/>
          <w:bCs/>
          <w:color w:val="auto"/>
          <w:szCs w:val="21"/>
          <w:highlight w:val="none"/>
        </w:rPr>
        <w:t>个工作日内到货并安装调试完毕，达到正常使用状态。</w:t>
      </w:r>
    </w:p>
    <w:p w14:paraId="2B7BBDB6">
      <w:pPr>
        <w:spacing w:line="36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本项目不接受联合体投标。</w:t>
      </w:r>
    </w:p>
    <w:p w14:paraId="4529C7C2">
      <w:pPr>
        <w:spacing w:line="380" w:lineRule="exact"/>
        <w:rPr>
          <w:rFonts w:ascii="宋体" w:hAnsi="宋体" w:cs="宋体"/>
          <w:b/>
          <w:bCs/>
          <w:color w:val="auto"/>
          <w:sz w:val="24"/>
          <w:highlight w:val="none"/>
        </w:rPr>
      </w:pPr>
      <w:bookmarkStart w:id="11" w:name="_Toc35393622"/>
      <w:bookmarkStart w:id="12" w:name="_Toc28359080"/>
      <w:bookmarkStart w:id="13" w:name="_Toc28359003"/>
      <w:bookmarkStart w:id="14" w:name="_Toc35393791"/>
      <w:r>
        <w:rPr>
          <w:rFonts w:hint="eastAsia" w:ascii="宋体" w:hAnsi="宋体" w:cs="宋体"/>
          <w:b/>
          <w:bCs/>
          <w:color w:val="auto"/>
          <w:sz w:val="24"/>
          <w:highlight w:val="none"/>
        </w:rPr>
        <w:t>二、申请人的资格要求：</w:t>
      </w:r>
      <w:bookmarkEnd w:id="11"/>
      <w:bookmarkEnd w:id="12"/>
      <w:bookmarkEnd w:id="13"/>
      <w:bookmarkEnd w:id="14"/>
    </w:p>
    <w:p w14:paraId="6EE132BE">
      <w:pPr>
        <w:spacing w:line="380" w:lineRule="exact"/>
        <w:ind w:firstLine="420" w:firstLineChars="200"/>
        <w:rPr>
          <w:rFonts w:ascii="宋体" w:hAnsi="宋体" w:cs="宋体"/>
          <w:color w:val="auto"/>
          <w:szCs w:val="21"/>
          <w:highlight w:val="none"/>
        </w:rPr>
      </w:pPr>
      <w:bookmarkStart w:id="15" w:name="_Hlk51746371"/>
      <w:r>
        <w:rPr>
          <w:rFonts w:hint="eastAsia" w:ascii="宋体" w:hAnsi="宋体" w:cs="宋体"/>
          <w:color w:val="auto"/>
          <w:szCs w:val="21"/>
          <w:highlight w:val="none"/>
        </w:rPr>
        <w:t>1.满足《中华人民共和国政府采购法》第二十二条规定；</w:t>
      </w:r>
    </w:p>
    <w:p w14:paraId="506497FC">
      <w:pPr>
        <w:spacing w:line="380" w:lineRule="exact"/>
        <w:ind w:firstLine="420" w:firstLineChars="200"/>
        <w:rPr>
          <w:rFonts w:ascii="宋体" w:hAnsi="宋体" w:cs="宋体"/>
          <w:color w:val="auto"/>
          <w:szCs w:val="21"/>
          <w:highlight w:val="none"/>
        </w:rPr>
      </w:pPr>
      <w:bookmarkStart w:id="16" w:name="_Toc28359004"/>
      <w:bookmarkStart w:id="17" w:name="_Toc28359081"/>
      <w:r>
        <w:rPr>
          <w:rFonts w:hint="eastAsia" w:ascii="宋体" w:hAnsi="宋体" w:cs="宋体"/>
          <w:color w:val="auto"/>
          <w:szCs w:val="21"/>
          <w:highlight w:val="none"/>
        </w:rPr>
        <w:t>2.落实政府采购政策需满足的资格要求：无；</w:t>
      </w:r>
    </w:p>
    <w:p w14:paraId="3E278D37">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w:t>
      </w:r>
      <w:bookmarkEnd w:id="15"/>
      <w:bookmarkStart w:id="18" w:name="_Toc35393792"/>
      <w:bookmarkStart w:id="19" w:name="_Toc35393623"/>
      <w:r>
        <w:rPr>
          <w:rFonts w:hint="eastAsia" w:ascii="宋体" w:hAnsi="宋体" w:cs="宋体"/>
          <w:color w:val="auto"/>
          <w:szCs w:val="21"/>
          <w:highlight w:val="none"/>
        </w:rPr>
        <w:t>投标人</w:t>
      </w:r>
      <w:r>
        <w:rPr>
          <w:rFonts w:hint="eastAsia" w:ascii="宋体" w:hAnsi="宋体" w:cs="宋体"/>
          <w:color w:val="auto"/>
          <w:highlight w:val="none"/>
        </w:rPr>
        <w:t>按《医疗器械监督管理条例》（国务院令第739号）医疗器械分类管理要求具备有效的医疗器械经营备案凭证或者经营许可证，且经营范围必须包含采购标的[符合《医疗器械监督管理条例》第四十一条第二款规定的除外]；或者投标人具有《医疗器械监督管理条例》第四十三条规定的注册人凭证。</w:t>
      </w:r>
    </w:p>
    <w:p w14:paraId="0E615BB0">
      <w:pPr>
        <w:spacing w:line="380" w:lineRule="exact"/>
        <w:rPr>
          <w:rFonts w:ascii="宋体" w:hAnsi="宋体" w:cs="宋体"/>
          <w:b/>
          <w:bCs/>
          <w:color w:val="auto"/>
          <w:sz w:val="24"/>
          <w:highlight w:val="none"/>
        </w:rPr>
      </w:pPr>
      <w:r>
        <w:rPr>
          <w:rFonts w:hint="eastAsia" w:ascii="宋体" w:hAnsi="宋体" w:cs="宋体"/>
          <w:b/>
          <w:bCs/>
          <w:color w:val="auto"/>
          <w:sz w:val="24"/>
          <w:highlight w:val="none"/>
        </w:rPr>
        <w:t>三、获取招标文件</w:t>
      </w:r>
      <w:bookmarkEnd w:id="16"/>
      <w:bookmarkEnd w:id="17"/>
      <w:bookmarkEnd w:id="18"/>
      <w:bookmarkEnd w:id="19"/>
    </w:p>
    <w:p w14:paraId="48072735">
      <w:pPr>
        <w:spacing w:line="380" w:lineRule="exact"/>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时间：2026年  月  日至2026年  月  日，每天上午00:00至11:59，下午12:00至23:59（北京时间，法定节假日除外）</w:t>
      </w:r>
    </w:p>
    <w:p w14:paraId="557805E7">
      <w:pPr>
        <w:spacing w:line="380" w:lineRule="exact"/>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s="宋体"/>
          <w:color w:val="auto"/>
          <w:highlight w:val="none"/>
        </w:rPr>
        <w:t>“广西政府采购云平台”（https://www.gcy.zfcg.gxzf.gov.cn/）</w:t>
      </w:r>
    </w:p>
    <w:p w14:paraId="78874D1A">
      <w:pPr>
        <w:spacing w:line="380" w:lineRule="exact"/>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w:t>
      </w:r>
      <w:r>
        <w:rPr>
          <w:rFonts w:hint="eastAsia" w:ascii="宋体" w:hAnsi="宋体" w:cs="宋体"/>
          <w:color w:val="auto"/>
          <w:highlight w:val="none"/>
        </w:rPr>
        <w:t>“广西政府采购云平台”（https://www.gcy.zfcg.gxzf.gov.cn/）</w:t>
      </w:r>
      <w:r>
        <w:rPr>
          <w:rFonts w:hint="eastAsia" w:ascii="宋体" w:hAnsi="宋体" w:cs="宋体"/>
          <w:bCs/>
          <w:color w:val="auto"/>
          <w:kern w:val="0"/>
          <w:szCs w:val="21"/>
          <w:highlight w:val="none"/>
        </w:rPr>
        <w:t>-进入“项目采购”应用，在获取采购文件菜单中选择项目，获取招标文件（或在“政府采购云平台电子投标客户端-获取采购文件”跳转到政府采购云平台系统获取）。电子投标文件制作需要基于“政府采购云平台”获取的招标文件编制，通过其他方式获取招标文件的，将有可能导致供应商无法在政府采购云平台编制及上传投标文件。</w:t>
      </w:r>
    </w:p>
    <w:p w14:paraId="79A5C4A5">
      <w:pPr>
        <w:spacing w:line="380" w:lineRule="exact"/>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售价：0元</w:t>
      </w:r>
    </w:p>
    <w:p w14:paraId="6775E4DA">
      <w:pPr>
        <w:spacing w:line="380" w:lineRule="exact"/>
        <w:rPr>
          <w:rFonts w:ascii="宋体" w:hAnsi="宋体" w:cs="宋体"/>
          <w:b/>
          <w:bCs/>
          <w:color w:val="auto"/>
          <w:sz w:val="24"/>
          <w:highlight w:val="none"/>
        </w:rPr>
      </w:pPr>
      <w:bookmarkStart w:id="20" w:name="_Toc28359082"/>
      <w:bookmarkStart w:id="21" w:name="_Toc28359005"/>
      <w:bookmarkStart w:id="22" w:name="_Toc35393624"/>
      <w:bookmarkStart w:id="23" w:name="_Toc35393793"/>
      <w:r>
        <w:rPr>
          <w:rFonts w:hint="eastAsia" w:ascii="宋体" w:hAnsi="宋体" w:cs="宋体"/>
          <w:b/>
          <w:bCs/>
          <w:color w:val="auto"/>
          <w:sz w:val="24"/>
          <w:highlight w:val="none"/>
        </w:rPr>
        <w:t>四、提交投标文件</w:t>
      </w:r>
      <w:bookmarkEnd w:id="20"/>
      <w:bookmarkEnd w:id="21"/>
      <w:r>
        <w:rPr>
          <w:rFonts w:hint="eastAsia" w:ascii="宋体" w:hAnsi="宋体" w:cs="宋体"/>
          <w:b/>
          <w:bCs/>
          <w:color w:val="auto"/>
          <w:sz w:val="24"/>
          <w:highlight w:val="none"/>
        </w:rPr>
        <w:t>截止时间、开标时间和地点</w:t>
      </w:r>
      <w:bookmarkEnd w:id="22"/>
      <w:bookmarkEnd w:id="23"/>
    </w:p>
    <w:p w14:paraId="30D9633A">
      <w:pPr>
        <w:spacing w:line="380" w:lineRule="exact"/>
        <w:ind w:firstLine="420" w:firstLineChars="200"/>
        <w:rPr>
          <w:rFonts w:ascii="宋体" w:hAnsi="宋体" w:cs="宋体"/>
          <w:color w:val="auto"/>
          <w:szCs w:val="21"/>
          <w:highlight w:val="none"/>
          <w:u w:val="single"/>
        </w:rPr>
      </w:pPr>
      <w:bookmarkStart w:id="24" w:name="_Toc35393794"/>
      <w:bookmarkStart w:id="25" w:name="_Toc35393625"/>
      <w:bookmarkStart w:id="26" w:name="_Toc28359084"/>
      <w:bookmarkStart w:id="27" w:name="_Toc28359007"/>
      <w:r>
        <w:rPr>
          <w:rFonts w:hint="eastAsia" w:ascii="宋体" w:hAnsi="宋体" w:cs="宋体"/>
          <w:bCs/>
          <w:color w:val="auto"/>
          <w:szCs w:val="21"/>
          <w:highlight w:val="none"/>
        </w:rPr>
        <w:t>提交投标文件截止时间：</w:t>
      </w:r>
      <w:r>
        <w:rPr>
          <w:rFonts w:hint="eastAsia" w:ascii="宋体" w:hAnsi="宋体" w:cs="宋体"/>
          <w:bCs/>
          <w:color w:val="auto"/>
          <w:kern w:val="0"/>
          <w:szCs w:val="21"/>
          <w:highlight w:val="none"/>
        </w:rPr>
        <w:t>2026年  月  日</w:t>
      </w:r>
      <w:r>
        <w:rPr>
          <w:rFonts w:hint="eastAsia" w:ascii="宋体" w:hAnsi="宋体" w:cs="宋体"/>
          <w:color w:val="auto"/>
          <w:szCs w:val="21"/>
          <w:highlight w:val="none"/>
        </w:rPr>
        <w:t>9时30分</w:t>
      </w:r>
      <w:r>
        <w:rPr>
          <w:rFonts w:hint="eastAsia" w:ascii="宋体" w:hAnsi="宋体" w:cs="宋体"/>
          <w:bCs/>
          <w:color w:val="auto"/>
          <w:szCs w:val="21"/>
          <w:highlight w:val="none"/>
        </w:rPr>
        <w:t>（北京时间）</w:t>
      </w:r>
    </w:p>
    <w:p w14:paraId="1EC06E5B">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投标地点（网址）：</w:t>
      </w:r>
      <w:r>
        <w:rPr>
          <w:rFonts w:hint="eastAsia" w:ascii="宋体" w:hAnsi="宋体" w:cs="宋体"/>
          <w:color w:val="auto"/>
          <w:highlight w:val="none"/>
        </w:rPr>
        <w:t>“广西政府采购云平台”（https://www.gcy.zfcg.gxzf.gov.cn/）</w:t>
      </w:r>
    </w:p>
    <w:p w14:paraId="57565B12">
      <w:pPr>
        <w:spacing w:line="3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开标时间：</w:t>
      </w:r>
      <w:r>
        <w:rPr>
          <w:rFonts w:hint="eastAsia" w:ascii="宋体" w:hAnsi="宋体" w:cs="宋体"/>
          <w:bCs/>
          <w:color w:val="auto"/>
          <w:kern w:val="0"/>
          <w:szCs w:val="21"/>
          <w:highlight w:val="none"/>
        </w:rPr>
        <w:t>2026年  月  日</w:t>
      </w:r>
      <w:r>
        <w:rPr>
          <w:rFonts w:hint="eastAsia" w:ascii="宋体" w:hAnsi="宋体" w:cs="宋体"/>
          <w:color w:val="auto"/>
          <w:szCs w:val="21"/>
          <w:highlight w:val="none"/>
        </w:rPr>
        <w:t>9时30分</w:t>
      </w:r>
      <w:r>
        <w:rPr>
          <w:rFonts w:hint="eastAsia" w:ascii="宋体" w:hAnsi="宋体" w:cs="宋体"/>
          <w:bCs/>
          <w:color w:val="auto"/>
          <w:szCs w:val="21"/>
          <w:highlight w:val="none"/>
        </w:rPr>
        <w:t>（北京时间）</w:t>
      </w:r>
    </w:p>
    <w:p w14:paraId="26F09C5B">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开标地点：广西政府采购云平台电子开标大厅</w:t>
      </w:r>
    </w:p>
    <w:p w14:paraId="77AB083A">
      <w:pPr>
        <w:spacing w:line="380" w:lineRule="exact"/>
        <w:rPr>
          <w:rFonts w:ascii="宋体" w:hAnsi="宋体" w:cs="宋体"/>
          <w:b/>
          <w:bCs/>
          <w:color w:val="auto"/>
          <w:sz w:val="24"/>
          <w:highlight w:val="none"/>
        </w:rPr>
      </w:pPr>
      <w:r>
        <w:rPr>
          <w:rFonts w:hint="eastAsia" w:ascii="宋体" w:hAnsi="宋体" w:cs="宋体"/>
          <w:b/>
          <w:bCs/>
          <w:color w:val="auto"/>
          <w:sz w:val="24"/>
          <w:highlight w:val="none"/>
        </w:rPr>
        <w:t>五、公告期限</w:t>
      </w:r>
      <w:bookmarkEnd w:id="24"/>
      <w:bookmarkEnd w:id="25"/>
      <w:bookmarkEnd w:id="26"/>
      <w:bookmarkEnd w:id="27"/>
    </w:p>
    <w:p w14:paraId="7767899C">
      <w:pPr>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5A171F47">
      <w:pPr>
        <w:spacing w:line="380" w:lineRule="exact"/>
        <w:rPr>
          <w:rFonts w:ascii="宋体" w:hAnsi="宋体" w:cs="宋体"/>
          <w:b/>
          <w:bCs/>
          <w:color w:val="auto"/>
          <w:sz w:val="24"/>
          <w:highlight w:val="none"/>
        </w:rPr>
      </w:pPr>
      <w:bookmarkStart w:id="28" w:name="_Toc35393795"/>
      <w:bookmarkStart w:id="29" w:name="_Toc35393626"/>
      <w:r>
        <w:rPr>
          <w:rFonts w:hint="eastAsia" w:ascii="宋体" w:hAnsi="宋体" w:cs="宋体"/>
          <w:b/>
          <w:bCs/>
          <w:color w:val="auto"/>
          <w:sz w:val="24"/>
          <w:highlight w:val="none"/>
        </w:rPr>
        <w:t>六、其他补充事宜</w:t>
      </w:r>
      <w:bookmarkEnd w:id="28"/>
      <w:bookmarkEnd w:id="29"/>
    </w:p>
    <w:p w14:paraId="4417DF81">
      <w:pPr>
        <w:spacing w:line="380" w:lineRule="exact"/>
        <w:ind w:firstLine="420" w:firstLineChars="200"/>
        <w:rPr>
          <w:rFonts w:ascii="宋体" w:hAnsi="宋体" w:cs="宋体"/>
          <w:color w:val="auto"/>
          <w:kern w:val="0"/>
          <w:szCs w:val="21"/>
          <w:highlight w:val="none"/>
        </w:rPr>
      </w:pPr>
      <w:bookmarkStart w:id="30" w:name="_Hlk37429585"/>
      <w:bookmarkStart w:id="31" w:name="_Hlk37429595"/>
      <w:r>
        <w:rPr>
          <w:rFonts w:hint="eastAsia" w:ascii="宋体" w:hAnsi="宋体" w:cs="宋体"/>
          <w:color w:val="auto"/>
          <w:kern w:val="0"/>
          <w:szCs w:val="21"/>
          <w:highlight w:val="none"/>
        </w:rPr>
        <w:t>1.网上查询地址</w:t>
      </w:r>
    </w:p>
    <w:p w14:paraId="62E6233D">
      <w:pPr>
        <w:spacing w:line="380" w:lineRule="exact"/>
        <w:ind w:left="210" w:leftChars="100"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http://www.ccgp.gov.cn（中国政府采购网）、http://zfcg.gxzf.gov.cn（广西壮族自治区政府采购网）</w:t>
      </w:r>
      <w:bookmarkEnd w:id="30"/>
      <w:r>
        <w:rPr>
          <w:rFonts w:hint="eastAsia" w:ascii="宋体" w:hAnsi="宋体" w:cs="宋体"/>
          <w:color w:val="auto"/>
          <w:kern w:val="0"/>
          <w:szCs w:val="21"/>
          <w:highlight w:val="none"/>
        </w:rPr>
        <w:t>。</w:t>
      </w:r>
    </w:p>
    <w:bookmarkEnd w:id="31"/>
    <w:p w14:paraId="31E2D106">
      <w:pPr>
        <w:spacing w:line="380" w:lineRule="exact"/>
        <w:ind w:firstLine="424" w:firstLineChars="202"/>
        <w:rPr>
          <w:rFonts w:ascii="宋体" w:hAnsi="宋体" w:cs="宋体"/>
          <w:color w:val="auto"/>
          <w:kern w:val="0"/>
          <w:szCs w:val="21"/>
          <w:highlight w:val="none"/>
        </w:rPr>
      </w:pPr>
      <w:bookmarkStart w:id="32" w:name="_Hlk37429674"/>
      <w:r>
        <w:rPr>
          <w:rFonts w:hint="eastAsia" w:ascii="宋体" w:hAnsi="宋体" w:cs="宋体"/>
          <w:color w:val="auto"/>
          <w:szCs w:val="21"/>
          <w:highlight w:val="none"/>
        </w:rPr>
        <w:t>2.</w:t>
      </w:r>
      <w:r>
        <w:rPr>
          <w:rFonts w:hint="eastAsia" w:ascii="宋体" w:hAnsi="宋体" w:cs="宋体"/>
          <w:color w:val="auto"/>
          <w:kern w:val="0"/>
          <w:szCs w:val="21"/>
          <w:highlight w:val="none"/>
        </w:rPr>
        <w:t>本项目需要落实的政府采购政策</w:t>
      </w:r>
    </w:p>
    <w:p w14:paraId="6579A24D">
      <w:pPr>
        <w:spacing w:line="38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（1）政府采购促进中小企业发展；本项目非专门面向中小企业采购。</w:t>
      </w:r>
    </w:p>
    <w:p w14:paraId="06545CFC">
      <w:pPr>
        <w:spacing w:line="38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6D7FF06F">
      <w:pPr>
        <w:spacing w:line="38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（3）本项目强制采购节能产品；优先采购节能产品、环境标志产品。</w:t>
      </w:r>
    </w:p>
    <w:p w14:paraId="6037B7B3">
      <w:pPr>
        <w:spacing w:line="38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548F4516">
      <w:pPr>
        <w:spacing w:line="38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（5）政府采购支持监狱企业发展。</w:t>
      </w:r>
    </w:p>
    <w:p w14:paraId="175A4EE3">
      <w:pPr>
        <w:widowControl/>
        <w:spacing w:line="38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3.</w:t>
      </w:r>
      <w:bookmarkEnd w:id="32"/>
      <w:bookmarkStart w:id="33" w:name="_Toc28359085"/>
      <w:bookmarkStart w:id="34" w:name="_Toc35393796"/>
      <w:bookmarkStart w:id="35" w:name="_Toc35393627"/>
      <w:bookmarkStart w:id="36" w:name="_Toc28359008"/>
      <w:r>
        <w:rPr>
          <w:rFonts w:hint="eastAsia" w:ascii="宋体" w:hAnsi="宋体" w:cs="宋体"/>
          <w:color w:val="auto"/>
          <w:kern w:val="0"/>
          <w:szCs w:val="21"/>
          <w:highlight w:val="none"/>
        </w:rPr>
        <w:t>投标人</w:t>
      </w:r>
      <w:r>
        <w:rPr>
          <w:rFonts w:hint="eastAsia" w:ascii="宋体" w:hAnsi="宋体" w:cs="宋体"/>
          <w:color w:val="auto"/>
          <w:szCs w:val="21"/>
          <w:highlight w:val="none"/>
        </w:rPr>
        <w:t>投标注意事项</w:t>
      </w:r>
    </w:p>
    <w:p w14:paraId="7E911189">
      <w:pPr>
        <w:widowControl/>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（1）本项目为全流程电子化采购项目，通过</w:t>
      </w:r>
      <w:r>
        <w:rPr>
          <w:rFonts w:hint="eastAsia" w:ascii="宋体" w:hAnsi="宋体" w:cs="宋体"/>
          <w:color w:val="auto"/>
          <w:highlight w:val="none"/>
        </w:rPr>
        <w:t>“广西政府采购云平台”（https://www.gcy.zfcg.gxzf.gov.cn/）</w:t>
      </w:r>
      <w:r>
        <w:rPr>
          <w:rFonts w:hint="eastAsia" w:ascii="宋体" w:hAnsi="宋体" w:cs="宋体"/>
          <w:color w:val="auto"/>
          <w:szCs w:val="21"/>
          <w:highlight w:val="none"/>
        </w:rPr>
        <w:t>实行在线电子投标，投标人应先安装“</w:t>
      </w:r>
      <w:r>
        <w:rPr>
          <w:rFonts w:hint="eastAsia" w:ascii="宋体" w:hAnsi="宋体" w:cs="宋体"/>
          <w:color w:val="auto"/>
          <w:highlight w:val="none"/>
        </w:rPr>
        <w:t>广西政府采购云平台</w:t>
      </w:r>
      <w:r>
        <w:rPr>
          <w:rFonts w:hint="eastAsia" w:ascii="宋体" w:hAnsi="宋体" w:cs="宋体"/>
          <w:color w:val="auto"/>
          <w:szCs w:val="21"/>
          <w:highlight w:val="none"/>
        </w:rPr>
        <w:t>电子投标客户端”（请自行前往“</w:t>
      </w:r>
      <w:r>
        <w:rPr>
          <w:rFonts w:hint="eastAsia" w:ascii="宋体" w:hAnsi="宋体" w:cs="宋体"/>
          <w:color w:val="auto"/>
          <w:highlight w:val="none"/>
        </w:rPr>
        <w:t>广西政府采购云平台</w:t>
      </w:r>
      <w:r>
        <w:rPr>
          <w:rFonts w:hint="eastAsia" w:ascii="宋体" w:hAnsi="宋体" w:cs="宋体"/>
          <w:color w:val="auto"/>
          <w:szCs w:val="21"/>
          <w:highlight w:val="none"/>
        </w:rPr>
        <w:t>”进行下载），并按照本项目招标文件和“</w:t>
      </w:r>
      <w:r>
        <w:rPr>
          <w:rFonts w:hint="eastAsia" w:ascii="宋体" w:hAnsi="宋体" w:cs="宋体"/>
          <w:color w:val="auto"/>
          <w:highlight w:val="none"/>
        </w:rPr>
        <w:t>广西政府采购云平台</w:t>
      </w:r>
      <w:r>
        <w:rPr>
          <w:rFonts w:hint="eastAsia" w:ascii="宋体" w:hAnsi="宋体" w:cs="宋体"/>
          <w:color w:val="auto"/>
          <w:szCs w:val="21"/>
          <w:highlight w:val="none"/>
        </w:rPr>
        <w:t>”的要求编制、加密后在投标截止时间前通过网络上传至 “</w:t>
      </w:r>
      <w:r>
        <w:rPr>
          <w:rFonts w:hint="eastAsia" w:ascii="宋体" w:hAnsi="宋体" w:cs="宋体"/>
          <w:color w:val="auto"/>
          <w:highlight w:val="none"/>
        </w:rPr>
        <w:t>广西政府采购云平台</w:t>
      </w:r>
      <w:r>
        <w:rPr>
          <w:rFonts w:hint="eastAsia" w:ascii="宋体" w:hAnsi="宋体" w:cs="宋体"/>
          <w:color w:val="auto"/>
          <w:szCs w:val="21"/>
          <w:highlight w:val="none"/>
        </w:rPr>
        <w:t>”（加密的电子投标文件是指</w:t>
      </w:r>
      <w:r>
        <w:rPr>
          <w:rFonts w:hint="eastAsia" w:ascii="宋体" w:hAnsi="宋体" w:cs="宋体"/>
          <w:color w:val="auto"/>
          <w:highlight w:val="none"/>
        </w:rPr>
        <w:t>后缀名为“jmbs”的文件</w:t>
      </w:r>
      <w:r>
        <w:rPr>
          <w:rFonts w:hint="eastAsia" w:ascii="宋体" w:hAnsi="宋体" w:cs="宋体"/>
          <w:color w:val="auto"/>
          <w:szCs w:val="21"/>
          <w:highlight w:val="none"/>
        </w:rPr>
        <w:t>），</w:t>
      </w:r>
      <w:r>
        <w:rPr>
          <w:rFonts w:hint="eastAsia" w:ascii="宋体" w:hAnsi="宋体" w:cs="宋体"/>
          <w:b/>
          <w:color w:val="auto"/>
          <w:szCs w:val="21"/>
          <w:highlight w:val="none"/>
        </w:rPr>
        <w:t>投标人在</w:t>
      </w:r>
      <w:r>
        <w:rPr>
          <w:rFonts w:hint="eastAsia" w:ascii="宋体" w:hAnsi="宋体" w:cs="宋体"/>
          <w:color w:val="auto"/>
          <w:szCs w:val="21"/>
          <w:highlight w:val="none"/>
        </w:rPr>
        <w:t>“</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b/>
          <w:color w:val="auto"/>
          <w:szCs w:val="21"/>
          <w:highlight w:val="none"/>
        </w:rPr>
        <w:t>提交电子投标文件时，请填写参加远程开标活动经办人联系方式。</w:t>
      </w:r>
      <w:r>
        <w:rPr>
          <w:rFonts w:hint="eastAsia" w:ascii="宋体" w:hAnsi="宋体" w:cs="宋体"/>
          <w:color w:val="auto"/>
          <w:szCs w:val="21"/>
          <w:highlight w:val="none"/>
        </w:rPr>
        <w:t>投标人登录“</w:t>
      </w:r>
      <w:r>
        <w:rPr>
          <w:rFonts w:hint="eastAsia" w:ascii="宋体" w:hAnsi="宋体" w:cs="宋体"/>
          <w:color w:val="auto"/>
          <w:highlight w:val="none"/>
        </w:rPr>
        <w:t>广西政府采购云平台</w:t>
      </w:r>
      <w:r>
        <w:rPr>
          <w:rFonts w:hint="eastAsia" w:ascii="宋体" w:hAnsi="宋体" w:cs="宋体"/>
          <w:color w:val="auto"/>
          <w:szCs w:val="21"/>
          <w:highlight w:val="none"/>
        </w:rPr>
        <w:t>”，依次进入“服务中心-项目采购-操作流程-电子招投标-</w:t>
      </w:r>
      <w:r>
        <w:rPr>
          <w:rFonts w:hint="eastAsia" w:ascii="宋体" w:hAnsi="宋体" w:cs="宋体"/>
          <w:color w:val="auto"/>
          <w:highlight w:val="none"/>
        </w:rPr>
        <w:t>政府采购项目电子交易管理操作指南-供应商</w:t>
      </w:r>
      <w:r>
        <w:rPr>
          <w:rFonts w:hint="eastAsia" w:ascii="宋体" w:hAnsi="宋体" w:cs="宋体"/>
          <w:color w:val="auto"/>
          <w:szCs w:val="21"/>
          <w:highlight w:val="none"/>
        </w:rPr>
        <w:t>”查看电子投标具体操作流程。</w:t>
      </w:r>
    </w:p>
    <w:p w14:paraId="1E5AA204">
      <w:pPr>
        <w:widowControl/>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color w:val="auto"/>
          <w:kern w:val="0"/>
          <w:szCs w:val="21"/>
          <w:highlight w:val="none"/>
        </w:rPr>
        <w:t>，</w:t>
      </w:r>
      <w:r>
        <w:rPr>
          <w:rFonts w:hint="eastAsia" w:ascii="宋体" w:hAnsi="宋体" w:cs="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w:t>
      </w:r>
      <w:r>
        <w:rPr>
          <w:rFonts w:hint="eastAsia" w:ascii="宋体" w:hAnsi="宋体" w:cs="宋体"/>
          <w:color w:val="auto"/>
          <w:szCs w:val="21"/>
          <w:highlight w:val="none"/>
        </w:rPr>
        <w:t>“</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bCs/>
          <w:color w:val="auto"/>
          <w:kern w:val="0"/>
          <w:szCs w:val="21"/>
          <w:highlight w:val="none"/>
        </w:rPr>
        <w:t>客服热线：95763</w:t>
      </w:r>
      <w:r>
        <w:rPr>
          <w:rFonts w:hint="eastAsia" w:ascii="宋体" w:hAnsi="宋体"/>
          <w:bCs/>
          <w:color w:val="auto"/>
          <w:highlight w:val="none"/>
        </w:rPr>
        <w:t>或者0771-3381253</w:t>
      </w:r>
      <w:r>
        <w:rPr>
          <w:rFonts w:hint="eastAsia" w:ascii="宋体" w:hAnsi="宋体" w:cs="宋体"/>
          <w:color w:val="auto"/>
          <w:szCs w:val="21"/>
          <w:highlight w:val="none"/>
        </w:rPr>
        <w:t>）。</w:t>
      </w:r>
    </w:p>
    <w:p w14:paraId="16064700">
      <w:pPr>
        <w:snapToGri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s="宋体"/>
          <w:color w:val="auto"/>
          <w:szCs w:val="21"/>
          <w:highlight w:val="none"/>
        </w:rPr>
        <w:t>“</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color w:val="auto"/>
          <w:kern w:val="0"/>
          <w:szCs w:val="21"/>
          <w:highlight w:val="none"/>
        </w:rPr>
        <w:t>电子开标大厅现场按规定时间对加密的投标文件进行解密，否则后果自负。</w:t>
      </w:r>
    </w:p>
    <w:p w14:paraId="09DE92C9">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止未完成上传、提交的，视为撤回投标文件。投标截止时间以后上传递交的投标文件，</w:t>
      </w:r>
      <w:r>
        <w:rPr>
          <w:rFonts w:hint="eastAsia" w:ascii="宋体" w:hAnsi="宋体" w:cs="宋体"/>
          <w:color w:val="auto"/>
          <w:szCs w:val="21"/>
          <w:highlight w:val="none"/>
        </w:rPr>
        <w:t>“</w:t>
      </w:r>
      <w:r>
        <w:rPr>
          <w:rFonts w:hint="eastAsia" w:ascii="宋体" w:hAnsi="宋体" w:cs="宋体"/>
          <w:bCs/>
          <w:color w:val="auto"/>
          <w:kern w:val="0"/>
          <w:szCs w:val="21"/>
          <w:highlight w:val="none"/>
        </w:rPr>
        <w:t>政府采购云平台</w:t>
      </w:r>
      <w:r>
        <w:rPr>
          <w:rFonts w:hint="eastAsia" w:ascii="宋体" w:hAnsi="宋体" w:cs="宋体"/>
          <w:color w:val="auto"/>
          <w:szCs w:val="21"/>
          <w:highlight w:val="none"/>
        </w:rPr>
        <w:t>”</w:t>
      </w:r>
      <w:r>
        <w:rPr>
          <w:rFonts w:hint="eastAsia" w:ascii="宋体" w:hAnsi="宋体" w:cs="宋体"/>
          <w:bCs/>
          <w:color w:val="auto"/>
          <w:szCs w:val="21"/>
          <w:highlight w:val="none"/>
        </w:rPr>
        <w:t>将予以拒收。</w:t>
      </w:r>
    </w:p>
    <w:p w14:paraId="3AB1DCF2">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4.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否则，采购代理机构有权拒收。</w:t>
      </w:r>
    </w:p>
    <w:p w14:paraId="54760508">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5.</w:t>
      </w:r>
      <w:r>
        <w:rPr>
          <w:rFonts w:hint="eastAsia" w:ascii="宋体" w:hAnsi="宋体"/>
          <w:bCs/>
          <w:color w:val="auto"/>
          <w:highlight w:val="none"/>
        </w:rPr>
        <w:t>本项目各分标采购代理服务费按招标文件“投标人须知”第39条规定收取，由</w:t>
      </w:r>
      <w:r>
        <w:rPr>
          <w:rFonts w:hint="eastAsia" w:ascii="宋体" w:hAnsi="宋体"/>
          <w:color w:val="auto"/>
          <w:highlight w:val="none"/>
        </w:rPr>
        <w:t>中标人在获取中标通知书前向采购代理机构一次性付清</w:t>
      </w:r>
      <w:r>
        <w:rPr>
          <w:rFonts w:hint="eastAsia" w:ascii="宋体" w:hAnsi="宋体"/>
          <w:bCs/>
          <w:color w:val="auto"/>
          <w:highlight w:val="none"/>
        </w:rPr>
        <w:t>。</w:t>
      </w:r>
    </w:p>
    <w:p w14:paraId="4EABEAEF">
      <w:pPr>
        <w:spacing w:line="3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bookmarkEnd w:id="33"/>
      <w:bookmarkEnd w:id="34"/>
      <w:bookmarkEnd w:id="35"/>
      <w:bookmarkEnd w:id="36"/>
    </w:p>
    <w:p w14:paraId="3460A34C">
      <w:pPr>
        <w:spacing w:line="360" w:lineRule="auto"/>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1.采购人信息</w:t>
      </w:r>
    </w:p>
    <w:p w14:paraId="7A657798">
      <w:pPr>
        <w:spacing w:line="360" w:lineRule="auto"/>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名称：桂林医科大学第一附属医院</w:t>
      </w:r>
    </w:p>
    <w:p w14:paraId="21A9EC05">
      <w:pPr>
        <w:spacing w:line="360" w:lineRule="auto"/>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地址：广西桂林市秀峰区乐群路15号　</w:t>
      </w:r>
    </w:p>
    <w:p w14:paraId="0ED04194">
      <w:pPr>
        <w:spacing w:line="360" w:lineRule="auto"/>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联系方式：唐</w:t>
      </w:r>
      <w:r>
        <w:rPr>
          <w:rFonts w:hint="eastAsia" w:ascii="宋体" w:hAnsi="宋体" w:cs="宋体"/>
          <w:color w:val="auto"/>
          <w:szCs w:val="21"/>
          <w:highlight w:val="none"/>
          <w:lang w:val="en-US" w:eastAsia="zh-CN"/>
        </w:rPr>
        <w:t>老师</w:t>
      </w:r>
      <w:r>
        <w:rPr>
          <w:rFonts w:hint="eastAsia" w:ascii="宋体" w:hAnsi="宋体" w:cs="宋体"/>
          <w:color w:val="auto"/>
          <w:szCs w:val="21"/>
          <w:highlight w:val="none"/>
        </w:rPr>
        <w:t xml:space="preserve"> 0773-2802050</w:t>
      </w:r>
    </w:p>
    <w:p w14:paraId="6670825C">
      <w:pPr>
        <w:spacing w:line="360" w:lineRule="auto"/>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2.采购代理机构信息</w:t>
      </w:r>
    </w:p>
    <w:p w14:paraId="0545FB16">
      <w:pPr>
        <w:spacing w:line="360" w:lineRule="auto"/>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名称：云之龙咨询集团有限公司</w:t>
      </w:r>
    </w:p>
    <w:p w14:paraId="68BE318A">
      <w:pPr>
        <w:spacing w:line="360" w:lineRule="auto"/>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地址：广西桂林市临桂区西城北路2号耀辉•美好家园2幢12层1号房</w:t>
      </w:r>
    </w:p>
    <w:p w14:paraId="637F5DF6">
      <w:pPr>
        <w:spacing w:line="360" w:lineRule="auto"/>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联系方式：0773-2887388  2887399  传真：0773-2889218</w:t>
      </w:r>
    </w:p>
    <w:p w14:paraId="2844969D">
      <w:pPr>
        <w:spacing w:line="360" w:lineRule="auto"/>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3.项目联系方式</w:t>
      </w:r>
    </w:p>
    <w:p w14:paraId="6A52BC41">
      <w:pPr>
        <w:spacing w:line="360" w:lineRule="auto"/>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项目联系人：吕雯、万紫琳</w:t>
      </w:r>
    </w:p>
    <w:p w14:paraId="030D04CD">
      <w:pPr>
        <w:spacing w:line="360" w:lineRule="auto"/>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电话：0773-2887388  2887399</w:t>
      </w:r>
    </w:p>
    <w:p w14:paraId="257DD144">
      <w:pPr>
        <w:spacing w:line="380" w:lineRule="exact"/>
        <w:ind w:firstLine="567" w:firstLineChars="270"/>
        <w:jc w:val="left"/>
        <w:rPr>
          <w:rFonts w:ascii="宋体" w:hAnsi="宋体" w:cs="宋体"/>
          <w:color w:val="auto"/>
          <w:szCs w:val="21"/>
          <w:highlight w:val="none"/>
        </w:rPr>
      </w:pPr>
    </w:p>
    <w:p w14:paraId="66D1D84C">
      <w:pPr>
        <w:pStyle w:val="2"/>
        <w:rPr>
          <w:rFonts w:ascii="宋体" w:hAnsi="宋体" w:cs="宋体"/>
          <w:color w:val="auto"/>
          <w:szCs w:val="21"/>
          <w:highlight w:val="none"/>
        </w:rPr>
      </w:pPr>
      <w:bookmarkStart w:id="37" w:name="_Toc74320801"/>
    </w:p>
    <w:p w14:paraId="1B63CE1A">
      <w:pPr>
        <w:pStyle w:val="2"/>
        <w:rPr>
          <w:rFonts w:ascii="宋体" w:hAnsi="宋体" w:cs="宋体"/>
          <w:color w:val="auto"/>
          <w:szCs w:val="21"/>
          <w:highlight w:val="none"/>
        </w:rPr>
      </w:pPr>
    </w:p>
    <w:p w14:paraId="5EE683E6">
      <w:pPr>
        <w:pStyle w:val="2"/>
        <w:rPr>
          <w:rFonts w:ascii="宋体" w:hAnsi="宋体" w:cs="宋体"/>
          <w:color w:val="auto"/>
          <w:szCs w:val="21"/>
          <w:highlight w:val="none"/>
        </w:rPr>
      </w:pPr>
    </w:p>
    <w:p w14:paraId="4C5F0132">
      <w:pPr>
        <w:pStyle w:val="2"/>
        <w:rPr>
          <w:rFonts w:ascii="宋体" w:hAnsi="宋体" w:cs="宋体"/>
          <w:color w:val="auto"/>
          <w:szCs w:val="21"/>
          <w:highlight w:val="none"/>
        </w:rPr>
      </w:pPr>
    </w:p>
    <w:p w14:paraId="73BDB18E">
      <w:pPr>
        <w:pStyle w:val="3"/>
        <w:spacing w:after="0" w:line="500" w:lineRule="exact"/>
        <w:jc w:val="center"/>
        <w:rPr>
          <w:rFonts w:ascii="宋体" w:hAnsi="宋体" w:cs="宋体"/>
          <w:color w:val="auto"/>
          <w:highlight w:val="none"/>
        </w:rPr>
      </w:pPr>
      <w:bookmarkStart w:id="38" w:name="_Toc29385"/>
      <w:r>
        <w:rPr>
          <w:rFonts w:hint="eastAsia" w:ascii="宋体" w:hAnsi="宋体" w:cs="宋体"/>
          <w:color w:val="auto"/>
          <w:highlight w:val="none"/>
        </w:rPr>
        <w:t>第二章 采购需求</w:t>
      </w:r>
      <w:bookmarkEnd w:id="37"/>
      <w:bookmarkEnd w:id="38"/>
    </w:p>
    <w:p w14:paraId="4F517EFC">
      <w:pPr>
        <w:keepNext w:val="0"/>
        <w:keepLines w:val="0"/>
        <w:pageBreakBefore w:val="0"/>
        <w:widowControl w:val="0"/>
        <w:kinsoku/>
        <w:wordWrap/>
        <w:overflowPunct/>
        <w:topLinePunct w:val="0"/>
        <w:autoSpaceDE/>
        <w:autoSpaceDN/>
        <w:bidi w:val="0"/>
        <w:adjustRightInd/>
        <w:snapToGrid/>
        <w:spacing w:line="420" w:lineRule="exact"/>
        <w:ind w:firstLine="422" w:firstLineChars="200"/>
        <w:jc w:val="left"/>
        <w:textAlignment w:val="auto"/>
        <w:rPr>
          <w:rFonts w:ascii="宋体" w:hAnsi="宋体" w:cs="宋体"/>
          <w:b/>
          <w:color w:val="auto"/>
          <w:highlight w:val="none"/>
        </w:rPr>
      </w:pPr>
      <w:bookmarkStart w:id="39" w:name="_Toc254970490"/>
      <w:bookmarkStart w:id="40" w:name="_Toc254970631"/>
      <w:r>
        <w:rPr>
          <w:rFonts w:hint="eastAsia" w:ascii="宋体" w:hAnsi="宋体" w:cs="宋体"/>
          <w:b/>
          <w:color w:val="auto"/>
          <w:highlight w:val="none"/>
        </w:rPr>
        <w:t>Ⅰ.说明：</w:t>
      </w:r>
    </w:p>
    <w:p w14:paraId="048160B1">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1.为落实政府采购政策需满足的要求</w:t>
      </w:r>
    </w:p>
    <w:p w14:paraId="7267234A">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（1）本招标文件所称中小企业必须符合《政府采购促进中小企业发展管理办法》（财库〔2020〕46号）的规定，详见本章后附的《中小企业划型标准规定》。</w:t>
      </w:r>
    </w:p>
    <w:p w14:paraId="79C1C88A">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2）根据财政部、司法部关于政府采购支持监狱企业发展有关问题的通知（财库[2014]68号），监狱企业视同小型、微型企业，享受预留份额、评审中价格扣除等政府采购政策。监狱企业属于小型、微型企业的，不重复享受政策。</w:t>
      </w:r>
    </w:p>
    <w:p w14:paraId="1A373D50">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3）按照《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14:paraId="5437DE2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（4）根据《财政部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否则按无效投标处理。如本项目包含的货物属于品目清单内非标注“★”的产品时，应优先采购，具体详见“第四章 评标方法及评标标准”。</w:t>
      </w:r>
    </w:p>
    <w:p w14:paraId="61D74AFB">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b/>
          <w:color w:val="auto"/>
          <w:highlight w:val="none"/>
        </w:rPr>
      </w:pPr>
      <w:bookmarkStart w:id="41" w:name="_Hlk65055179"/>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E538CC8">
      <w:pPr>
        <w:keepNext w:val="0"/>
        <w:keepLines w:val="0"/>
        <w:pageBreakBefore w:val="0"/>
        <w:widowControl w:val="0"/>
        <w:kinsoku/>
        <w:wordWrap/>
        <w:overflowPunct/>
        <w:topLinePunct w:val="0"/>
        <w:autoSpaceDE/>
        <w:autoSpaceDN/>
        <w:bidi w:val="0"/>
        <w:adjustRightInd/>
        <w:snapToGrid/>
        <w:spacing w:line="420" w:lineRule="exact"/>
        <w:ind w:firstLine="422" w:firstLineChars="200"/>
        <w:jc w:val="left"/>
        <w:textAlignment w:val="auto"/>
        <w:rPr>
          <w:rFonts w:ascii="宋体" w:hAnsi="宋体" w:cs="宋体"/>
          <w:b/>
          <w:color w:val="auto"/>
          <w:highlight w:val="none"/>
        </w:rPr>
      </w:pPr>
      <w:r>
        <w:rPr>
          <w:rFonts w:hint="eastAsia" w:ascii="宋体" w:hAnsi="宋体" w:cs="宋体"/>
          <w:b/>
          <w:color w:val="auto"/>
          <w:highlight w:val="none"/>
        </w:rPr>
        <w:t>2.“实质性要求”是指招标文件中已经指明不满足则投标无效的条款，或者不能负偏离的条款，或者采购需求中带“▲”的条款。投标人不满足实质性要求的，按投标无效处理。</w:t>
      </w:r>
    </w:p>
    <w:p w14:paraId="664CE17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bookmarkEnd w:id="41"/>
    </w:p>
    <w:p w14:paraId="2E71B7F1">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4.投标人应根据自身实际情况如实响应招标文件，对招标文件提出的要求和条件作出明确响应。对于招标文件中要求技术参数应当在投标文件中提供技术支持资料的，技术支持资料以招标文件中规定的形式为准，否则将视为无效技术支持资料。</w:t>
      </w:r>
    </w:p>
    <w:p w14:paraId="5BAA771C">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ascii="宋体" w:hAnsi="宋体" w:cs="宋体"/>
          <w:b/>
          <w:color w:val="auto"/>
          <w:highlight w:val="none"/>
        </w:rPr>
      </w:pPr>
      <w:r>
        <w:rPr>
          <w:rFonts w:hint="eastAsia" w:ascii="宋体" w:hAnsi="宋体" w:cs="宋体"/>
          <w:color w:val="auto"/>
          <w:highlight w:val="none"/>
        </w:rPr>
        <w:t>5.投标人必须自行为其投标产品侵犯他人的知识产权或者专利成果的行为承担相应法律责任。</w:t>
      </w:r>
    </w:p>
    <w:p w14:paraId="12135455">
      <w:pPr>
        <w:spacing w:line="380" w:lineRule="exact"/>
        <w:ind w:firstLine="310" w:firstLineChars="147"/>
        <w:jc w:val="left"/>
        <w:rPr>
          <w:rFonts w:ascii="宋体" w:hAnsi="宋体" w:cs="宋体"/>
          <w:b/>
          <w:color w:val="auto"/>
          <w:highlight w:val="none"/>
        </w:rPr>
      </w:pPr>
      <w:r>
        <w:rPr>
          <w:rFonts w:hint="eastAsia" w:ascii="宋体" w:hAnsi="宋体" w:cs="宋体"/>
          <w:b/>
          <w:color w:val="auto"/>
          <w:highlight w:val="none"/>
        </w:rPr>
        <w:t>Ⅱ.采购需求一览表</w:t>
      </w:r>
    </w:p>
    <w:bookmarkEnd w:id="39"/>
    <w:bookmarkEnd w:id="40"/>
    <w:tbl>
      <w:tblPr>
        <w:tblStyle w:val="47"/>
        <w:tblW w:w="527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4"/>
        <w:gridCol w:w="1337"/>
        <w:gridCol w:w="678"/>
        <w:gridCol w:w="852"/>
        <w:gridCol w:w="858"/>
        <w:gridCol w:w="988"/>
        <w:gridCol w:w="4327"/>
      </w:tblGrid>
      <w:tr w14:paraId="5B4BC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5000" w:type="pct"/>
            <w:gridSpan w:val="7"/>
            <w:vAlign w:val="center"/>
          </w:tcPr>
          <w:p w14:paraId="0A96EE97">
            <w:pPr>
              <w:tabs>
                <w:tab w:val="left" w:pos="180"/>
                <w:tab w:val="left" w:pos="1620"/>
              </w:tabs>
              <w:adjustRightInd w:val="0"/>
              <w:snapToGrid w:val="0"/>
              <w:spacing w:line="360" w:lineRule="exact"/>
              <w:rPr>
                <w:rFonts w:ascii="宋体" w:hAnsi="宋体" w:cs="宋体"/>
                <w:color w:val="auto"/>
                <w:szCs w:val="21"/>
                <w:highlight w:val="none"/>
              </w:rPr>
            </w:pPr>
            <w:r>
              <w:rPr>
                <w:rFonts w:hint="eastAsia" w:ascii="宋体" w:hAnsi="宋体" w:cs="宋体"/>
                <w:b/>
                <w:color w:val="auto"/>
                <w:szCs w:val="21"/>
                <w:highlight w:val="none"/>
              </w:rPr>
              <w:t>一、采购标的及技术需求</w:t>
            </w:r>
          </w:p>
        </w:tc>
      </w:tr>
      <w:tr w14:paraId="38F62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214" w:type="pct"/>
            <w:tcBorders>
              <w:right w:val="single" w:color="auto" w:sz="4" w:space="0"/>
            </w:tcBorders>
            <w:vAlign w:val="center"/>
          </w:tcPr>
          <w:p w14:paraId="0478BDBF">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708" w:type="pct"/>
            <w:tcBorders>
              <w:left w:val="single" w:color="auto" w:sz="4" w:space="0"/>
              <w:right w:val="single" w:color="auto" w:sz="4" w:space="0"/>
            </w:tcBorders>
            <w:vAlign w:val="center"/>
          </w:tcPr>
          <w:p w14:paraId="2713F9C4">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359" w:type="pct"/>
            <w:tcBorders>
              <w:left w:val="single" w:color="auto" w:sz="4" w:space="0"/>
            </w:tcBorders>
            <w:vAlign w:val="center"/>
          </w:tcPr>
          <w:p w14:paraId="4461A294">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449" w:type="pct"/>
            <w:vAlign w:val="center"/>
          </w:tcPr>
          <w:p w14:paraId="70A6E174">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454" w:type="pct"/>
            <w:vAlign w:val="center"/>
          </w:tcPr>
          <w:p w14:paraId="4D24093D">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所属行业</w:t>
            </w:r>
          </w:p>
        </w:tc>
        <w:tc>
          <w:tcPr>
            <w:tcW w:w="523" w:type="pct"/>
            <w:tcBorders>
              <w:right w:val="single" w:color="auto" w:sz="4" w:space="0"/>
            </w:tcBorders>
            <w:vAlign w:val="center"/>
          </w:tcPr>
          <w:p w14:paraId="7A834ACA">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单价最高限价（万元）</w:t>
            </w:r>
          </w:p>
        </w:tc>
        <w:tc>
          <w:tcPr>
            <w:tcW w:w="2290" w:type="pct"/>
            <w:tcBorders>
              <w:left w:val="single" w:color="auto" w:sz="4" w:space="0"/>
            </w:tcBorders>
            <w:vAlign w:val="center"/>
          </w:tcPr>
          <w:p w14:paraId="19D91B3A">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技术要求</w:t>
            </w:r>
          </w:p>
        </w:tc>
      </w:tr>
      <w:tr w14:paraId="3F4A7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214" w:type="pct"/>
            <w:tcBorders>
              <w:bottom w:val="single" w:color="auto" w:sz="4" w:space="0"/>
              <w:right w:val="single" w:color="auto" w:sz="4" w:space="0"/>
            </w:tcBorders>
            <w:vAlign w:val="center"/>
          </w:tcPr>
          <w:p w14:paraId="571BDF6E">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708" w:type="pct"/>
            <w:tcBorders>
              <w:left w:val="single" w:color="auto" w:sz="4" w:space="0"/>
              <w:bottom w:val="single" w:color="auto" w:sz="4" w:space="0"/>
              <w:right w:val="single" w:color="auto" w:sz="4" w:space="0"/>
            </w:tcBorders>
            <w:vAlign w:val="center"/>
          </w:tcPr>
          <w:p w14:paraId="635753DA">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麻醉机（1）</w:t>
            </w:r>
          </w:p>
        </w:tc>
        <w:tc>
          <w:tcPr>
            <w:tcW w:w="359" w:type="pct"/>
            <w:tcBorders>
              <w:left w:val="single" w:color="auto" w:sz="4" w:space="0"/>
            </w:tcBorders>
            <w:vAlign w:val="center"/>
          </w:tcPr>
          <w:p w14:paraId="2838CAAF">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8</w:t>
            </w:r>
          </w:p>
        </w:tc>
        <w:tc>
          <w:tcPr>
            <w:tcW w:w="449" w:type="pct"/>
            <w:vAlign w:val="center"/>
          </w:tcPr>
          <w:p w14:paraId="25C4520D">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套</w:t>
            </w:r>
          </w:p>
        </w:tc>
        <w:tc>
          <w:tcPr>
            <w:tcW w:w="454" w:type="pct"/>
            <w:vMerge w:val="restart"/>
            <w:vAlign w:val="center"/>
          </w:tcPr>
          <w:p w14:paraId="778C7238">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工业</w:t>
            </w:r>
          </w:p>
        </w:tc>
        <w:tc>
          <w:tcPr>
            <w:tcW w:w="523" w:type="pct"/>
            <w:tcBorders>
              <w:right w:val="single" w:color="auto" w:sz="4" w:space="0"/>
            </w:tcBorders>
            <w:vAlign w:val="center"/>
          </w:tcPr>
          <w:p w14:paraId="6206C2B5">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31.8</w:t>
            </w:r>
          </w:p>
        </w:tc>
        <w:tc>
          <w:tcPr>
            <w:tcW w:w="2290" w:type="pct"/>
            <w:tcBorders>
              <w:left w:val="single" w:color="auto" w:sz="4" w:space="0"/>
            </w:tcBorders>
            <w:shd w:val="clear" w:color="auto" w:fill="auto"/>
          </w:tcPr>
          <w:p w14:paraId="3868770A">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1.设备需求：全能麻醉系统</w:t>
            </w:r>
          </w:p>
          <w:p w14:paraId="1AAB99F2">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2.技术规格要求：</w:t>
            </w:r>
          </w:p>
          <w:p w14:paraId="443D8E30">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2.1工作条件及基本配件</w:t>
            </w:r>
          </w:p>
          <w:p w14:paraId="0884A6E6">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2.1.1工作环境，温度：10℃-40℃，湿度：15%-95%。</w:t>
            </w:r>
          </w:p>
          <w:p w14:paraId="640388C3">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2.1.2电源：220V-240V，50/60Hz，支持辅助电源接口。</w:t>
            </w:r>
          </w:p>
          <w:p w14:paraId="76A29E6B">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2.1.3配</w:t>
            </w:r>
            <w:r>
              <w:rPr>
                <w:rFonts w:hint="eastAsia" w:ascii="宋体" w:hAnsi="宋体" w:cs="宋体"/>
                <w:color w:val="auto"/>
                <w:szCs w:val="21"/>
                <w:highlight w:val="none"/>
                <w:shd w:val="clear"/>
              </w:rPr>
              <w:t>锂电池</w:t>
            </w:r>
            <w:r>
              <w:rPr>
                <w:rFonts w:hint="eastAsia" w:ascii="宋体" w:hAnsi="宋体" w:cs="宋体"/>
                <w:color w:val="auto"/>
                <w:szCs w:val="21"/>
                <w:highlight w:val="none"/>
              </w:rPr>
              <w:t>(非铅酸)后备电池，支持 1 块电池使用时间≥85 分钟，2 块电池使用时间≥175分钟。</w:t>
            </w:r>
          </w:p>
          <w:p w14:paraId="57A45931">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2.1.4配辅助电源接口≥4 个。</w:t>
            </w:r>
          </w:p>
          <w:p w14:paraId="56FEA369">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2.1.5接口：1 个 LAN 接口支持网络和软件升级,1 个 RS-232 接口，1 个视频信号接口，2 个 USB接口；1 个无线网卡的网络接口。</w:t>
            </w:r>
          </w:p>
          <w:p w14:paraId="01CFE198">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2.1.6要求机架支持中央刹车系统，大脚轮配有防缆线缠绕功能，带工作台侧栏杆推车，可升级折叠辅助工作台。</w:t>
            </w:r>
          </w:p>
          <w:p w14:paraId="1F0E2DA8">
            <w:pPr>
              <w:pStyle w:val="17"/>
              <w:rPr>
                <w:rFonts w:ascii="宋体" w:hAnsi="宋体" w:cs="宋体"/>
                <w:b/>
                <w:color w:val="auto"/>
                <w:szCs w:val="21"/>
                <w:highlight w:val="none"/>
              </w:rPr>
            </w:pPr>
            <w:r>
              <w:rPr>
                <w:rFonts w:hint="eastAsia" w:ascii="宋体" w:hAnsi="宋体" w:eastAsia="宋体" w:cs="宋体"/>
                <w:color w:val="auto"/>
                <w:kern w:val="2"/>
                <w:sz w:val="21"/>
                <w:szCs w:val="21"/>
                <w:highlight w:val="none"/>
                <w:lang w:val="en-US" w:eastAsia="zh-CN" w:bidi="ar-SA"/>
              </w:rPr>
              <w:t xml:space="preserve">▲2.1.7 </w:t>
            </w:r>
            <w:r>
              <w:rPr>
                <w:rFonts w:hint="eastAsia" w:ascii="宋体" w:hAnsi="宋体" w:cs="宋体"/>
                <w:b/>
                <w:color w:val="auto"/>
                <w:szCs w:val="21"/>
                <w:highlight w:val="none"/>
              </w:rPr>
              <w:t>显示屏可 360 度旋转，俯仰角度可调节，保证站姿和坐姿都能操作。</w:t>
            </w:r>
          </w:p>
          <w:p w14:paraId="7DFA4AAA">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2.1.8支持内窥镜手术模式：具备工作台照明光，且亮度可调，能够在黑暗环境中提供麻醉机工作台面照明。</w:t>
            </w:r>
          </w:p>
          <w:p w14:paraId="060F5B4A">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2.1.9非待机状态转动关机旋钮，主机具备 10秒延迟关机功能，以避免误操作保证病人安全。</w:t>
            </w:r>
          </w:p>
          <w:p w14:paraId="162DDF5B">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2.1.10用于对成人、儿童和新生儿的吸入麻醉及呼吸管理。</w:t>
            </w:r>
          </w:p>
          <w:p w14:paraId="78DE65BF">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2.1.11备用流量控制系统具备隐藏门设计，避免平时状态被误触碰。</w:t>
            </w:r>
          </w:p>
          <w:p w14:paraId="06F2395D">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2.2气源</w:t>
            </w:r>
          </w:p>
          <w:p w14:paraId="158F6AB2">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2.2.1标配氧气、空气两气源。</w:t>
            </w:r>
          </w:p>
          <w:p w14:paraId="39FCF433">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2.2.2具备氧笑联动系统，保证接入氧气和笑气时氧浓度不低于25%。</w:t>
            </w:r>
          </w:p>
          <w:p w14:paraId="38311195">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2.2.3快速充氧范围25-75L/min。</w:t>
            </w:r>
          </w:p>
          <w:p w14:paraId="4D7C5ECA">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2.3流量计</w:t>
            </w:r>
          </w:p>
          <w:p w14:paraId="374D472C">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2.3.1电子显示流量计，空气范围： 0L/min～15L/min，氧气范围：0L/min～15L/min，笑气范围：0L/min～12L/min。</w:t>
            </w:r>
          </w:p>
          <w:p w14:paraId="2AB02A05">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2.3.2电子流量计配备各支路流量数字显示和屏幕虚拟流量管显示，屏幕可显示新鲜气体设置总流量和氧浓度。</w:t>
            </w:r>
          </w:p>
          <w:p w14:paraId="4348BCC9">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2.3.3具备可直观的适宜低流量麻醉的新鲜气体流量指示工具。</w:t>
            </w:r>
          </w:p>
          <w:p w14:paraId="587F42FC">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2.3.4具备麻药消耗量统计功能。</w:t>
            </w:r>
          </w:p>
          <w:p w14:paraId="2539A0D4">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2.3.5具备辅助吸氧流量计。</w:t>
            </w:r>
          </w:p>
          <w:p w14:paraId="2EDBB258">
            <w:pPr>
              <w:pStyle w:val="17"/>
              <w:rPr>
                <w:rFonts w:ascii="宋体" w:hAnsi="宋体" w:cs="宋体"/>
                <w:color w:val="auto"/>
                <w:szCs w:val="21"/>
                <w:highlight w:val="none"/>
              </w:rPr>
            </w:pPr>
            <w:r>
              <w:rPr>
                <w:rFonts w:hint="eastAsia" w:ascii="宋体" w:hAnsi="宋体" w:cs="宋体"/>
                <w:color w:val="auto"/>
                <w:szCs w:val="21"/>
                <w:highlight w:val="none"/>
              </w:rPr>
              <w:t>2.3.6配备高流量给氧功能或提供高流量给氧单机，流量范围 2-80 L/min，氧浓度设置范围 21~100</w:t>
            </w:r>
            <w:r>
              <w:rPr>
                <w:rFonts w:hint="eastAsia" w:ascii="宋体" w:hAnsi="宋体" w:cs="宋体"/>
                <w:b/>
                <w:bCs/>
                <w:color w:val="auto"/>
                <w:szCs w:val="21"/>
                <w:highlight w:val="none"/>
              </w:rPr>
              <w:t>%</w:t>
            </w:r>
            <w:r>
              <w:rPr>
                <w:rFonts w:hint="eastAsia"/>
                <w:b/>
                <w:bCs/>
                <w:color w:val="auto"/>
                <w:highlight w:val="none"/>
              </w:rPr>
              <w:t>(投标人于投标文件中提供符合此项技术要求的相关有效证明材料复印件，可以是产品说明书或官方可查询的彩页或由国家认可的第三方检测机构出具的检测报告复印件</w:t>
            </w:r>
            <w:r>
              <w:rPr>
                <w:rFonts w:hint="eastAsia"/>
                <w:b/>
                <w:bCs/>
                <w:color w:val="auto"/>
                <w:highlight w:val="none"/>
                <w:lang w:eastAsia="zh-CN"/>
              </w:rPr>
              <w:t>等</w:t>
            </w:r>
            <w:r>
              <w:rPr>
                <w:rFonts w:hint="eastAsia"/>
                <w:b/>
                <w:bCs/>
                <w:color w:val="auto"/>
                <w:highlight w:val="none"/>
              </w:rPr>
              <w:t>，并加盖投标人电子签章)。</w:t>
            </w:r>
          </w:p>
          <w:p w14:paraId="3D559ED4">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2.4 挥发罐</w:t>
            </w:r>
          </w:p>
          <w:p w14:paraId="18BB0216">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2.4.1 标配双麻醉罐位。</w:t>
            </w:r>
          </w:p>
          <w:p w14:paraId="594BBC04">
            <w:pPr>
              <w:pStyle w:val="17"/>
              <w:rPr>
                <w:rFonts w:ascii="宋体" w:hAnsi="宋体" w:cs="宋体"/>
                <w:b/>
                <w:bCs/>
                <w:color w:val="auto"/>
                <w:szCs w:val="21"/>
                <w:highlight w:val="none"/>
              </w:rPr>
            </w:pPr>
            <w:r>
              <w:rPr>
                <w:rFonts w:hint="eastAsia" w:ascii="宋体" w:hAnsi="宋体" w:cs="宋体"/>
                <w:b/>
                <w:bCs/>
                <w:color w:val="auto"/>
                <w:szCs w:val="21"/>
                <w:highlight w:val="none"/>
              </w:rPr>
              <w:t>2.4.2标配一个七氟醚挥发罐，挥发罐和主机为</w:t>
            </w:r>
            <w:r>
              <w:rPr>
                <w:rFonts w:hint="eastAsia"/>
                <w:b/>
                <w:bCs/>
                <w:color w:val="auto"/>
                <w:highlight w:val="none"/>
              </w:rPr>
              <w:t>同一生产厂家生产的产品</w:t>
            </w:r>
            <w:r>
              <w:rPr>
                <w:rFonts w:hint="eastAsia" w:ascii="宋体" w:hAnsi="宋体" w:cs="宋体"/>
                <w:b/>
                <w:bCs/>
                <w:color w:val="auto"/>
                <w:szCs w:val="21"/>
                <w:highlight w:val="none"/>
              </w:rPr>
              <w:t>，非其他品牌代工贴牌（非 OEM）产品，具备压力、流速和温度补偿</w:t>
            </w:r>
            <w:r>
              <w:rPr>
                <w:rFonts w:hint="eastAsia"/>
                <w:b/>
                <w:bCs/>
                <w:color w:val="auto"/>
                <w:highlight w:val="none"/>
              </w:rPr>
              <w:t>(投标人于投标文件中提供符合此项技术要求的相关有效证明材料复印件，可以是产品说明书或官方可查询的彩页或由国家认可的第三方检测机构出具的检测报告复印件</w:t>
            </w:r>
            <w:r>
              <w:rPr>
                <w:rFonts w:hint="eastAsia"/>
                <w:b/>
                <w:bCs/>
                <w:color w:val="auto"/>
                <w:highlight w:val="none"/>
                <w:lang w:eastAsia="zh-CN"/>
              </w:rPr>
              <w:t>等</w:t>
            </w:r>
            <w:r>
              <w:rPr>
                <w:rFonts w:hint="eastAsia"/>
                <w:b/>
                <w:bCs/>
                <w:color w:val="auto"/>
                <w:highlight w:val="none"/>
              </w:rPr>
              <w:t>，并加盖投标人电子签章)。</w:t>
            </w:r>
          </w:p>
          <w:p w14:paraId="4978BDDE">
            <w:pPr>
              <w:pStyle w:val="17"/>
              <w:rPr>
                <w:rFonts w:ascii="宋体" w:hAnsi="宋体" w:cs="宋体"/>
                <w:b/>
                <w:color w:val="auto"/>
                <w:szCs w:val="21"/>
                <w:highlight w:val="none"/>
              </w:rPr>
            </w:pPr>
            <w:r>
              <w:rPr>
                <w:rFonts w:hint="eastAsia" w:ascii="宋体" w:hAnsi="宋体" w:cs="宋体"/>
                <w:b/>
                <w:color w:val="auto"/>
                <w:szCs w:val="21"/>
                <w:highlight w:val="none"/>
              </w:rPr>
              <w:t>2.4.3 可支持升级选配同品牌地氟醚挥发罐，挥发罐和主机为</w:t>
            </w:r>
            <w:r>
              <w:rPr>
                <w:rFonts w:hint="eastAsia"/>
                <w:b/>
                <w:bCs/>
                <w:color w:val="auto"/>
                <w:highlight w:val="none"/>
              </w:rPr>
              <w:t>同一生产厂家生产的产品(投标人于投标文件中提供符合此项技术要求的相关有效证明材料复印件，可以是产品说明书或官方可查询的彩页或由国家认可的第三方检测机构出具的检测报告复印件</w:t>
            </w:r>
            <w:r>
              <w:rPr>
                <w:rFonts w:hint="eastAsia"/>
                <w:b/>
                <w:bCs/>
                <w:color w:val="auto"/>
                <w:highlight w:val="none"/>
                <w:lang w:eastAsia="zh-CN"/>
              </w:rPr>
              <w:t>等</w:t>
            </w:r>
            <w:r>
              <w:rPr>
                <w:rFonts w:hint="eastAsia"/>
                <w:b/>
                <w:bCs/>
                <w:color w:val="auto"/>
                <w:highlight w:val="none"/>
              </w:rPr>
              <w:t>，并加盖投标人电子签章)</w:t>
            </w:r>
            <w:r>
              <w:rPr>
                <w:rFonts w:hint="eastAsia" w:ascii="宋体" w:hAnsi="宋体" w:cs="宋体"/>
                <w:b/>
                <w:color w:val="auto"/>
                <w:szCs w:val="21"/>
                <w:highlight w:val="none"/>
              </w:rPr>
              <w:t>。</w:t>
            </w:r>
          </w:p>
          <w:p w14:paraId="3818D460">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2.5 呼吸回路</w:t>
            </w:r>
          </w:p>
          <w:p w14:paraId="2B9841D7">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2.5.1 一体化集成回路，具有可观测的吸气呼气单向阀，机械气道压力表以及手动/机控切换开关。</w:t>
            </w:r>
          </w:p>
          <w:p w14:paraId="0B229C37">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2.5.2 回路部件可以耐受 134℃高温高压消毒以避免院内交叉感染(包括流量传感器)。</w:t>
            </w:r>
          </w:p>
          <w:p w14:paraId="49CFABEB">
            <w:pPr>
              <w:tabs>
                <w:tab w:val="left" w:pos="180"/>
                <w:tab w:val="left" w:pos="1620"/>
              </w:tabs>
              <w:adjustRightInd w:val="0"/>
              <w:snapToGrid w:val="0"/>
              <w:spacing w:line="360" w:lineRule="exact"/>
              <w:jc w:val="left"/>
              <w:rPr>
                <w:rFonts w:ascii="宋体" w:hAnsi="宋体" w:cs="宋体"/>
                <w:b/>
                <w:color w:val="auto"/>
                <w:szCs w:val="21"/>
                <w:highlight w:val="none"/>
              </w:rPr>
            </w:pPr>
            <w:r>
              <w:rPr>
                <w:rFonts w:hint="eastAsia" w:ascii="宋体" w:hAnsi="宋体" w:cs="宋体"/>
                <w:b/>
                <w:color w:val="auto"/>
                <w:highlight w:val="none"/>
              </w:rPr>
              <w:t>▲</w:t>
            </w:r>
            <w:r>
              <w:rPr>
                <w:rFonts w:hint="eastAsia" w:ascii="宋体" w:hAnsi="宋体" w:cs="宋体"/>
                <w:b/>
                <w:color w:val="auto"/>
                <w:szCs w:val="21"/>
                <w:highlight w:val="none"/>
              </w:rPr>
              <w:t>2.5.3 二氧化碳吸收罐，容积≤1500ml，满足临床低微流量麻醉需要。</w:t>
            </w:r>
          </w:p>
          <w:p w14:paraId="3F032A37">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2.5.4内置双流量传感器，分别在吸入端，呼出端，流量传感器采购人无需工具可自行校准。</w:t>
            </w:r>
          </w:p>
          <w:p w14:paraId="777763A2">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2.5.5具有回路整体加温功能，保证回路不受积水影响，保证流量传感器精准及向病人提供温暖气体，避免对呼吸道的刺激。</w:t>
            </w:r>
          </w:p>
          <w:p w14:paraId="3A362E05">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2.5.6标配 CO</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 xml:space="preserve"> 旁路功能，在机械通气过程中，更换钠石灰罐无需关停机械通气，可直接更换。</w:t>
            </w:r>
          </w:p>
          <w:p w14:paraId="4B904C82">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2.5.7具备智能回路识别报警系统，当钠石灰罐未安装到位时，机器能智能识别，并报警提示。</w:t>
            </w:r>
          </w:p>
          <w:p w14:paraId="79D3F722">
            <w:pPr>
              <w:pStyle w:val="17"/>
              <w:rPr>
                <w:rFonts w:ascii="宋体" w:hAnsi="宋体" w:cs="宋体"/>
                <w:b/>
                <w:color w:val="auto"/>
                <w:szCs w:val="21"/>
                <w:highlight w:val="none"/>
              </w:rPr>
            </w:pPr>
            <w:r>
              <w:rPr>
                <w:rFonts w:hint="eastAsia" w:ascii="宋体" w:hAnsi="宋体" w:cs="宋体"/>
                <w:b/>
                <w:color w:val="auto"/>
                <w:highlight w:val="none"/>
              </w:rPr>
              <w:t>▲</w:t>
            </w:r>
            <w:r>
              <w:rPr>
                <w:rFonts w:hint="eastAsia" w:ascii="宋体" w:hAnsi="宋体" w:cs="宋体"/>
                <w:b/>
                <w:color w:val="auto"/>
                <w:szCs w:val="21"/>
                <w:highlight w:val="none"/>
              </w:rPr>
              <w:t>2.5.8 呼吸系统泄漏量≤65mL/min（在 3.0kPa 压力条件下）。</w:t>
            </w:r>
          </w:p>
          <w:p w14:paraId="53BCC05F">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2.6呼吸机</w:t>
            </w:r>
          </w:p>
          <w:p w14:paraId="0B2CE172">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2.6.1气动电控呼吸机，全中文操作和显示</w:t>
            </w:r>
          </w:p>
          <w:p w14:paraId="53D1793A">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2.6.2提供辅助/控制通气，标配通气模式：VCV、PCV、压力控制容量保证通气（PCV-VG）和 SIMV（SIMV-VC、SIMV-PC）、PS 模式，支持升级 SIMV-VG、CPAP/PS、APRV 模式。</w:t>
            </w:r>
          </w:p>
          <w:p w14:paraId="2624835C">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2.6.3可根据病人理想体重自动关联潮气量，调节潮气量时可显示潮气量/理想体重。</w:t>
            </w:r>
          </w:p>
          <w:p w14:paraId="61D0195E">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2.6.4容量控制（VCV）潮气量设置范围：10ml-1500ml。</w:t>
            </w:r>
          </w:p>
          <w:p w14:paraId="076A06CA">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2.6.5吸气压力设置范围：5-70 cmH</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O。</w:t>
            </w:r>
          </w:p>
          <w:p w14:paraId="09932C7B">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2.6.6支持压力：0，3cmH2O～60cmH</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O。</w:t>
            </w:r>
          </w:p>
          <w:p w14:paraId="6E1E2DE4">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2.6.7呼吸频率：2-100 次/分钟。</w:t>
            </w:r>
          </w:p>
          <w:p w14:paraId="16D38169">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2.6.8 吸呼比：4:1 到 1:10。</w:t>
            </w:r>
          </w:p>
          <w:p w14:paraId="4B185D1B">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2.6.9压力限制范围：10-100 cmH</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O。</w:t>
            </w:r>
          </w:p>
          <w:p w14:paraId="00B8A4FC">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2.6.10电子 PEEP，显示屏设置，范围：OFF，2-45cmH</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O。</w:t>
            </w:r>
          </w:p>
          <w:p w14:paraId="469E18A9">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2.6.11吸气暂停：OFF，5%-60%。</w:t>
            </w:r>
          </w:p>
          <w:p w14:paraId="3A24DF51">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2.6.12 呼吸机吸气阀峰值流速：165L/min。</w:t>
            </w:r>
          </w:p>
          <w:p w14:paraId="3397F627">
            <w:pPr>
              <w:pStyle w:val="17"/>
              <w:rPr>
                <w:rFonts w:ascii="宋体" w:hAnsi="宋体" w:cs="宋体"/>
                <w:b/>
                <w:color w:val="auto"/>
                <w:szCs w:val="21"/>
                <w:highlight w:val="none"/>
              </w:rPr>
            </w:pPr>
            <w:r>
              <w:rPr>
                <w:rFonts w:hint="eastAsia" w:ascii="宋体" w:hAnsi="宋体" w:cs="宋体"/>
                <w:b/>
                <w:color w:val="auto"/>
                <w:szCs w:val="21"/>
                <w:highlight w:val="none"/>
              </w:rPr>
              <w:t>2.6.13 具备吸入端，呼出端双流量传感器，实现动态潮气量实时自动补偿功能，补偿新鲜气体变化、气体压缩、回路顺应性变化以及小的回路泄漏造成的吸入潮气量和设置潮气量的误差。具备内置第三基准流量传感器，采购人可自行校准吸入和呼出端流量传感器</w:t>
            </w:r>
            <w:r>
              <w:rPr>
                <w:rFonts w:hint="eastAsia"/>
                <w:b/>
                <w:color w:val="auto"/>
                <w:highlight w:val="none"/>
              </w:rPr>
              <w:t>(投标人于投标文件中提供符合此项技术要求的相关有效证明材料复印件，可以是产品说明书或官方可查询的彩页或由国家认可的第三方检测机构出具的检测报告复印件</w:t>
            </w:r>
            <w:r>
              <w:rPr>
                <w:rFonts w:hint="eastAsia"/>
                <w:b/>
                <w:color w:val="auto"/>
                <w:highlight w:val="none"/>
                <w:lang w:eastAsia="zh-CN"/>
              </w:rPr>
              <w:t>等</w:t>
            </w:r>
            <w:r>
              <w:rPr>
                <w:rFonts w:hint="eastAsia"/>
                <w:b/>
                <w:color w:val="auto"/>
                <w:highlight w:val="none"/>
              </w:rPr>
              <w:t>，并加盖投标人电子签章)。</w:t>
            </w:r>
          </w:p>
          <w:p w14:paraId="67CAF3D5">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2.6.14具备心肺旁流模式 CPB, 且心肺旁流模式可在手动通气模式和机控通气模式下启动</w:t>
            </w:r>
          </w:p>
          <w:p w14:paraId="6FF91F06">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2.6.15</w:t>
            </w:r>
            <w:r>
              <w:rPr>
                <w:rFonts w:hint="eastAsia"/>
                <w:color w:val="auto"/>
                <w:highlight w:val="none"/>
              </w:rPr>
              <w:t>具备升级能力，</w:t>
            </w:r>
            <w:r>
              <w:rPr>
                <w:rFonts w:hint="eastAsia" w:ascii="宋体" w:hAnsi="宋体" w:cs="宋体"/>
                <w:color w:val="auto"/>
                <w:szCs w:val="21"/>
                <w:highlight w:val="none"/>
              </w:rPr>
              <w:t>可支持升级肺保护工具：支持—单周期和多周期两种复张手法，支持定时膨肺功能。</w:t>
            </w:r>
          </w:p>
          <w:p w14:paraId="4328118E">
            <w:pPr>
              <w:pStyle w:val="17"/>
              <w:rPr>
                <w:rFonts w:ascii="宋体" w:hAnsi="宋体" w:cs="宋体"/>
                <w:b/>
                <w:color w:val="auto"/>
                <w:szCs w:val="21"/>
                <w:highlight w:val="none"/>
              </w:rPr>
            </w:pPr>
            <w:r>
              <w:rPr>
                <w:rFonts w:hint="eastAsia" w:ascii="宋体" w:hAnsi="宋体" w:cs="宋体"/>
                <w:b/>
                <w:color w:val="auto"/>
                <w:szCs w:val="21"/>
                <w:highlight w:val="none"/>
              </w:rPr>
              <w:t>2.6.16支持选配高频喷射通气功能，提供高频叠加常频喷射通气模式，或提供高频喷射单机，并且支持高频叠加常频通气连接同一通气附件</w:t>
            </w:r>
            <w:r>
              <w:rPr>
                <w:rFonts w:hint="eastAsia"/>
                <w:b/>
                <w:bCs/>
                <w:color w:val="auto"/>
                <w:highlight w:val="none"/>
              </w:rPr>
              <w:t>(投标人于投标文件中提供符合此项技术要求的相关有效证明材料复印件，可以是产品说明书或官方可查询的彩页或由国家认可的第三方检测机构出具的检测报告复印件</w:t>
            </w:r>
            <w:r>
              <w:rPr>
                <w:rFonts w:hint="eastAsia"/>
                <w:b/>
                <w:bCs/>
                <w:color w:val="auto"/>
                <w:highlight w:val="none"/>
                <w:lang w:eastAsia="zh-CN"/>
              </w:rPr>
              <w:t>等</w:t>
            </w:r>
            <w:r>
              <w:rPr>
                <w:rFonts w:hint="eastAsia"/>
                <w:b/>
                <w:bCs/>
                <w:color w:val="auto"/>
                <w:highlight w:val="none"/>
              </w:rPr>
              <w:t>，并加盖投标人电子签章)</w:t>
            </w:r>
            <w:r>
              <w:rPr>
                <w:rFonts w:hint="eastAsia" w:ascii="宋体" w:hAnsi="宋体" w:cs="宋体"/>
                <w:b/>
                <w:bCs/>
                <w:color w:val="auto"/>
                <w:szCs w:val="21"/>
                <w:highlight w:val="none"/>
              </w:rPr>
              <w:t>。</w:t>
            </w:r>
          </w:p>
          <w:p w14:paraId="73364F79">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2.7 数字和波形监测</w:t>
            </w:r>
          </w:p>
          <w:p w14:paraId="0593BB76">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2.7.1 具备三级声光报警功能，有独立红黄报警灯显示。</w:t>
            </w:r>
          </w:p>
          <w:p w14:paraId="0F8B63EE">
            <w:pPr>
              <w:pStyle w:val="17"/>
              <w:rPr>
                <w:rFonts w:ascii="宋体" w:hAnsi="宋体" w:cs="宋体"/>
                <w:color w:val="auto"/>
                <w:szCs w:val="21"/>
                <w:highlight w:val="none"/>
              </w:rPr>
            </w:pPr>
            <w:r>
              <w:rPr>
                <w:rFonts w:hint="eastAsia" w:ascii="宋体" w:hAnsi="宋体" w:cs="宋体"/>
                <w:color w:val="auto"/>
                <w:szCs w:val="21"/>
                <w:highlight w:val="none"/>
              </w:rPr>
              <w:t>2.7.2 ≥15.5英寸彩色触摸屏，可同屏显示波形和呼吸环图</w:t>
            </w:r>
            <w:r>
              <w:rPr>
                <w:rFonts w:hint="eastAsia"/>
                <w:b/>
                <w:bCs/>
                <w:color w:val="auto"/>
                <w:highlight w:val="none"/>
              </w:rPr>
              <w:t>(投标人于投标文件中提供符合此项技术要求的相关有效证明材料复印件，可以是产品说明书或官方可查询的彩页或由国家认可的第三方检测机构出具的检测报告复印件</w:t>
            </w:r>
            <w:r>
              <w:rPr>
                <w:rFonts w:hint="eastAsia"/>
                <w:b/>
                <w:bCs/>
                <w:color w:val="auto"/>
                <w:highlight w:val="none"/>
                <w:lang w:eastAsia="zh-CN"/>
              </w:rPr>
              <w:t>等</w:t>
            </w:r>
            <w:r>
              <w:rPr>
                <w:rFonts w:hint="eastAsia"/>
                <w:b/>
                <w:bCs/>
                <w:color w:val="auto"/>
                <w:highlight w:val="none"/>
              </w:rPr>
              <w:t>，并加盖投标人电子签章)</w:t>
            </w:r>
            <w:r>
              <w:rPr>
                <w:rFonts w:hint="eastAsia" w:ascii="宋体" w:hAnsi="宋体" w:cs="宋体"/>
                <w:color w:val="auto"/>
                <w:szCs w:val="21"/>
                <w:highlight w:val="none"/>
              </w:rPr>
              <w:t>。</w:t>
            </w:r>
          </w:p>
          <w:p w14:paraId="71854E91">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2.7.3支持显示 P-V，V-F，P-F 三种类型环图。</w:t>
            </w:r>
          </w:p>
          <w:p w14:paraId="2223F7DB">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2.7.4电容触摸屏，支持手势操作。</w:t>
            </w:r>
          </w:p>
          <w:p w14:paraId="58E844AE">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2.7.5内置≥3 槽位插件槽，可直接热插拔插件。</w:t>
            </w:r>
          </w:p>
          <w:p w14:paraId="619FA2EC">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2.7.6插件可在同品牌监护仪和麻醉机之间通用。</w:t>
            </w:r>
          </w:p>
          <w:p w14:paraId="443A1E29">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2.7.7配AG麻醉气体模块，可单独选配EtCO</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 xml:space="preserve"> 插件，以适应全凭静脉无需监测麻醉气体的需求。</w:t>
            </w:r>
          </w:p>
          <w:p w14:paraId="04A3F05A">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2.7.8数字及波形可</w:t>
            </w:r>
            <w:r>
              <w:rPr>
                <w:rFonts w:hint="eastAsia"/>
                <w:color w:val="auto"/>
                <w:highlight w:val="none"/>
              </w:rPr>
              <w:t>选</w:t>
            </w:r>
            <w:r>
              <w:rPr>
                <w:rFonts w:hint="eastAsia" w:ascii="宋体" w:hAnsi="宋体" w:cs="宋体"/>
                <w:color w:val="auto"/>
                <w:szCs w:val="21"/>
                <w:highlight w:val="none"/>
              </w:rPr>
              <w:t>监测参数：呼吸频率、潮气量、分钟通气量、吸呼比、气道压（峰压、平台压、平均压、PEEP）、气道阻力、顺应性、弹性、驱动压、机械能；麻醉气体分析（N</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O，EtCO</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，自动识别五种麻醉气体吸入呼出浓度监测）、呼吸环（P-V，P-F，V-F）监测；电池法吸入氧浓度监测等。</w:t>
            </w:r>
          </w:p>
          <w:p w14:paraId="20485DED">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2.7.9同屏幕≥5通道波形显示（压力时间波形，流速时间波形，容量时间波形，CO</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或麻醉气体浓度波形等）。</w:t>
            </w:r>
          </w:p>
          <w:p w14:paraId="13480D8A">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2.7.10潮气量监测范围：0-3000ml。</w:t>
            </w:r>
          </w:p>
          <w:p w14:paraId="4E3C22B3">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2.7.11分钟通气量监测范围：0-100L/min。</w:t>
            </w:r>
          </w:p>
          <w:p w14:paraId="740C1660">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2.7.12可视化报警，技术报警提示中对于导致报警的原因给予文字和图形提示，具备自动报警限功能。</w:t>
            </w:r>
          </w:p>
          <w:p w14:paraId="0EC3498E">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2.7.13 图示化自检，系统自检失败时给予文字和图示提醒可能出错的原因。</w:t>
            </w:r>
          </w:p>
          <w:p w14:paraId="74E9769E">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2.7.14可存储至少10000条事件记录，≥50张屏幕截图。</w:t>
            </w:r>
          </w:p>
          <w:p w14:paraId="3B7887C8">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2.7.15可存储患者参数趋势图（表）信息至少48小时。</w:t>
            </w:r>
          </w:p>
          <w:p w14:paraId="19FDCB37">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 xml:space="preserve">2.7.16 </w:t>
            </w:r>
            <w:r>
              <w:rPr>
                <w:rFonts w:hint="eastAsia"/>
                <w:color w:val="auto"/>
                <w:highlight w:val="none"/>
              </w:rPr>
              <w:t>具备可升级选配能力，</w:t>
            </w:r>
            <w:r>
              <w:rPr>
                <w:rFonts w:hint="eastAsia" w:ascii="宋体" w:hAnsi="宋体" w:cs="宋体"/>
                <w:color w:val="auto"/>
                <w:szCs w:val="21"/>
                <w:highlight w:val="none"/>
              </w:rPr>
              <w:t>可选配麻醉趋势图功能，可显示未来 20分钟内吸入呼出麻药浓度和氧浓度的趋势。</w:t>
            </w:r>
          </w:p>
          <w:p w14:paraId="3869C25D">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2.8麻醉工作站功能</w:t>
            </w:r>
          </w:p>
          <w:p w14:paraId="4C524B44">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2.8.1支持连接监护仪功能，全面监测病人生命体征，可在麻醉机的显示器上显示监护仪参数。</w:t>
            </w:r>
          </w:p>
          <w:p w14:paraId="0C1E559C">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2.8.2可升级麻醉输注工作站，支持连接输注泵功能，可在麻醉机屏幕上调节输注泵设置参数，完成静吸复合麻醉控制与调节。</w:t>
            </w:r>
          </w:p>
          <w:p w14:paraId="02C6F65A">
            <w:pPr>
              <w:pStyle w:val="17"/>
              <w:rPr>
                <w:rFonts w:ascii="宋体" w:hAnsi="宋体" w:cs="宋体"/>
                <w:b/>
                <w:bCs/>
                <w:color w:val="auto"/>
                <w:szCs w:val="21"/>
                <w:highlight w:val="none"/>
              </w:rPr>
            </w:pPr>
            <w:r>
              <w:rPr>
                <w:rFonts w:hint="eastAsia" w:ascii="宋体" w:hAnsi="宋体" w:cs="宋体"/>
                <w:b/>
                <w:bCs/>
                <w:color w:val="auto"/>
                <w:szCs w:val="21"/>
                <w:highlight w:val="none"/>
              </w:rPr>
              <w:t>2.8.3 可升级麻醉计算功能，可基于药代药效模型计算吸入麻药和静脉麻药的综合药效，并支持在麻醉机上直观显示静吸复合麻醉综合药效</w:t>
            </w:r>
            <w:r>
              <w:rPr>
                <w:rFonts w:hint="eastAsia"/>
                <w:b/>
                <w:bCs/>
                <w:color w:val="auto"/>
                <w:highlight w:val="none"/>
              </w:rPr>
              <w:t>(投标人于投标文件中提供符合此项技术要求的相关有效证明材料复印件，可以是产品说明书或官方可查询的彩页或由国家认可的第三方检测机构出具的检测报告复印件</w:t>
            </w:r>
            <w:r>
              <w:rPr>
                <w:rFonts w:hint="eastAsia"/>
                <w:b/>
                <w:bCs/>
                <w:color w:val="auto"/>
                <w:highlight w:val="none"/>
                <w:lang w:eastAsia="zh-CN"/>
              </w:rPr>
              <w:t>等</w:t>
            </w:r>
            <w:r>
              <w:rPr>
                <w:rFonts w:hint="eastAsia"/>
                <w:b/>
                <w:bCs/>
                <w:color w:val="auto"/>
                <w:highlight w:val="none"/>
              </w:rPr>
              <w:t>，并加盖投标人电子签章)</w:t>
            </w:r>
            <w:r>
              <w:rPr>
                <w:rFonts w:hint="eastAsia" w:ascii="宋体" w:hAnsi="宋体" w:cs="宋体"/>
                <w:b/>
                <w:bCs/>
                <w:color w:val="auto"/>
                <w:szCs w:val="21"/>
                <w:highlight w:val="none"/>
              </w:rPr>
              <w:t>。</w:t>
            </w:r>
          </w:p>
          <w:p w14:paraId="25E58269">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2.8.4 可扩展连接支持 HL7 协议的设备。</w:t>
            </w:r>
          </w:p>
          <w:p w14:paraId="70C8B3F6">
            <w:pPr>
              <w:tabs>
                <w:tab w:val="left" w:pos="180"/>
                <w:tab w:val="left" w:pos="1620"/>
              </w:tabs>
              <w:adjustRightInd w:val="0"/>
              <w:snapToGrid w:val="0"/>
              <w:spacing w:line="360" w:lineRule="exact"/>
              <w:jc w:val="left"/>
              <w:rPr>
                <w:rFonts w:ascii="宋体" w:hAnsi="宋体" w:cs="宋体"/>
                <w:b/>
                <w:bCs/>
                <w:color w:val="auto"/>
                <w:szCs w:val="21"/>
                <w:highlight w:val="none"/>
              </w:rPr>
            </w:pPr>
            <w:r>
              <w:rPr>
                <w:rFonts w:hint="eastAsia" w:ascii="宋体" w:hAnsi="宋体" w:cs="宋体"/>
                <w:b/>
                <w:color w:val="auto"/>
                <w:highlight w:val="none"/>
              </w:rPr>
              <w:t>▲</w:t>
            </w:r>
            <w:r>
              <w:rPr>
                <w:rFonts w:hint="eastAsia" w:ascii="宋体" w:hAnsi="宋体" w:cs="宋体"/>
                <w:b/>
                <w:bCs/>
                <w:color w:val="auto"/>
                <w:szCs w:val="21"/>
                <w:highlight w:val="none"/>
              </w:rPr>
              <w:t>2.9配置需求</w:t>
            </w:r>
          </w:p>
          <w:p w14:paraId="5EACCF97">
            <w:pPr>
              <w:tabs>
                <w:tab w:val="left" w:pos="180"/>
                <w:tab w:val="left" w:pos="1620"/>
              </w:tabs>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2.9.1主机8台。</w:t>
            </w:r>
          </w:p>
          <w:p w14:paraId="26A4AB00">
            <w:pPr>
              <w:tabs>
                <w:tab w:val="left" w:pos="180"/>
                <w:tab w:val="left" w:pos="1620"/>
              </w:tabs>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2.9.2AG模块8套。</w:t>
            </w:r>
          </w:p>
          <w:p w14:paraId="1640DBFF">
            <w:pPr>
              <w:tabs>
                <w:tab w:val="left" w:pos="180"/>
                <w:tab w:val="left" w:pos="1620"/>
              </w:tabs>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2.9.3内置无线网卡（Wi-Fi 功能）8套。</w:t>
            </w:r>
          </w:p>
          <w:p w14:paraId="51447391">
            <w:pPr>
              <w:tabs>
                <w:tab w:val="left" w:pos="180"/>
                <w:tab w:val="left" w:pos="1620"/>
              </w:tabs>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2.9.4电池8块。</w:t>
            </w:r>
          </w:p>
          <w:p w14:paraId="4A1268C7">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b/>
                <w:bCs/>
                <w:color w:val="auto"/>
                <w:szCs w:val="21"/>
                <w:highlight w:val="none"/>
              </w:rPr>
              <w:t>2.9.5主动排污附件8套</w:t>
            </w:r>
            <w:r>
              <w:rPr>
                <w:rFonts w:hint="eastAsia" w:ascii="宋体" w:hAnsi="宋体" w:cs="宋体"/>
                <w:color w:val="auto"/>
                <w:szCs w:val="21"/>
                <w:highlight w:val="none"/>
              </w:rPr>
              <w:t>。</w:t>
            </w:r>
          </w:p>
        </w:tc>
      </w:tr>
      <w:tr w14:paraId="12979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214" w:type="pct"/>
            <w:tcBorders>
              <w:bottom w:val="single" w:color="auto" w:sz="4" w:space="0"/>
              <w:right w:val="single" w:color="auto" w:sz="4" w:space="0"/>
            </w:tcBorders>
            <w:vAlign w:val="center"/>
          </w:tcPr>
          <w:p w14:paraId="25FA122A">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708" w:type="pct"/>
            <w:tcBorders>
              <w:left w:val="single" w:color="auto" w:sz="4" w:space="0"/>
              <w:bottom w:val="single" w:color="auto" w:sz="4" w:space="0"/>
              <w:right w:val="single" w:color="auto" w:sz="4" w:space="0"/>
            </w:tcBorders>
            <w:vAlign w:val="center"/>
          </w:tcPr>
          <w:p w14:paraId="05979912">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麻醉机（2）</w:t>
            </w:r>
          </w:p>
        </w:tc>
        <w:tc>
          <w:tcPr>
            <w:tcW w:w="359" w:type="pct"/>
            <w:tcBorders>
              <w:left w:val="single" w:color="auto" w:sz="4" w:space="0"/>
            </w:tcBorders>
            <w:vAlign w:val="center"/>
          </w:tcPr>
          <w:p w14:paraId="23D809C7">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449" w:type="pct"/>
            <w:vAlign w:val="center"/>
          </w:tcPr>
          <w:p w14:paraId="31FBE0A6">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套</w:t>
            </w:r>
          </w:p>
        </w:tc>
        <w:tc>
          <w:tcPr>
            <w:tcW w:w="454" w:type="pct"/>
            <w:vMerge w:val="continue"/>
            <w:vAlign w:val="center"/>
          </w:tcPr>
          <w:p w14:paraId="26E6137A">
            <w:pPr>
              <w:tabs>
                <w:tab w:val="left" w:pos="180"/>
                <w:tab w:val="left" w:pos="1620"/>
              </w:tabs>
              <w:adjustRightInd w:val="0"/>
              <w:snapToGrid w:val="0"/>
              <w:spacing w:line="360" w:lineRule="exact"/>
              <w:jc w:val="center"/>
              <w:rPr>
                <w:rFonts w:ascii="宋体" w:hAnsi="宋体" w:cs="宋体"/>
                <w:color w:val="auto"/>
                <w:szCs w:val="21"/>
                <w:highlight w:val="none"/>
              </w:rPr>
            </w:pPr>
          </w:p>
        </w:tc>
        <w:tc>
          <w:tcPr>
            <w:tcW w:w="523" w:type="pct"/>
            <w:tcBorders>
              <w:right w:val="single" w:color="auto" w:sz="4" w:space="0"/>
            </w:tcBorders>
            <w:vAlign w:val="center"/>
          </w:tcPr>
          <w:p w14:paraId="6385FA9F">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37.8</w:t>
            </w:r>
          </w:p>
        </w:tc>
        <w:tc>
          <w:tcPr>
            <w:tcW w:w="2290" w:type="pct"/>
            <w:tcBorders>
              <w:left w:val="single" w:color="auto" w:sz="4" w:space="0"/>
            </w:tcBorders>
          </w:tcPr>
          <w:p w14:paraId="25EC94A8">
            <w:pPr>
              <w:spacing w:line="360" w:lineRule="exact"/>
              <w:jc w:val="left"/>
              <w:rPr>
                <w:rFonts w:ascii="宋体" w:hAnsi="宋体" w:cs="宋体"/>
                <w:color w:val="auto"/>
                <w:highlight w:val="none"/>
              </w:rPr>
            </w:pPr>
            <w:r>
              <w:rPr>
                <w:rFonts w:hint="eastAsia" w:ascii="宋体" w:hAnsi="宋体" w:cs="宋体"/>
                <w:color w:val="auto"/>
                <w:highlight w:val="none"/>
              </w:rPr>
              <w:t>1.设备需求：全能麻醉系统。</w:t>
            </w:r>
          </w:p>
          <w:p w14:paraId="000FC448">
            <w:pPr>
              <w:spacing w:line="360" w:lineRule="exact"/>
              <w:jc w:val="left"/>
              <w:rPr>
                <w:rFonts w:ascii="宋体" w:hAnsi="宋体" w:cs="宋体"/>
                <w:color w:val="auto"/>
                <w:highlight w:val="none"/>
              </w:rPr>
            </w:pPr>
            <w:r>
              <w:rPr>
                <w:rFonts w:hint="eastAsia" w:ascii="宋体" w:hAnsi="宋体" w:cs="宋体"/>
                <w:color w:val="auto"/>
                <w:highlight w:val="none"/>
              </w:rPr>
              <w:t>2.技术规格要求：</w:t>
            </w:r>
          </w:p>
          <w:p w14:paraId="77E9AA10">
            <w:pPr>
              <w:spacing w:line="360" w:lineRule="exact"/>
              <w:jc w:val="left"/>
              <w:rPr>
                <w:rFonts w:ascii="宋体" w:hAnsi="宋体" w:cs="宋体"/>
                <w:color w:val="auto"/>
                <w:highlight w:val="none"/>
              </w:rPr>
            </w:pPr>
            <w:r>
              <w:rPr>
                <w:rFonts w:hint="eastAsia" w:ascii="宋体" w:hAnsi="宋体" w:cs="宋体"/>
                <w:color w:val="auto"/>
                <w:highlight w:val="none"/>
              </w:rPr>
              <w:t>2.1工作条件及基本配件</w:t>
            </w:r>
          </w:p>
          <w:p w14:paraId="5A2E1296">
            <w:pPr>
              <w:spacing w:line="360" w:lineRule="exact"/>
              <w:jc w:val="left"/>
              <w:rPr>
                <w:rFonts w:ascii="宋体" w:hAnsi="宋体" w:cs="宋体"/>
                <w:color w:val="auto"/>
                <w:highlight w:val="none"/>
              </w:rPr>
            </w:pPr>
            <w:r>
              <w:rPr>
                <w:rFonts w:hint="eastAsia" w:ascii="宋体" w:hAnsi="宋体" w:cs="宋体"/>
                <w:color w:val="auto"/>
                <w:highlight w:val="none"/>
              </w:rPr>
              <w:t>2.1.1工作环境，温度：10℃-40℃，湿度：15%-95%。</w:t>
            </w:r>
          </w:p>
          <w:p w14:paraId="348BE5D3">
            <w:pPr>
              <w:spacing w:line="360" w:lineRule="exact"/>
              <w:jc w:val="left"/>
              <w:rPr>
                <w:rFonts w:ascii="宋体" w:hAnsi="宋体" w:cs="宋体"/>
                <w:color w:val="auto"/>
                <w:highlight w:val="none"/>
              </w:rPr>
            </w:pPr>
            <w:r>
              <w:rPr>
                <w:rFonts w:hint="eastAsia" w:ascii="宋体" w:hAnsi="宋体" w:cs="宋体"/>
                <w:color w:val="auto"/>
                <w:highlight w:val="none"/>
              </w:rPr>
              <w:t>2.1.2电源：220V-240V，50/60Hz，支持辅助电源接口。</w:t>
            </w:r>
          </w:p>
          <w:p w14:paraId="75FCA79D">
            <w:pPr>
              <w:spacing w:line="360" w:lineRule="exact"/>
              <w:jc w:val="left"/>
              <w:rPr>
                <w:rFonts w:ascii="宋体" w:hAnsi="宋体" w:cs="宋体"/>
                <w:color w:val="auto"/>
                <w:highlight w:val="none"/>
              </w:rPr>
            </w:pPr>
            <w:r>
              <w:rPr>
                <w:rFonts w:hint="eastAsia" w:ascii="宋体" w:hAnsi="宋体" w:cs="宋体"/>
                <w:color w:val="auto"/>
                <w:highlight w:val="none"/>
              </w:rPr>
              <w:t>2.1.3配锂电池(非铅酸)后备电池，支持 1 块电池使用时间≥85分钟，2块电池使用时间≥175分钟。</w:t>
            </w:r>
          </w:p>
          <w:p w14:paraId="78B73BAD">
            <w:pPr>
              <w:spacing w:line="360" w:lineRule="exact"/>
              <w:jc w:val="left"/>
              <w:rPr>
                <w:rFonts w:ascii="宋体" w:hAnsi="宋体" w:cs="宋体"/>
                <w:color w:val="auto"/>
                <w:highlight w:val="none"/>
              </w:rPr>
            </w:pPr>
            <w:r>
              <w:rPr>
                <w:rFonts w:hint="eastAsia" w:ascii="宋体" w:hAnsi="宋体" w:cs="宋体"/>
                <w:color w:val="auto"/>
                <w:highlight w:val="none"/>
              </w:rPr>
              <w:t>2.1.4配辅助电源接口≥4 个。</w:t>
            </w:r>
          </w:p>
          <w:p w14:paraId="28794F9D">
            <w:pPr>
              <w:spacing w:line="360" w:lineRule="exact"/>
              <w:jc w:val="left"/>
              <w:rPr>
                <w:rFonts w:ascii="宋体" w:hAnsi="宋体" w:cs="宋体"/>
                <w:color w:val="auto"/>
                <w:highlight w:val="none"/>
              </w:rPr>
            </w:pPr>
            <w:r>
              <w:rPr>
                <w:rFonts w:hint="eastAsia" w:ascii="宋体" w:hAnsi="宋体" w:cs="宋体"/>
                <w:color w:val="auto"/>
                <w:highlight w:val="none"/>
              </w:rPr>
              <w:t>2.1.5接口：1个LAN 接口支持网络和软件升级,1个RS-232接口，1个视频信号接口，2个USB接口；1个无线网卡的网络接口。</w:t>
            </w:r>
          </w:p>
          <w:p w14:paraId="50F005F0">
            <w:pPr>
              <w:spacing w:line="360" w:lineRule="exact"/>
              <w:jc w:val="left"/>
              <w:rPr>
                <w:rFonts w:ascii="宋体" w:hAnsi="宋体" w:cs="宋体"/>
                <w:color w:val="auto"/>
                <w:highlight w:val="none"/>
              </w:rPr>
            </w:pPr>
            <w:r>
              <w:rPr>
                <w:rFonts w:hint="eastAsia" w:ascii="宋体" w:hAnsi="宋体" w:cs="宋体"/>
                <w:color w:val="auto"/>
                <w:highlight w:val="none"/>
              </w:rPr>
              <w:t>2.1.6要求机架支持中央刹车系统，大脚轮配有防缆线缠绕功能，带工作台侧栏杆推车，</w:t>
            </w:r>
            <w:r>
              <w:rPr>
                <w:rFonts w:hint="eastAsia" w:ascii="宋体" w:hAnsi="宋体" w:cs="宋体"/>
                <w:color w:val="auto"/>
                <w:szCs w:val="21"/>
                <w:highlight w:val="none"/>
              </w:rPr>
              <w:t>可升级折叠辅助工作台。</w:t>
            </w:r>
          </w:p>
          <w:p w14:paraId="2320A21B">
            <w:pPr>
              <w:pStyle w:val="17"/>
              <w:rPr>
                <w:rFonts w:ascii="宋体" w:hAnsi="宋体" w:cs="宋体"/>
                <w:color w:val="auto"/>
                <w:highlight w:val="none"/>
              </w:rPr>
            </w:pPr>
            <w:r>
              <w:rPr>
                <w:rFonts w:hint="eastAsia" w:ascii="宋体" w:hAnsi="宋体" w:cs="宋体"/>
                <w:b/>
                <w:color w:val="auto"/>
                <w:highlight w:val="none"/>
              </w:rPr>
              <w:t>▲2.1.7 显示屏可 360 度旋转，俯仰角度可调节，保证站姿和坐姿都能操作。</w:t>
            </w:r>
          </w:p>
          <w:p w14:paraId="35F79816">
            <w:pPr>
              <w:spacing w:line="360" w:lineRule="exact"/>
              <w:jc w:val="left"/>
              <w:rPr>
                <w:rFonts w:ascii="宋体" w:hAnsi="宋体" w:cs="宋体"/>
                <w:color w:val="auto"/>
                <w:highlight w:val="none"/>
              </w:rPr>
            </w:pPr>
            <w:r>
              <w:rPr>
                <w:rFonts w:hint="eastAsia" w:ascii="宋体" w:hAnsi="宋体" w:cs="宋体"/>
                <w:color w:val="auto"/>
                <w:highlight w:val="none"/>
              </w:rPr>
              <w:t>2.1.8支持内窥镜手术模式：具备工作台照明光，且亮度可调，能够在黑暗环境中提供麻醉机工作台面照明。</w:t>
            </w:r>
          </w:p>
          <w:p w14:paraId="76925942">
            <w:pPr>
              <w:spacing w:line="360" w:lineRule="exact"/>
              <w:jc w:val="left"/>
              <w:rPr>
                <w:rFonts w:ascii="宋体" w:hAnsi="宋体" w:cs="宋体"/>
                <w:color w:val="auto"/>
                <w:highlight w:val="none"/>
              </w:rPr>
            </w:pPr>
            <w:r>
              <w:rPr>
                <w:rFonts w:hint="eastAsia" w:ascii="宋体" w:hAnsi="宋体" w:cs="宋体"/>
                <w:color w:val="auto"/>
                <w:highlight w:val="none"/>
              </w:rPr>
              <w:t>2.1.9非待机状态转动关机旋钮，主机具备 10秒延迟关机功能，以避免误操作保证病人安全。</w:t>
            </w:r>
          </w:p>
          <w:p w14:paraId="67772DF0">
            <w:pPr>
              <w:spacing w:line="360" w:lineRule="exact"/>
              <w:jc w:val="left"/>
              <w:rPr>
                <w:rFonts w:ascii="宋体" w:hAnsi="宋体" w:cs="宋体"/>
                <w:color w:val="auto"/>
                <w:highlight w:val="none"/>
              </w:rPr>
            </w:pPr>
            <w:r>
              <w:rPr>
                <w:rFonts w:hint="eastAsia" w:ascii="宋体" w:hAnsi="宋体" w:cs="宋体"/>
                <w:color w:val="auto"/>
                <w:highlight w:val="none"/>
              </w:rPr>
              <w:t>2.1.10用于对成人、儿童和新生儿的吸入麻醉及呼吸管理。</w:t>
            </w:r>
          </w:p>
          <w:p w14:paraId="622A3EDB">
            <w:pPr>
              <w:spacing w:line="360" w:lineRule="exact"/>
              <w:jc w:val="left"/>
              <w:rPr>
                <w:rFonts w:ascii="宋体" w:hAnsi="宋体" w:cs="宋体"/>
                <w:color w:val="auto"/>
                <w:highlight w:val="none"/>
              </w:rPr>
            </w:pPr>
            <w:r>
              <w:rPr>
                <w:rFonts w:hint="eastAsia" w:ascii="宋体" w:hAnsi="宋体" w:cs="宋体"/>
                <w:color w:val="auto"/>
                <w:highlight w:val="none"/>
              </w:rPr>
              <w:t>2.1.11备用流量控制系统具备隐藏门设计，避免平时状态被误触碰。</w:t>
            </w:r>
          </w:p>
          <w:p w14:paraId="09BA3C44">
            <w:pPr>
              <w:spacing w:line="360" w:lineRule="exact"/>
              <w:jc w:val="left"/>
              <w:rPr>
                <w:rFonts w:ascii="宋体" w:hAnsi="宋体" w:cs="宋体"/>
                <w:color w:val="auto"/>
                <w:highlight w:val="none"/>
              </w:rPr>
            </w:pPr>
            <w:r>
              <w:rPr>
                <w:rFonts w:hint="eastAsia" w:ascii="宋体" w:hAnsi="宋体" w:cs="宋体"/>
                <w:color w:val="auto"/>
                <w:highlight w:val="none"/>
              </w:rPr>
              <w:t>2.2气源</w:t>
            </w:r>
          </w:p>
          <w:p w14:paraId="48A6B4F9">
            <w:pPr>
              <w:spacing w:line="360" w:lineRule="exact"/>
              <w:jc w:val="left"/>
              <w:rPr>
                <w:rFonts w:ascii="宋体" w:hAnsi="宋体" w:cs="宋体"/>
                <w:color w:val="auto"/>
                <w:highlight w:val="none"/>
              </w:rPr>
            </w:pPr>
            <w:r>
              <w:rPr>
                <w:rFonts w:hint="eastAsia" w:ascii="宋体" w:hAnsi="宋体" w:cs="宋体"/>
                <w:color w:val="auto"/>
                <w:highlight w:val="none"/>
              </w:rPr>
              <w:t>2.2.1标配氧气、空气两气源。</w:t>
            </w:r>
          </w:p>
          <w:p w14:paraId="3E799E1B">
            <w:pPr>
              <w:spacing w:line="360" w:lineRule="exact"/>
              <w:jc w:val="left"/>
              <w:rPr>
                <w:rFonts w:ascii="宋体" w:hAnsi="宋体" w:cs="宋体"/>
                <w:color w:val="auto"/>
                <w:highlight w:val="none"/>
              </w:rPr>
            </w:pPr>
            <w:r>
              <w:rPr>
                <w:rFonts w:hint="eastAsia" w:ascii="宋体" w:hAnsi="宋体" w:cs="宋体"/>
                <w:color w:val="auto"/>
                <w:highlight w:val="none"/>
              </w:rPr>
              <w:t>2.2.2具备氧笑联动系统，保证接入氧气和笑气时氧浓度不低于25%。</w:t>
            </w:r>
          </w:p>
          <w:p w14:paraId="5AB34FFE">
            <w:pPr>
              <w:spacing w:line="360" w:lineRule="exact"/>
              <w:jc w:val="left"/>
              <w:rPr>
                <w:rFonts w:ascii="宋体" w:hAnsi="宋体" w:cs="宋体"/>
                <w:color w:val="auto"/>
                <w:highlight w:val="none"/>
              </w:rPr>
            </w:pPr>
            <w:r>
              <w:rPr>
                <w:rFonts w:hint="eastAsia" w:ascii="宋体" w:hAnsi="宋体" w:cs="宋体"/>
                <w:color w:val="auto"/>
                <w:highlight w:val="none"/>
              </w:rPr>
              <w:t>2.2.3快速充氧范围 25 - 75L/min。</w:t>
            </w:r>
          </w:p>
          <w:p w14:paraId="2C10A97A">
            <w:pPr>
              <w:spacing w:line="360" w:lineRule="exact"/>
              <w:jc w:val="left"/>
              <w:rPr>
                <w:rFonts w:ascii="宋体" w:hAnsi="宋体" w:cs="宋体"/>
                <w:color w:val="auto"/>
                <w:highlight w:val="none"/>
              </w:rPr>
            </w:pPr>
            <w:r>
              <w:rPr>
                <w:rFonts w:hint="eastAsia" w:ascii="宋体" w:hAnsi="宋体" w:cs="宋体"/>
                <w:color w:val="auto"/>
                <w:highlight w:val="none"/>
              </w:rPr>
              <w:t>2.3 流量计</w:t>
            </w:r>
          </w:p>
          <w:p w14:paraId="16427DDF">
            <w:pPr>
              <w:spacing w:line="360" w:lineRule="exact"/>
              <w:jc w:val="left"/>
              <w:rPr>
                <w:rFonts w:ascii="宋体" w:hAnsi="宋体" w:cs="宋体"/>
                <w:color w:val="auto"/>
                <w:highlight w:val="none"/>
              </w:rPr>
            </w:pPr>
            <w:r>
              <w:rPr>
                <w:rFonts w:hint="eastAsia" w:ascii="宋体" w:hAnsi="宋体" w:cs="宋体"/>
                <w:color w:val="auto"/>
                <w:highlight w:val="none"/>
              </w:rPr>
              <w:t>2.3.1电子显示流量计，空气范围： 0L/min～15L/min，氧气范围： 0L/min～15L/min，笑气范围： 0L/min～12L/min。</w:t>
            </w:r>
          </w:p>
          <w:p w14:paraId="0FE3919B">
            <w:pPr>
              <w:spacing w:line="360" w:lineRule="exact"/>
              <w:jc w:val="left"/>
              <w:rPr>
                <w:rFonts w:ascii="宋体" w:hAnsi="宋体" w:cs="宋体"/>
                <w:color w:val="auto"/>
                <w:highlight w:val="none"/>
              </w:rPr>
            </w:pPr>
            <w:r>
              <w:rPr>
                <w:rFonts w:hint="eastAsia" w:ascii="宋体" w:hAnsi="宋体" w:cs="宋体"/>
                <w:color w:val="auto"/>
                <w:highlight w:val="none"/>
              </w:rPr>
              <w:t>2.3.2电子流量计配备各支路流量数字显示和屏幕虚拟流量管显示，屏幕可显示新鲜气体设置总流量和氧浓度。</w:t>
            </w:r>
          </w:p>
          <w:p w14:paraId="2855A6A0">
            <w:pPr>
              <w:spacing w:line="360" w:lineRule="exact"/>
              <w:jc w:val="left"/>
              <w:rPr>
                <w:rFonts w:ascii="宋体" w:hAnsi="宋体" w:cs="宋体"/>
                <w:color w:val="auto"/>
                <w:highlight w:val="none"/>
              </w:rPr>
            </w:pPr>
            <w:r>
              <w:rPr>
                <w:rFonts w:hint="eastAsia" w:ascii="宋体" w:hAnsi="宋体" w:cs="宋体"/>
                <w:color w:val="auto"/>
                <w:highlight w:val="none"/>
              </w:rPr>
              <w:t>2.3.3具备可直观的适宜低流量麻醉的新鲜气体流量指示工具。</w:t>
            </w:r>
          </w:p>
          <w:p w14:paraId="78E60E41">
            <w:pPr>
              <w:spacing w:line="360" w:lineRule="exact"/>
              <w:jc w:val="left"/>
              <w:rPr>
                <w:rFonts w:ascii="宋体" w:hAnsi="宋体" w:cs="宋体"/>
                <w:color w:val="auto"/>
                <w:highlight w:val="none"/>
              </w:rPr>
            </w:pPr>
            <w:r>
              <w:rPr>
                <w:rFonts w:hint="eastAsia" w:ascii="宋体" w:hAnsi="宋体" w:cs="宋体"/>
                <w:color w:val="auto"/>
                <w:highlight w:val="none"/>
              </w:rPr>
              <w:t>2.3.4具备麻药消耗量统计功能。</w:t>
            </w:r>
          </w:p>
          <w:p w14:paraId="2CBDD46B">
            <w:pPr>
              <w:spacing w:line="360" w:lineRule="exact"/>
              <w:jc w:val="left"/>
              <w:rPr>
                <w:rFonts w:ascii="宋体" w:hAnsi="宋体" w:cs="宋体"/>
                <w:color w:val="auto"/>
                <w:highlight w:val="none"/>
              </w:rPr>
            </w:pPr>
            <w:r>
              <w:rPr>
                <w:rFonts w:hint="eastAsia" w:ascii="宋体" w:hAnsi="宋体" w:cs="宋体"/>
                <w:color w:val="auto"/>
                <w:highlight w:val="none"/>
              </w:rPr>
              <w:t>2.3.5具备辅助吸氧流量计。</w:t>
            </w:r>
          </w:p>
          <w:p w14:paraId="098AC9A4">
            <w:pPr>
              <w:pStyle w:val="17"/>
              <w:rPr>
                <w:rFonts w:ascii="宋体" w:hAnsi="宋体" w:cs="宋体"/>
                <w:color w:val="auto"/>
                <w:highlight w:val="none"/>
              </w:rPr>
            </w:pPr>
            <w:r>
              <w:rPr>
                <w:rFonts w:hint="eastAsia" w:ascii="宋体" w:hAnsi="宋体" w:cs="宋体"/>
                <w:color w:val="auto"/>
                <w:highlight w:val="none"/>
              </w:rPr>
              <w:t>2.3.6配备高流量给氧功能或提供高流量给氧单机，流量范围 2-80 L/min，氧浓度设置范围 21~100%</w:t>
            </w:r>
            <w:r>
              <w:rPr>
                <w:rFonts w:hint="eastAsia"/>
                <w:b/>
                <w:bCs/>
                <w:color w:val="auto"/>
                <w:highlight w:val="none"/>
              </w:rPr>
              <w:t>(投标人于投标文件中提供符合此项技术要求的相关有效证明材料复印件，可以是产品说明书或官方可查询的彩页或由国家认可的第三方检测机构出具的检测报告复印件</w:t>
            </w:r>
            <w:r>
              <w:rPr>
                <w:rFonts w:hint="eastAsia"/>
                <w:b/>
                <w:bCs/>
                <w:color w:val="auto"/>
                <w:highlight w:val="none"/>
                <w:lang w:eastAsia="zh-CN"/>
              </w:rPr>
              <w:t>等</w:t>
            </w:r>
            <w:r>
              <w:rPr>
                <w:rFonts w:hint="eastAsia"/>
                <w:b/>
                <w:bCs/>
                <w:color w:val="auto"/>
                <w:highlight w:val="none"/>
              </w:rPr>
              <w:t>，并加盖投标人电子签章)</w:t>
            </w:r>
            <w:r>
              <w:rPr>
                <w:rFonts w:hint="eastAsia" w:ascii="宋体" w:hAnsi="宋体" w:cs="宋体"/>
                <w:b/>
                <w:bCs/>
                <w:color w:val="auto"/>
                <w:highlight w:val="none"/>
              </w:rPr>
              <w:t>。</w:t>
            </w:r>
          </w:p>
          <w:p w14:paraId="2C6657F8">
            <w:pPr>
              <w:spacing w:line="360" w:lineRule="exact"/>
              <w:jc w:val="left"/>
              <w:rPr>
                <w:rFonts w:ascii="宋体" w:hAnsi="宋体" w:cs="宋体"/>
                <w:color w:val="auto"/>
                <w:highlight w:val="none"/>
              </w:rPr>
            </w:pPr>
            <w:r>
              <w:rPr>
                <w:rFonts w:hint="eastAsia" w:ascii="宋体" w:hAnsi="宋体" w:cs="宋体"/>
                <w:color w:val="auto"/>
                <w:highlight w:val="none"/>
              </w:rPr>
              <w:t>2.4挥发罐</w:t>
            </w:r>
          </w:p>
          <w:p w14:paraId="6D499231">
            <w:pPr>
              <w:spacing w:line="360" w:lineRule="exact"/>
              <w:jc w:val="left"/>
              <w:rPr>
                <w:rFonts w:ascii="宋体" w:hAnsi="宋体" w:cs="宋体"/>
                <w:color w:val="auto"/>
                <w:highlight w:val="none"/>
              </w:rPr>
            </w:pPr>
            <w:r>
              <w:rPr>
                <w:rFonts w:hint="eastAsia" w:ascii="宋体" w:hAnsi="宋体" w:cs="宋体"/>
                <w:color w:val="auto"/>
                <w:highlight w:val="none"/>
              </w:rPr>
              <w:t>2.4.1标配双麻醉罐位。</w:t>
            </w:r>
          </w:p>
          <w:p w14:paraId="3A7A5E7B">
            <w:pPr>
              <w:pStyle w:val="17"/>
              <w:rPr>
                <w:rFonts w:ascii="宋体" w:hAnsi="宋体" w:cs="宋体"/>
                <w:color w:val="auto"/>
                <w:szCs w:val="21"/>
                <w:highlight w:val="none"/>
              </w:rPr>
            </w:pPr>
            <w:r>
              <w:rPr>
                <w:rFonts w:hint="eastAsia" w:ascii="宋体" w:hAnsi="宋体" w:cs="宋体"/>
                <w:b/>
                <w:bCs/>
                <w:color w:val="auto"/>
                <w:szCs w:val="21"/>
                <w:highlight w:val="none"/>
              </w:rPr>
              <w:t>2.4.2标配一个七氟醚挥发罐，挥发罐和主机为</w:t>
            </w:r>
            <w:r>
              <w:rPr>
                <w:rFonts w:hint="eastAsia"/>
                <w:b/>
                <w:bCs/>
                <w:color w:val="auto"/>
                <w:highlight w:val="none"/>
              </w:rPr>
              <w:t>同一生产厂家生产的产品</w:t>
            </w:r>
            <w:r>
              <w:rPr>
                <w:rFonts w:hint="eastAsia" w:ascii="宋体" w:hAnsi="宋体" w:cs="宋体"/>
                <w:b/>
                <w:bCs/>
                <w:color w:val="auto"/>
                <w:szCs w:val="21"/>
                <w:highlight w:val="none"/>
              </w:rPr>
              <w:t>，非其他品牌代工贴牌（非 OEM）产品，具备压力、流速和温度补偿</w:t>
            </w:r>
            <w:r>
              <w:rPr>
                <w:rFonts w:hint="eastAsia"/>
                <w:b/>
                <w:bCs/>
                <w:color w:val="auto"/>
                <w:highlight w:val="none"/>
              </w:rPr>
              <w:t>(投标人于投标文件中提供符合此项技术要求的相关有效证明材料复印件，可以是产品说明书或官方可查询的彩页或由国家认可的第三方检测机构出具的检测报告复印件</w:t>
            </w:r>
            <w:r>
              <w:rPr>
                <w:rFonts w:hint="eastAsia"/>
                <w:b/>
                <w:bCs/>
                <w:color w:val="auto"/>
                <w:highlight w:val="none"/>
                <w:lang w:eastAsia="zh-CN"/>
              </w:rPr>
              <w:t>等</w:t>
            </w:r>
            <w:r>
              <w:rPr>
                <w:rFonts w:hint="eastAsia"/>
                <w:b/>
                <w:bCs/>
                <w:color w:val="auto"/>
                <w:highlight w:val="none"/>
              </w:rPr>
              <w:t>，并加盖投标人电子签章)</w:t>
            </w:r>
            <w:r>
              <w:rPr>
                <w:rFonts w:hint="eastAsia" w:ascii="宋体" w:hAnsi="宋体" w:cs="宋体"/>
                <w:b/>
                <w:bCs/>
                <w:color w:val="auto"/>
                <w:szCs w:val="21"/>
                <w:highlight w:val="none"/>
              </w:rPr>
              <w:t>。</w:t>
            </w:r>
          </w:p>
          <w:p w14:paraId="0387781E">
            <w:pPr>
              <w:pStyle w:val="17"/>
              <w:rPr>
                <w:rFonts w:ascii="宋体" w:hAnsi="宋体" w:cs="宋体"/>
                <w:b/>
                <w:color w:val="auto"/>
                <w:szCs w:val="21"/>
                <w:highlight w:val="none"/>
              </w:rPr>
            </w:pPr>
            <w:r>
              <w:rPr>
                <w:rFonts w:hint="eastAsia" w:ascii="宋体" w:hAnsi="宋体" w:cs="宋体"/>
                <w:b/>
                <w:color w:val="auto"/>
                <w:szCs w:val="21"/>
                <w:highlight w:val="none"/>
              </w:rPr>
              <w:t>2.4.3 可支持升级选配同品牌地氟醚挥发罐，挥发罐和主机为</w:t>
            </w:r>
            <w:r>
              <w:rPr>
                <w:rFonts w:hint="eastAsia"/>
                <w:b/>
                <w:bCs/>
                <w:color w:val="auto"/>
                <w:highlight w:val="none"/>
              </w:rPr>
              <w:t>同一生产厂家生产的产品(投标人于投标文件中提供符合此项技术要求的相关有效证明材料复印件，可以是产品说明书或官方可查询的彩页或由国家认可的第三方检测机构出具的检测报告复印件</w:t>
            </w:r>
            <w:r>
              <w:rPr>
                <w:rFonts w:hint="eastAsia"/>
                <w:b/>
                <w:bCs/>
                <w:color w:val="auto"/>
                <w:highlight w:val="none"/>
                <w:lang w:eastAsia="zh-CN"/>
              </w:rPr>
              <w:t>等</w:t>
            </w:r>
            <w:r>
              <w:rPr>
                <w:rFonts w:hint="eastAsia"/>
                <w:b/>
                <w:bCs/>
                <w:color w:val="auto"/>
                <w:highlight w:val="none"/>
              </w:rPr>
              <w:t>，并加盖投标人电子签章)</w:t>
            </w:r>
            <w:r>
              <w:rPr>
                <w:rFonts w:hint="eastAsia" w:ascii="宋体" w:hAnsi="宋体" w:cs="宋体"/>
                <w:b/>
                <w:bCs/>
                <w:color w:val="auto"/>
                <w:szCs w:val="21"/>
                <w:highlight w:val="none"/>
              </w:rPr>
              <w:t>。</w:t>
            </w:r>
          </w:p>
          <w:p w14:paraId="7F17CBCB">
            <w:pPr>
              <w:spacing w:line="360" w:lineRule="exact"/>
              <w:jc w:val="left"/>
              <w:rPr>
                <w:rFonts w:ascii="宋体" w:hAnsi="宋体" w:cs="宋体"/>
                <w:color w:val="auto"/>
                <w:highlight w:val="none"/>
              </w:rPr>
            </w:pPr>
            <w:r>
              <w:rPr>
                <w:rFonts w:hint="eastAsia" w:ascii="宋体" w:hAnsi="宋体" w:cs="宋体"/>
                <w:color w:val="auto"/>
                <w:highlight w:val="none"/>
              </w:rPr>
              <w:t>2.5呼吸回路</w:t>
            </w:r>
          </w:p>
          <w:p w14:paraId="4EF23417">
            <w:pPr>
              <w:spacing w:line="360" w:lineRule="exact"/>
              <w:jc w:val="left"/>
              <w:rPr>
                <w:rFonts w:ascii="宋体" w:hAnsi="宋体" w:cs="宋体"/>
                <w:color w:val="auto"/>
                <w:highlight w:val="none"/>
              </w:rPr>
            </w:pPr>
            <w:r>
              <w:rPr>
                <w:rFonts w:hint="eastAsia" w:ascii="宋体" w:hAnsi="宋体" w:cs="宋体"/>
                <w:color w:val="auto"/>
                <w:highlight w:val="none"/>
              </w:rPr>
              <w:t>2.5.1一体化集成回路，具有可观测的吸气呼气单向阀，机械气道压力表以及手动/机控切换开关。</w:t>
            </w:r>
          </w:p>
          <w:p w14:paraId="3CC52E3F">
            <w:pPr>
              <w:spacing w:line="360" w:lineRule="exact"/>
              <w:jc w:val="left"/>
              <w:rPr>
                <w:rFonts w:ascii="宋体" w:hAnsi="宋体" w:cs="宋体"/>
                <w:color w:val="auto"/>
                <w:highlight w:val="none"/>
              </w:rPr>
            </w:pPr>
            <w:r>
              <w:rPr>
                <w:rFonts w:hint="eastAsia" w:ascii="宋体" w:hAnsi="宋体" w:cs="宋体"/>
                <w:color w:val="auto"/>
                <w:highlight w:val="none"/>
              </w:rPr>
              <w:t>2.5.2回路部件可以耐受134℃高温高压消毒以避免院内交叉感染(包括流量传感器)。</w:t>
            </w:r>
          </w:p>
          <w:p w14:paraId="738C0332">
            <w:pPr>
              <w:spacing w:line="360" w:lineRule="exact"/>
              <w:jc w:val="left"/>
              <w:rPr>
                <w:rFonts w:ascii="宋体" w:hAnsi="宋体" w:cs="宋体"/>
                <w:color w:val="auto"/>
                <w:highlight w:val="none"/>
              </w:rPr>
            </w:pPr>
            <w:r>
              <w:rPr>
                <w:rFonts w:hint="eastAsia" w:ascii="宋体" w:hAnsi="宋体" w:cs="宋体"/>
                <w:b/>
                <w:color w:val="auto"/>
                <w:highlight w:val="none"/>
              </w:rPr>
              <w:t>▲2.5.3二氧化碳吸收罐，容积≤1500ml，满足临床低微流量麻醉需要。</w:t>
            </w:r>
          </w:p>
          <w:p w14:paraId="5D638CF9">
            <w:pPr>
              <w:spacing w:line="360" w:lineRule="exact"/>
              <w:jc w:val="left"/>
              <w:rPr>
                <w:rFonts w:ascii="宋体" w:hAnsi="宋体" w:cs="宋体"/>
                <w:color w:val="auto"/>
                <w:highlight w:val="none"/>
              </w:rPr>
            </w:pPr>
            <w:r>
              <w:rPr>
                <w:rFonts w:hint="eastAsia" w:ascii="宋体" w:hAnsi="宋体" w:cs="宋体"/>
                <w:color w:val="auto"/>
                <w:highlight w:val="none"/>
              </w:rPr>
              <w:t>2.5.4内置双流量传感器，分别在吸入端，呼出端，流量传感器采购人无需工具可自行校准。</w:t>
            </w:r>
          </w:p>
          <w:p w14:paraId="4F241761">
            <w:pPr>
              <w:spacing w:line="360" w:lineRule="exact"/>
              <w:jc w:val="left"/>
              <w:rPr>
                <w:rFonts w:ascii="宋体" w:hAnsi="宋体" w:cs="宋体"/>
                <w:color w:val="auto"/>
                <w:highlight w:val="none"/>
              </w:rPr>
            </w:pPr>
            <w:r>
              <w:rPr>
                <w:rFonts w:hint="eastAsia" w:ascii="宋体" w:hAnsi="宋体" w:cs="宋体"/>
                <w:color w:val="auto"/>
                <w:highlight w:val="none"/>
              </w:rPr>
              <w:t>2.5.5具有回路整体加温功能，保证回路不受积水影响，保证流量传感器精准及向病人提供温暖气体，避免对呼吸道的刺激。</w:t>
            </w:r>
          </w:p>
          <w:p w14:paraId="36A1C5CC">
            <w:pPr>
              <w:spacing w:line="360" w:lineRule="exact"/>
              <w:jc w:val="left"/>
              <w:rPr>
                <w:rFonts w:ascii="宋体" w:hAnsi="宋体" w:cs="宋体"/>
                <w:color w:val="auto"/>
                <w:highlight w:val="none"/>
              </w:rPr>
            </w:pPr>
            <w:r>
              <w:rPr>
                <w:rFonts w:hint="eastAsia" w:ascii="宋体" w:hAnsi="宋体" w:cs="宋体"/>
                <w:color w:val="auto"/>
                <w:highlight w:val="none"/>
              </w:rPr>
              <w:t>2.5.6标配 CO</w:t>
            </w:r>
            <w:r>
              <w:rPr>
                <w:rFonts w:hint="eastAsia" w:ascii="宋体" w:hAnsi="宋体" w:cs="宋体"/>
                <w:color w:val="auto"/>
                <w:highlight w:val="none"/>
                <w:vertAlign w:val="subscript"/>
              </w:rPr>
              <w:t xml:space="preserve">2 </w:t>
            </w:r>
            <w:r>
              <w:rPr>
                <w:rFonts w:hint="eastAsia" w:ascii="宋体" w:hAnsi="宋体" w:cs="宋体"/>
                <w:color w:val="auto"/>
                <w:highlight w:val="none"/>
              </w:rPr>
              <w:t>旁路功能，在机械通气过程中，更换钠石灰罐无需关停机械通气，可直接更换。</w:t>
            </w:r>
          </w:p>
          <w:p w14:paraId="772DE99D">
            <w:pPr>
              <w:spacing w:line="360" w:lineRule="exact"/>
              <w:jc w:val="left"/>
              <w:rPr>
                <w:rFonts w:ascii="宋体" w:hAnsi="宋体" w:cs="宋体"/>
                <w:color w:val="auto"/>
                <w:highlight w:val="none"/>
              </w:rPr>
            </w:pPr>
            <w:r>
              <w:rPr>
                <w:rFonts w:hint="eastAsia" w:ascii="宋体" w:hAnsi="宋体" w:cs="宋体"/>
                <w:color w:val="auto"/>
                <w:highlight w:val="none"/>
              </w:rPr>
              <w:t>2.5.7具备智能回路识别报警系统，当钠石灰罐未安装到位时，机器能智能识别，并报警提示。</w:t>
            </w:r>
          </w:p>
          <w:p w14:paraId="37682951">
            <w:pPr>
              <w:pStyle w:val="17"/>
              <w:rPr>
                <w:rFonts w:ascii="宋体" w:hAnsi="宋体" w:cs="宋体"/>
                <w:b/>
                <w:color w:val="auto"/>
                <w:highlight w:val="none"/>
              </w:rPr>
            </w:pPr>
            <w:r>
              <w:rPr>
                <w:rFonts w:hint="eastAsia" w:ascii="宋体" w:hAnsi="宋体" w:cs="宋体"/>
                <w:b/>
                <w:color w:val="auto"/>
                <w:highlight w:val="none"/>
              </w:rPr>
              <w:t>▲2.5.8 呼吸系统泄漏量≤65mL/min（在 3.0kPa 压力条件下）。</w:t>
            </w:r>
          </w:p>
          <w:p w14:paraId="3205D6E0">
            <w:pPr>
              <w:spacing w:line="360" w:lineRule="exact"/>
              <w:jc w:val="left"/>
              <w:rPr>
                <w:rFonts w:ascii="宋体" w:hAnsi="宋体" w:cs="宋体"/>
                <w:color w:val="auto"/>
                <w:highlight w:val="none"/>
              </w:rPr>
            </w:pPr>
            <w:r>
              <w:rPr>
                <w:rFonts w:hint="eastAsia" w:ascii="宋体" w:hAnsi="宋体" w:cs="宋体"/>
                <w:color w:val="auto"/>
                <w:highlight w:val="none"/>
              </w:rPr>
              <w:t>2.6 呼吸机</w:t>
            </w:r>
          </w:p>
          <w:p w14:paraId="25113009">
            <w:pPr>
              <w:spacing w:line="360" w:lineRule="exact"/>
              <w:jc w:val="left"/>
              <w:rPr>
                <w:rFonts w:ascii="宋体" w:hAnsi="宋体" w:cs="宋体"/>
                <w:color w:val="auto"/>
                <w:highlight w:val="none"/>
              </w:rPr>
            </w:pPr>
            <w:r>
              <w:rPr>
                <w:rFonts w:hint="eastAsia" w:ascii="宋体" w:hAnsi="宋体" w:cs="宋体"/>
                <w:color w:val="auto"/>
                <w:highlight w:val="none"/>
              </w:rPr>
              <w:t>2.6.1气动电控呼吸机，全中文操作和显示。</w:t>
            </w:r>
          </w:p>
          <w:p w14:paraId="1F6C88E3">
            <w:pPr>
              <w:spacing w:line="360" w:lineRule="exact"/>
              <w:jc w:val="left"/>
              <w:rPr>
                <w:rFonts w:ascii="宋体" w:hAnsi="宋体" w:cs="宋体"/>
                <w:color w:val="auto"/>
                <w:highlight w:val="none"/>
              </w:rPr>
            </w:pPr>
            <w:r>
              <w:rPr>
                <w:rFonts w:hint="eastAsia" w:ascii="宋体" w:hAnsi="宋体" w:cs="宋体"/>
                <w:color w:val="auto"/>
                <w:highlight w:val="none"/>
              </w:rPr>
              <w:t>2.6.2提供辅助/控制通气，标配通气模式：VCV、PCV、压力控制容量保证通气（PCV-VG）和 SIMV（SIMV-VC、SIMV-PC）、PS 模式，支持升级SIMV-VG、CPAP/PS、APRV 模式。</w:t>
            </w:r>
          </w:p>
          <w:p w14:paraId="21CC281C">
            <w:pPr>
              <w:spacing w:line="360" w:lineRule="exact"/>
              <w:jc w:val="left"/>
              <w:rPr>
                <w:rFonts w:ascii="宋体" w:hAnsi="宋体" w:cs="宋体"/>
                <w:color w:val="auto"/>
                <w:highlight w:val="none"/>
              </w:rPr>
            </w:pPr>
            <w:r>
              <w:rPr>
                <w:rFonts w:hint="eastAsia" w:ascii="宋体" w:hAnsi="宋体" w:cs="宋体"/>
                <w:color w:val="auto"/>
                <w:highlight w:val="none"/>
              </w:rPr>
              <w:t>2.6.3可根据病人理想体重自动关联潮气量，调节潮气量时可显示潮气量/理想体重。</w:t>
            </w:r>
          </w:p>
          <w:p w14:paraId="302B8421">
            <w:pPr>
              <w:spacing w:line="360" w:lineRule="exact"/>
              <w:jc w:val="left"/>
              <w:rPr>
                <w:rFonts w:ascii="宋体" w:hAnsi="宋体" w:cs="宋体"/>
                <w:color w:val="auto"/>
                <w:highlight w:val="none"/>
              </w:rPr>
            </w:pPr>
            <w:r>
              <w:rPr>
                <w:rFonts w:hint="eastAsia" w:ascii="宋体" w:hAnsi="宋体" w:cs="宋体"/>
                <w:color w:val="auto"/>
                <w:highlight w:val="none"/>
              </w:rPr>
              <w:t>2.6.4容量控制（VCV）潮气量设置范围：10ml-1500ml。</w:t>
            </w:r>
          </w:p>
          <w:p w14:paraId="1078A42F">
            <w:pPr>
              <w:spacing w:line="360" w:lineRule="exact"/>
              <w:jc w:val="left"/>
              <w:rPr>
                <w:rFonts w:ascii="宋体" w:hAnsi="宋体" w:cs="宋体"/>
                <w:color w:val="auto"/>
                <w:highlight w:val="none"/>
              </w:rPr>
            </w:pPr>
            <w:r>
              <w:rPr>
                <w:rFonts w:hint="eastAsia" w:ascii="宋体" w:hAnsi="宋体" w:cs="宋体"/>
                <w:color w:val="auto"/>
                <w:highlight w:val="none"/>
              </w:rPr>
              <w:t>2.6.5吸气压力设置范围：5-70cmH</w:t>
            </w:r>
            <w:r>
              <w:rPr>
                <w:rFonts w:hint="eastAsia" w:ascii="宋体" w:hAnsi="宋体" w:cs="宋体"/>
                <w:color w:val="auto"/>
                <w:highlight w:val="none"/>
                <w:vertAlign w:val="subscript"/>
              </w:rPr>
              <w:t>2</w:t>
            </w:r>
            <w:r>
              <w:rPr>
                <w:rFonts w:hint="eastAsia" w:ascii="宋体" w:hAnsi="宋体" w:cs="宋体"/>
                <w:color w:val="auto"/>
                <w:highlight w:val="none"/>
              </w:rPr>
              <w:t>O。</w:t>
            </w:r>
          </w:p>
          <w:p w14:paraId="7F3F4968">
            <w:pPr>
              <w:spacing w:line="360" w:lineRule="exact"/>
              <w:jc w:val="left"/>
              <w:rPr>
                <w:rFonts w:ascii="宋体" w:hAnsi="宋体" w:cs="宋体"/>
                <w:color w:val="auto"/>
                <w:highlight w:val="none"/>
              </w:rPr>
            </w:pPr>
            <w:r>
              <w:rPr>
                <w:rFonts w:hint="eastAsia" w:ascii="宋体" w:hAnsi="宋体" w:cs="宋体"/>
                <w:color w:val="auto"/>
                <w:highlight w:val="none"/>
              </w:rPr>
              <w:t>2.6.6支持压力：0，3cmH2O～60cmH</w:t>
            </w:r>
            <w:r>
              <w:rPr>
                <w:rFonts w:hint="eastAsia" w:ascii="宋体" w:hAnsi="宋体" w:cs="宋体"/>
                <w:color w:val="auto"/>
                <w:highlight w:val="none"/>
                <w:vertAlign w:val="subscript"/>
              </w:rPr>
              <w:t>2</w:t>
            </w:r>
            <w:r>
              <w:rPr>
                <w:rFonts w:hint="eastAsia" w:ascii="宋体" w:hAnsi="宋体" w:cs="宋体"/>
                <w:color w:val="auto"/>
                <w:highlight w:val="none"/>
              </w:rPr>
              <w:t>O。</w:t>
            </w:r>
          </w:p>
          <w:p w14:paraId="39F00CAC">
            <w:pPr>
              <w:spacing w:line="360" w:lineRule="exact"/>
              <w:jc w:val="left"/>
              <w:rPr>
                <w:rFonts w:ascii="宋体" w:hAnsi="宋体" w:cs="宋体"/>
                <w:color w:val="auto"/>
                <w:highlight w:val="none"/>
              </w:rPr>
            </w:pPr>
            <w:r>
              <w:rPr>
                <w:rFonts w:hint="eastAsia" w:ascii="宋体" w:hAnsi="宋体" w:cs="宋体"/>
                <w:color w:val="auto"/>
                <w:highlight w:val="none"/>
              </w:rPr>
              <w:t>2.6.7呼吸频率：2-100次/分钟。</w:t>
            </w:r>
          </w:p>
          <w:p w14:paraId="4922FFEB">
            <w:pPr>
              <w:spacing w:line="360" w:lineRule="exact"/>
              <w:jc w:val="left"/>
              <w:rPr>
                <w:rFonts w:ascii="宋体" w:hAnsi="宋体" w:cs="宋体"/>
                <w:color w:val="auto"/>
                <w:highlight w:val="none"/>
              </w:rPr>
            </w:pPr>
            <w:r>
              <w:rPr>
                <w:rFonts w:hint="eastAsia" w:ascii="宋体" w:hAnsi="宋体" w:cs="宋体"/>
                <w:color w:val="auto"/>
                <w:highlight w:val="none"/>
              </w:rPr>
              <w:t>2.6.8 吸呼比：4:1 到 1:10。</w:t>
            </w:r>
          </w:p>
          <w:p w14:paraId="5EC0C79D">
            <w:pPr>
              <w:spacing w:line="360" w:lineRule="exact"/>
              <w:jc w:val="left"/>
              <w:rPr>
                <w:rFonts w:ascii="宋体" w:hAnsi="宋体" w:cs="宋体"/>
                <w:color w:val="auto"/>
                <w:highlight w:val="none"/>
              </w:rPr>
            </w:pPr>
            <w:r>
              <w:rPr>
                <w:rFonts w:hint="eastAsia" w:ascii="宋体" w:hAnsi="宋体" w:cs="宋体"/>
                <w:color w:val="auto"/>
                <w:highlight w:val="none"/>
              </w:rPr>
              <w:t>2.6.9压力限制范围：10-100 cmH</w:t>
            </w:r>
            <w:r>
              <w:rPr>
                <w:rFonts w:hint="eastAsia" w:ascii="宋体" w:hAnsi="宋体" w:cs="宋体"/>
                <w:color w:val="auto"/>
                <w:highlight w:val="none"/>
                <w:vertAlign w:val="subscript"/>
              </w:rPr>
              <w:t>2</w:t>
            </w:r>
            <w:r>
              <w:rPr>
                <w:rFonts w:hint="eastAsia" w:ascii="宋体" w:hAnsi="宋体" w:cs="宋体"/>
                <w:color w:val="auto"/>
                <w:highlight w:val="none"/>
              </w:rPr>
              <w:t>O。</w:t>
            </w:r>
          </w:p>
          <w:p w14:paraId="24B6CBCC">
            <w:pPr>
              <w:spacing w:line="360" w:lineRule="exact"/>
              <w:jc w:val="left"/>
              <w:rPr>
                <w:rFonts w:ascii="宋体" w:hAnsi="宋体" w:cs="宋体"/>
                <w:color w:val="auto"/>
                <w:highlight w:val="none"/>
              </w:rPr>
            </w:pPr>
            <w:r>
              <w:rPr>
                <w:rFonts w:hint="eastAsia" w:ascii="宋体" w:hAnsi="宋体" w:cs="宋体"/>
                <w:color w:val="auto"/>
                <w:highlight w:val="none"/>
              </w:rPr>
              <w:t>2.6.10电子PEEP，显示屏设置，范围：OFF，2-45 cmH</w:t>
            </w:r>
            <w:r>
              <w:rPr>
                <w:rFonts w:hint="eastAsia" w:ascii="宋体" w:hAnsi="宋体" w:cs="宋体"/>
                <w:color w:val="auto"/>
                <w:highlight w:val="none"/>
                <w:vertAlign w:val="subscript"/>
              </w:rPr>
              <w:t>2</w:t>
            </w:r>
            <w:r>
              <w:rPr>
                <w:rFonts w:hint="eastAsia" w:ascii="宋体" w:hAnsi="宋体" w:cs="宋体"/>
                <w:color w:val="auto"/>
                <w:highlight w:val="none"/>
              </w:rPr>
              <w:t>O。</w:t>
            </w:r>
          </w:p>
          <w:p w14:paraId="13B50AF5">
            <w:pPr>
              <w:spacing w:line="360" w:lineRule="exact"/>
              <w:jc w:val="left"/>
              <w:rPr>
                <w:rFonts w:ascii="宋体" w:hAnsi="宋体" w:cs="宋体"/>
                <w:color w:val="auto"/>
                <w:highlight w:val="none"/>
              </w:rPr>
            </w:pPr>
            <w:r>
              <w:rPr>
                <w:rFonts w:hint="eastAsia" w:ascii="宋体" w:hAnsi="宋体" w:cs="宋体"/>
                <w:color w:val="auto"/>
                <w:highlight w:val="none"/>
              </w:rPr>
              <w:t>2.6.11吸气暂停：OFF，5%-60%。</w:t>
            </w:r>
          </w:p>
          <w:p w14:paraId="2372152C">
            <w:pPr>
              <w:spacing w:line="360" w:lineRule="exact"/>
              <w:jc w:val="left"/>
              <w:rPr>
                <w:rFonts w:ascii="宋体" w:hAnsi="宋体" w:cs="宋体"/>
                <w:color w:val="auto"/>
                <w:highlight w:val="none"/>
              </w:rPr>
            </w:pPr>
            <w:r>
              <w:rPr>
                <w:rFonts w:hint="eastAsia" w:ascii="宋体" w:hAnsi="宋体" w:cs="宋体"/>
                <w:color w:val="auto"/>
                <w:highlight w:val="none"/>
              </w:rPr>
              <w:t>2.6.12 呼吸机吸气阀峰值流速：165L/min。</w:t>
            </w:r>
          </w:p>
          <w:p w14:paraId="6AA30D5A">
            <w:pPr>
              <w:pStyle w:val="17"/>
              <w:rPr>
                <w:rFonts w:ascii="宋体" w:hAnsi="宋体" w:cs="宋体"/>
                <w:b/>
                <w:color w:val="auto"/>
                <w:highlight w:val="none"/>
              </w:rPr>
            </w:pPr>
            <w:r>
              <w:rPr>
                <w:rFonts w:hint="eastAsia" w:ascii="宋体" w:hAnsi="宋体" w:cs="宋体"/>
                <w:b/>
                <w:color w:val="auto"/>
                <w:highlight w:val="none"/>
              </w:rPr>
              <w:t>2.6.13 具备吸入端，呼出端双流量传感器，实现动态潮气量实时自动补偿功能，补偿新鲜气体变化、气体压缩、回路顺应性变化以及小的回路泄漏造成的吸入潮气量和设置潮气量的误差。具备内置第三基准流量传感器，采购人可自行校准吸入和呼出端流量传感器</w:t>
            </w:r>
            <w:r>
              <w:rPr>
                <w:rFonts w:hint="eastAsia"/>
                <w:b/>
                <w:bCs/>
                <w:color w:val="auto"/>
                <w:highlight w:val="none"/>
              </w:rPr>
              <w:t>(投标人于投标文件中提供符合此项技术要求的相关有效证明材料复印件，可以是产品说明书或官方可查询的彩页或由国家认可的第三方检测机构出具的检测报告复印件</w:t>
            </w:r>
            <w:r>
              <w:rPr>
                <w:rFonts w:hint="eastAsia"/>
                <w:b/>
                <w:bCs/>
                <w:color w:val="auto"/>
                <w:highlight w:val="none"/>
                <w:lang w:eastAsia="zh-CN"/>
              </w:rPr>
              <w:t>等</w:t>
            </w:r>
            <w:r>
              <w:rPr>
                <w:rFonts w:hint="eastAsia"/>
                <w:b/>
                <w:bCs/>
                <w:color w:val="auto"/>
                <w:highlight w:val="none"/>
              </w:rPr>
              <w:t>，并加盖投标人电子签章)</w:t>
            </w:r>
            <w:r>
              <w:rPr>
                <w:rFonts w:hint="eastAsia" w:ascii="宋体" w:hAnsi="宋体" w:cs="宋体"/>
                <w:b/>
                <w:color w:val="auto"/>
                <w:highlight w:val="none"/>
              </w:rPr>
              <w:t>。</w:t>
            </w:r>
          </w:p>
          <w:p w14:paraId="0C4423C5">
            <w:pPr>
              <w:spacing w:line="360" w:lineRule="exact"/>
              <w:jc w:val="left"/>
              <w:rPr>
                <w:rFonts w:ascii="宋体" w:hAnsi="宋体" w:cs="宋体"/>
                <w:color w:val="auto"/>
                <w:highlight w:val="none"/>
              </w:rPr>
            </w:pPr>
            <w:r>
              <w:rPr>
                <w:rFonts w:hint="eastAsia" w:ascii="宋体" w:hAnsi="宋体" w:cs="宋体"/>
                <w:color w:val="auto"/>
                <w:highlight w:val="none"/>
              </w:rPr>
              <w:t>2.6.14具备心肺旁流模式 CPB, 且心肺旁流模式可在手动通气模式和机控通气模式下启动。</w:t>
            </w:r>
          </w:p>
          <w:p w14:paraId="2D1CE986">
            <w:pPr>
              <w:spacing w:line="360" w:lineRule="exact"/>
              <w:jc w:val="left"/>
              <w:rPr>
                <w:rFonts w:ascii="宋体" w:hAnsi="宋体" w:cs="宋体"/>
                <w:color w:val="auto"/>
                <w:highlight w:val="none"/>
              </w:rPr>
            </w:pPr>
            <w:r>
              <w:rPr>
                <w:rFonts w:hint="eastAsia" w:ascii="宋体" w:hAnsi="宋体" w:cs="宋体"/>
                <w:color w:val="auto"/>
                <w:highlight w:val="none"/>
              </w:rPr>
              <w:t>2.6.15</w:t>
            </w:r>
            <w:r>
              <w:rPr>
                <w:rFonts w:hint="eastAsia"/>
                <w:color w:val="auto"/>
                <w:highlight w:val="none"/>
              </w:rPr>
              <w:t>具备可升级能力，</w:t>
            </w:r>
            <w:r>
              <w:rPr>
                <w:rFonts w:hint="eastAsia" w:ascii="宋体" w:hAnsi="宋体" w:cs="宋体"/>
                <w:color w:val="auto"/>
                <w:highlight w:val="none"/>
              </w:rPr>
              <w:t>可选配肺保护工具：支持—单周期和多周期两种复张手法，支持定时膨肺功能。</w:t>
            </w:r>
          </w:p>
          <w:p w14:paraId="493792EB">
            <w:pPr>
              <w:pStyle w:val="17"/>
              <w:rPr>
                <w:rFonts w:ascii="宋体" w:hAnsi="宋体" w:cs="宋体"/>
                <w:b/>
                <w:color w:val="auto"/>
                <w:highlight w:val="none"/>
              </w:rPr>
            </w:pPr>
            <w:r>
              <w:rPr>
                <w:rFonts w:hint="eastAsia" w:ascii="宋体" w:hAnsi="宋体" w:cs="宋体"/>
                <w:b/>
                <w:color w:val="auto"/>
                <w:highlight w:val="none"/>
              </w:rPr>
              <w:t>2.6.16 支持选配高频喷射通气功能，提供高频叠加常频喷射通气模式，或提供高频喷射单机，并且支持高频叠加常频通气连接同一通气附件</w:t>
            </w:r>
            <w:r>
              <w:rPr>
                <w:rFonts w:hint="eastAsia"/>
                <w:b/>
                <w:bCs/>
                <w:color w:val="auto"/>
                <w:highlight w:val="none"/>
              </w:rPr>
              <w:t>(投标人于投标文件中提供符合此项技术要求的相关有效证明材料复印件，可以是产品说明书或官方可查询的彩页或由国家认可的第三方检测机构出具的检测报告复印件</w:t>
            </w:r>
            <w:r>
              <w:rPr>
                <w:rFonts w:hint="eastAsia"/>
                <w:b/>
                <w:bCs/>
                <w:color w:val="auto"/>
                <w:highlight w:val="none"/>
                <w:lang w:eastAsia="zh-CN"/>
              </w:rPr>
              <w:t>等</w:t>
            </w:r>
            <w:r>
              <w:rPr>
                <w:rFonts w:hint="eastAsia"/>
                <w:b/>
                <w:bCs/>
                <w:color w:val="auto"/>
                <w:highlight w:val="none"/>
              </w:rPr>
              <w:t>，并加盖投标人电子签章)</w:t>
            </w:r>
            <w:r>
              <w:rPr>
                <w:rFonts w:hint="eastAsia" w:ascii="宋体" w:hAnsi="宋体" w:cs="宋体"/>
                <w:b/>
                <w:color w:val="auto"/>
                <w:highlight w:val="none"/>
              </w:rPr>
              <w:t>。</w:t>
            </w:r>
          </w:p>
          <w:p w14:paraId="740C2805">
            <w:pPr>
              <w:spacing w:line="360" w:lineRule="exact"/>
              <w:jc w:val="left"/>
              <w:rPr>
                <w:rFonts w:ascii="宋体" w:hAnsi="宋体" w:cs="宋体"/>
                <w:color w:val="auto"/>
                <w:highlight w:val="none"/>
              </w:rPr>
            </w:pPr>
            <w:r>
              <w:rPr>
                <w:rFonts w:hint="eastAsia" w:ascii="宋体" w:hAnsi="宋体" w:cs="宋体"/>
                <w:color w:val="auto"/>
                <w:highlight w:val="none"/>
              </w:rPr>
              <w:t>2.7数字和波形监测</w:t>
            </w:r>
          </w:p>
          <w:p w14:paraId="1168422D">
            <w:pPr>
              <w:spacing w:line="360" w:lineRule="exact"/>
              <w:jc w:val="left"/>
              <w:rPr>
                <w:rFonts w:ascii="宋体" w:hAnsi="宋体" w:cs="宋体"/>
                <w:color w:val="auto"/>
                <w:highlight w:val="none"/>
              </w:rPr>
            </w:pPr>
            <w:r>
              <w:rPr>
                <w:rFonts w:hint="eastAsia" w:ascii="宋体" w:hAnsi="宋体" w:cs="宋体"/>
                <w:color w:val="auto"/>
                <w:highlight w:val="none"/>
              </w:rPr>
              <w:t>2.7.1具备三级声光报警功能，有独立红黄报警灯显示。</w:t>
            </w:r>
          </w:p>
          <w:p w14:paraId="67BF83A6">
            <w:pPr>
              <w:pStyle w:val="17"/>
              <w:rPr>
                <w:rFonts w:ascii="宋体" w:hAnsi="宋体" w:cs="宋体"/>
                <w:color w:val="auto"/>
                <w:highlight w:val="none"/>
              </w:rPr>
            </w:pPr>
            <w:r>
              <w:rPr>
                <w:rFonts w:hint="eastAsia" w:ascii="宋体" w:hAnsi="宋体" w:cs="宋体"/>
                <w:color w:val="auto"/>
                <w:highlight w:val="none"/>
              </w:rPr>
              <w:t>2.7.2≥15.5英寸彩色触摸屏，可同屏显示波形和呼吸环图</w:t>
            </w:r>
            <w:r>
              <w:rPr>
                <w:rFonts w:hint="eastAsia"/>
                <w:b/>
                <w:bCs/>
                <w:color w:val="auto"/>
                <w:highlight w:val="none"/>
              </w:rPr>
              <w:t>(投标人于投标文件中提供符合此项技术要求的相关有效证明材料复印件，可以是产品说明书或官方可查询的彩页或由国家认可的第三方检测机构出具的检测报告复印件</w:t>
            </w:r>
            <w:r>
              <w:rPr>
                <w:rFonts w:hint="eastAsia"/>
                <w:b/>
                <w:bCs/>
                <w:color w:val="auto"/>
                <w:highlight w:val="none"/>
                <w:lang w:eastAsia="zh-CN"/>
              </w:rPr>
              <w:t>等</w:t>
            </w:r>
            <w:r>
              <w:rPr>
                <w:rFonts w:hint="eastAsia"/>
                <w:b/>
                <w:bCs/>
                <w:color w:val="auto"/>
                <w:highlight w:val="none"/>
              </w:rPr>
              <w:t>，并加盖投标人电子签章)</w:t>
            </w:r>
            <w:r>
              <w:rPr>
                <w:rFonts w:hint="eastAsia" w:ascii="宋体" w:hAnsi="宋体" w:cs="宋体"/>
                <w:color w:val="auto"/>
                <w:highlight w:val="none"/>
              </w:rPr>
              <w:t>。</w:t>
            </w:r>
          </w:p>
          <w:p w14:paraId="392A6633">
            <w:pPr>
              <w:spacing w:line="360" w:lineRule="exact"/>
              <w:jc w:val="left"/>
              <w:rPr>
                <w:rFonts w:ascii="宋体" w:hAnsi="宋体" w:cs="宋体"/>
                <w:color w:val="auto"/>
                <w:highlight w:val="none"/>
              </w:rPr>
            </w:pPr>
            <w:r>
              <w:rPr>
                <w:rFonts w:hint="eastAsia" w:ascii="宋体" w:hAnsi="宋体" w:cs="宋体"/>
                <w:color w:val="auto"/>
                <w:highlight w:val="none"/>
              </w:rPr>
              <w:t>2.7.3支持显示 P-V，V-F，P-F 三种类型环图。</w:t>
            </w:r>
          </w:p>
          <w:p w14:paraId="2A9F85C6">
            <w:pPr>
              <w:spacing w:line="360" w:lineRule="exact"/>
              <w:jc w:val="left"/>
              <w:rPr>
                <w:rFonts w:ascii="宋体" w:hAnsi="宋体" w:cs="宋体"/>
                <w:color w:val="auto"/>
                <w:highlight w:val="none"/>
              </w:rPr>
            </w:pPr>
            <w:r>
              <w:rPr>
                <w:rFonts w:hint="eastAsia" w:ascii="宋体" w:hAnsi="宋体" w:cs="宋体"/>
                <w:color w:val="auto"/>
                <w:highlight w:val="none"/>
              </w:rPr>
              <w:t>2.7.4电容触摸屏，支持手势操作。</w:t>
            </w:r>
          </w:p>
          <w:p w14:paraId="44DBCF33">
            <w:pPr>
              <w:spacing w:line="360" w:lineRule="exact"/>
              <w:jc w:val="left"/>
              <w:rPr>
                <w:rFonts w:ascii="宋体" w:hAnsi="宋体" w:cs="宋体"/>
                <w:color w:val="auto"/>
                <w:highlight w:val="none"/>
              </w:rPr>
            </w:pPr>
            <w:r>
              <w:rPr>
                <w:rFonts w:hint="eastAsia" w:ascii="宋体" w:hAnsi="宋体" w:cs="宋体"/>
                <w:color w:val="auto"/>
                <w:highlight w:val="none"/>
              </w:rPr>
              <w:t>2.7.5内置≥3 槽位插件槽，可直接热插拔插件。</w:t>
            </w:r>
          </w:p>
          <w:p w14:paraId="3FA8C24D">
            <w:pPr>
              <w:spacing w:line="360" w:lineRule="exact"/>
              <w:jc w:val="left"/>
              <w:rPr>
                <w:rFonts w:ascii="宋体" w:hAnsi="宋体" w:cs="宋体"/>
                <w:color w:val="auto"/>
                <w:highlight w:val="none"/>
              </w:rPr>
            </w:pPr>
            <w:r>
              <w:rPr>
                <w:rFonts w:hint="eastAsia" w:ascii="宋体" w:hAnsi="宋体" w:cs="宋体"/>
                <w:color w:val="auto"/>
                <w:highlight w:val="none"/>
              </w:rPr>
              <w:t>2.7.6插件可在同品牌监护仪和麻醉机之间通用。</w:t>
            </w:r>
          </w:p>
          <w:p w14:paraId="4832D798">
            <w:pPr>
              <w:spacing w:line="360" w:lineRule="exact"/>
              <w:jc w:val="left"/>
              <w:rPr>
                <w:rFonts w:ascii="宋体" w:hAnsi="宋体" w:cs="宋体"/>
                <w:color w:val="auto"/>
                <w:highlight w:val="none"/>
              </w:rPr>
            </w:pPr>
            <w:r>
              <w:rPr>
                <w:rFonts w:hint="eastAsia" w:ascii="宋体" w:hAnsi="宋体" w:cs="宋体"/>
                <w:color w:val="auto"/>
                <w:highlight w:val="none"/>
              </w:rPr>
              <w:t>2.7.7配AG麻醉气体模块，可单独选配 EtCO</w:t>
            </w:r>
            <w:r>
              <w:rPr>
                <w:rFonts w:hint="eastAsia" w:ascii="宋体" w:hAnsi="宋体" w:cs="宋体"/>
                <w:color w:val="auto"/>
                <w:highlight w:val="none"/>
                <w:vertAlign w:val="subscript"/>
              </w:rPr>
              <w:t>2</w:t>
            </w:r>
            <w:r>
              <w:rPr>
                <w:rFonts w:hint="eastAsia" w:ascii="宋体" w:hAnsi="宋体" w:cs="宋体"/>
                <w:color w:val="auto"/>
                <w:highlight w:val="none"/>
              </w:rPr>
              <w:t>插件，以适应全凭静脉无需监测麻醉气体的需求。</w:t>
            </w:r>
          </w:p>
          <w:p w14:paraId="6185B0F7">
            <w:pPr>
              <w:tabs>
                <w:tab w:val="left" w:pos="180"/>
                <w:tab w:val="left" w:pos="1620"/>
              </w:tabs>
              <w:adjustRightInd w:val="0"/>
              <w:snapToGrid w:val="0"/>
              <w:spacing w:line="360" w:lineRule="exact"/>
              <w:jc w:val="left"/>
              <w:rPr>
                <w:rFonts w:ascii="宋体" w:hAnsi="宋体" w:cs="宋体"/>
                <w:color w:val="auto"/>
                <w:highlight w:val="none"/>
              </w:rPr>
            </w:pPr>
            <w:r>
              <w:rPr>
                <w:rFonts w:hint="eastAsia" w:ascii="宋体" w:hAnsi="宋体" w:cs="宋体"/>
                <w:color w:val="auto"/>
                <w:highlight w:val="none"/>
              </w:rPr>
              <w:t>2.7.8</w:t>
            </w:r>
            <w:r>
              <w:rPr>
                <w:rFonts w:hint="eastAsia" w:ascii="宋体" w:hAnsi="宋体" w:cs="宋体"/>
                <w:color w:val="auto"/>
                <w:szCs w:val="21"/>
                <w:highlight w:val="none"/>
              </w:rPr>
              <w:t>数字及波形可</w:t>
            </w:r>
            <w:r>
              <w:rPr>
                <w:rFonts w:hint="eastAsia"/>
                <w:color w:val="auto"/>
                <w:highlight w:val="none"/>
              </w:rPr>
              <w:t>选</w:t>
            </w:r>
            <w:r>
              <w:rPr>
                <w:rFonts w:hint="eastAsia" w:ascii="宋体" w:hAnsi="宋体" w:cs="宋体"/>
                <w:color w:val="auto"/>
                <w:szCs w:val="21"/>
                <w:highlight w:val="none"/>
              </w:rPr>
              <w:t>监测参数：呼吸频率、潮气量、分钟通气量、吸呼比、气道压（峰压、平台压、平均压、PEEP）、气道阻力、顺应性、弹性、驱动压、机械能；麻醉气体分析（N</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O，EtCO</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，自动识别五种麻醉气体吸入呼出浓度监测）、呼吸环（P-V，P-F，V-F）监测；电池法吸入氧浓度监测等。</w:t>
            </w:r>
          </w:p>
          <w:p w14:paraId="60E2F042">
            <w:pPr>
              <w:spacing w:line="360" w:lineRule="exact"/>
              <w:jc w:val="left"/>
              <w:rPr>
                <w:rFonts w:ascii="宋体" w:hAnsi="宋体" w:cs="宋体"/>
                <w:color w:val="auto"/>
                <w:highlight w:val="none"/>
              </w:rPr>
            </w:pPr>
            <w:r>
              <w:rPr>
                <w:rFonts w:hint="eastAsia" w:ascii="宋体" w:hAnsi="宋体" w:cs="宋体"/>
                <w:color w:val="auto"/>
                <w:highlight w:val="none"/>
              </w:rPr>
              <w:t>2.7.9同屏幕≥5 通道波形显示（压力时间波形，流速时间波形，容量时间波形， CO2 或麻醉气体浓度波形等）。</w:t>
            </w:r>
          </w:p>
          <w:p w14:paraId="7D280FD4">
            <w:pPr>
              <w:spacing w:line="360" w:lineRule="exact"/>
              <w:jc w:val="left"/>
              <w:rPr>
                <w:rFonts w:ascii="宋体" w:hAnsi="宋体" w:cs="宋体"/>
                <w:color w:val="auto"/>
                <w:highlight w:val="none"/>
              </w:rPr>
            </w:pPr>
            <w:r>
              <w:rPr>
                <w:rFonts w:hint="eastAsia" w:ascii="宋体" w:hAnsi="宋体" w:cs="宋体"/>
                <w:color w:val="auto"/>
                <w:highlight w:val="none"/>
              </w:rPr>
              <w:t>2.7.10潮气量监测范围：0-3000ml。</w:t>
            </w:r>
          </w:p>
          <w:p w14:paraId="04F441E3">
            <w:pPr>
              <w:spacing w:line="360" w:lineRule="exact"/>
              <w:jc w:val="left"/>
              <w:rPr>
                <w:rFonts w:ascii="宋体" w:hAnsi="宋体" w:cs="宋体"/>
                <w:color w:val="auto"/>
                <w:highlight w:val="none"/>
              </w:rPr>
            </w:pPr>
            <w:r>
              <w:rPr>
                <w:rFonts w:hint="eastAsia" w:ascii="宋体" w:hAnsi="宋体" w:cs="宋体"/>
                <w:color w:val="auto"/>
                <w:highlight w:val="none"/>
              </w:rPr>
              <w:t>2.7.11分钟通气量监测范围：0-100L/min。</w:t>
            </w:r>
          </w:p>
          <w:p w14:paraId="29905D56">
            <w:pPr>
              <w:spacing w:line="360" w:lineRule="exact"/>
              <w:jc w:val="left"/>
              <w:rPr>
                <w:rFonts w:ascii="宋体" w:hAnsi="宋体" w:cs="宋体"/>
                <w:color w:val="auto"/>
                <w:highlight w:val="none"/>
              </w:rPr>
            </w:pPr>
            <w:r>
              <w:rPr>
                <w:rFonts w:hint="eastAsia" w:ascii="宋体" w:hAnsi="宋体" w:cs="宋体"/>
                <w:color w:val="auto"/>
                <w:highlight w:val="none"/>
              </w:rPr>
              <w:t>2.7.12可视化报警，技术报警提示中对于导致报警的原因给予文字和图形提示，具备自动报警限功能。</w:t>
            </w:r>
          </w:p>
          <w:p w14:paraId="225964BE">
            <w:pPr>
              <w:spacing w:line="360" w:lineRule="exact"/>
              <w:jc w:val="left"/>
              <w:rPr>
                <w:rFonts w:ascii="宋体" w:hAnsi="宋体" w:cs="宋体"/>
                <w:color w:val="auto"/>
                <w:highlight w:val="none"/>
              </w:rPr>
            </w:pPr>
            <w:r>
              <w:rPr>
                <w:rFonts w:hint="eastAsia" w:ascii="宋体" w:hAnsi="宋体" w:cs="宋体"/>
                <w:color w:val="auto"/>
                <w:highlight w:val="none"/>
              </w:rPr>
              <w:t>2.7.13图示化自检，系统自检失败时给予文字和图示提醒可能出错的原因。</w:t>
            </w:r>
          </w:p>
          <w:p w14:paraId="5A7A7ED9">
            <w:pPr>
              <w:spacing w:line="360" w:lineRule="exact"/>
              <w:jc w:val="left"/>
              <w:rPr>
                <w:rFonts w:ascii="宋体" w:hAnsi="宋体" w:cs="宋体"/>
                <w:color w:val="auto"/>
                <w:highlight w:val="none"/>
              </w:rPr>
            </w:pPr>
            <w:r>
              <w:rPr>
                <w:rFonts w:hint="eastAsia" w:ascii="宋体" w:hAnsi="宋体" w:cs="宋体"/>
                <w:color w:val="auto"/>
                <w:highlight w:val="none"/>
              </w:rPr>
              <w:t>2.7.14可存储至少10000条事件记录，≥50张屏幕截图。</w:t>
            </w:r>
          </w:p>
          <w:p w14:paraId="28614305">
            <w:pPr>
              <w:spacing w:line="360" w:lineRule="exact"/>
              <w:jc w:val="left"/>
              <w:rPr>
                <w:rFonts w:ascii="宋体" w:hAnsi="宋体" w:cs="宋体"/>
                <w:color w:val="auto"/>
                <w:highlight w:val="none"/>
              </w:rPr>
            </w:pPr>
            <w:r>
              <w:rPr>
                <w:rFonts w:hint="eastAsia" w:ascii="宋体" w:hAnsi="宋体" w:cs="宋体"/>
                <w:color w:val="auto"/>
                <w:highlight w:val="none"/>
              </w:rPr>
              <w:t>2.7.15可存储患者参数趋势图（表）信息至少48小时。</w:t>
            </w:r>
          </w:p>
          <w:p w14:paraId="3654D7C8">
            <w:pPr>
              <w:spacing w:line="360" w:lineRule="exact"/>
              <w:jc w:val="left"/>
              <w:rPr>
                <w:rFonts w:ascii="宋体" w:hAnsi="宋体" w:cs="宋体"/>
                <w:color w:val="auto"/>
                <w:highlight w:val="none"/>
              </w:rPr>
            </w:pPr>
            <w:r>
              <w:rPr>
                <w:rFonts w:hint="eastAsia" w:ascii="宋体" w:hAnsi="宋体" w:cs="宋体"/>
                <w:color w:val="auto"/>
                <w:highlight w:val="none"/>
              </w:rPr>
              <w:t>2.7.16</w:t>
            </w:r>
            <w:r>
              <w:rPr>
                <w:rFonts w:hint="eastAsia"/>
                <w:color w:val="auto"/>
                <w:highlight w:val="none"/>
              </w:rPr>
              <w:t>具备可升级能力，</w:t>
            </w:r>
            <w:r>
              <w:rPr>
                <w:rFonts w:hint="eastAsia" w:ascii="宋体" w:hAnsi="宋体" w:cs="宋体"/>
                <w:color w:val="auto"/>
                <w:highlight w:val="none"/>
              </w:rPr>
              <w:t>可选配麻醉趋势图功能，可显示未来 20分钟内吸入呼出麻药浓度和氧浓度的趋势。</w:t>
            </w:r>
          </w:p>
          <w:p w14:paraId="6FE6D9A3">
            <w:pPr>
              <w:spacing w:line="360" w:lineRule="exact"/>
              <w:jc w:val="left"/>
              <w:rPr>
                <w:rFonts w:ascii="宋体" w:hAnsi="宋体" w:cs="宋体"/>
                <w:color w:val="auto"/>
                <w:highlight w:val="none"/>
              </w:rPr>
            </w:pPr>
            <w:r>
              <w:rPr>
                <w:rFonts w:hint="eastAsia" w:ascii="宋体" w:hAnsi="宋体" w:cs="宋体"/>
                <w:color w:val="auto"/>
                <w:highlight w:val="none"/>
              </w:rPr>
              <w:t>2.8麻醉工作站功能</w:t>
            </w:r>
          </w:p>
          <w:p w14:paraId="06383515">
            <w:pPr>
              <w:spacing w:line="360" w:lineRule="exact"/>
              <w:jc w:val="left"/>
              <w:rPr>
                <w:rFonts w:ascii="宋体" w:hAnsi="宋体" w:cs="宋体"/>
                <w:color w:val="auto"/>
                <w:highlight w:val="none"/>
              </w:rPr>
            </w:pPr>
            <w:r>
              <w:rPr>
                <w:rFonts w:hint="eastAsia" w:ascii="宋体" w:hAnsi="宋体" w:cs="宋体"/>
                <w:color w:val="auto"/>
                <w:highlight w:val="none"/>
              </w:rPr>
              <w:t>2.8.1支持连接监护仪功能，全面监测病人生命体征，可在麻醉机的显示器上显示监护仪参数。</w:t>
            </w:r>
          </w:p>
          <w:p w14:paraId="35592BA4">
            <w:pPr>
              <w:spacing w:line="360" w:lineRule="exact"/>
              <w:jc w:val="left"/>
              <w:rPr>
                <w:rFonts w:ascii="宋体" w:hAnsi="宋体" w:cs="宋体"/>
                <w:color w:val="auto"/>
                <w:highlight w:val="none"/>
              </w:rPr>
            </w:pPr>
            <w:r>
              <w:rPr>
                <w:rFonts w:hint="eastAsia" w:ascii="宋体" w:hAnsi="宋体" w:cs="宋体"/>
                <w:color w:val="auto"/>
                <w:highlight w:val="none"/>
              </w:rPr>
              <w:t>2.8.2配备麻醉输注工作站，支持连接输注泵功能，可在麻醉机屏幕上调节输注泵设置参数，完成静吸复合麻醉控制与调节。</w:t>
            </w:r>
          </w:p>
          <w:p w14:paraId="38EBF138">
            <w:pPr>
              <w:pStyle w:val="17"/>
              <w:rPr>
                <w:rFonts w:ascii="宋体" w:hAnsi="宋体" w:cs="宋体"/>
                <w:b/>
                <w:color w:val="auto"/>
                <w:highlight w:val="none"/>
              </w:rPr>
            </w:pPr>
            <w:r>
              <w:rPr>
                <w:rFonts w:hint="eastAsia" w:ascii="宋体" w:hAnsi="宋体" w:cs="宋体"/>
                <w:b/>
                <w:color w:val="auto"/>
                <w:highlight w:val="none"/>
              </w:rPr>
              <w:t>2.8.3 可升级麻醉计算功能，可基于药代药效模型计算吸入麻药和静脉麻药的综合药效，并支持在麻醉机上直观显示静吸复合麻醉综合药效</w:t>
            </w:r>
            <w:r>
              <w:rPr>
                <w:rFonts w:hint="eastAsia"/>
                <w:b/>
                <w:bCs/>
                <w:color w:val="auto"/>
                <w:highlight w:val="none"/>
              </w:rPr>
              <w:t>(投标人于投标文件中提供符合此项技术要求的相关有效证明材料复印件，可以是产品说明书或官方可查询的彩页或由国家认可的第三方检测机构出具的检测报告复印件</w:t>
            </w:r>
            <w:r>
              <w:rPr>
                <w:rFonts w:hint="eastAsia"/>
                <w:b/>
                <w:bCs/>
                <w:color w:val="auto"/>
                <w:highlight w:val="none"/>
                <w:lang w:eastAsia="zh-CN"/>
              </w:rPr>
              <w:t>等</w:t>
            </w:r>
            <w:r>
              <w:rPr>
                <w:rFonts w:hint="eastAsia"/>
                <w:b/>
                <w:bCs/>
                <w:color w:val="auto"/>
                <w:highlight w:val="none"/>
              </w:rPr>
              <w:t>，并加盖投标人电子签章)</w:t>
            </w:r>
            <w:r>
              <w:rPr>
                <w:rFonts w:hint="eastAsia" w:ascii="宋体" w:hAnsi="宋体" w:cs="宋体"/>
                <w:b/>
                <w:color w:val="auto"/>
                <w:highlight w:val="none"/>
              </w:rPr>
              <w:t>。</w:t>
            </w:r>
          </w:p>
          <w:p w14:paraId="4E91C57D">
            <w:pPr>
              <w:spacing w:line="360" w:lineRule="exact"/>
              <w:jc w:val="left"/>
              <w:rPr>
                <w:rFonts w:ascii="宋体" w:hAnsi="宋体" w:cs="宋体"/>
                <w:color w:val="auto"/>
                <w:highlight w:val="none"/>
              </w:rPr>
            </w:pPr>
            <w:r>
              <w:rPr>
                <w:rFonts w:hint="eastAsia" w:ascii="宋体" w:hAnsi="宋体" w:cs="宋体"/>
                <w:color w:val="auto"/>
                <w:highlight w:val="none"/>
              </w:rPr>
              <w:t>2.8.4可扩展连接支持HL7协议的设备。</w:t>
            </w:r>
          </w:p>
          <w:p w14:paraId="49522593">
            <w:pPr>
              <w:spacing w:line="360" w:lineRule="exact"/>
              <w:jc w:val="left"/>
              <w:rPr>
                <w:rFonts w:ascii="宋体" w:hAnsi="宋体" w:cs="宋体"/>
                <w:b/>
                <w:color w:val="auto"/>
                <w:highlight w:val="none"/>
              </w:rPr>
            </w:pPr>
            <w:r>
              <w:rPr>
                <w:rFonts w:hint="eastAsia" w:ascii="宋体" w:hAnsi="宋体" w:cs="宋体"/>
                <w:b/>
                <w:color w:val="auto"/>
                <w:highlight w:val="none"/>
              </w:rPr>
              <w:t>▲2.9配置需求</w:t>
            </w:r>
          </w:p>
          <w:p w14:paraId="6F785815">
            <w:pPr>
              <w:spacing w:line="360" w:lineRule="exact"/>
              <w:jc w:val="left"/>
              <w:rPr>
                <w:rFonts w:ascii="宋体" w:hAnsi="宋体" w:cs="宋体"/>
                <w:b/>
                <w:color w:val="auto"/>
                <w:highlight w:val="none"/>
              </w:rPr>
            </w:pPr>
            <w:r>
              <w:rPr>
                <w:rFonts w:hint="eastAsia" w:ascii="宋体" w:hAnsi="宋体" w:cs="宋体"/>
                <w:b/>
                <w:color w:val="auto"/>
                <w:highlight w:val="none"/>
              </w:rPr>
              <w:t>2.9.1主机2台。</w:t>
            </w:r>
          </w:p>
          <w:p w14:paraId="76D81C1B">
            <w:pPr>
              <w:spacing w:line="360" w:lineRule="exact"/>
              <w:jc w:val="left"/>
              <w:rPr>
                <w:rFonts w:ascii="宋体" w:hAnsi="宋体" w:cs="宋体"/>
                <w:b/>
                <w:color w:val="auto"/>
                <w:highlight w:val="none"/>
              </w:rPr>
            </w:pPr>
            <w:r>
              <w:rPr>
                <w:rFonts w:hint="eastAsia" w:ascii="宋体" w:hAnsi="宋体" w:cs="宋体"/>
                <w:b/>
                <w:color w:val="auto"/>
                <w:highlight w:val="none"/>
              </w:rPr>
              <w:t>2.9.2</w:t>
            </w:r>
            <w:r>
              <w:rPr>
                <w:rFonts w:hint="eastAsia" w:ascii="宋体" w:hAnsi="宋体" w:cs="宋体"/>
                <w:b/>
                <w:color w:val="auto"/>
                <w:highlight w:val="none"/>
                <w:lang w:val="en-US" w:eastAsia="zh-CN"/>
              </w:rPr>
              <w:t xml:space="preserve"> AG</w:t>
            </w:r>
            <w:r>
              <w:rPr>
                <w:rFonts w:hint="eastAsia" w:ascii="宋体" w:hAnsi="宋体" w:cs="宋体"/>
                <w:b/>
                <w:color w:val="auto"/>
                <w:highlight w:val="none"/>
              </w:rPr>
              <w:t>模块2套。</w:t>
            </w:r>
          </w:p>
          <w:p w14:paraId="5BBB2906">
            <w:pPr>
              <w:spacing w:line="360" w:lineRule="exact"/>
              <w:jc w:val="left"/>
              <w:rPr>
                <w:rFonts w:ascii="宋体" w:hAnsi="宋体" w:cs="宋体"/>
                <w:b/>
                <w:color w:val="auto"/>
                <w:highlight w:val="none"/>
              </w:rPr>
            </w:pPr>
            <w:r>
              <w:rPr>
                <w:rFonts w:hint="eastAsia" w:ascii="宋体" w:hAnsi="宋体" w:cs="宋体"/>
                <w:b/>
                <w:color w:val="auto"/>
                <w:highlight w:val="none"/>
              </w:rPr>
              <w:t>2.9.3内置无线网卡（Wi-Fi 功能）2套。</w:t>
            </w:r>
          </w:p>
          <w:p w14:paraId="3621B6B4">
            <w:pPr>
              <w:spacing w:line="360" w:lineRule="exact"/>
              <w:jc w:val="left"/>
              <w:rPr>
                <w:rFonts w:ascii="宋体" w:hAnsi="宋体" w:cs="宋体"/>
                <w:b/>
                <w:color w:val="auto"/>
                <w:highlight w:val="none"/>
              </w:rPr>
            </w:pPr>
            <w:r>
              <w:rPr>
                <w:rFonts w:hint="eastAsia" w:ascii="宋体" w:hAnsi="宋体" w:cs="宋体"/>
                <w:b/>
                <w:color w:val="auto"/>
                <w:highlight w:val="none"/>
              </w:rPr>
              <w:t>2.9.4电池2块。</w:t>
            </w:r>
          </w:p>
          <w:p w14:paraId="466AE3F8">
            <w:pPr>
              <w:spacing w:line="360" w:lineRule="exact"/>
              <w:jc w:val="left"/>
              <w:rPr>
                <w:rFonts w:ascii="宋体" w:hAnsi="宋体" w:cs="宋体"/>
                <w:b/>
                <w:color w:val="auto"/>
                <w:highlight w:val="none"/>
              </w:rPr>
            </w:pPr>
            <w:r>
              <w:rPr>
                <w:rFonts w:hint="eastAsia" w:ascii="宋体" w:hAnsi="宋体" w:cs="宋体"/>
                <w:b/>
                <w:color w:val="auto"/>
                <w:highlight w:val="none"/>
              </w:rPr>
              <w:t>2.9.5主动排污附件2套。</w:t>
            </w:r>
          </w:p>
          <w:p w14:paraId="0DB86D00">
            <w:pPr>
              <w:spacing w:line="360" w:lineRule="exact"/>
              <w:jc w:val="left"/>
              <w:rPr>
                <w:rFonts w:ascii="宋体" w:hAnsi="宋体" w:cs="宋体"/>
                <w:b/>
                <w:color w:val="auto"/>
                <w:highlight w:val="none"/>
              </w:rPr>
            </w:pPr>
            <w:r>
              <w:rPr>
                <w:rFonts w:hint="eastAsia" w:ascii="宋体" w:hAnsi="宋体" w:cs="宋体"/>
                <w:b/>
                <w:color w:val="auto"/>
                <w:highlight w:val="none"/>
              </w:rPr>
              <w:t>2.9.6 麻醉输注工作站（dock）2套。</w:t>
            </w:r>
          </w:p>
          <w:p w14:paraId="773A4C8C">
            <w:pPr>
              <w:spacing w:line="360" w:lineRule="exact"/>
              <w:jc w:val="left"/>
              <w:rPr>
                <w:rFonts w:ascii="宋体" w:hAnsi="宋体" w:cs="宋体"/>
                <w:color w:val="auto"/>
                <w:szCs w:val="21"/>
                <w:highlight w:val="none"/>
              </w:rPr>
            </w:pPr>
            <w:r>
              <w:rPr>
                <w:rFonts w:hint="eastAsia" w:ascii="宋体" w:hAnsi="宋体" w:cs="宋体"/>
                <w:b/>
                <w:color w:val="auto"/>
                <w:highlight w:val="none"/>
              </w:rPr>
              <w:t>2.9.7 呼吸力学软件系统2套。</w:t>
            </w:r>
          </w:p>
        </w:tc>
      </w:tr>
      <w:tr w14:paraId="47C02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214" w:type="pct"/>
            <w:tcBorders>
              <w:bottom w:val="single" w:color="auto" w:sz="4" w:space="0"/>
              <w:right w:val="single" w:color="auto" w:sz="4" w:space="0"/>
            </w:tcBorders>
            <w:vAlign w:val="center"/>
          </w:tcPr>
          <w:p w14:paraId="5C5D14A1">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708" w:type="pct"/>
            <w:tcBorders>
              <w:left w:val="single" w:color="auto" w:sz="4" w:space="0"/>
              <w:bottom w:val="single" w:color="auto" w:sz="4" w:space="0"/>
              <w:right w:val="single" w:color="auto" w:sz="4" w:space="0"/>
            </w:tcBorders>
            <w:vAlign w:val="center"/>
          </w:tcPr>
          <w:p w14:paraId="79ED3A0E">
            <w:pPr>
              <w:spacing w:line="360" w:lineRule="exact"/>
              <w:jc w:val="left"/>
              <w:rPr>
                <w:rFonts w:ascii="宋体" w:hAnsi="宋体" w:eastAsia="DengXian-Bold" w:cs="宋体"/>
                <w:color w:val="auto"/>
                <w:szCs w:val="21"/>
                <w:highlight w:val="none"/>
              </w:rPr>
            </w:pPr>
            <w:r>
              <w:rPr>
                <w:rFonts w:hint="eastAsia" w:ascii="宋体" w:hAnsi="宋体" w:cs="宋体"/>
                <w:color w:val="auto"/>
                <w:highlight w:val="none"/>
              </w:rPr>
              <w:t>麻醉机（3）</w:t>
            </w:r>
          </w:p>
        </w:tc>
        <w:tc>
          <w:tcPr>
            <w:tcW w:w="359" w:type="pct"/>
            <w:tcBorders>
              <w:left w:val="single" w:color="auto" w:sz="4" w:space="0"/>
            </w:tcBorders>
            <w:vAlign w:val="center"/>
          </w:tcPr>
          <w:p w14:paraId="1CD91590">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449" w:type="pct"/>
            <w:vAlign w:val="center"/>
          </w:tcPr>
          <w:p w14:paraId="4F1CED22">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套</w:t>
            </w:r>
          </w:p>
        </w:tc>
        <w:tc>
          <w:tcPr>
            <w:tcW w:w="454" w:type="pct"/>
            <w:vMerge w:val="continue"/>
            <w:tcBorders>
              <w:bottom w:val="single" w:color="auto" w:sz="4" w:space="0"/>
            </w:tcBorders>
            <w:vAlign w:val="center"/>
          </w:tcPr>
          <w:p w14:paraId="23C2178E">
            <w:pPr>
              <w:tabs>
                <w:tab w:val="left" w:pos="180"/>
                <w:tab w:val="left" w:pos="1620"/>
              </w:tabs>
              <w:adjustRightInd w:val="0"/>
              <w:snapToGrid w:val="0"/>
              <w:spacing w:line="360" w:lineRule="exact"/>
              <w:jc w:val="center"/>
              <w:rPr>
                <w:rFonts w:ascii="宋体" w:hAnsi="宋体" w:cs="宋体"/>
                <w:color w:val="auto"/>
                <w:szCs w:val="21"/>
                <w:highlight w:val="none"/>
              </w:rPr>
            </w:pPr>
          </w:p>
        </w:tc>
        <w:tc>
          <w:tcPr>
            <w:tcW w:w="523" w:type="pct"/>
            <w:tcBorders>
              <w:right w:val="single" w:color="auto" w:sz="4" w:space="0"/>
            </w:tcBorders>
            <w:vAlign w:val="center"/>
          </w:tcPr>
          <w:p w14:paraId="680E7322">
            <w:pPr>
              <w:spacing w:line="360" w:lineRule="exact"/>
              <w:jc w:val="center"/>
              <w:rPr>
                <w:rFonts w:ascii="宋体" w:hAnsi="宋体" w:cs="宋体"/>
                <w:color w:val="auto"/>
                <w:szCs w:val="21"/>
                <w:highlight w:val="none"/>
              </w:rPr>
            </w:pPr>
            <w:r>
              <w:rPr>
                <w:rFonts w:hint="eastAsia" w:ascii="宋体" w:hAnsi="宋体" w:cs="宋体"/>
                <w:color w:val="auto"/>
                <w:highlight w:val="none"/>
              </w:rPr>
              <w:t>48.8</w:t>
            </w:r>
          </w:p>
        </w:tc>
        <w:tc>
          <w:tcPr>
            <w:tcW w:w="2290" w:type="pct"/>
            <w:tcBorders>
              <w:left w:val="single" w:color="auto" w:sz="4" w:space="0"/>
            </w:tcBorders>
          </w:tcPr>
          <w:p w14:paraId="0D63C34F">
            <w:pPr>
              <w:spacing w:line="360" w:lineRule="exact"/>
              <w:jc w:val="left"/>
              <w:rPr>
                <w:rFonts w:ascii="宋体" w:hAnsi="宋体" w:cs="宋体"/>
                <w:color w:val="auto"/>
                <w:highlight w:val="none"/>
              </w:rPr>
            </w:pPr>
            <w:r>
              <w:rPr>
                <w:rFonts w:hint="eastAsia" w:ascii="宋体" w:hAnsi="宋体" w:cs="宋体"/>
                <w:color w:val="auto"/>
                <w:highlight w:val="none"/>
              </w:rPr>
              <w:t>1.设备需求：全能麻醉系统</w:t>
            </w:r>
          </w:p>
          <w:p w14:paraId="47486D03">
            <w:pPr>
              <w:spacing w:line="360" w:lineRule="exact"/>
              <w:jc w:val="left"/>
              <w:rPr>
                <w:rFonts w:ascii="宋体" w:hAnsi="宋体" w:cs="宋体"/>
                <w:color w:val="auto"/>
                <w:highlight w:val="none"/>
              </w:rPr>
            </w:pPr>
            <w:r>
              <w:rPr>
                <w:rFonts w:hint="eastAsia" w:ascii="宋体" w:hAnsi="宋体" w:cs="宋体"/>
                <w:color w:val="auto"/>
                <w:highlight w:val="none"/>
              </w:rPr>
              <w:t>2.技术规格：</w:t>
            </w:r>
          </w:p>
          <w:p w14:paraId="408AF896">
            <w:pPr>
              <w:spacing w:line="360" w:lineRule="exact"/>
              <w:jc w:val="left"/>
              <w:rPr>
                <w:rFonts w:ascii="宋体" w:hAnsi="宋体" w:cs="宋体"/>
                <w:color w:val="auto"/>
                <w:highlight w:val="none"/>
              </w:rPr>
            </w:pPr>
            <w:r>
              <w:rPr>
                <w:rFonts w:hint="eastAsia" w:ascii="宋体" w:hAnsi="宋体" w:cs="宋体"/>
                <w:color w:val="auto"/>
                <w:highlight w:val="none"/>
              </w:rPr>
              <w:t>2.1工作条件及基本配件</w:t>
            </w:r>
          </w:p>
          <w:p w14:paraId="2E6F6CEF">
            <w:pPr>
              <w:spacing w:line="360" w:lineRule="exact"/>
              <w:jc w:val="left"/>
              <w:rPr>
                <w:rFonts w:ascii="宋体" w:hAnsi="宋体" w:cs="宋体"/>
                <w:color w:val="auto"/>
                <w:highlight w:val="none"/>
              </w:rPr>
            </w:pPr>
            <w:r>
              <w:rPr>
                <w:rFonts w:hint="eastAsia" w:ascii="宋体" w:hAnsi="宋体" w:cs="宋体"/>
                <w:color w:val="auto"/>
                <w:highlight w:val="none"/>
              </w:rPr>
              <w:t>2.1.1工作环境，温度：10℃-40℃，湿度：15%-95%。</w:t>
            </w:r>
          </w:p>
          <w:p w14:paraId="03B2C985">
            <w:pPr>
              <w:spacing w:line="360" w:lineRule="exact"/>
              <w:jc w:val="left"/>
              <w:rPr>
                <w:rFonts w:ascii="宋体" w:hAnsi="宋体" w:cs="宋体"/>
                <w:color w:val="auto"/>
                <w:highlight w:val="none"/>
              </w:rPr>
            </w:pPr>
            <w:r>
              <w:rPr>
                <w:rFonts w:hint="eastAsia" w:ascii="宋体" w:hAnsi="宋体" w:cs="宋体"/>
                <w:color w:val="auto"/>
                <w:highlight w:val="none"/>
              </w:rPr>
              <w:t>2.1.2电源：220V-240V，50/60Hz，支持辅助电源接口。</w:t>
            </w:r>
          </w:p>
          <w:p w14:paraId="7CE9ABBC">
            <w:pPr>
              <w:spacing w:line="360" w:lineRule="exact"/>
              <w:jc w:val="left"/>
              <w:rPr>
                <w:rFonts w:ascii="宋体" w:hAnsi="宋体" w:cs="宋体"/>
                <w:color w:val="auto"/>
                <w:highlight w:val="none"/>
              </w:rPr>
            </w:pPr>
            <w:r>
              <w:rPr>
                <w:rFonts w:hint="eastAsia" w:ascii="宋体" w:hAnsi="宋体" w:cs="宋体"/>
                <w:color w:val="auto"/>
                <w:highlight w:val="none"/>
              </w:rPr>
              <w:t>2.1.3 配锂电池(非铅酸)后备电池，支持 1 块电池使用时间≥85 分钟，2 块电池使用时间≥175分钟。</w:t>
            </w:r>
          </w:p>
          <w:p w14:paraId="2B6E42E2">
            <w:pPr>
              <w:spacing w:line="360" w:lineRule="exact"/>
              <w:jc w:val="left"/>
              <w:rPr>
                <w:rFonts w:ascii="宋体" w:hAnsi="宋体" w:cs="宋体"/>
                <w:color w:val="auto"/>
                <w:highlight w:val="none"/>
              </w:rPr>
            </w:pPr>
            <w:r>
              <w:rPr>
                <w:rFonts w:hint="eastAsia" w:ascii="宋体" w:hAnsi="宋体" w:cs="宋体"/>
                <w:color w:val="auto"/>
                <w:highlight w:val="none"/>
              </w:rPr>
              <w:t>2.1.4配辅助电源接口≥4 个。</w:t>
            </w:r>
          </w:p>
          <w:p w14:paraId="4008AE0B">
            <w:pPr>
              <w:spacing w:line="360" w:lineRule="exact"/>
              <w:jc w:val="left"/>
              <w:rPr>
                <w:rFonts w:ascii="宋体" w:hAnsi="宋体" w:cs="宋体"/>
                <w:color w:val="auto"/>
                <w:highlight w:val="none"/>
              </w:rPr>
            </w:pPr>
            <w:r>
              <w:rPr>
                <w:rFonts w:hint="eastAsia" w:ascii="宋体" w:hAnsi="宋体" w:cs="宋体"/>
                <w:color w:val="auto"/>
                <w:highlight w:val="none"/>
              </w:rPr>
              <w:t>2.1.5接口：1个LAN 接口支持网络和软件升级，1个RS-232 接口，1个视频信号接口，2个USB接口；1个无线网卡的网络接口。</w:t>
            </w:r>
          </w:p>
          <w:p w14:paraId="2809C2F3">
            <w:pPr>
              <w:spacing w:line="360" w:lineRule="exact"/>
              <w:jc w:val="left"/>
              <w:rPr>
                <w:rFonts w:ascii="宋体" w:hAnsi="宋体" w:cs="宋体"/>
                <w:color w:val="auto"/>
                <w:highlight w:val="none"/>
              </w:rPr>
            </w:pPr>
            <w:r>
              <w:rPr>
                <w:rFonts w:hint="eastAsia" w:ascii="宋体" w:hAnsi="宋体" w:cs="宋体"/>
                <w:color w:val="auto"/>
                <w:highlight w:val="none"/>
              </w:rPr>
              <w:t>2.1.6要求机架支持中央刹车系统，大脚轮配有防缆线缠绕功能，带工作台侧栏杆推车，可选配折叠辅助工作台。</w:t>
            </w:r>
          </w:p>
          <w:p w14:paraId="1988ADC9">
            <w:pPr>
              <w:pStyle w:val="17"/>
              <w:rPr>
                <w:rFonts w:ascii="宋体" w:hAnsi="宋体" w:cs="宋体"/>
                <w:color w:val="auto"/>
                <w:highlight w:val="none"/>
              </w:rPr>
            </w:pPr>
            <w:r>
              <w:rPr>
                <w:rFonts w:hint="eastAsia" w:ascii="宋体" w:hAnsi="宋体" w:cs="宋体"/>
                <w:b/>
                <w:color w:val="auto"/>
                <w:highlight w:val="none"/>
              </w:rPr>
              <w:t>▲2.1.7 显示屏可360度旋转，俯仰角度可调节，保证站姿和坐姿都能操作。</w:t>
            </w:r>
          </w:p>
          <w:p w14:paraId="2B7FB2C4">
            <w:pPr>
              <w:spacing w:line="360" w:lineRule="exact"/>
              <w:jc w:val="left"/>
              <w:rPr>
                <w:rFonts w:ascii="宋体" w:hAnsi="宋体" w:cs="宋体"/>
                <w:color w:val="auto"/>
                <w:highlight w:val="none"/>
              </w:rPr>
            </w:pPr>
            <w:r>
              <w:rPr>
                <w:rFonts w:hint="eastAsia" w:ascii="宋体" w:hAnsi="宋体" w:cs="宋体"/>
                <w:color w:val="auto"/>
                <w:highlight w:val="none"/>
              </w:rPr>
              <w:t>2.1.8支持内窥镜手术模式：具备工作台照明光，且亮度可调，能够在黑暗环境中提供麻醉机工作台面照明。</w:t>
            </w:r>
          </w:p>
          <w:p w14:paraId="5CF9CC43">
            <w:pPr>
              <w:spacing w:line="360" w:lineRule="exact"/>
              <w:jc w:val="left"/>
              <w:rPr>
                <w:rFonts w:ascii="宋体" w:hAnsi="宋体" w:cs="宋体"/>
                <w:color w:val="auto"/>
                <w:highlight w:val="none"/>
              </w:rPr>
            </w:pPr>
            <w:r>
              <w:rPr>
                <w:rFonts w:hint="eastAsia" w:ascii="宋体" w:hAnsi="宋体" w:cs="宋体"/>
                <w:color w:val="auto"/>
                <w:highlight w:val="none"/>
              </w:rPr>
              <w:t>2.1.9非待机状态转动关机旋钮，主机具备 10 秒延迟关机功能，以避免误操作保证病人安全。</w:t>
            </w:r>
          </w:p>
          <w:p w14:paraId="761E15FB">
            <w:pPr>
              <w:spacing w:line="360" w:lineRule="exact"/>
              <w:jc w:val="left"/>
              <w:rPr>
                <w:rFonts w:ascii="宋体" w:hAnsi="宋体" w:cs="宋体"/>
                <w:color w:val="auto"/>
                <w:highlight w:val="none"/>
              </w:rPr>
            </w:pPr>
            <w:r>
              <w:rPr>
                <w:rFonts w:hint="eastAsia" w:ascii="宋体" w:hAnsi="宋体" w:cs="宋体"/>
                <w:color w:val="auto"/>
                <w:highlight w:val="none"/>
              </w:rPr>
              <w:t>2.1.10用于对成人、儿童和新生儿的吸入麻醉及呼吸管理。</w:t>
            </w:r>
          </w:p>
          <w:p w14:paraId="7B3E30BF">
            <w:pPr>
              <w:spacing w:line="360" w:lineRule="exact"/>
              <w:jc w:val="left"/>
              <w:rPr>
                <w:rFonts w:ascii="宋体" w:hAnsi="宋体" w:cs="宋体"/>
                <w:color w:val="auto"/>
                <w:highlight w:val="none"/>
              </w:rPr>
            </w:pPr>
            <w:r>
              <w:rPr>
                <w:rFonts w:hint="eastAsia" w:ascii="宋体" w:hAnsi="宋体" w:cs="宋体"/>
                <w:color w:val="auto"/>
                <w:highlight w:val="none"/>
              </w:rPr>
              <w:t>2.1.11备用流量控制系统具备隐藏门设计，避免平时状态被误触碰。</w:t>
            </w:r>
          </w:p>
          <w:p w14:paraId="1BE10540">
            <w:pPr>
              <w:spacing w:line="360" w:lineRule="exact"/>
              <w:jc w:val="left"/>
              <w:rPr>
                <w:rFonts w:ascii="宋体" w:hAnsi="宋体" w:cs="宋体"/>
                <w:color w:val="auto"/>
                <w:highlight w:val="none"/>
              </w:rPr>
            </w:pPr>
            <w:r>
              <w:rPr>
                <w:rFonts w:hint="eastAsia" w:ascii="宋体" w:hAnsi="宋体" w:cs="宋体"/>
                <w:color w:val="auto"/>
                <w:highlight w:val="none"/>
              </w:rPr>
              <w:t>2.2气源</w:t>
            </w:r>
          </w:p>
          <w:p w14:paraId="22933774">
            <w:pPr>
              <w:spacing w:line="360" w:lineRule="exact"/>
              <w:jc w:val="left"/>
              <w:rPr>
                <w:rFonts w:ascii="宋体" w:hAnsi="宋体" w:cs="宋体"/>
                <w:color w:val="auto"/>
                <w:highlight w:val="none"/>
              </w:rPr>
            </w:pPr>
            <w:r>
              <w:rPr>
                <w:rFonts w:hint="eastAsia" w:ascii="宋体" w:hAnsi="宋体" w:cs="宋体"/>
                <w:color w:val="auto"/>
                <w:highlight w:val="none"/>
              </w:rPr>
              <w:t>2.2.1标配氧气、空气两气源。</w:t>
            </w:r>
          </w:p>
          <w:p w14:paraId="04C31065">
            <w:pPr>
              <w:spacing w:line="360" w:lineRule="exact"/>
              <w:jc w:val="left"/>
              <w:rPr>
                <w:rFonts w:ascii="宋体" w:hAnsi="宋体" w:cs="宋体"/>
                <w:color w:val="auto"/>
                <w:highlight w:val="none"/>
              </w:rPr>
            </w:pPr>
            <w:r>
              <w:rPr>
                <w:rFonts w:hint="eastAsia" w:ascii="宋体" w:hAnsi="宋体" w:cs="宋体"/>
                <w:color w:val="auto"/>
                <w:highlight w:val="none"/>
              </w:rPr>
              <w:t>2.2.2具备氧笑联动系统，保证接入氧气和笑气时氧浓度不低于25%。</w:t>
            </w:r>
          </w:p>
          <w:p w14:paraId="4A58AF75">
            <w:pPr>
              <w:spacing w:line="360" w:lineRule="exact"/>
              <w:jc w:val="left"/>
              <w:rPr>
                <w:rFonts w:ascii="宋体" w:hAnsi="宋体" w:cs="宋体"/>
                <w:color w:val="auto"/>
                <w:highlight w:val="none"/>
              </w:rPr>
            </w:pPr>
            <w:r>
              <w:rPr>
                <w:rFonts w:hint="eastAsia" w:ascii="宋体" w:hAnsi="宋体" w:cs="宋体"/>
                <w:color w:val="auto"/>
                <w:highlight w:val="none"/>
              </w:rPr>
              <w:t>2.2.3快速充氧范围25-75L/min。</w:t>
            </w:r>
          </w:p>
          <w:p w14:paraId="47500142">
            <w:pPr>
              <w:spacing w:line="360" w:lineRule="exact"/>
              <w:jc w:val="left"/>
              <w:rPr>
                <w:rFonts w:ascii="宋体" w:hAnsi="宋体" w:cs="宋体"/>
                <w:color w:val="auto"/>
                <w:highlight w:val="none"/>
              </w:rPr>
            </w:pPr>
            <w:r>
              <w:rPr>
                <w:rFonts w:hint="eastAsia" w:ascii="宋体" w:hAnsi="宋体" w:cs="宋体"/>
                <w:color w:val="auto"/>
                <w:highlight w:val="none"/>
              </w:rPr>
              <w:t>2.3流量计</w:t>
            </w:r>
          </w:p>
          <w:p w14:paraId="634D0E13">
            <w:pPr>
              <w:spacing w:line="360" w:lineRule="exact"/>
              <w:jc w:val="left"/>
              <w:rPr>
                <w:rFonts w:ascii="宋体" w:hAnsi="宋体" w:cs="宋体"/>
                <w:color w:val="auto"/>
                <w:highlight w:val="none"/>
              </w:rPr>
            </w:pPr>
            <w:r>
              <w:rPr>
                <w:rFonts w:hint="eastAsia" w:ascii="宋体" w:hAnsi="宋体" w:cs="宋体"/>
                <w:color w:val="auto"/>
                <w:highlight w:val="none"/>
              </w:rPr>
              <w:t>2.3.1电子显示流量计，空气范围： 0L/min～15L/min，氧气范围：0L/min～15L/min，笑气范围：0L/min～12L/min。</w:t>
            </w:r>
          </w:p>
          <w:p w14:paraId="1E21EB96">
            <w:pPr>
              <w:spacing w:line="360" w:lineRule="exact"/>
              <w:jc w:val="left"/>
              <w:rPr>
                <w:rFonts w:ascii="宋体" w:hAnsi="宋体" w:cs="宋体"/>
                <w:color w:val="auto"/>
                <w:highlight w:val="none"/>
              </w:rPr>
            </w:pPr>
            <w:r>
              <w:rPr>
                <w:rFonts w:hint="eastAsia" w:ascii="宋体" w:hAnsi="宋体" w:cs="宋体"/>
                <w:color w:val="auto"/>
                <w:highlight w:val="none"/>
              </w:rPr>
              <w:t>2.3.2电子流量计配备各支路流量数字显示和屏幕虚拟流量管显示，屏幕可显示新鲜气体设置总流量和氧浓度。</w:t>
            </w:r>
          </w:p>
          <w:p w14:paraId="16579690">
            <w:pPr>
              <w:spacing w:line="360" w:lineRule="exact"/>
              <w:jc w:val="left"/>
              <w:rPr>
                <w:rFonts w:ascii="宋体" w:hAnsi="宋体" w:cs="宋体"/>
                <w:color w:val="auto"/>
                <w:highlight w:val="none"/>
              </w:rPr>
            </w:pPr>
            <w:r>
              <w:rPr>
                <w:rFonts w:hint="eastAsia" w:ascii="宋体" w:hAnsi="宋体" w:cs="宋体"/>
                <w:color w:val="auto"/>
                <w:highlight w:val="none"/>
              </w:rPr>
              <w:t>2.3.3具备可直观的适宜低流量麻醉的新鲜气体流量指示工具。</w:t>
            </w:r>
          </w:p>
          <w:p w14:paraId="3937C736">
            <w:pPr>
              <w:spacing w:line="360" w:lineRule="exact"/>
              <w:jc w:val="left"/>
              <w:rPr>
                <w:rFonts w:ascii="宋体" w:hAnsi="宋体" w:cs="宋体"/>
                <w:color w:val="auto"/>
                <w:highlight w:val="none"/>
              </w:rPr>
            </w:pPr>
            <w:r>
              <w:rPr>
                <w:rFonts w:hint="eastAsia" w:ascii="宋体" w:hAnsi="宋体" w:cs="宋体"/>
                <w:color w:val="auto"/>
                <w:highlight w:val="none"/>
              </w:rPr>
              <w:t>2.3.4具备麻药消耗量统计功能。</w:t>
            </w:r>
          </w:p>
          <w:p w14:paraId="2BE24599">
            <w:pPr>
              <w:spacing w:line="360" w:lineRule="exact"/>
              <w:jc w:val="left"/>
              <w:rPr>
                <w:rFonts w:ascii="宋体" w:hAnsi="宋体" w:cs="宋体"/>
                <w:color w:val="auto"/>
                <w:highlight w:val="none"/>
              </w:rPr>
            </w:pPr>
            <w:r>
              <w:rPr>
                <w:rFonts w:hint="eastAsia" w:ascii="宋体" w:hAnsi="宋体" w:cs="宋体"/>
                <w:color w:val="auto"/>
                <w:highlight w:val="none"/>
              </w:rPr>
              <w:t>2.3.5具备辅助吸氧流量计。</w:t>
            </w:r>
          </w:p>
          <w:p w14:paraId="2294D666">
            <w:pPr>
              <w:pStyle w:val="17"/>
              <w:rPr>
                <w:rFonts w:ascii="宋体" w:hAnsi="宋体" w:cs="宋体"/>
                <w:b/>
                <w:bCs/>
                <w:color w:val="auto"/>
                <w:highlight w:val="none"/>
              </w:rPr>
            </w:pPr>
            <w:r>
              <w:rPr>
                <w:rFonts w:hint="eastAsia" w:ascii="宋体" w:hAnsi="宋体" w:cs="宋体"/>
                <w:b/>
                <w:bCs/>
                <w:color w:val="auto"/>
                <w:highlight w:val="none"/>
              </w:rPr>
              <w:t>2.3.6配备高流量给氧功能或提供高流量给氧单机，流量范围2-80 L/min，氧浓度设置范围21~100%</w:t>
            </w:r>
            <w:r>
              <w:rPr>
                <w:rFonts w:hint="eastAsia"/>
                <w:b/>
                <w:bCs/>
                <w:color w:val="auto"/>
                <w:highlight w:val="none"/>
              </w:rPr>
              <w:t>(投标人于投标文件中提供符合此项技术要求的相关有效证明材料复印件，可以是产品说明书或官方可查询的彩页或由国家认可的第三方检测机构出具的检测报告复印件</w:t>
            </w:r>
            <w:r>
              <w:rPr>
                <w:rFonts w:hint="eastAsia"/>
                <w:b/>
                <w:bCs/>
                <w:color w:val="auto"/>
                <w:highlight w:val="none"/>
                <w:lang w:eastAsia="zh-CN"/>
              </w:rPr>
              <w:t>等</w:t>
            </w:r>
            <w:r>
              <w:rPr>
                <w:rFonts w:hint="eastAsia"/>
                <w:b/>
                <w:bCs/>
                <w:color w:val="auto"/>
                <w:highlight w:val="none"/>
              </w:rPr>
              <w:t>，并加盖投标人电子签章)</w:t>
            </w:r>
            <w:r>
              <w:rPr>
                <w:rFonts w:hint="eastAsia" w:ascii="宋体" w:hAnsi="宋体" w:cs="宋体"/>
                <w:b/>
                <w:bCs/>
                <w:color w:val="auto"/>
                <w:highlight w:val="none"/>
              </w:rPr>
              <w:t>。</w:t>
            </w:r>
          </w:p>
          <w:p w14:paraId="42F1DC66">
            <w:pPr>
              <w:spacing w:line="360" w:lineRule="exact"/>
              <w:jc w:val="left"/>
              <w:rPr>
                <w:rFonts w:ascii="宋体" w:hAnsi="宋体" w:cs="宋体"/>
                <w:color w:val="auto"/>
                <w:highlight w:val="none"/>
              </w:rPr>
            </w:pPr>
            <w:r>
              <w:rPr>
                <w:rFonts w:hint="eastAsia" w:ascii="宋体" w:hAnsi="宋体" w:cs="宋体"/>
                <w:color w:val="auto"/>
                <w:highlight w:val="none"/>
              </w:rPr>
              <w:t>2.4 挥发罐</w:t>
            </w:r>
          </w:p>
          <w:p w14:paraId="53A10A9F">
            <w:pPr>
              <w:spacing w:line="360" w:lineRule="exact"/>
              <w:jc w:val="left"/>
              <w:rPr>
                <w:rFonts w:ascii="宋体" w:hAnsi="宋体" w:cs="宋体"/>
                <w:color w:val="auto"/>
                <w:highlight w:val="none"/>
              </w:rPr>
            </w:pPr>
            <w:r>
              <w:rPr>
                <w:rFonts w:hint="eastAsia" w:ascii="宋体" w:hAnsi="宋体" w:cs="宋体"/>
                <w:color w:val="auto"/>
                <w:highlight w:val="none"/>
              </w:rPr>
              <w:t>2.4.1 标配双麻醉罐位</w:t>
            </w:r>
          </w:p>
          <w:p w14:paraId="6421603C">
            <w:pPr>
              <w:pStyle w:val="17"/>
              <w:rPr>
                <w:rFonts w:ascii="宋体" w:hAnsi="宋体" w:cs="宋体"/>
                <w:color w:val="auto"/>
                <w:szCs w:val="21"/>
                <w:highlight w:val="none"/>
              </w:rPr>
            </w:pPr>
            <w:r>
              <w:rPr>
                <w:rFonts w:hint="eastAsia" w:ascii="宋体" w:hAnsi="宋体" w:cs="宋体"/>
                <w:b/>
                <w:bCs/>
                <w:color w:val="auto"/>
                <w:szCs w:val="21"/>
                <w:highlight w:val="none"/>
              </w:rPr>
              <w:t>2.4.2标配一个七氟醚挥发罐，挥发罐和主机为</w:t>
            </w:r>
            <w:r>
              <w:rPr>
                <w:rFonts w:hint="eastAsia"/>
                <w:b/>
                <w:bCs/>
                <w:color w:val="auto"/>
                <w:highlight w:val="none"/>
              </w:rPr>
              <w:t>同一生产厂家生产的产品，</w:t>
            </w:r>
            <w:r>
              <w:rPr>
                <w:rFonts w:hint="eastAsia" w:ascii="宋体" w:hAnsi="宋体" w:cs="宋体"/>
                <w:b/>
                <w:bCs/>
                <w:color w:val="auto"/>
                <w:szCs w:val="21"/>
                <w:highlight w:val="none"/>
              </w:rPr>
              <w:t>非其他品牌代工贴牌（非 OEM）产品，具备压力、流速和温度补偿</w:t>
            </w:r>
            <w:r>
              <w:rPr>
                <w:rFonts w:hint="eastAsia"/>
                <w:b/>
                <w:bCs/>
                <w:color w:val="auto"/>
                <w:highlight w:val="none"/>
              </w:rPr>
              <w:t>(投标人于投标文件中提供符合此项技术要求的相关有效证明材料复印件，可以是产品说明书或官方可查询的彩页或由国家认可的第三方检测机构出具的检测报告复印件</w:t>
            </w:r>
            <w:r>
              <w:rPr>
                <w:rFonts w:hint="eastAsia"/>
                <w:b/>
                <w:bCs/>
                <w:color w:val="auto"/>
                <w:highlight w:val="none"/>
                <w:lang w:eastAsia="zh-CN"/>
              </w:rPr>
              <w:t>等</w:t>
            </w:r>
            <w:r>
              <w:rPr>
                <w:rFonts w:hint="eastAsia"/>
                <w:b/>
                <w:bCs/>
                <w:color w:val="auto"/>
                <w:highlight w:val="none"/>
              </w:rPr>
              <w:t>，并加盖投标人电子签章)</w:t>
            </w:r>
            <w:r>
              <w:rPr>
                <w:rFonts w:hint="eastAsia" w:ascii="宋体" w:hAnsi="宋体" w:cs="宋体"/>
                <w:b/>
                <w:bCs/>
                <w:color w:val="auto"/>
                <w:szCs w:val="21"/>
                <w:highlight w:val="none"/>
              </w:rPr>
              <w:t>。</w:t>
            </w:r>
          </w:p>
          <w:p w14:paraId="6F75BBE7">
            <w:pPr>
              <w:pStyle w:val="17"/>
              <w:rPr>
                <w:rFonts w:ascii="宋体" w:hAnsi="宋体" w:cs="宋体"/>
                <w:b/>
                <w:color w:val="auto"/>
                <w:szCs w:val="21"/>
                <w:highlight w:val="none"/>
              </w:rPr>
            </w:pPr>
            <w:r>
              <w:rPr>
                <w:rFonts w:hint="eastAsia" w:ascii="宋体" w:hAnsi="宋体" w:cs="宋体"/>
                <w:b/>
                <w:color w:val="auto"/>
                <w:szCs w:val="21"/>
                <w:highlight w:val="none"/>
              </w:rPr>
              <w:t>2.4.3 可支持升级选配同品牌地氟醚挥发罐，挥发罐和主机为</w:t>
            </w:r>
            <w:r>
              <w:rPr>
                <w:rFonts w:hint="eastAsia"/>
                <w:b/>
                <w:bCs/>
                <w:color w:val="auto"/>
                <w:highlight w:val="none"/>
              </w:rPr>
              <w:t>同一生产厂家生产的产品(投标人于投标文件中提供符合此项技术要求的相关有效证明材料复印件，可以是产品说明书或官方可查询的彩页或由国家认可的第三方检测机构出具的检测报告复印件</w:t>
            </w:r>
            <w:r>
              <w:rPr>
                <w:rFonts w:hint="eastAsia"/>
                <w:b/>
                <w:bCs/>
                <w:color w:val="auto"/>
                <w:highlight w:val="none"/>
                <w:lang w:eastAsia="zh-CN"/>
              </w:rPr>
              <w:t>等</w:t>
            </w:r>
            <w:r>
              <w:rPr>
                <w:rFonts w:hint="eastAsia"/>
                <w:b/>
                <w:bCs/>
                <w:color w:val="auto"/>
                <w:highlight w:val="none"/>
              </w:rPr>
              <w:t>，并加盖投标人电子签章)</w:t>
            </w:r>
            <w:r>
              <w:rPr>
                <w:rFonts w:hint="eastAsia" w:ascii="宋体" w:hAnsi="宋体" w:cs="宋体"/>
                <w:b/>
                <w:bCs/>
                <w:color w:val="auto"/>
                <w:szCs w:val="21"/>
                <w:highlight w:val="none"/>
              </w:rPr>
              <w:t>。</w:t>
            </w:r>
          </w:p>
          <w:p w14:paraId="12B69285">
            <w:pPr>
              <w:spacing w:line="360" w:lineRule="exact"/>
              <w:jc w:val="left"/>
              <w:rPr>
                <w:rFonts w:ascii="宋体" w:hAnsi="宋体" w:cs="宋体"/>
                <w:color w:val="auto"/>
                <w:highlight w:val="none"/>
              </w:rPr>
            </w:pPr>
            <w:r>
              <w:rPr>
                <w:rFonts w:hint="eastAsia" w:ascii="宋体" w:hAnsi="宋体" w:cs="宋体"/>
                <w:color w:val="auto"/>
                <w:highlight w:val="none"/>
              </w:rPr>
              <w:t>2.5呼吸回路</w:t>
            </w:r>
          </w:p>
          <w:p w14:paraId="011FA6B4">
            <w:pPr>
              <w:spacing w:line="360" w:lineRule="exact"/>
              <w:jc w:val="left"/>
              <w:rPr>
                <w:rFonts w:ascii="宋体" w:hAnsi="宋体" w:cs="宋体"/>
                <w:color w:val="auto"/>
                <w:highlight w:val="none"/>
              </w:rPr>
            </w:pPr>
            <w:r>
              <w:rPr>
                <w:rFonts w:hint="eastAsia" w:ascii="宋体" w:hAnsi="宋体" w:cs="宋体"/>
                <w:color w:val="auto"/>
                <w:highlight w:val="none"/>
              </w:rPr>
              <w:t>2.5.1一体化集成回路，具有可观测的吸气呼气单向阀，机械气道压力表以及手动/机控切换开关。</w:t>
            </w:r>
          </w:p>
          <w:p w14:paraId="364AE537">
            <w:pPr>
              <w:spacing w:line="360" w:lineRule="exact"/>
              <w:jc w:val="left"/>
              <w:rPr>
                <w:rFonts w:ascii="宋体" w:hAnsi="宋体" w:cs="宋体"/>
                <w:color w:val="auto"/>
                <w:highlight w:val="none"/>
              </w:rPr>
            </w:pPr>
            <w:r>
              <w:rPr>
                <w:rFonts w:hint="eastAsia" w:ascii="宋体" w:hAnsi="宋体" w:cs="宋体"/>
                <w:color w:val="auto"/>
                <w:highlight w:val="none"/>
              </w:rPr>
              <w:t>2.5.2回路部件可以耐受 134℃高温高压消毒以避免院内交叉感染(包括流量传感器)。</w:t>
            </w:r>
          </w:p>
          <w:p w14:paraId="72482DB2">
            <w:pPr>
              <w:spacing w:line="360" w:lineRule="exact"/>
              <w:jc w:val="left"/>
              <w:rPr>
                <w:rFonts w:ascii="宋体" w:hAnsi="宋体" w:cs="宋体"/>
                <w:b/>
                <w:color w:val="auto"/>
                <w:highlight w:val="none"/>
              </w:rPr>
            </w:pPr>
            <w:r>
              <w:rPr>
                <w:rFonts w:hint="eastAsia" w:ascii="宋体" w:hAnsi="宋体" w:cs="宋体"/>
                <w:b/>
                <w:color w:val="auto"/>
                <w:highlight w:val="none"/>
              </w:rPr>
              <w:t>▲2.5.3二氧化碳吸收罐，容积≤1500ml，满足临床低微流量麻醉需要。</w:t>
            </w:r>
          </w:p>
          <w:p w14:paraId="560DEC3D">
            <w:pPr>
              <w:spacing w:line="360" w:lineRule="exact"/>
              <w:jc w:val="left"/>
              <w:rPr>
                <w:rFonts w:ascii="宋体" w:hAnsi="宋体" w:cs="宋体"/>
                <w:color w:val="auto"/>
                <w:highlight w:val="none"/>
              </w:rPr>
            </w:pPr>
            <w:r>
              <w:rPr>
                <w:rFonts w:hint="eastAsia" w:ascii="宋体" w:hAnsi="宋体" w:cs="宋体"/>
                <w:color w:val="auto"/>
                <w:highlight w:val="none"/>
              </w:rPr>
              <w:t>2.5.4内置双流量传感器，分别在吸入端，呼出端，流量传感器采购人无需工具可自行校准。</w:t>
            </w:r>
          </w:p>
          <w:p w14:paraId="6F2CD39F">
            <w:pPr>
              <w:spacing w:line="360" w:lineRule="exact"/>
              <w:jc w:val="left"/>
              <w:rPr>
                <w:rFonts w:ascii="宋体" w:hAnsi="宋体" w:cs="宋体"/>
                <w:color w:val="auto"/>
                <w:highlight w:val="none"/>
              </w:rPr>
            </w:pPr>
            <w:r>
              <w:rPr>
                <w:rFonts w:hint="eastAsia" w:ascii="宋体" w:hAnsi="宋体" w:cs="宋体"/>
                <w:color w:val="auto"/>
                <w:highlight w:val="none"/>
              </w:rPr>
              <w:t>2.5.5具有回路整体加温功能，保证回路不受积水影响，保证流量传感器精准及向病人提供温暖气体，避免对呼吸道的刺激。</w:t>
            </w:r>
          </w:p>
          <w:p w14:paraId="25BF7772">
            <w:pPr>
              <w:spacing w:line="360" w:lineRule="exact"/>
              <w:jc w:val="left"/>
              <w:rPr>
                <w:rFonts w:ascii="宋体" w:hAnsi="宋体" w:cs="宋体"/>
                <w:color w:val="auto"/>
                <w:highlight w:val="none"/>
              </w:rPr>
            </w:pPr>
            <w:r>
              <w:rPr>
                <w:rFonts w:hint="eastAsia" w:ascii="宋体" w:hAnsi="宋体" w:cs="宋体"/>
                <w:color w:val="auto"/>
                <w:highlight w:val="none"/>
              </w:rPr>
              <w:t>2.5.6标配 CO</w:t>
            </w:r>
            <w:r>
              <w:rPr>
                <w:rFonts w:hint="eastAsia" w:ascii="宋体" w:hAnsi="宋体" w:cs="宋体"/>
                <w:color w:val="auto"/>
                <w:highlight w:val="none"/>
                <w:vertAlign w:val="subscript"/>
              </w:rPr>
              <w:t>2</w:t>
            </w:r>
            <w:r>
              <w:rPr>
                <w:rFonts w:hint="eastAsia" w:ascii="宋体" w:hAnsi="宋体" w:cs="宋体"/>
                <w:color w:val="auto"/>
                <w:highlight w:val="none"/>
              </w:rPr>
              <w:t xml:space="preserve"> 旁路功能，在机械通气过程中，更换钠石灰罐无需关停机械通气，可直接更换。</w:t>
            </w:r>
          </w:p>
          <w:p w14:paraId="3D560D7B">
            <w:pPr>
              <w:spacing w:line="360" w:lineRule="exact"/>
              <w:jc w:val="left"/>
              <w:rPr>
                <w:rFonts w:ascii="宋体" w:hAnsi="宋体" w:cs="宋体"/>
                <w:color w:val="auto"/>
                <w:highlight w:val="none"/>
              </w:rPr>
            </w:pPr>
            <w:r>
              <w:rPr>
                <w:rFonts w:hint="eastAsia" w:ascii="宋体" w:hAnsi="宋体" w:cs="宋体"/>
                <w:color w:val="auto"/>
                <w:highlight w:val="none"/>
              </w:rPr>
              <w:t>2.5.7具备智能回路识别报警系统，当钠石灰罐未安装到位时，机器能智能识别，并报警提示。</w:t>
            </w:r>
          </w:p>
          <w:p w14:paraId="295002F3">
            <w:pPr>
              <w:pStyle w:val="17"/>
              <w:rPr>
                <w:rFonts w:ascii="宋体" w:hAnsi="宋体" w:cs="宋体"/>
                <w:b/>
                <w:color w:val="auto"/>
                <w:highlight w:val="none"/>
              </w:rPr>
            </w:pPr>
            <w:r>
              <w:rPr>
                <w:rFonts w:hint="eastAsia" w:ascii="宋体" w:hAnsi="宋体" w:cs="宋体"/>
                <w:b/>
                <w:color w:val="auto"/>
                <w:highlight w:val="none"/>
              </w:rPr>
              <w:t>▲2.5.8 呼吸系统泄漏量≤65mL/min（在 3.0kPa 压力条件下）</w:t>
            </w:r>
            <w:r>
              <w:rPr>
                <w:rFonts w:hint="eastAsia" w:ascii="宋体" w:hAnsi="宋体" w:cs="宋体"/>
                <w:color w:val="auto"/>
                <w:highlight w:val="none"/>
              </w:rPr>
              <w:t>。</w:t>
            </w:r>
          </w:p>
          <w:p w14:paraId="7D8DE0E4">
            <w:pPr>
              <w:spacing w:line="360" w:lineRule="exact"/>
              <w:jc w:val="left"/>
              <w:rPr>
                <w:rFonts w:ascii="宋体" w:hAnsi="宋体" w:cs="宋体"/>
                <w:color w:val="auto"/>
                <w:highlight w:val="none"/>
              </w:rPr>
            </w:pPr>
            <w:r>
              <w:rPr>
                <w:rFonts w:hint="eastAsia" w:ascii="宋体" w:hAnsi="宋体" w:cs="宋体"/>
                <w:color w:val="auto"/>
                <w:highlight w:val="none"/>
              </w:rPr>
              <w:t>2.6 呼吸机</w:t>
            </w:r>
          </w:p>
          <w:p w14:paraId="46F98902">
            <w:pPr>
              <w:spacing w:line="360" w:lineRule="exact"/>
              <w:jc w:val="left"/>
              <w:rPr>
                <w:rFonts w:ascii="宋体" w:hAnsi="宋体" w:cs="宋体"/>
                <w:color w:val="auto"/>
                <w:highlight w:val="none"/>
              </w:rPr>
            </w:pPr>
            <w:r>
              <w:rPr>
                <w:rFonts w:hint="eastAsia" w:ascii="宋体" w:hAnsi="宋体" w:cs="宋体"/>
                <w:color w:val="auto"/>
                <w:highlight w:val="none"/>
              </w:rPr>
              <w:t>2.6.1气动电控呼吸机，全中文操作和显示。</w:t>
            </w:r>
          </w:p>
          <w:p w14:paraId="6E09E711">
            <w:pPr>
              <w:spacing w:line="360" w:lineRule="exact"/>
              <w:jc w:val="left"/>
              <w:rPr>
                <w:rFonts w:ascii="宋体" w:hAnsi="宋体" w:cs="宋体"/>
                <w:color w:val="auto"/>
                <w:highlight w:val="none"/>
              </w:rPr>
            </w:pPr>
            <w:r>
              <w:rPr>
                <w:rFonts w:hint="eastAsia" w:ascii="宋体" w:hAnsi="宋体" w:cs="宋体"/>
                <w:color w:val="auto"/>
                <w:highlight w:val="none"/>
              </w:rPr>
              <w:t>2.6.2提供辅助/控制通气，标配通气模式：VCV、PCV、压力控制容量保证通气（PCV-VG）和 SIMV（SIMV-VC、SIMV-PC）、PS 模式，</w:t>
            </w:r>
            <w:r>
              <w:rPr>
                <w:rFonts w:hint="eastAsia"/>
                <w:color w:val="auto"/>
                <w:highlight w:val="none"/>
              </w:rPr>
              <w:t>支持升级</w:t>
            </w:r>
            <w:r>
              <w:rPr>
                <w:rFonts w:hint="eastAsia" w:ascii="宋体" w:hAnsi="宋体" w:cs="宋体"/>
                <w:color w:val="auto"/>
                <w:highlight w:val="none"/>
              </w:rPr>
              <w:t>SIMV-VG、CPAP/PS、APRV 模式。</w:t>
            </w:r>
          </w:p>
          <w:p w14:paraId="0CF2731C">
            <w:pPr>
              <w:spacing w:line="360" w:lineRule="exact"/>
              <w:jc w:val="left"/>
              <w:rPr>
                <w:rFonts w:ascii="宋体" w:hAnsi="宋体" w:cs="宋体"/>
                <w:color w:val="auto"/>
                <w:highlight w:val="none"/>
              </w:rPr>
            </w:pPr>
            <w:r>
              <w:rPr>
                <w:rFonts w:hint="eastAsia" w:ascii="宋体" w:hAnsi="宋体" w:cs="宋体"/>
                <w:color w:val="auto"/>
                <w:highlight w:val="none"/>
              </w:rPr>
              <w:t>2.6.3可根据病人理想体重自动关联潮气量，调节潮气量时可显示潮气量/理想体重。</w:t>
            </w:r>
          </w:p>
          <w:p w14:paraId="4C36BD6E">
            <w:pPr>
              <w:spacing w:line="360" w:lineRule="exact"/>
              <w:jc w:val="left"/>
              <w:rPr>
                <w:rFonts w:ascii="宋体" w:hAnsi="宋体" w:cs="宋体"/>
                <w:color w:val="auto"/>
                <w:highlight w:val="none"/>
              </w:rPr>
            </w:pPr>
            <w:r>
              <w:rPr>
                <w:rFonts w:hint="eastAsia" w:ascii="宋体" w:hAnsi="宋体" w:cs="宋体"/>
                <w:color w:val="auto"/>
                <w:highlight w:val="none"/>
              </w:rPr>
              <w:t>2.6.4容量控制（VCV）潮气量设置范围：10ml-1500ml。</w:t>
            </w:r>
          </w:p>
          <w:p w14:paraId="6B0E1101">
            <w:pPr>
              <w:spacing w:line="360" w:lineRule="exact"/>
              <w:jc w:val="left"/>
              <w:rPr>
                <w:rFonts w:ascii="宋体" w:hAnsi="宋体" w:cs="宋体"/>
                <w:color w:val="auto"/>
                <w:highlight w:val="none"/>
              </w:rPr>
            </w:pPr>
            <w:r>
              <w:rPr>
                <w:rFonts w:hint="eastAsia" w:ascii="宋体" w:hAnsi="宋体" w:cs="宋体"/>
                <w:color w:val="auto"/>
                <w:highlight w:val="none"/>
              </w:rPr>
              <w:t>2.6.5吸气压力设置范围：5-70cmH</w:t>
            </w:r>
            <w:r>
              <w:rPr>
                <w:rFonts w:hint="eastAsia" w:ascii="宋体" w:hAnsi="宋体" w:cs="宋体"/>
                <w:color w:val="auto"/>
                <w:highlight w:val="none"/>
                <w:vertAlign w:val="subscript"/>
              </w:rPr>
              <w:t>2</w:t>
            </w:r>
            <w:r>
              <w:rPr>
                <w:rFonts w:hint="eastAsia" w:ascii="宋体" w:hAnsi="宋体" w:cs="宋体"/>
                <w:color w:val="auto"/>
                <w:highlight w:val="none"/>
              </w:rPr>
              <w:t>O。</w:t>
            </w:r>
          </w:p>
          <w:p w14:paraId="15AF50B9">
            <w:pPr>
              <w:spacing w:line="360" w:lineRule="exact"/>
              <w:jc w:val="left"/>
              <w:rPr>
                <w:rFonts w:ascii="宋体" w:hAnsi="宋体" w:cs="宋体"/>
                <w:color w:val="auto"/>
                <w:highlight w:val="none"/>
              </w:rPr>
            </w:pPr>
            <w:r>
              <w:rPr>
                <w:rFonts w:hint="eastAsia" w:ascii="宋体" w:hAnsi="宋体" w:cs="宋体"/>
                <w:color w:val="auto"/>
                <w:highlight w:val="none"/>
              </w:rPr>
              <w:t>2.6.6支持压力：0，3cmH</w:t>
            </w:r>
            <w:r>
              <w:rPr>
                <w:rFonts w:hint="eastAsia" w:ascii="宋体" w:hAnsi="宋体" w:cs="宋体"/>
                <w:color w:val="auto"/>
                <w:highlight w:val="none"/>
                <w:vertAlign w:val="subscript"/>
              </w:rPr>
              <w:t>2</w:t>
            </w:r>
            <w:r>
              <w:rPr>
                <w:rFonts w:hint="eastAsia" w:ascii="宋体" w:hAnsi="宋体" w:cs="宋体"/>
                <w:color w:val="auto"/>
                <w:highlight w:val="none"/>
              </w:rPr>
              <w:t>O～60cmH</w:t>
            </w:r>
            <w:r>
              <w:rPr>
                <w:rFonts w:hint="eastAsia" w:ascii="宋体" w:hAnsi="宋体" w:cs="宋体"/>
                <w:color w:val="auto"/>
                <w:highlight w:val="none"/>
                <w:vertAlign w:val="subscript"/>
              </w:rPr>
              <w:t>2</w:t>
            </w:r>
            <w:r>
              <w:rPr>
                <w:rFonts w:hint="eastAsia" w:ascii="宋体" w:hAnsi="宋体" w:cs="宋体"/>
                <w:color w:val="auto"/>
                <w:highlight w:val="none"/>
              </w:rPr>
              <w:t>O。</w:t>
            </w:r>
          </w:p>
          <w:p w14:paraId="01B87857">
            <w:pPr>
              <w:spacing w:line="360" w:lineRule="exact"/>
              <w:jc w:val="left"/>
              <w:rPr>
                <w:rFonts w:ascii="宋体" w:hAnsi="宋体" w:cs="宋体"/>
                <w:color w:val="auto"/>
                <w:highlight w:val="none"/>
              </w:rPr>
            </w:pPr>
            <w:r>
              <w:rPr>
                <w:rFonts w:hint="eastAsia" w:ascii="宋体" w:hAnsi="宋体" w:cs="宋体"/>
                <w:color w:val="auto"/>
                <w:highlight w:val="none"/>
              </w:rPr>
              <w:t>2.6.7呼吸频率：2-100次/分钟。</w:t>
            </w:r>
          </w:p>
          <w:p w14:paraId="1CED5EC0">
            <w:pPr>
              <w:spacing w:line="360" w:lineRule="exact"/>
              <w:jc w:val="left"/>
              <w:rPr>
                <w:rFonts w:ascii="宋体" w:hAnsi="宋体" w:cs="宋体"/>
                <w:color w:val="auto"/>
                <w:highlight w:val="none"/>
              </w:rPr>
            </w:pPr>
            <w:r>
              <w:rPr>
                <w:rFonts w:hint="eastAsia" w:ascii="宋体" w:hAnsi="宋体" w:cs="宋体"/>
                <w:color w:val="auto"/>
                <w:highlight w:val="none"/>
              </w:rPr>
              <w:t>2.6.8 吸呼比：4:1 到 1:10。</w:t>
            </w:r>
          </w:p>
          <w:p w14:paraId="5958A79E">
            <w:pPr>
              <w:spacing w:line="360" w:lineRule="exact"/>
              <w:jc w:val="left"/>
              <w:rPr>
                <w:rFonts w:ascii="宋体" w:hAnsi="宋体" w:cs="宋体"/>
                <w:color w:val="auto"/>
                <w:highlight w:val="none"/>
              </w:rPr>
            </w:pPr>
            <w:r>
              <w:rPr>
                <w:rFonts w:hint="eastAsia" w:ascii="宋体" w:hAnsi="宋体" w:cs="宋体"/>
                <w:color w:val="auto"/>
                <w:highlight w:val="none"/>
              </w:rPr>
              <w:t>2.6.9 压力限制范围：10-100 cmH</w:t>
            </w:r>
            <w:r>
              <w:rPr>
                <w:rFonts w:hint="eastAsia" w:ascii="宋体" w:hAnsi="宋体" w:cs="宋体"/>
                <w:color w:val="auto"/>
                <w:highlight w:val="none"/>
                <w:vertAlign w:val="subscript"/>
              </w:rPr>
              <w:t>2</w:t>
            </w:r>
            <w:r>
              <w:rPr>
                <w:rFonts w:hint="eastAsia" w:ascii="宋体" w:hAnsi="宋体" w:cs="宋体"/>
                <w:color w:val="auto"/>
                <w:highlight w:val="none"/>
              </w:rPr>
              <w:t>O。</w:t>
            </w:r>
          </w:p>
          <w:p w14:paraId="39234E43">
            <w:pPr>
              <w:spacing w:line="360" w:lineRule="exact"/>
              <w:jc w:val="left"/>
              <w:rPr>
                <w:rFonts w:ascii="宋体" w:hAnsi="宋体" w:cs="宋体"/>
                <w:color w:val="auto"/>
                <w:highlight w:val="none"/>
              </w:rPr>
            </w:pPr>
            <w:r>
              <w:rPr>
                <w:rFonts w:hint="eastAsia" w:ascii="宋体" w:hAnsi="宋体" w:cs="宋体"/>
                <w:color w:val="auto"/>
                <w:highlight w:val="none"/>
              </w:rPr>
              <w:t>2.6.10 电子 PEEP，显示屏设置，范围：OFF，2-45cmH</w:t>
            </w:r>
            <w:r>
              <w:rPr>
                <w:rFonts w:hint="eastAsia" w:ascii="宋体" w:hAnsi="宋体" w:cs="宋体"/>
                <w:color w:val="auto"/>
                <w:highlight w:val="none"/>
                <w:vertAlign w:val="subscript"/>
              </w:rPr>
              <w:t>2</w:t>
            </w:r>
            <w:r>
              <w:rPr>
                <w:rFonts w:hint="eastAsia" w:ascii="宋体" w:hAnsi="宋体" w:cs="宋体"/>
                <w:color w:val="auto"/>
                <w:highlight w:val="none"/>
              </w:rPr>
              <w:t>O。</w:t>
            </w:r>
          </w:p>
          <w:p w14:paraId="1A7E2F77">
            <w:pPr>
              <w:spacing w:line="360" w:lineRule="exact"/>
              <w:jc w:val="left"/>
              <w:rPr>
                <w:rFonts w:ascii="宋体" w:hAnsi="宋体" w:cs="宋体"/>
                <w:color w:val="auto"/>
                <w:highlight w:val="none"/>
              </w:rPr>
            </w:pPr>
            <w:r>
              <w:rPr>
                <w:rFonts w:hint="eastAsia" w:ascii="宋体" w:hAnsi="宋体" w:cs="宋体"/>
                <w:color w:val="auto"/>
                <w:highlight w:val="none"/>
              </w:rPr>
              <w:t>2.6.11 吸气暂停：OFF，5%-60%。</w:t>
            </w:r>
          </w:p>
          <w:p w14:paraId="75EFBAE0">
            <w:pPr>
              <w:spacing w:line="360" w:lineRule="exact"/>
              <w:jc w:val="left"/>
              <w:rPr>
                <w:rFonts w:ascii="宋体" w:hAnsi="宋体" w:cs="宋体"/>
                <w:color w:val="auto"/>
                <w:highlight w:val="none"/>
              </w:rPr>
            </w:pPr>
            <w:r>
              <w:rPr>
                <w:rFonts w:hint="eastAsia" w:ascii="宋体" w:hAnsi="宋体" w:cs="宋体"/>
                <w:color w:val="auto"/>
                <w:highlight w:val="none"/>
              </w:rPr>
              <w:t>2.6.12 呼吸机吸气阀峰值流速：165L/min。</w:t>
            </w:r>
          </w:p>
          <w:p w14:paraId="08E10AA1">
            <w:pPr>
              <w:pStyle w:val="17"/>
              <w:rPr>
                <w:rFonts w:ascii="宋体" w:hAnsi="宋体" w:cs="宋体"/>
                <w:color w:val="auto"/>
                <w:highlight w:val="none"/>
              </w:rPr>
            </w:pPr>
            <w:r>
              <w:rPr>
                <w:rFonts w:hint="eastAsia" w:ascii="宋体" w:hAnsi="宋体" w:cs="宋体"/>
                <w:b/>
                <w:color w:val="auto"/>
                <w:highlight w:val="none"/>
              </w:rPr>
              <w:t>2.6.13 具备吸入端，呼出端双流量传感器，实现动态潮气量实时自动补偿功能，补偿新鲜气体变化、气体压缩、回路顺应性变化以及小的回路泄漏造成的吸入潮气量和设置潮气量的误差。具备内置第三基准流量传感器，采购人可自行校准吸入和呼出端流量传感器</w:t>
            </w:r>
            <w:r>
              <w:rPr>
                <w:rFonts w:hint="eastAsia"/>
                <w:b/>
                <w:bCs/>
                <w:color w:val="auto"/>
                <w:highlight w:val="none"/>
              </w:rPr>
              <w:t>(投标人于投标文件中提供符合此项技术要求的相关有效证明材料复印件，可以是产品说明书或官方可查询的彩页或由国家认可的第三方检测机构出具的检测报告复印件</w:t>
            </w:r>
            <w:r>
              <w:rPr>
                <w:rFonts w:hint="eastAsia"/>
                <w:b/>
                <w:bCs/>
                <w:color w:val="auto"/>
                <w:highlight w:val="none"/>
                <w:lang w:eastAsia="zh-CN"/>
              </w:rPr>
              <w:t>等</w:t>
            </w:r>
            <w:r>
              <w:rPr>
                <w:rFonts w:hint="eastAsia"/>
                <w:b/>
                <w:bCs/>
                <w:color w:val="auto"/>
                <w:highlight w:val="none"/>
              </w:rPr>
              <w:t>，并加盖投标人电子签章)</w:t>
            </w:r>
            <w:r>
              <w:rPr>
                <w:rFonts w:hint="eastAsia" w:ascii="宋体" w:hAnsi="宋体" w:cs="宋体"/>
                <w:b/>
                <w:color w:val="auto"/>
                <w:highlight w:val="none"/>
              </w:rPr>
              <w:t>。</w:t>
            </w:r>
          </w:p>
          <w:p w14:paraId="3C6181A7">
            <w:pPr>
              <w:spacing w:line="360" w:lineRule="exact"/>
              <w:jc w:val="left"/>
              <w:rPr>
                <w:rFonts w:ascii="宋体" w:hAnsi="宋体" w:cs="宋体"/>
                <w:color w:val="auto"/>
                <w:highlight w:val="none"/>
              </w:rPr>
            </w:pPr>
            <w:r>
              <w:rPr>
                <w:rFonts w:hint="eastAsia" w:ascii="宋体" w:hAnsi="宋体" w:cs="宋体"/>
                <w:color w:val="auto"/>
                <w:highlight w:val="none"/>
              </w:rPr>
              <w:t>2.6.14具备心肺旁流模式 CPB, 且心肺旁流模式可在手动通气模式和机控通气模式下启动。</w:t>
            </w:r>
          </w:p>
          <w:p w14:paraId="03B7C23B">
            <w:pPr>
              <w:spacing w:line="360" w:lineRule="exact"/>
              <w:jc w:val="left"/>
              <w:rPr>
                <w:rFonts w:ascii="宋体" w:hAnsi="宋体" w:cs="宋体"/>
                <w:color w:val="auto"/>
                <w:highlight w:val="none"/>
              </w:rPr>
            </w:pPr>
            <w:r>
              <w:rPr>
                <w:rFonts w:hint="eastAsia" w:ascii="宋体" w:hAnsi="宋体" w:cs="宋体"/>
                <w:color w:val="auto"/>
                <w:highlight w:val="none"/>
              </w:rPr>
              <w:t>2.6.15支持升级选配肺保护工具：支持—单周期和多周期两种复张手法，支持定时膨肺功能。</w:t>
            </w:r>
          </w:p>
          <w:p w14:paraId="3BA30DC0">
            <w:pPr>
              <w:pStyle w:val="17"/>
              <w:rPr>
                <w:rFonts w:ascii="宋体" w:hAnsi="宋体" w:cs="宋体"/>
                <w:color w:val="auto"/>
                <w:highlight w:val="none"/>
              </w:rPr>
            </w:pPr>
            <w:r>
              <w:rPr>
                <w:rFonts w:hint="eastAsia" w:ascii="宋体" w:hAnsi="宋体" w:cs="宋体"/>
                <w:b/>
                <w:color w:val="auto"/>
                <w:highlight w:val="none"/>
              </w:rPr>
              <w:t>2.6.16 配备高频喷射通气功能，提供高频叠加常频喷射通气模式，或提供高频喷射单机，并且支持高频叠加常频通气连接同一通气附件</w:t>
            </w:r>
            <w:r>
              <w:rPr>
                <w:rFonts w:hint="eastAsia"/>
                <w:b/>
                <w:bCs/>
                <w:color w:val="auto"/>
                <w:highlight w:val="none"/>
              </w:rPr>
              <w:t>(投标人于投标文件中提供符合此项技术要求的相关有效证明材料复印件，可以是产品说明书或官方可查询的彩页或由国家认可的第三方检测机构出具的检测报告复印件</w:t>
            </w:r>
            <w:r>
              <w:rPr>
                <w:rFonts w:hint="eastAsia"/>
                <w:b/>
                <w:bCs/>
                <w:color w:val="auto"/>
                <w:highlight w:val="none"/>
                <w:lang w:eastAsia="zh-CN"/>
              </w:rPr>
              <w:t>等</w:t>
            </w:r>
            <w:r>
              <w:rPr>
                <w:rFonts w:hint="eastAsia"/>
                <w:b/>
                <w:bCs/>
                <w:color w:val="auto"/>
                <w:highlight w:val="none"/>
              </w:rPr>
              <w:t>，并加盖投标人电子签章)</w:t>
            </w:r>
            <w:r>
              <w:rPr>
                <w:rFonts w:hint="eastAsia" w:ascii="宋体" w:hAnsi="宋体" w:cs="宋体"/>
                <w:b/>
                <w:color w:val="auto"/>
                <w:highlight w:val="none"/>
              </w:rPr>
              <w:t>。</w:t>
            </w:r>
          </w:p>
          <w:p w14:paraId="7953610E">
            <w:pPr>
              <w:spacing w:line="360" w:lineRule="exact"/>
              <w:jc w:val="left"/>
              <w:rPr>
                <w:rFonts w:ascii="宋体" w:hAnsi="宋体" w:cs="宋体"/>
                <w:color w:val="auto"/>
                <w:highlight w:val="none"/>
              </w:rPr>
            </w:pPr>
            <w:r>
              <w:rPr>
                <w:rFonts w:hint="eastAsia" w:ascii="宋体" w:hAnsi="宋体" w:cs="宋体"/>
                <w:color w:val="auto"/>
                <w:highlight w:val="none"/>
              </w:rPr>
              <w:t>2.7 数字和波形监测</w:t>
            </w:r>
          </w:p>
          <w:p w14:paraId="0EBF3BEB">
            <w:pPr>
              <w:spacing w:line="360" w:lineRule="exact"/>
              <w:jc w:val="left"/>
              <w:rPr>
                <w:rFonts w:ascii="宋体" w:hAnsi="宋体" w:cs="宋体"/>
                <w:color w:val="auto"/>
                <w:highlight w:val="none"/>
              </w:rPr>
            </w:pPr>
            <w:r>
              <w:rPr>
                <w:rFonts w:hint="eastAsia" w:ascii="宋体" w:hAnsi="宋体" w:cs="宋体"/>
                <w:color w:val="auto"/>
                <w:highlight w:val="none"/>
              </w:rPr>
              <w:t>2.7.1 具备三级声光报警功能，有独立红黄报警灯显示。</w:t>
            </w:r>
          </w:p>
          <w:p w14:paraId="596A5427">
            <w:pPr>
              <w:pStyle w:val="17"/>
              <w:rPr>
                <w:rFonts w:ascii="宋体" w:hAnsi="宋体" w:cs="宋体"/>
                <w:color w:val="auto"/>
                <w:highlight w:val="none"/>
              </w:rPr>
            </w:pPr>
            <w:r>
              <w:rPr>
                <w:rFonts w:hint="eastAsia" w:ascii="宋体" w:hAnsi="宋体" w:cs="宋体"/>
                <w:color w:val="auto"/>
                <w:highlight w:val="none"/>
              </w:rPr>
              <w:t>2.7.2 ≥15.5英寸彩色触摸屏，可同屏显示波形和呼吸环图</w:t>
            </w:r>
            <w:r>
              <w:rPr>
                <w:rFonts w:hint="eastAsia"/>
                <w:b/>
                <w:bCs/>
                <w:color w:val="auto"/>
                <w:highlight w:val="none"/>
              </w:rPr>
              <w:t>(投标人于投标文件中提供符合此项技术要求的相关有效证明材料复印件，可以是产品说明书或官方可查询的彩页或由国家认可的第三方检测机构出具的检测报告复印件</w:t>
            </w:r>
            <w:r>
              <w:rPr>
                <w:rFonts w:hint="eastAsia"/>
                <w:b/>
                <w:bCs/>
                <w:color w:val="auto"/>
                <w:highlight w:val="none"/>
                <w:lang w:eastAsia="zh-CN"/>
              </w:rPr>
              <w:t>等</w:t>
            </w:r>
            <w:r>
              <w:rPr>
                <w:rFonts w:hint="eastAsia"/>
                <w:b/>
                <w:bCs/>
                <w:color w:val="auto"/>
                <w:highlight w:val="none"/>
              </w:rPr>
              <w:t>，并加盖投标人电子签章)</w:t>
            </w:r>
            <w:r>
              <w:rPr>
                <w:rFonts w:hint="eastAsia" w:ascii="宋体" w:hAnsi="宋体" w:cs="宋体"/>
                <w:color w:val="auto"/>
                <w:highlight w:val="none"/>
              </w:rPr>
              <w:t>。</w:t>
            </w:r>
          </w:p>
          <w:p w14:paraId="5F2B3555">
            <w:pPr>
              <w:spacing w:line="360" w:lineRule="exact"/>
              <w:jc w:val="left"/>
              <w:rPr>
                <w:rFonts w:ascii="宋体" w:hAnsi="宋体" w:cs="宋体"/>
                <w:color w:val="auto"/>
                <w:highlight w:val="none"/>
              </w:rPr>
            </w:pPr>
            <w:r>
              <w:rPr>
                <w:rFonts w:hint="eastAsia" w:ascii="宋体" w:hAnsi="宋体" w:cs="宋体"/>
                <w:color w:val="auto"/>
                <w:highlight w:val="none"/>
              </w:rPr>
              <w:t>2.7.3支持显示 P-V，V-F，P-F 三种类型环图。</w:t>
            </w:r>
          </w:p>
          <w:p w14:paraId="17A9DD91">
            <w:pPr>
              <w:spacing w:line="360" w:lineRule="exact"/>
              <w:jc w:val="left"/>
              <w:rPr>
                <w:rFonts w:ascii="宋体" w:hAnsi="宋体" w:cs="宋体"/>
                <w:color w:val="auto"/>
                <w:highlight w:val="none"/>
              </w:rPr>
            </w:pPr>
            <w:r>
              <w:rPr>
                <w:rFonts w:hint="eastAsia" w:ascii="宋体" w:hAnsi="宋体" w:cs="宋体"/>
                <w:color w:val="auto"/>
                <w:highlight w:val="none"/>
              </w:rPr>
              <w:t>2.7.4电容触摸屏，支持手势操作。</w:t>
            </w:r>
          </w:p>
          <w:p w14:paraId="6AA5B56D">
            <w:pPr>
              <w:spacing w:line="360" w:lineRule="exact"/>
              <w:jc w:val="left"/>
              <w:rPr>
                <w:rFonts w:ascii="宋体" w:hAnsi="宋体" w:cs="宋体"/>
                <w:color w:val="auto"/>
                <w:highlight w:val="none"/>
              </w:rPr>
            </w:pPr>
            <w:r>
              <w:rPr>
                <w:rFonts w:hint="eastAsia" w:ascii="宋体" w:hAnsi="宋体" w:cs="宋体"/>
                <w:color w:val="auto"/>
                <w:highlight w:val="none"/>
              </w:rPr>
              <w:t>2.7.5内置≥3 槽位插件槽，可直接热插拔插件。</w:t>
            </w:r>
          </w:p>
          <w:p w14:paraId="722E07D0">
            <w:pPr>
              <w:spacing w:line="360" w:lineRule="exact"/>
              <w:jc w:val="left"/>
              <w:rPr>
                <w:rFonts w:ascii="宋体" w:hAnsi="宋体" w:cs="宋体"/>
                <w:color w:val="auto"/>
                <w:highlight w:val="none"/>
              </w:rPr>
            </w:pPr>
            <w:r>
              <w:rPr>
                <w:rFonts w:hint="eastAsia" w:ascii="宋体" w:hAnsi="宋体" w:cs="宋体"/>
                <w:color w:val="auto"/>
                <w:highlight w:val="none"/>
              </w:rPr>
              <w:t>2.7.6插件可在同品牌监护仪和麻醉机之间通用。</w:t>
            </w:r>
          </w:p>
          <w:p w14:paraId="6AEEA202">
            <w:pPr>
              <w:spacing w:line="360" w:lineRule="exact"/>
              <w:jc w:val="left"/>
              <w:rPr>
                <w:rFonts w:ascii="宋体" w:hAnsi="宋体" w:cs="宋体"/>
                <w:color w:val="auto"/>
                <w:highlight w:val="none"/>
              </w:rPr>
            </w:pPr>
            <w:r>
              <w:rPr>
                <w:rFonts w:hint="eastAsia" w:ascii="宋体" w:hAnsi="宋体" w:cs="宋体"/>
                <w:color w:val="auto"/>
                <w:highlight w:val="none"/>
              </w:rPr>
              <w:t>2.7.7配AG麻醉气体模块，可单独选配EtCO</w:t>
            </w:r>
            <w:r>
              <w:rPr>
                <w:rFonts w:hint="eastAsia" w:ascii="宋体" w:hAnsi="宋体" w:cs="宋体"/>
                <w:color w:val="auto"/>
                <w:highlight w:val="none"/>
                <w:vertAlign w:val="subscript"/>
              </w:rPr>
              <w:t>2</w:t>
            </w:r>
            <w:r>
              <w:rPr>
                <w:rFonts w:hint="eastAsia" w:ascii="宋体" w:hAnsi="宋体" w:cs="宋体"/>
                <w:color w:val="auto"/>
                <w:highlight w:val="none"/>
              </w:rPr>
              <w:t>插件，以适应全凭静脉无需监测麻醉气体的需求。</w:t>
            </w:r>
          </w:p>
          <w:p w14:paraId="5FCA12D9">
            <w:pPr>
              <w:tabs>
                <w:tab w:val="left" w:pos="180"/>
                <w:tab w:val="left" w:pos="1620"/>
              </w:tabs>
              <w:adjustRightInd w:val="0"/>
              <w:snapToGrid w:val="0"/>
              <w:spacing w:line="360" w:lineRule="exact"/>
              <w:jc w:val="left"/>
              <w:rPr>
                <w:rFonts w:ascii="宋体" w:hAnsi="宋体" w:cs="宋体"/>
                <w:color w:val="auto"/>
                <w:highlight w:val="none"/>
              </w:rPr>
            </w:pPr>
            <w:r>
              <w:rPr>
                <w:rFonts w:hint="eastAsia" w:ascii="宋体" w:hAnsi="宋体" w:cs="宋体"/>
                <w:color w:val="auto"/>
                <w:highlight w:val="none"/>
              </w:rPr>
              <w:t>2.7.8</w:t>
            </w:r>
            <w:r>
              <w:rPr>
                <w:rFonts w:hint="eastAsia" w:ascii="宋体" w:hAnsi="宋体" w:cs="宋体"/>
                <w:color w:val="auto"/>
                <w:szCs w:val="21"/>
                <w:highlight w:val="none"/>
              </w:rPr>
              <w:t>数字及波形可</w:t>
            </w:r>
            <w:r>
              <w:rPr>
                <w:rFonts w:hint="eastAsia"/>
                <w:color w:val="auto"/>
                <w:highlight w:val="none"/>
              </w:rPr>
              <w:t>选</w:t>
            </w:r>
            <w:r>
              <w:rPr>
                <w:rFonts w:hint="eastAsia" w:ascii="宋体" w:hAnsi="宋体" w:cs="宋体"/>
                <w:color w:val="auto"/>
                <w:szCs w:val="21"/>
                <w:highlight w:val="none"/>
              </w:rPr>
              <w:t>监测参数：呼吸频率、潮气量、分钟通气量、吸呼比、气道压（峰压、平台压、平均压、PEEP）、气道阻力、顺应性、弹性、驱动压、机械能；麻醉气体分析（N</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O，EtCO</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，自动识别五种麻醉气体吸入呼出浓度监测）、呼吸环（P-V，P-F，V-F）监测；电池法吸入氧浓度监测等。</w:t>
            </w:r>
          </w:p>
          <w:p w14:paraId="6641ECDD">
            <w:pPr>
              <w:spacing w:line="360" w:lineRule="exact"/>
              <w:jc w:val="left"/>
              <w:rPr>
                <w:rFonts w:ascii="宋体" w:hAnsi="宋体" w:cs="宋体"/>
                <w:color w:val="auto"/>
                <w:highlight w:val="none"/>
              </w:rPr>
            </w:pPr>
            <w:r>
              <w:rPr>
                <w:rFonts w:hint="eastAsia" w:ascii="宋体" w:hAnsi="宋体" w:cs="宋体"/>
                <w:color w:val="auto"/>
                <w:highlight w:val="none"/>
              </w:rPr>
              <w:t>2.7.9同屏幕≥5 通道波形显示（压力时间波形，流速时间波形，容量时间波形，CO</w:t>
            </w:r>
            <w:r>
              <w:rPr>
                <w:rFonts w:hint="eastAsia" w:ascii="宋体" w:hAnsi="宋体" w:cs="宋体"/>
                <w:color w:val="auto"/>
                <w:highlight w:val="none"/>
                <w:vertAlign w:val="subscript"/>
              </w:rPr>
              <w:t>2</w:t>
            </w:r>
            <w:r>
              <w:rPr>
                <w:rFonts w:hint="eastAsia" w:ascii="宋体" w:hAnsi="宋体" w:cs="宋体"/>
                <w:color w:val="auto"/>
                <w:highlight w:val="none"/>
              </w:rPr>
              <w:t>或麻醉气体浓度波形等）。</w:t>
            </w:r>
          </w:p>
          <w:p w14:paraId="0A28D8EB">
            <w:pPr>
              <w:spacing w:line="360" w:lineRule="exact"/>
              <w:jc w:val="left"/>
              <w:rPr>
                <w:rFonts w:ascii="宋体" w:hAnsi="宋体" w:cs="宋体"/>
                <w:color w:val="auto"/>
                <w:highlight w:val="none"/>
              </w:rPr>
            </w:pPr>
            <w:r>
              <w:rPr>
                <w:rFonts w:hint="eastAsia" w:ascii="宋体" w:hAnsi="宋体" w:cs="宋体"/>
                <w:color w:val="auto"/>
                <w:highlight w:val="none"/>
              </w:rPr>
              <w:t>2.7.10潮气量监测范围：0-3000ml。</w:t>
            </w:r>
          </w:p>
          <w:p w14:paraId="5C1661CC">
            <w:pPr>
              <w:spacing w:line="360" w:lineRule="exact"/>
              <w:jc w:val="left"/>
              <w:rPr>
                <w:rFonts w:ascii="宋体" w:hAnsi="宋体" w:cs="宋体"/>
                <w:color w:val="auto"/>
                <w:highlight w:val="none"/>
              </w:rPr>
            </w:pPr>
            <w:r>
              <w:rPr>
                <w:rFonts w:hint="eastAsia" w:ascii="宋体" w:hAnsi="宋体" w:cs="宋体"/>
                <w:color w:val="auto"/>
                <w:highlight w:val="none"/>
              </w:rPr>
              <w:t>2.7.11分钟通气量监测范围：0-100L/min。</w:t>
            </w:r>
          </w:p>
          <w:p w14:paraId="61B2B250">
            <w:pPr>
              <w:spacing w:line="360" w:lineRule="exact"/>
              <w:jc w:val="left"/>
              <w:rPr>
                <w:rFonts w:ascii="宋体" w:hAnsi="宋体" w:cs="宋体"/>
                <w:color w:val="auto"/>
                <w:highlight w:val="none"/>
              </w:rPr>
            </w:pPr>
            <w:r>
              <w:rPr>
                <w:rFonts w:hint="eastAsia" w:ascii="宋体" w:hAnsi="宋体" w:cs="宋体"/>
                <w:color w:val="auto"/>
                <w:highlight w:val="none"/>
              </w:rPr>
              <w:t>2.7.12 可视化报警，技术报警提示中对于导致报警的原因给予文字和图形提示，具备自动报警限功能。</w:t>
            </w:r>
          </w:p>
          <w:p w14:paraId="1F6F93C9">
            <w:pPr>
              <w:spacing w:line="360" w:lineRule="exact"/>
              <w:jc w:val="left"/>
              <w:rPr>
                <w:rFonts w:ascii="宋体" w:hAnsi="宋体" w:cs="宋体"/>
                <w:color w:val="auto"/>
                <w:highlight w:val="none"/>
              </w:rPr>
            </w:pPr>
            <w:r>
              <w:rPr>
                <w:rFonts w:hint="eastAsia" w:ascii="宋体" w:hAnsi="宋体" w:cs="宋体"/>
                <w:color w:val="auto"/>
                <w:highlight w:val="none"/>
              </w:rPr>
              <w:t>2.7.13 图示化自检，系统自检失败时给予文字和图示提醒可能出错的原因。</w:t>
            </w:r>
          </w:p>
          <w:p w14:paraId="16854F01">
            <w:pPr>
              <w:spacing w:line="360" w:lineRule="exact"/>
              <w:jc w:val="left"/>
              <w:rPr>
                <w:rFonts w:ascii="宋体" w:hAnsi="宋体" w:cs="宋体"/>
                <w:color w:val="auto"/>
                <w:highlight w:val="none"/>
              </w:rPr>
            </w:pPr>
            <w:r>
              <w:rPr>
                <w:rFonts w:hint="eastAsia" w:ascii="宋体" w:hAnsi="宋体" w:cs="宋体"/>
                <w:color w:val="auto"/>
                <w:highlight w:val="none"/>
              </w:rPr>
              <w:t>2.7.14可存储至少10000 条事件记录，≥50张屏幕截图。</w:t>
            </w:r>
          </w:p>
          <w:p w14:paraId="133489B2">
            <w:pPr>
              <w:spacing w:line="360" w:lineRule="exact"/>
              <w:jc w:val="left"/>
              <w:rPr>
                <w:rFonts w:ascii="宋体" w:hAnsi="宋体" w:cs="宋体"/>
                <w:color w:val="auto"/>
                <w:highlight w:val="none"/>
              </w:rPr>
            </w:pPr>
            <w:r>
              <w:rPr>
                <w:rFonts w:hint="eastAsia" w:ascii="宋体" w:hAnsi="宋体" w:cs="宋体"/>
                <w:color w:val="auto"/>
                <w:highlight w:val="none"/>
              </w:rPr>
              <w:t>2.7.15可存储患者参数趋势图（表）信息至少48小时。</w:t>
            </w:r>
          </w:p>
          <w:p w14:paraId="61932B35">
            <w:pPr>
              <w:spacing w:line="360" w:lineRule="exact"/>
              <w:jc w:val="left"/>
              <w:rPr>
                <w:rFonts w:ascii="宋体" w:hAnsi="宋体" w:cs="宋体"/>
                <w:color w:val="auto"/>
                <w:highlight w:val="none"/>
              </w:rPr>
            </w:pPr>
            <w:r>
              <w:rPr>
                <w:rFonts w:hint="eastAsia" w:ascii="宋体" w:hAnsi="宋体" w:cs="宋体"/>
                <w:color w:val="auto"/>
                <w:highlight w:val="none"/>
              </w:rPr>
              <w:t>2.7.16</w:t>
            </w:r>
            <w:r>
              <w:rPr>
                <w:rFonts w:hint="eastAsia"/>
                <w:color w:val="auto"/>
                <w:highlight w:val="none"/>
              </w:rPr>
              <w:t>具备后期升级能力，</w:t>
            </w:r>
            <w:r>
              <w:rPr>
                <w:rFonts w:hint="eastAsia" w:ascii="宋体" w:hAnsi="宋体" w:cs="宋体"/>
                <w:color w:val="auto"/>
                <w:highlight w:val="none"/>
              </w:rPr>
              <w:t>可选配麻醉趋势图功能，可显示未来 20分钟内吸入呼出麻药浓度和氧浓度的趋势。</w:t>
            </w:r>
          </w:p>
          <w:p w14:paraId="65ED7D46">
            <w:pPr>
              <w:spacing w:line="360" w:lineRule="exact"/>
              <w:jc w:val="left"/>
              <w:rPr>
                <w:rFonts w:ascii="宋体" w:hAnsi="宋体" w:cs="宋体"/>
                <w:color w:val="auto"/>
                <w:highlight w:val="none"/>
              </w:rPr>
            </w:pPr>
            <w:r>
              <w:rPr>
                <w:rFonts w:hint="eastAsia" w:ascii="宋体" w:hAnsi="宋体" w:cs="宋体"/>
                <w:color w:val="auto"/>
                <w:highlight w:val="none"/>
              </w:rPr>
              <w:t>2.8麻醉工作站功能</w:t>
            </w:r>
          </w:p>
          <w:p w14:paraId="62EBCB48">
            <w:pPr>
              <w:spacing w:line="360" w:lineRule="exact"/>
              <w:jc w:val="left"/>
              <w:rPr>
                <w:rFonts w:ascii="宋体" w:hAnsi="宋体" w:cs="宋体"/>
                <w:color w:val="auto"/>
                <w:highlight w:val="none"/>
              </w:rPr>
            </w:pPr>
            <w:r>
              <w:rPr>
                <w:rFonts w:hint="eastAsia" w:ascii="宋体" w:hAnsi="宋体" w:cs="宋体"/>
                <w:color w:val="auto"/>
                <w:highlight w:val="none"/>
              </w:rPr>
              <w:t>2.8.1支持连接监护仪功能，全面监测病人生命体征，可在麻醉机的显示器上显示监护仪参数。</w:t>
            </w:r>
          </w:p>
          <w:p w14:paraId="0AE275BB">
            <w:pPr>
              <w:spacing w:line="360" w:lineRule="exact"/>
              <w:jc w:val="left"/>
              <w:rPr>
                <w:rFonts w:ascii="宋体" w:hAnsi="宋体" w:cs="宋体"/>
                <w:color w:val="auto"/>
                <w:highlight w:val="none"/>
              </w:rPr>
            </w:pPr>
            <w:r>
              <w:rPr>
                <w:rFonts w:hint="eastAsia" w:ascii="宋体" w:hAnsi="宋体" w:cs="宋体"/>
                <w:color w:val="auto"/>
                <w:highlight w:val="none"/>
              </w:rPr>
              <w:t>2.8.2可升级麻醉输注工作站，支持连接输注泵功能，可在麻醉机屏幕上调节输注泵设置参数，完成静吸复合麻醉控制与调节。</w:t>
            </w:r>
          </w:p>
          <w:p w14:paraId="2CCB41FB">
            <w:pPr>
              <w:pStyle w:val="17"/>
              <w:rPr>
                <w:rFonts w:ascii="宋体" w:hAnsi="宋体" w:cs="宋体"/>
                <w:b/>
                <w:color w:val="auto"/>
                <w:highlight w:val="none"/>
              </w:rPr>
            </w:pPr>
            <w:r>
              <w:rPr>
                <w:rFonts w:hint="eastAsia" w:ascii="宋体" w:hAnsi="宋体" w:cs="宋体"/>
                <w:b/>
                <w:color w:val="auto"/>
                <w:highlight w:val="none"/>
              </w:rPr>
              <w:t>2.8.3 具备麻醉计算功能，可基于药代药效模型计算吸入麻药和静脉麻药的综合药效，并支持在麻醉机上直观显示静吸复合麻醉综合药效</w:t>
            </w:r>
            <w:r>
              <w:rPr>
                <w:rFonts w:hint="eastAsia"/>
                <w:b/>
                <w:bCs/>
                <w:color w:val="auto"/>
                <w:highlight w:val="none"/>
              </w:rPr>
              <w:t>(投标人于投标文件中提供符合此项技术要求的相关有效证明材料复印件，可以是产品说明书或官方可查询的彩页或由国家认可的第三方检测机构出具的检测报告复印件</w:t>
            </w:r>
            <w:r>
              <w:rPr>
                <w:rFonts w:hint="eastAsia"/>
                <w:b/>
                <w:bCs/>
                <w:color w:val="auto"/>
                <w:highlight w:val="none"/>
                <w:lang w:eastAsia="zh-CN"/>
              </w:rPr>
              <w:t>等</w:t>
            </w:r>
            <w:r>
              <w:rPr>
                <w:rFonts w:hint="eastAsia"/>
                <w:b/>
                <w:bCs/>
                <w:color w:val="auto"/>
                <w:highlight w:val="none"/>
              </w:rPr>
              <w:t>，并加盖投标人电子签章)</w:t>
            </w:r>
            <w:r>
              <w:rPr>
                <w:rFonts w:hint="eastAsia" w:ascii="宋体" w:hAnsi="宋体" w:cs="宋体"/>
                <w:b/>
                <w:color w:val="auto"/>
                <w:highlight w:val="none"/>
              </w:rPr>
              <w:t>。</w:t>
            </w:r>
          </w:p>
          <w:p w14:paraId="0CAEF2C2">
            <w:pPr>
              <w:spacing w:line="360" w:lineRule="exact"/>
              <w:jc w:val="left"/>
              <w:rPr>
                <w:rFonts w:ascii="宋体" w:hAnsi="宋体" w:cs="宋体"/>
                <w:color w:val="auto"/>
                <w:highlight w:val="none"/>
              </w:rPr>
            </w:pPr>
            <w:r>
              <w:rPr>
                <w:rFonts w:hint="eastAsia" w:ascii="宋体" w:hAnsi="宋体" w:cs="宋体"/>
                <w:color w:val="auto"/>
                <w:highlight w:val="none"/>
              </w:rPr>
              <w:t>2.8.4可扩展连接支持HL7协议的设备。</w:t>
            </w:r>
          </w:p>
          <w:p w14:paraId="2EA3B546">
            <w:pPr>
              <w:spacing w:line="360" w:lineRule="exact"/>
              <w:jc w:val="left"/>
              <w:rPr>
                <w:rFonts w:ascii="宋体" w:hAnsi="宋体" w:cs="宋体"/>
                <w:b/>
                <w:color w:val="auto"/>
                <w:highlight w:val="none"/>
              </w:rPr>
            </w:pPr>
            <w:r>
              <w:rPr>
                <w:rFonts w:hint="eastAsia" w:ascii="宋体" w:hAnsi="宋体" w:cs="宋体"/>
                <w:b/>
                <w:color w:val="auto"/>
                <w:highlight w:val="none"/>
              </w:rPr>
              <w:t>▲2.9配置需求</w:t>
            </w:r>
          </w:p>
          <w:p w14:paraId="596E0C21">
            <w:pPr>
              <w:spacing w:line="360" w:lineRule="exact"/>
              <w:jc w:val="left"/>
              <w:rPr>
                <w:rFonts w:ascii="宋体" w:hAnsi="宋体" w:cs="宋体"/>
                <w:b/>
                <w:color w:val="auto"/>
                <w:highlight w:val="none"/>
              </w:rPr>
            </w:pPr>
            <w:r>
              <w:rPr>
                <w:rFonts w:hint="eastAsia" w:ascii="宋体" w:hAnsi="宋体" w:cs="宋体"/>
                <w:b/>
                <w:color w:val="auto"/>
                <w:highlight w:val="none"/>
              </w:rPr>
              <w:t>2.9.1主机2台。</w:t>
            </w:r>
          </w:p>
          <w:p w14:paraId="6DD435B0">
            <w:pPr>
              <w:spacing w:line="360" w:lineRule="exact"/>
              <w:jc w:val="left"/>
              <w:rPr>
                <w:rFonts w:ascii="宋体" w:hAnsi="宋体" w:cs="宋体"/>
                <w:b/>
                <w:color w:val="auto"/>
                <w:highlight w:val="none"/>
              </w:rPr>
            </w:pPr>
            <w:r>
              <w:rPr>
                <w:rFonts w:hint="eastAsia" w:ascii="宋体" w:hAnsi="宋体" w:cs="宋体"/>
                <w:b/>
                <w:color w:val="auto"/>
                <w:highlight w:val="none"/>
              </w:rPr>
              <w:t>2.9.2 AG模块2套。</w:t>
            </w:r>
          </w:p>
          <w:p w14:paraId="011C89C4">
            <w:pPr>
              <w:spacing w:line="360" w:lineRule="exact"/>
              <w:jc w:val="left"/>
              <w:rPr>
                <w:rFonts w:ascii="宋体" w:hAnsi="宋体" w:cs="宋体"/>
                <w:b/>
                <w:color w:val="auto"/>
                <w:highlight w:val="none"/>
              </w:rPr>
            </w:pPr>
            <w:r>
              <w:rPr>
                <w:rFonts w:hint="eastAsia" w:ascii="宋体" w:hAnsi="宋体" w:cs="宋体"/>
                <w:b/>
                <w:color w:val="auto"/>
                <w:highlight w:val="none"/>
              </w:rPr>
              <w:t>2.9.3内置无线网卡（Wi-Fi 功能）2套。</w:t>
            </w:r>
          </w:p>
          <w:p w14:paraId="3EDDDC2D">
            <w:pPr>
              <w:spacing w:line="360" w:lineRule="exact"/>
              <w:jc w:val="left"/>
              <w:rPr>
                <w:rFonts w:ascii="宋体" w:hAnsi="宋体" w:cs="宋体"/>
                <w:b/>
                <w:color w:val="auto"/>
                <w:highlight w:val="none"/>
              </w:rPr>
            </w:pPr>
            <w:r>
              <w:rPr>
                <w:rFonts w:hint="eastAsia" w:ascii="宋体" w:hAnsi="宋体" w:cs="宋体"/>
                <w:b/>
                <w:color w:val="auto"/>
                <w:highlight w:val="none"/>
              </w:rPr>
              <w:t>2.9.4电池2块。</w:t>
            </w:r>
          </w:p>
          <w:p w14:paraId="6054781F">
            <w:pPr>
              <w:spacing w:line="360" w:lineRule="exact"/>
              <w:jc w:val="left"/>
              <w:rPr>
                <w:rFonts w:ascii="宋体" w:hAnsi="宋体" w:cs="宋体"/>
                <w:b/>
                <w:color w:val="auto"/>
                <w:highlight w:val="none"/>
              </w:rPr>
            </w:pPr>
            <w:r>
              <w:rPr>
                <w:rFonts w:hint="eastAsia" w:ascii="宋体" w:hAnsi="宋体" w:cs="宋体"/>
                <w:b/>
                <w:color w:val="auto"/>
                <w:highlight w:val="none"/>
              </w:rPr>
              <w:t>2.9.5主动排污附件2套。</w:t>
            </w:r>
          </w:p>
          <w:p w14:paraId="23913766">
            <w:pPr>
              <w:spacing w:line="360" w:lineRule="exact"/>
              <w:jc w:val="left"/>
              <w:rPr>
                <w:rFonts w:ascii="宋体" w:hAnsi="宋体" w:cs="宋体"/>
                <w:b/>
                <w:color w:val="auto"/>
                <w:highlight w:val="none"/>
              </w:rPr>
            </w:pPr>
            <w:r>
              <w:rPr>
                <w:rFonts w:hint="eastAsia" w:ascii="宋体" w:hAnsi="宋体" w:cs="宋体"/>
                <w:b/>
                <w:color w:val="auto"/>
                <w:highlight w:val="none"/>
              </w:rPr>
              <w:t>2.9.6麻醉信息集中管理系统2套。</w:t>
            </w:r>
          </w:p>
          <w:p w14:paraId="1506FA61">
            <w:pPr>
              <w:spacing w:line="360" w:lineRule="exact"/>
              <w:jc w:val="left"/>
              <w:rPr>
                <w:rFonts w:ascii="宋体" w:hAnsi="宋体" w:cs="宋体"/>
                <w:color w:val="auto"/>
                <w:szCs w:val="21"/>
                <w:highlight w:val="none"/>
              </w:rPr>
            </w:pPr>
            <w:r>
              <w:rPr>
                <w:rFonts w:hint="eastAsia" w:ascii="宋体" w:hAnsi="宋体" w:cs="宋体"/>
                <w:b/>
                <w:color w:val="auto"/>
                <w:highlight w:val="none"/>
              </w:rPr>
              <w:t>2.9.7高频喷射系统或高频喷射单机2套。</w:t>
            </w:r>
          </w:p>
        </w:tc>
      </w:tr>
      <w:tr w14:paraId="131E3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5000" w:type="pct"/>
            <w:gridSpan w:val="7"/>
            <w:tcBorders>
              <w:bottom w:val="single" w:color="auto" w:sz="4" w:space="0"/>
            </w:tcBorders>
            <w:vAlign w:val="center"/>
          </w:tcPr>
          <w:p w14:paraId="31F80680">
            <w:pPr>
              <w:tabs>
                <w:tab w:val="left" w:pos="180"/>
                <w:tab w:val="left" w:pos="1620"/>
              </w:tabs>
              <w:adjustRightInd w:val="0"/>
              <w:snapToGrid w:val="0"/>
              <w:spacing w:line="360" w:lineRule="exact"/>
              <w:jc w:val="left"/>
              <w:rPr>
                <w:rFonts w:ascii="宋体" w:hAnsi="宋体" w:cs="宋体"/>
                <w:color w:val="auto"/>
                <w:szCs w:val="21"/>
                <w:highlight w:val="none"/>
              </w:rPr>
            </w:pPr>
            <w:r>
              <w:rPr>
                <w:rFonts w:hint="eastAsia" w:ascii="宋体" w:hAnsi="宋体" w:cs="宋体"/>
                <w:b/>
                <w:color w:val="auto"/>
                <w:szCs w:val="21"/>
                <w:highlight w:val="none"/>
              </w:rPr>
              <w:t>核心产品：本项目核心产品为第 3 项号产品“麻醉机（3）”。</w:t>
            </w:r>
          </w:p>
        </w:tc>
      </w:tr>
      <w:tr w14:paraId="7834EC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7"/>
            <w:tcBorders>
              <w:top w:val="single" w:color="auto" w:sz="4" w:space="0"/>
              <w:left w:val="single" w:color="auto" w:sz="4" w:space="0"/>
              <w:bottom w:val="single" w:color="auto" w:sz="4" w:space="0"/>
              <w:right w:val="single" w:color="auto" w:sz="4" w:space="0"/>
            </w:tcBorders>
          </w:tcPr>
          <w:p w14:paraId="097C14C1">
            <w:pPr>
              <w:adjustRightInd w:val="0"/>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▲二、商务要求</w:t>
            </w:r>
          </w:p>
        </w:tc>
      </w:tr>
      <w:tr w14:paraId="2A6DE1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2" w:type="pct"/>
            <w:gridSpan w:val="4"/>
            <w:tcBorders>
              <w:top w:val="single" w:color="auto" w:sz="4" w:space="0"/>
              <w:left w:val="single" w:color="auto" w:sz="4" w:space="0"/>
              <w:bottom w:val="single" w:color="auto" w:sz="4" w:space="0"/>
              <w:right w:val="single" w:color="auto" w:sz="4" w:space="0"/>
            </w:tcBorders>
            <w:vAlign w:val="center"/>
          </w:tcPr>
          <w:p w14:paraId="215C3A66">
            <w:pPr>
              <w:spacing w:line="360" w:lineRule="exact"/>
              <w:jc w:val="center"/>
              <w:rPr>
                <w:rFonts w:ascii="宋体" w:hAnsi="宋体" w:cs="宋体"/>
                <w:b/>
                <w:color w:val="auto"/>
                <w:szCs w:val="21"/>
                <w:highlight w:val="none"/>
              </w:rPr>
            </w:pPr>
            <w:r>
              <w:rPr>
                <w:rFonts w:hint="eastAsia" w:ascii="宋体" w:hAnsi="宋体" w:cs="宋体"/>
                <w:b/>
                <w:bCs/>
                <w:color w:val="auto"/>
                <w:szCs w:val="21"/>
                <w:highlight w:val="none"/>
              </w:rPr>
              <w:t>（一）售后服务基本要求</w:t>
            </w:r>
          </w:p>
        </w:tc>
        <w:tc>
          <w:tcPr>
            <w:tcW w:w="3267" w:type="pct"/>
            <w:gridSpan w:val="3"/>
            <w:tcBorders>
              <w:top w:val="single" w:color="auto" w:sz="4" w:space="0"/>
              <w:left w:val="single" w:color="auto" w:sz="4" w:space="0"/>
              <w:bottom w:val="single" w:color="auto" w:sz="4" w:space="0"/>
              <w:right w:val="single" w:color="auto" w:sz="4" w:space="0"/>
            </w:tcBorders>
            <w:vAlign w:val="center"/>
          </w:tcPr>
          <w:p w14:paraId="6A391EB6">
            <w:pPr>
              <w:spacing w:line="360" w:lineRule="exact"/>
              <w:jc w:val="left"/>
              <w:rPr>
                <w:rFonts w:ascii="宋体" w:hAnsi="宋体" w:cs="宋体"/>
                <w:b/>
                <w:bCs/>
                <w:color w:val="auto"/>
                <w:highlight w:val="none"/>
              </w:rPr>
            </w:pPr>
            <w:r>
              <w:rPr>
                <w:rFonts w:hint="eastAsia" w:ascii="宋体" w:hAnsi="宋体" w:cs="宋体"/>
                <w:b/>
                <w:bCs/>
                <w:color w:val="auto"/>
                <w:highlight w:val="none"/>
              </w:rPr>
              <w:t>投标人提供的以下售后服务产生的费用均应综合包含在投标报价中，采购人不再就此另行支付任何费用：</w:t>
            </w:r>
          </w:p>
          <w:p w14:paraId="2C5C2D25">
            <w:pPr>
              <w:spacing w:line="360" w:lineRule="exact"/>
              <w:jc w:val="left"/>
              <w:rPr>
                <w:rFonts w:ascii="宋体" w:hAnsi="宋体" w:cs="宋体"/>
                <w:color w:val="auto"/>
                <w:highlight w:val="none"/>
              </w:rPr>
            </w:pPr>
            <w:r>
              <w:rPr>
                <w:rFonts w:hint="eastAsia" w:ascii="宋体" w:hAnsi="宋体" w:cs="宋体"/>
                <w:color w:val="auto"/>
                <w:highlight w:val="none"/>
              </w:rPr>
              <w:t>1.保修期：按国家有关产品“三包”规定执行“三包”，</w:t>
            </w:r>
            <w:r>
              <w:rPr>
                <w:rFonts w:hint="eastAsia"/>
                <w:color w:val="auto"/>
                <w:highlight w:val="none"/>
              </w:rPr>
              <w:t>第1项号产品：主机、内置无线网卡保修期不得少于5年，其余附件配置保修期不得少于6个月；第2项号产品：</w:t>
            </w:r>
            <w:r>
              <w:rPr>
                <w:rFonts w:hint="eastAsia" w:ascii="宋体" w:hAnsi="宋体" w:cs="宋体"/>
                <w:color w:val="auto"/>
                <w:highlight w:val="none"/>
              </w:rPr>
              <w:t>主机、内置无线网卡（Wi-Fi 功能）、麻醉输注工作站（dock）、呼吸力学软件系统</w:t>
            </w:r>
            <w:r>
              <w:rPr>
                <w:rFonts w:hint="eastAsia"/>
                <w:color w:val="auto"/>
                <w:highlight w:val="none"/>
              </w:rPr>
              <w:t>保修期不得少于5年，其余附件配置保修期不得少于6个月；第3项号产品：</w:t>
            </w:r>
            <w:r>
              <w:rPr>
                <w:rFonts w:hint="eastAsia" w:ascii="宋体" w:hAnsi="宋体" w:cs="宋体"/>
                <w:color w:val="auto"/>
                <w:highlight w:val="none"/>
              </w:rPr>
              <w:t>主机、内置无线网卡（Wi-Fi 功能）、静吸复合麻醉系统、高频喷射系统或高频喷射单机</w:t>
            </w:r>
            <w:r>
              <w:rPr>
                <w:rFonts w:hint="eastAsia"/>
                <w:color w:val="auto"/>
                <w:highlight w:val="none"/>
              </w:rPr>
              <w:t>保修期不得少于5年，其余附件配置保修期不得少于6个月</w:t>
            </w:r>
            <w:r>
              <w:rPr>
                <w:rFonts w:hint="eastAsia" w:ascii="宋体" w:hAnsi="宋体" w:cs="宋体"/>
                <w:color w:val="auto"/>
                <w:highlight w:val="none"/>
              </w:rPr>
              <w:t>（保修期从设备验收合格之日起计算），保修期内上门维修不收取任何费用。</w:t>
            </w:r>
          </w:p>
          <w:p w14:paraId="673CB609">
            <w:pPr>
              <w:spacing w:line="360" w:lineRule="exact"/>
              <w:jc w:val="left"/>
              <w:rPr>
                <w:rFonts w:ascii="宋体" w:hAnsi="宋体" w:cs="宋体"/>
                <w:color w:val="auto"/>
                <w:szCs w:val="21"/>
                <w:highlight w:val="none"/>
              </w:rPr>
            </w:pPr>
            <w:r>
              <w:rPr>
                <w:rFonts w:hint="eastAsia" w:ascii="宋体" w:hAnsi="宋体" w:cs="宋体"/>
                <w:color w:val="auto"/>
                <w:highlight w:val="none"/>
              </w:rPr>
              <w:t>2.采购范围内的货物</w:t>
            </w:r>
            <w:r>
              <w:rPr>
                <w:rFonts w:hint="eastAsia" w:ascii="宋体" w:hAnsi="宋体" w:cs="宋体"/>
                <w:color w:val="auto"/>
                <w:szCs w:val="21"/>
                <w:highlight w:val="none"/>
              </w:rPr>
              <w:t>送货上门、安装调试合格，提供技术及使用培训服务，保证操作人员能正常操作设备的各种功能；若设备自带软件，则在保修期内提供升级服务。</w:t>
            </w:r>
          </w:p>
          <w:p w14:paraId="1F20700E">
            <w:pPr>
              <w:spacing w:line="360" w:lineRule="exact"/>
              <w:jc w:val="left"/>
              <w:rPr>
                <w:rFonts w:ascii="宋体" w:hAnsi="宋体" w:cs="宋体"/>
                <w:color w:val="auto"/>
                <w:highlight w:val="none"/>
              </w:rPr>
            </w:pPr>
            <w:r>
              <w:rPr>
                <w:rFonts w:hint="eastAsia" w:ascii="宋体" w:hAnsi="宋体" w:cs="宋体"/>
                <w:color w:val="auto"/>
                <w:szCs w:val="21"/>
                <w:highlight w:val="none"/>
              </w:rPr>
              <w:t>3.保修期内仪器设备出现故障，在接到</w:t>
            </w:r>
            <w:r>
              <w:rPr>
                <w:rFonts w:hint="eastAsia" w:ascii="宋体" w:hAnsi="宋体" w:cs="宋体"/>
                <w:color w:val="auto"/>
                <w:highlight w:val="none"/>
              </w:rPr>
              <w:t>电话通知后，2小时内做出响应，24小时内到达维修现场。一般问题应在48小时内解决。重大问题或其他无法迅速解决的问题应在一周内解决。</w:t>
            </w:r>
          </w:p>
          <w:p w14:paraId="3A779B6F">
            <w:pPr>
              <w:spacing w:line="360" w:lineRule="exact"/>
              <w:jc w:val="left"/>
              <w:rPr>
                <w:rFonts w:ascii="宋体" w:hAnsi="宋体" w:cs="宋体"/>
                <w:color w:val="auto"/>
                <w:highlight w:val="none"/>
              </w:rPr>
            </w:pPr>
            <w:r>
              <w:rPr>
                <w:rFonts w:hint="eastAsia" w:ascii="宋体" w:hAnsi="宋体" w:cs="宋体"/>
                <w:color w:val="auto"/>
                <w:highlight w:val="none"/>
              </w:rPr>
              <w:t>4.提供每半年一次定期回访以及对设备维护服务。</w:t>
            </w:r>
          </w:p>
          <w:p w14:paraId="1992BCB4">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5.投标人负责产品的安装调试及人员培训。在保修期内，投标人必须保证采购人能够合法应用该器械/试剂，并办理相关证件、手续，产生的费用包含在合同/协议价格中。在此过程中，采购人应当提供必要支持。若可能出现的后续证件、手续，投标人必须提供办理的流程及方法。</w:t>
            </w:r>
          </w:p>
          <w:p w14:paraId="2D5E14E4">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6.易损零配件和专机专用试剂耗材价格表：本项目签订合同/协议时，应附易损零配件和专机专用试剂耗材价格表。</w:t>
            </w:r>
          </w:p>
          <w:p w14:paraId="0D543DF5">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7.维修技术支持：投标人一次性提供维护手册、维修手册、软件备份、故障代码表、备件清单等维护维修必需的材料和信息，否则不予验收。保修期外，提供维修密码及软件在该项目中的使用权，按合同约定价格提供零部件、快速响应的技术支持。保修期外，如在使用过程中发生质量问题，投标人在接到采购人通知后在24小时内到达采购人现场处理。</w:t>
            </w:r>
          </w:p>
          <w:p w14:paraId="73D98C49">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8.投标人保证采购人获得合同约定范围内所有软件功能，单机软件使用权。不得限制硬件配件采购，并在采购人自主更换配件后，帮助采购人恢复原有的软件及系统，使采购人能够正常使用该器械/设备、项目。</w:t>
            </w:r>
          </w:p>
          <w:p w14:paraId="7BE7B3C4">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9.投标人承诺保修期内，按国家相关规定，执行保养及预防性维护，并提供报告。</w:t>
            </w:r>
          </w:p>
          <w:p w14:paraId="02E87219">
            <w:pPr>
              <w:spacing w:line="360" w:lineRule="exact"/>
              <w:jc w:val="left"/>
              <w:rPr>
                <w:color w:val="auto"/>
                <w:highlight w:val="none"/>
              </w:rPr>
            </w:pPr>
            <w:r>
              <w:rPr>
                <w:rFonts w:hint="eastAsia" w:ascii="宋体" w:hAnsi="宋体" w:cs="宋体"/>
                <w:color w:val="auto"/>
                <w:kern w:val="0"/>
                <w:szCs w:val="21"/>
                <w:highlight w:val="none"/>
              </w:rPr>
              <w:t>10.在设备规定的使用期限内，投标人必须保证配件供应。并承诺过保修期后的维修及配件更换不需预付款，按照采购人医院正常付款流程办理。</w:t>
            </w:r>
          </w:p>
        </w:tc>
      </w:tr>
      <w:tr w14:paraId="5305C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732" w:type="pct"/>
            <w:gridSpan w:val="4"/>
            <w:tcBorders>
              <w:top w:val="single" w:color="auto" w:sz="4" w:space="0"/>
              <w:left w:val="single" w:color="auto" w:sz="4" w:space="0"/>
              <w:bottom w:val="single" w:color="auto" w:sz="4" w:space="0"/>
              <w:right w:val="single" w:color="auto" w:sz="4" w:space="0"/>
            </w:tcBorders>
            <w:vAlign w:val="center"/>
          </w:tcPr>
          <w:p w14:paraId="546B2358">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（二）合同签订时间</w:t>
            </w:r>
          </w:p>
        </w:tc>
        <w:tc>
          <w:tcPr>
            <w:tcW w:w="3267" w:type="pct"/>
            <w:gridSpan w:val="3"/>
            <w:tcBorders>
              <w:top w:val="single" w:color="auto" w:sz="4" w:space="0"/>
              <w:left w:val="single" w:color="auto" w:sz="4" w:space="0"/>
              <w:bottom w:val="single" w:color="auto" w:sz="4" w:space="0"/>
              <w:right w:val="single" w:color="auto" w:sz="4" w:space="0"/>
            </w:tcBorders>
            <w:vAlign w:val="center"/>
          </w:tcPr>
          <w:p w14:paraId="2D37DC28">
            <w:pPr>
              <w:adjustRightInd w:val="0"/>
              <w:snapToGrid w:val="0"/>
              <w:spacing w:line="340" w:lineRule="exact"/>
              <w:rPr>
                <w:rFonts w:ascii="宋体" w:hAnsi="宋体" w:cs="宋体"/>
                <w:b/>
                <w:color w:val="auto"/>
                <w:szCs w:val="21"/>
                <w:highlight w:val="none"/>
              </w:rPr>
            </w:pPr>
            <w:r>
              <w:rPr>
                <w:rFonts w:hint="eastAsia" w:ascii="宋体" w:hAnsi="宋体" w:cs="宋体"/>
                <w:b/>
                <w:color w:val="auto"/>
                <w:szCs w:val="21"/>
                <w:highlight w:val="none"/>
              </w:rPr>
              <w:t>自中标通知书发出之日起 25日内签订采购合同。</w:t>
            </w:r>
          </w:p>
        </w:tc>
      </w:tr>
      <w:tr w14:paraId="0110DD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2" w:type="pct"/>
            <w:gridSpan w:val="4"/>
            <w:tcBorders>
              <w:top w:val="single" w:color="auto" w:sz="4" w:space="0"/>
              <w:left w:val="single" w:color="auto" w:sz="4" w:space="0"/>
              <w:bottom w:val="single" w:color="auto" w:sz="4" w:space="0"/>
              <w:right w:val="single" w:color="auto" w:sz="4" w:space="0"/>
            </w:tcBorders>
            <w:vAlign w:val="center"/>
          </w:tcPr>
          <w:p w14:paraId="1FC9BC7F">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（三）交付时间和地点</w:t>
            </w:r>
          </w:p>
        </w:tc>
        <w:tc>
          <w:tcPr>
            <w:tcW w:w="3267" w:type="pct"/>
            <w:gridSpan w:val="3"/>
            <w:tcBorders>
              <w:top w:val="single" w:color="auto" w:sz="4" w:space="0"/>
              <w:left w:val="single" w:color="auto" w:sz="4" w:space="0"/>
              <w:bottom w:val="single" w:color="auto" w:sz="4" w:space="0"/>
              <w:right w:val="single" w:color="auto" w:sz="4" w:space="0"/>
            </w:tcBorders>
            <w:vAlign w:val="center"/>
          </w:tcPr>
          <w:p w14:paraId="195111A8">
            <w:pPr>
              <w:spacing w:line="340" w:lineRule="exact"/>
              <w:rPr>
                <w:rFonts w:ascii="宋体" w:hAnsi="宋体" w:cs="宋体"/>
                <w:b/>
                <w:color w:val="auto"/>
                <w:szCs w:val="21"/>
                <w:highlight w:val="none"/>
              </w:rPr>
            </w:pPr>
            <w:r>
              <w:rPr>
                <w:rFonts w:hint="eastAsia" w:ascii="宋体" w:hAnsi="宋体" w:cs="宋体"/>
                <w:b/>
                <w:color w:val="auto"/>
                <w:szCs w:val="21"/>
                <w:highlight w:val="none"/>
              </w:rPr>
              <w:t>1.交付时间：</w:t>
            </w:r>
            <w:r>
              <w:rPr>
                <w:rFonts w:hint="eastAsia" w:ascii="宋体" w:hAnsi="宋体" w:cs="宋体"/>
                <w:bCs/>
                <w:color w:val="auto"/>
                <w:szCs w:val="21"/>
                <w:highlight w:val="none"/>
              </w:rPr>
              <w:t>合同签订，接采购人供货通知后</w:t>
            </w:r>
            <w:r>
              <w:rPr>
                <w:rFonts w:hint="eastAsia" w:ascii="宋体" w:hAnsi="宋体" w:cs="宋体"/>
                <w:bCs/>
                <w:color w:val="auto"/>
                <w:szCs w:val="21"/>
                <w:highlight w:val="none"/>
                <w:u w:val="single"/>
              </w:rPr>
              <w:t xml:space="preserve"> 30 </w:t>
            </w:r>
            <w:r>
              <w:rPr>
                <w:rFonts w:hint="eastAsia" w:ascii="宋体" w:hAnsi="宋体" w:cs="宋体"/>
                <w:bCs/>
                <w:color w:val="auto"/>
                <w:szCs w:val="21"/>
                <w:highlight w:val="none"/>
              </w:rPr>
              <w:t>个工作日内到货并安装调试完毕，达到正常使用状态。</w:t>
            </w:r>
          </w:p>
          <w:p w14:paraId="561F1260">
            <w:pPr>
              <w:adjustRightInd w:val="0"/>
              <w:snapToGrid w:val="0"/>
              <w:spacing w:line="340" w:lineRule="exact"/>
              <w:rPr>
                <w:rFonts w:ascii="宋体" w:hAnsi="宋体" w:cs="宋体"/>
                <w:b/>
                <w:color w:val="auto"/>
                <w:szCs w:val="21"/>
                <w:highlight w:val="none"/>
              </w:rPr>
            </w:pPr>
            <w:r>
              <w:rPr>
                <w:rFonts w:hint="eastAsia" w:ascii="宋体" w:hAnsi="宋体" w:cs="宋体"/>
                <w:b/>
                <w:color w:val="auto"/>
                <w:szCs w:val="21"/>
                <w:highlight w:val="none"/>
              </w:rPr>
              <w:t>2.交付地点：</w:t>
            </w:r>
            <w:r>
              <w:rPr>
                <w:rFonts w:hint="eastAsia" w:ascii="宋体" w:hAnsi="宋体" w:cs="宋体"/>
                <w:bCs/>
                <w:color w:val="auto"/>
                <w:szCs w:val="21"/>
                <w:highlight w:val="none"/>
              </w:rPr>
              <w:t>广西桂林市采购人医院内指定地点。</w:t>
            </w:r>
          </w:p>
        </w:tc>
      </w:tr>
      <w:tr w14:paraId="7A1777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2" w:type="pct"/>
            <w:gridSpan w:val="4"/>
            <w:tcBorders>
              <w:top w:val="single" w:color="auto" w:sz="4" w:space="0"/>
              <w:left w:val="single" w:color="auto" w:sz="4" w:space="0"/>
              <w:bottom w:val="single" w:color="auto" w:sz="4" w:space="0"/>
              <w:right w:val="single" w:color="auto" w:sz="4" w:space="0"/>
            </w:tcBorders>
            <w:vAlign w:val="center"/>
          </w:tcPr>
          <w:p w14:paraId="7F0E04D5">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（四）付款方式</w:t>
            </w:r>
          </w:p>
        </w:tc>
        <w:tc>
          <w:tcPr>
            <w:tcW w:w="3267" w:type="pct"/>
            <w:gridSpan w:val="3"/>
            <w:tcBorders>
              <w:top w:val="single" w:color="auto" w:sz="4" w:space="0"/>
              <w:left w:val="single" w:color="auto" w:sz="4" w:space="0"/>
              <w:bottom w:val="single" w:color="auto" w:sz="4" w:space="0"/>
              <w:right w:val="single" w:color="auto" w:sz="4" w:space="0"/>
            </w:tcBorders>
            <w:vAlign w:val="center"/>
          </w:tcPr>
          <w:p w14:paraId="57DC6C52">
            <w:pPr>
              <w:spacing w:line="340" w:lineRule="exact"/>
              <w:rPr>
                <w:rFonts w:ascii="宋体" w:hAnsi="宋体" w:cs="宋体"/>
                <w:bCs/>
                <w:color w:val="auto"/>
                <w:szCs w:val="21"/>
                <w:highlight w:val="none"/>
              </w:rPr>
            </w:pP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本仪器设备验收合格后，中标供应商开具全额税务增值税专用发票，采购人在收到发票后转账支付合同款的95%（无息），可采用汇票、云信、供应链、信用证等付款方式。合同款的5%在设备验收合格满</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年后的三个月内转账支付（无息）。采购人付款前，中标供应商未按上述要求开具符合采购人要求的正规财务票据的，采购人有权暂缓或拒付款项且不构成违约。</w:t>
            </w:r>
          </w:p>
          <w:p w14:paraId="3E345E6E">
            <w:pPr>
              <w:spacing w:line="340" w:lineRule="exact"/>
              <w:rPr>
                <w:rFonts w:ascii="宋体" w:hAnsi="宋体" w:cs="宋体"/>
                <w:color w:val="auto"/>
                <w:szCs w:val="21"/>
                <w:highlight w:val="none"/>
              </w:rPr>
            </w:pPr>
            <w:r>
              <w:rPr>
                <w:rFonts w:hint="eastAsia" w:ascii="宋体" w:hAnsi="宋体" w:cs="宋体"/>
                <w:bCs/>
                <w:color w:val="auto"/>
                <w:szCs w:val="21"/>
                <w:highlight w:val="none"/>
              </w:rPr>
              <w:t>2.票据要求：中标供应商必须按照采购人要求提供真实、有效、合法的正式税务发票。一旦发现中标供应商提供虚假税务发票，除须向采购人补开合法的税务发票外，须赔偿采购人发票票面金额一倍的违约金，且采购人有权终止合同，中标供应商不得提出异议，因终止合同而产生的一切损失均由中标供应商承担。</w:t>
            </w:r>
          </w:p>
        </w:tc>
      </w:tr>
      <w:tr w14:paraId="078EE6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2" w:type="pct"/>
            <w:gridSpan w:val="4"/>
            <w:tcBorders>
              <w:top w:val="single" w:color="auto" w:sz="4" w:space="0"/>
              <w:left w:val="single" w:color="auto" w:sz="4" w:space="0"/>
              <w:bottom w:val="single" w:color="auto" w:sz="4" w:space="0"/>
              <w:right w:val="single" w:color="auto" w:sz="4" w:space="0"/>
            </w:tcBorders>
            <w:vAlign w:val="center"/>
          </w:tcPr>
          <w:p w14:paraId="7145E108">
            <w:pPr>
              <w:adjustRightInd w:val="0"/>
              <w:snapToGrid w:val="0"/>
              <w:spacing w:line="360" w:lineRule="exact"/>
              <w:jc w:val="center"/>
              <w:rPr>
                <w:rFonts w:ascii="宋体" w:hAnsi="宋体" w:cs="宋体"/>
                <w:b/>
                <w:bCs/>
                <w:color w:val="auto"/>
                <w:kern w:val="0"/>
                <w:szCs w:val="21"/>
                <w:highlight w:val="none"/>
              </w:rPr>
            </w:pPr>
            <w:r>
              <w:rPr>
                <w:rFonts w:hint="eastAsia" w:ascii="宋体" w:hAnsi="宋体" w:cs="宋体"/>
                <w:b/>
                <w:color w:val="auto"/>
                <w:szCs w:val="21"/>
                <w:highlight w:val="none"/>
              </w:rPr>
              <w:t>（五）包装和运输</w:t>
            </w:r>
          </w:p>
        </w:tc>
        <w:tc>
          <w:tcPr>
            <w:tcW w:w="3267" w:type="pct"/>
            <w:gridSpan w:val="3"/>
            <w:tcBorders>
              <w:top w:val="single" w:color="auto" w:sz="4" w:space="0"/>
              <w:left w:val="single" w:color="auto" w:sz="4" w:space="0"/>
              <w:bottom w:val="single" w:color="auto" w:sz="4" w:space="0"/>
              <w:right w:val="single" w:color="auto" w:sz="4" w:space="0"/>
            </w:tcBorders>
            <w:vAlign w:val="center"/>
          </w:tcPr>
          <w:p w14:paraId="20D6DE94">
            <w:pPr>
              <w:adjustRightInd w:val="0"/>
              <w:snapToGrid w:val="0"/>
              <w:spacing w:line="340" w:lineRule="exact"/>
              <w:rPr>
                <w:rFonts w:ascii="宋体" w:hAnsi="宋体" w:cs="宋体"/>
                <w:b/>
                <w:bCs/>
                <w:color w:val="auto"/>
                <w:kern w:val="0"/>
                <w:szCs w:val="21"/>
                <w:highlight w:val="none"/>
              </w:rPr>
            </w:pPr>
            <w:r>
              <w:rPr>
                <w:rFonts w:hint="eastAsia" w:ascii="宋体" w:hAnsi="宋体" w:cs="宋体"/>
                <w:b/>
                <w:bCs/>
                <w:color w:val="auto"/>
                <w:kern w:val="0"/>
                <w:szCs w:val="21"/>
                <w:highlight w:val="none"/>
              </w:rPr>
              <w:t>1.中标供应商应在货物发运前对其进行满足于运输距离、防潮、防震、防锈和防破损装卸要求的包装，以保证货物安全无损的运输到达采购人指定地点。</w:t>
            </w:r>
          </w:p>
          <w:p w14:paraId="6E25922E">
            <w:pPr>
              <w:adjustRightInd w:val="0"/>
              <w:snapToGrid w:val="0"/>
              <w:spacing w:line="340" w:lineRule="exact"/>
              <w:rPr>
                <w:rFonts w:ascii="宋体" w:hAnsi="宋体" w:cs="宋体"/>
                <w:b/>
                <w:bCs/>
                <w:color w:val="auto"/>
                <w:kern w:val="0"/>
                <w:szCs w:val="21"/>
                <w:highlight w:val="none"/>
              </w:rPr>
            </w:pPr>
            <w:r>
              <w:rPr>
                <w:rFonts w:hint="eastAsia" w:ascii="宋体" w:hAnsi="宋体" w:cs="宋体"/>
                <w:b/>
                <w:bCs/>
                <w:color w:val="auto"/>
                <w:kern w:val="0"/>
                <w:szCs w:val="21"/>
                <w:highlight w:val="none"/>
              </w:rPr>
              <w:t>2.使用说明书、质量检验证明书、随配附件和工具以及配置清单等一并附于货物内交付采购人。</w:t>
            </w:r>
          </w:p>
          <w:p w14:paraId="3265D451">
            <w:pPr>
              <w:adjustRightInd w:val="0"/>
              <w:snapToGrid w:val="0"/>
              <w:spacing w:line="340" w:lineRule="exact"/>
              <w:rPr>
                <w:rFonts w:ascii="宋体" w:hAnsi="宋体" w:cs="宋体"/>
                <w:b/>
                <w:bCs/>
                <w:color w:val="auto"/>
                <w:kern w:val="0"/>
                <w:szCs w:val="21"/>
                <w:highlight w:val="none"/>
              </w:rPr>
            </w:pPr>
            <w:r>
              <w:rPr>
                <w:rFonts w:hint="eastAsia" w:ascii="宋体" w:hAnsi="宋体" w:cs="宋体"/>
                <w:b/>
                <w:bCs/>
                <w:color w:val="auto"/>
                <w:kern w:val="0"/>
                <w:szCs w:val="21"/>
                <w:highlight w:val="none"/>
              </w:rPr>
              <w:t>3.中标供应商负责将货物安全运送到采购人指定地点，并负责清理回收采购人抛弃的相关大件包装，不另收任何费用。货到采购人前48小时，由中标供应商通知采购人，但在验收前采购人原则上不负责接收货物。</w:t>
            </w:r>
          </w:p>
        </w:tc>
      </w:tr>
      <w:tr w14:paraId="59E1D9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2" w:type="pct"/>
            <w:gridSpan w:val="4"/>
            <w:tcBorders>
              <w:top w:val="single" w:color="auto" w:sz="4" w:space="0"/>
              <w:left w:val="single" w:color="auto" w:sz="4" w:space="0"/>
              <w:bottom w:val="single" w:color="auto" w:sz="4" w:space="0"/>
              <w:right w:val="single" w:color="auto" w:sz="4" w:space="0"/>
            </w:tcBorders>
            <w:vAlign w:val="center"/>
          </w:tcPr>
          <w:p w14:paraId="10310D6B">
            <w:pPr>
              <w:adjustRightInd w:val="0"/>
              <w:snapToGrid w:val="0"/>
              <w:spacing w:line="360" w:lineRule="exact"/>
              <w:jc w:val="center"/>
              <w:rPr>
                <w:rFonts w:ascii="宋体" w:hAnsi="宋体" w:cs="宋体"/>
                <w:b/>
                <w:bCs/>
                <w:color w:val="auto"/>
                <w:kern w:val="0"/>
                <w:szCs w:val="21"/>
                <w:highlight w:val="none"/>
              </w:rPr>
            </w:pPr>
            <w:r>
              <w:rPr>
                <w:rFonts w:hint="eastAsia" w:ascii="宋体" w:hAnsi="宋体" w:cs="宋体"/>
                <w:b/>
                <w:color w:val="auto"/>
                <w:szCs w:val="21"/>
                <w:highlight w:val="none"/>
              </w:rPr>
              <w:t>（六）保险</w:t>
            </w:r>
          </w:p>
        </w:tc>
        <w:tc>
          <w:tcPr>
            <w:tcW w:w="3267" w:type="pct"/>
            <w:gridSpan w:val="3"/>
            <w:tcBorders>
              <w:top w:val="single" w:color="auto" w:sz="4" w:space="0"/>
              <w:left w:val="single" w:color="auto" w:sz="4" w:space="0"/>
              <w:bottom w:val="single" w:color="auto" w:sz="4" w:space="0"/>
              <w:right w:val="single" w:color="auto" w:sz="4" w:space="0"/>
            </w:tcBorders>
            <w:vAlign w:val="center"/>
          </w:tcPr>
          <w:p w14:paraId="44DC7E30">
            <w:pPr>
              <w:adjustRightInd w:val="0"/>
              <w:snapToGrid w:val="0"/>
              <w:spacing w:line="340" w:lineRule="exact"/>
              <w:rPr>
                <w:rFonts w:ascii="宋体" w:hAnsi="宋体" w:cs="宋体"/>
                <w:b/>
                <w:color w:val="auto"/>
                <w:szCs w:val="21"/>
                <w:highlight w:val="none"/>
              </w:rPr>
            </w:pPr>
            <w:r>
              <w:rPr>
                <w:rFonts w:hint="eastAsia" w:ascii="宋体" w:hAnsi="宋体" w:cs="宋体"/>
                <w:b/>
                <w:bCs/>
                <w:color w:val="auto"/>
                <w:kern w:val="0"/>
                <w:szCs w:val="21"/>
                <w:highlight w:val="none"/>
              </w:rPr>
              <w:t>若投标人为本项目标的及标的涉及的相关材料、设备、人员、运输等购买保险的，相关费用由投标人自行承担。</w:t>
            </w:r>
          </w:p>
        </w:tc>
      </w:tr>
      <w:tr w14:paraId="23806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2" w:type="pct"/>
            <w:gridSpan w:val="4"/>
            <w:tcBorders>
              <w:top w:val="single" w:color="auto" w:sz="4" w:space="0"/>
              <w:left w:val="single" w:color="auto" w:sz="4" w:space="0"/>
              <w:bottom w:val="single" w:color="auto" w:sz="4" w:space="0"/>
              <w:right w:val="single" w:color="auto" w:sz="4" w:space="0"/>
            </w:tcBorders>
            <w:vAlign w:val="center"/>
          </w:tcPr>
          <w:p w14:paraId="486B33DA">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（七）验收标准</w:t>
            </w:r>
          </w:p>
        </w:tc>
        <w:tc>
          <w:tcPr>
            <w:tcW w:w="3267" w:type="pct"/>
            <w:gridSpan w:val="3"/>
            <w:tcBorders>
              <w:top w:val="single" w:color="auto" w:sz="4" w:space="0"/>
              <w:left w:val="single" w:color="auto" w:sz="4" w:space="0"/>
              <w:bottom w:val="single" w:color="auto" w:sz="4" w:space="0"/>
              <w:right w:val="single" w:color="auto" w:sz="4" w:space="0"/>
            </w:tcBorders>
            <w:vAlign w:val="center"/>
          </w:tcPr>
          <w:p w14:paraId="53B10644">
            <w:pPr>
              <w:adjustRightInd w:val="0"/>
              <w:snapToGrid w:val="0"/>
              <w:spacing w:line="340" w:lineRule="exact"/>
              <w:rPr>
                <w:rFonts w:ascii="宋体" w:hAnsi="宋体" w:cs="宋体"/>
                <w:b/>
                <w:bCs/>
                <w:color w:val="auto"/>
                <w:kern w:val="0"/>
                <w:szCs w:val="21"/>
                <w:highlight w:val="none"/>
              </w:rPr>
            </w:pPr>
            <w:r>
              <w:rPr>
                <w:rFonts w:hint="eastAsia" w:ascii="宋体" w:hAnsi="宋体" w:cs="宋体"/>
                <w:b/>
                <w:bCs/>
                <w:color w:val="auto"/>
                <w:kern w:val="0"/>
                <w:szCs w:val="21"/>
                <w:highlight w:val="none"/>
              </w:rPr>
              <w:t>1.中标供应商交货前应对产品作出全面检查和对验收文件进行整理列出清单，作为采购人收货验收和使用的技术条件依据，检验的结果应随货物交采购人。</w:t>
            </w:r>
          </w:p>
          <w:p w14:paraId="494A30E6">
            <w:pPr>
              <w:adjustRightInd w:val="0"/>
              <w:snapToGrid w:val="0"/>
              <w:spacing w:line="340" w:lineRule="exact"/>
              <w:rPr>
                <w:rFonts w:ascii="宋体" w:hAnsi="宋体" w:cs="宋体"/>
                <w:b/>
                <w:bCs/>
                <w:color w:val="auto"/>
                <w:kern w:val="0"/>
                <w:szCs w:val="21"/>
                <w:highlight w:val="none"/>
              </w:rPr>
            </w:pPr>
            <w:r>
              <w:rPr>
                <w:rFonts w:hint="eastAsia" w:ascii="宋体" w:hAnsi="宋体" w:cs="宋体"/>
                <w:b/>
                <w:bCs/>
                <w:color w:val="auto"/>
                <w:kern w:val="0"/>
                <w:szCs w:val="21"/>
                <w:highlight w:val="none"/>
              </w:rPr>
              <w:t>2.采购人对中标供应商所交货物依照国家有关标准，进行现场验收，性能达到技术要求的给予签收，验收不合格不予签收，后果由中标供应商负责。</w:t>
            </w:r>
          </w:p>
          <w:p w14:paraId="3E42CB5C">
            <w:pPr>
              <w:adjustRightInd w:val="0"/>
              <w:snapToGrid w:val="0"/>
              <w:spacing w:line="340" w:lineRule="exact"/>
              <w:rPr>
                <w:rFonts w:ascii="宋体" w:hAnsi="宋体" w:cs="宋体"/>
                <w:color w:val="auto"/>
                <w:szCs w:val="21"/>
                <w:highlight w:val="none"/>
              </w:rPr>
            </w:pPr>
            <w:r>
              <w:rPr>
                <w:rFonts w:hint="eastAsia" w:ascii="宋体" w:hAnsi="宋体" w:cs="宋体"/>
                <w:b/>
                <w:bCs/>
                <w:color w:val="auto"/>
                <w:kern w:val="0"/>
                <w:szCs w:val="21"/>
                <w:highlight w:val="none"/>
              </w:rPr>
              <w:t>3.中标供应商应在货到指定地点安装、调试完毕，确保正常使用，并及时配合采购人验收。</w:t>
            </w:r>
          </w:p>
        </w:tc>
      </w:tr>
      <w:tr w14:paraId="64BAC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2" w:type="pct"/>
            <w:gridSpan w:val="4"/>
            <w:tcBorders>
              <w:top w:val="single" w:color="auto" w:sz="4" w:space="0"/>
              <w:left w:val="single" w:color="auto" w:sz="4" w:space="0"/>
              <w:bottom w:val="single" w:color="auto" w:sz="4" w:space="0"/>
              <w:right w:val="single" w:color="auto" w:sz="4" w:space="0"/>
            </w:tcBorders>
            <w:vAlign w:val="center"/>
          </w:tcPr>
          <w:p w14:paraId="0EF5F9A3">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（八）知识产权</w:t>
            </w:r>
          </w:p>
        </w:tc>
        <w:tc>
          <w:tcPr>
            <w:tcW w:w="3267" w:type="pct"/>
            <w:gridSpan w:val="3"/>
            <w:tcBorders>
              <w:top w:val="single" w:color="auto" w:sz="4" w:space="0"/>
              <w:left w:val="single" w:color="auto" w:sz="4" w:space="0"/>
              <w:bottom w:val="single" w:color="auto" w:sz="4" w:space="0"/>
              <w:right w:val="single" w:color="auto" w:sz="4" w:space="0"/>
            </w:tcBorders>
          </w:tcPr>
          <w:p w14:paraId="0D76958B">
            <w:pPr>
              <w:snapToGrid w:val="0"/>
              <w:spacing w:line="340" w:lineRule="exact"/>
              <w:rPr>
                <w:rFonts w:ascii="宋体" w:hAnsi="宋体" w:cs="宋体"/>
                <w:b/>
                <w:color w:val="auto"/>
                <w:szCs w:val="21"/>
                <w:highlight w:val="none"/>
              </w:rPr>
            </w:pPr>
            <w:r>
              <w:rPr>
                <w:rFonts w:hint="eastAsia" w:ascii="宋体" w:hAnsi="宋体" w:cs="宋体"/>
                <w:b/>
                <w:color w:val="auto"/>
                <w:szCs w:val="21"/>
                <w:highlight w:val="none"/>
              </w:rPr>
              <w:t>1.采购人在履行合同过程中提供给中标供应商的全部文件和其他含有数据和信息的资料，其知识产权属于采购人。</w:t>
            </w:r>
          </w:p>
          <w:p w14:paraId="1953B93C">
            <w:pPr>
              <w:snapToGrid w:val="0"/>
              <w:spacing w:line="340" w:lineRule="exact"/>
              <w:rPr>
                <w:rFonts w:ascii="宋体" w:hAnsi="宋体" w:cs="宋体"/>
                <w:b/>
                <w:color w:val="auto"/>
                <w:szCs w:val="21"/>
                <w:highlight w:val="none"/>
              </w:rPr>
            </w:pPr>
            <w:r>
              <w:rPr>
                <w:rFonts w:hint="eastAsia" w:ascii="宋体" w:hAnsi="宋体" w:cs="宋体"/>
                <w:b/>
                <w:color w:val="auto"/>
                <w:szCs w:val="21"/>
                <w:highlight w:val="none"/>
              </w:rPr>
              <w:t>2.除招标文件采购需求另有约定外，采购人不因签署和履行合同而享有中标供应商在履行合同过程中提供给采购人的文件、配套软件、电子辅助程序和其他含有数据和信息的资料的知识产权。</w:t>
            </w:r>
          </w:p>
          <w:p w14:paraId="3BF5EE11">
            <w:pPr>
              <w:spacing w:line="340" w:lineRule="exact"/>
              <w:jc w:val="left"/>
              <w:rPr>
                <w:rFonts w:ascii="宋体" w:hAnsi="宋体" w:cs="宋体"/>
                <w:color w:val="auto"/>
                <w:szCs w:val="21"/>
                <w:highlight w:val="none"/>
              </w:rPr>
            </w:pPr>
            <w:r>
              <w:rPr>
                <w:rFonts w:hint="eastAsia" w:ascii="宋体" w:hAnsi="宋体" w:cs="宋体"/>
                <w:b/>
                <w:color w:val="auto"/>
                <w:szCs w:val="21"/>
                <w:highlight w:val="none"/>
              </w:rPr>
              <w:t>3.中标供应商应保证所提供货物在使用时不会侵犯任何第三方的知识产权或者其他权利。如合同货物涉及知识产权，则中标供应商保证采购人在使用合同货物过程中免于受到第三方提出的有关知识产权侵权的主张、索赔或诉讼的伤害。</w:t>
            </w:r>
          </w:p>
        </w:tc>
      </w:tr>
      <w:tr w14:paraId="0C0F01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2" w:type="pct"/>
            <w:gridSpan w:val="4"/>
            <w:tcBorders>
              <w:top w:val="single" w:color="auto" w:sz="4" w:space="0"/>
              <w:left w:val="single" w:color="auto" w:sz="4" w:space="0"/>
              <w:bottom w:val="single" w:color="auto" w:sz="4" w:space="0"/>
              <w:right w:val="single" w:color="auto" w:sz="4" w:space="0"/>
            </w:tcBorders>
            <w:vAlign w:val="center"/>
          </w:tcPr>
          <w:p w14:paraId="6DBD0C76">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（九）违约责任</w:t>
            </w:r>
          </w:p>
        </w:tc>
        <w:tc>
          <w:tcPr>
            <w:tcW w:w="3267" w:type="pct"/>
            <w:gridSpan w:val="3"/>
            <w:tcBorders>
              <w:top w:val="single" w:color="auto" w:sz="4" w:space="0"/>
              <w:left w:val="single" w:color="auto" w:sz="4" w:space="0"/>
              <w:bottom w:val="single" w:color="auto" w:sz="4" w:space="0"/>
              <w:right w:val="single" w:color="auto" w:sz="4" w:space="0"/>
            </w:tcBorders>
          </w:tcPr>
          <w:p w14:paraId="0894000F">
            <w:pPr>
              <w:adjustRightInd w:val="0"/>
              <w:snapToGrid w:val="0"/>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1.采购人无正当理由拒收的，违约方每天按合同标的0.3%支付违约金。</w:t>
            </w:r>
          </w:p>
          <w:p w14:paraId="30D2F639">
            <w:pPr>
              <w:adjustRightInd w:val="0"/>
              <w:snapToGrid w:val="0"/>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2.中标供应商逾期交付货物的，每逾期一日应支付违约金1000元，中标供应商逾期超过7天仍不能交货的,采购人有权依法解除合同，中标供应商应按合同总金额的30%向采购人支付违约金，造成采购人损失的，由中标供应商负责赔偿，赔偿范围包括但不限于直接损失、逾期损失、以及维权产生的相关费用。</w:t>
            </w:r>
          </w:p>
          <w:p w14:paraId="283CBA15">
            <w:pPr>
              <w:adjustRightInd w:val="0"/>
              <w:snapToGrid w:val="0"/>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3.中标供应商货物不符合约定及采购人要求的，须无条件予以更换或弥补，由此导致的逾期交付责任由中标供应商承担；中标供应商拒绝更换弥补或更换三次仍不能达到采购人要求的，采购人有权依法解除合同，中标供应商应按合同总金额的30%向采购人支付违约金并赔偿采购人全部损失</w:t>
            </w:r>
          </w:p>
          <w:p w14:paraId="3CBB7525">
            <w:pPr>
              <w:adjustRightInd w:val="0"/>
              <w:snapToGrid w:val="0"/>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4.中标供应商未按约定履行售后服务或维保责任的，每发生一次应向采购人支付违约金1000元，采购人有权自行或委托第三方进行维保，由此产生的全部费用由中标供应商承担。</w:t>
            </w:r>
          </w:p>
          <w:p w14:paraId="7E89EB26">
            <w:pPr>
              <w:adjustRightInd w:val="0"/>
              <w:snapToGrid w:val="0"/>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5.中标供应商提供的投标文件如有虚假，视为中标供应商根本性违约，采购人有权依法解除合同，并追究中标供应商相关法律责任。</w:t>
            </w:r>
          </w:p>
        </w:tc>
      </w:tr>
      <w:tr w14:paraId="34AD60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2" w:type="pct"/>
            <w:gridSpan w:val="4"/>
            <w:tcBorders>
              <w:top w:val="single" w:color="auto" w:sz="4" w:space="0"/>
              <w:left w:val="single" w:color="auto" w:sz="4" w:space="0"/>
              <w:bottom w:val="single" w:color="auto" w:sz="4" w:space="0"/>
              <w:right w:val="single" w:color="auto" w:sz="4" w:space="0"/>
            </w:tcBorders>
            <w:vAlign w:val="center"/>
          </w:tcPr>
          <w:p w14:paraId="36B66660">
            <w:pPr>
              <w:adjustRightInd w:val="0"/>
              <w:snapToGrid w:val="0"/>
              <w:spacing w:line="300" w:lineRule="exact"/>
              <w:jc w:val="center"/>
              <w:rPr>
                <w:rFonts w:ascii="宋体" w:hAnsi="宋体" w:cs="宋体"/>
                <w:b/>
                <w:color w:val="auto"/>
                <w:szCs w:val="21"/>
                <w:highlight w:val="none"/>
              </w:rPr>
            </w:pPr>
            <w:r>
              <w:rPr>
                <w:rFonts w:hint="eastAsia" w:ascii="宋体" w:hAnsi="宋体" w:cs="宋体"/>
                <w:b/>
                <w:color w:val="auto"/>
                <w:kern w:val="0"/>
                <w:szCs w:val="21"/>
                <w:highlight w:val="none"/>
              </w:rPr>
              <w:t>（十）医疗器械管理相应有效证明材料</w:t>
            </w:r>
          </w:p>
        </w:tc>
        <w:tc>
          <w:tcPr>
            <w:tcW w:w="3267" w:type="pct"/>
            <w:gridSpan w:val="3"/>
            <w:tcBorders>
              <w:top w:val="single" w:color="auto" w:sz="4" w:space="0"/>
              <w:left w:val="single" w:color="auto" w:sz="4" w:space="0"/>
              <w:bottom w:val="single" w:color="auto" w:sz="4" w:space="0"/>
              <w:right w:val="single" w:color="auto" w:sz="4" w:space="0"/>
            </w:tcBorders>
            <w:vAlign w:val="center"/>
          </w:tcPr>
          <w:p w14:paraId="0E82380F">
            <w:pPr>
              <w:adjustRightInd w:val="0"/>
              <w:snapToGrid w:val="0"/>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投标人所投本项目产品如属第二类或第三类医疗器械管理的，必须具有相应有效的“医疗器械注册证”（投标人于投标文件中必须提供相应有效的医疗器械注册证复印件，加盖投标人电子签章）。</w:t>
            </w:r>
          </w:p>
        </w:tc>
      </w:tr>
      <w:tr w14:paraId="4CB174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2" w:type="pct"/>
            <w:gridSpan w:val="4"/>
            <w:tcBorders>
              <w:top w:val="single" w:color="auto" w:sz="4" w:space="0"/>
              <w:left w:val="single" w:color="auto" w:sz="4" w:space="0"/>
              <w:bottom w:val="single" w:color="auto" w:sz="4" w:space="0"/>
              <w:right w:val="single" w:color="auto" w:sz="4" w:space="0"/>
            </w:tcBorders>
            <w:vAlign w:val="center"/>
          </w:tcPr>
          <w:p w14:paraId="7A5652C7">
            <w:pPr>
              <w:pStyle w:val="2"/>
              <w:spacing w:line="300" w:lineRule="exact"/>
              <w:jc w:val="center"/>
              <w:rPr>
                <w:rFonts w:ascii="宋体" w:hAnsi="宋体" w:cs="宋体"/>
                <w:b/>
                <w:color w:val="auto"/>
                <w:kern w:val="2"/>
                <w:sz w:val="21"/>
                <w:szCs w:val="21"/>
                <w:highlight w:val="none"/>
              </w:rPr>
            </w:pPr>
            <w:r>
              <w:rPr>
                <w:rFonts w:hint="eastAsia" w:ascii="宋体" w:hAnsi="宋体" w:cs="宋体"/>
                <w:b/>
                <w:color w:val="auto"/>
                <w:sz w:val="21"/>
                <w:szCs w:val="21"/>
                <w:highlight w:val="none"/>
              </w:rPr>
              <w:t>（十一）进口产品说明</w:t>
            </w:r>
          </w:p>
        </w:tc>
        <w:tc>
          <w:tcPr>
            <w:tcW w:w="3267" w:type="pct"/>
            <w:gridSpan w:val="3"/>
            <w:tcBorders>
              <w:top w:val="single" w:color="auto" w:sz="4" w:space="0"/>
              <w:left w:val="single" w:color="auto" w:sz="4" w:space="0"/>
              <w:bottom w:val="single" w:color="auto" w:sz="4" w:space="0"/>
              <w:right w:val="single" w:color="auto" w:sz="4" w:space="0"/>
            </w:tcBorders>
          </w:tcPr>
          <w:p w14:paraId="5CB2A6AF">
            <w:pPr>
              <w:spacing w:line="360" w:lineRule="exact"/>
              <w:rPr>
                <w:rFonts w:ascii="宋体" w:hAnsi="宋体" w:cs="宋体"/>
                <w:b/>
                <w:color w:val="auto"/>
                <w:szCs w:val="21"/>
                <w:highlight w:val="none"/>
              </w:rPr>
            </w:pPr>
            <w:r>
              <w:rPr>
                <w:rFonts w:hint="eastAsia" w:ascii="宋体" w:hAnsi="宋体" w:cs="宋体"/>
                <w:b/>
                <w:color w:val="auto"/>
                <w:szCs w:val="21"/>
                <w:highlight w:val="none"/>
              </w:rPr>
              <w:t>本项目货物不接受进口产品（即通过中国海关报关验放进入中国境内且产自关境外的产品）参与投标，如有进口产品参与投标的作无效标处理。</w:t>
            </w:r>
          </w:p>
        </w:tc>
      </w:tr>
      <w:tr w14:paraId="6B3BE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2" w:type="pct"/>
            <w:gridSpan w:val="4"/>
            <w:tcBorders>
              <w:top w:val="single" w:color="auto" w:sz="4" w:space="0"/>
              <w:left w:val="single" w:color="auto" w:sz="4" w:space="0"/>
              <w:bottom w:val="single" w:color="auto" w:sz="4" w:space="0"/>
              <w:right w:val="single" w:color="auto" w:sz="4" w:space="0"/>
            </w:tcBorders>
            <w:vAlign w:val="center"/>
          </w:tcPr>
          <w:p w14:paraId="4EC75097">
            <w:pPr>
              <w:adjustRightInd w:val="0"/>
              <w:snapToGrid w:val="0"/>
              <w:spacing w:line="300" w:lineRule="exact"/>
              <w:jc w:val="center"/>
              <w:rPr>
                <w:rFonts w:ascii="宋体" w:hAnsi="宋体" w:cs="宋体"/>
                <w:b/>
                <w:color w:val="auto"/>
                <w:szCs w:val="21"/>
                <w:highlight w:val="none"/>
              </w:rPr>
            </w:pPr>
            <w:r>
              <w:rPr>
                <w:rFonts w:hint="eastAsia" w:ascii="宋体" w:hAnsi="宋体" w:cs="宋体"/>
                <w:b/>
                <w:color w:val="auto"/>
                <w:szCs w:val="21"/>
                <w:highlight w:val="none"/>
              </w:rPr>
              <w:t>（十二）采购预算及最高限价</w:t>
            </w:r>
          </w:p>
        </w:tc>
        <w:tc>
          <w:tcPr>
            <w:tcW w:w="3267" w:type="pct"/>
            <w:gridSpan w:val="3"/>
            <w:tcBorders>
              <w:top w:val="single" w:color="auto" w:sz="4" w:space="0"/>
              <w:left w:val="single" w:color="auto" w:sz="4" w:space="0"/>
              <w:bottom w:val="single" w:color="auto" w:sz="4" w:space="0"/>
              <w:right w:val="single" w:color="auto" w:sz="4" w:space="0"/>
            </w:tcBorders>
          </w:tcPr>
          <w:p w14:paraId="4F6B878C">
            <w:pPr>
              <w:spacing w:line="360" w:lineRule="exact"/>
              <w:rPr>
                <w:rFonts w:ascii="宋体" w:hAnsi="宋体" w:cs="宋体"/>
                <w:b/>
                <w:color w:val="auto"/>
                <w:szCs w:val="21"/>
                <w:highlight w:val="none"/>
              </w:rPr>
            </w:pPr>
            <w:r>
              <w:rPr>
                <w:rFonts w:hint="eastAsia" w:ascii="宋体" w:hAnsi="宋体" w:cs="宋体"/>
                <w:b/>
                <w:bCs/>
                <w:color w:val="auto"/>
                <w:highlight w:val="none"/>
              </w:rPr>
              <w:t>本</w:t>
            </w:r>
            <w:r>
              <w:rPr>
                <w:rFonts w:hint="eastAsia" w:ascii="宋体" w:hAnsi="宋体" w:cs="宋体"/>
                <w:b/>
                <w:color w:val="auto"/>
                <w:szCs w:val="21"/>
                <w:highlight w:val="none"/>
              </w:rPr>
              <w:t>分标</w:t>
            </w:r>
            <w:r>
              <w:rPr>
                <w:rFonts w:hint="eastAsia" w:ascii="宋体" w:hAnsi="宋体" w:cs="宋体"/>
                <w:b/>
                <w:bCs/>
                <w:color w:val="auto"/>
                <w:highlight w:val="none"/>
              </w:rPr>
              <w:t>采购预算为</w:t>
            </w:r>
            <w:r>
              <w:rPr>
                <w:rFonts w:hint="eastAsia" w:ascii="宋体" w:hAnsi="宋体"/>
                <w:b/>
                <w:bCs/>
                <w:color w:val="auto"/>
                <w:highlight w:val="none"/>
              </w:rPr>
              <w:t>伍佰捌拾捌万元整（¥5880000.00），</w:t>
            </w:r>
            <w:r>
              <w:rPr>
                <w:rFonts w:hint="eastAsia" w:ascii="宋体" w:hAnsi="宋体" w:cs="宋体"/>
                <w:b/>
                <w:bCs/>
                <w:color w:val="auto"/>
                <w:highlight w:val="none"/>
              </w:rPr>
              <w:t>最高限价为肆佰贰拾柒万陆仟元整（¥4276000.00），</w:t>
            </w:r>
            <w:r>
              <w:rPr>
                <w:rFonts w:hint="eastAsia" w:ascii="宋体" w:hAnsi="宋体" w:cs="宋体"/>
                <w:b/>
                <w:bCs/>
                <w:color w:val="auto"/>
                <w:szCs w:val="21"/>
                <w:highlight w:val="none"/>
              </w:rPr>
              <w:t>投标人投标报价超最高限价的或</w:t>
            </w:r>
            <w:r>
              <w:rPr>
                <w:rFonts w:hint="eastAsia" w:ascii="宋体" w:hAnsi="宋体"/>
                <w:b/>
                <w:color w:val="auto"/>
                <w:szCs w:val="21"/>
                <w:highlight w:val="none"/>
              </w:rPr>
              <w:t>投标人所投各分项的单价报价超相应标的的单价最高限价的</w:t>
            </w:r>
            <w:r>
              <w:rPr>
                <w:rFonts w:hint="eastAsia" w:ascii="宋体" w:hAnsi="宋体" w:cs="宋体"/>
                <w:b/>
                <w:bCs/>
                <w:color w:val="auto"/>
                <w:szCs w:val="21"/>
                <w:highlight w:val="none"/>
              </w:rPr>
              <w:t>，投标文件均按无效处理。</w:t>
            </w:r>
          </w:p>
        </w:tc>
      </w:tr>
      <w:tr w14:paraId="05D2D8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7"/>
            <w:tcBorders>
              <w:top w:val="single" w:color="auto" w:sz="4" w:space="0"/>
              <w:left w:val="single" w:color="auto" w:sz="4" w:space="0"/>
              <w:bottom w:val="single" w:color="auto" w:sz="4" w:space="0"/>
              <w:right w:val="single" w:color="auto" w:sz="4" w:space="0"/>
            </w:tcBorders>
          </w:tcPr>
          <w:p w14:paraId="73EA7D39">
            <w:pPr>
              <w:adjustRightInd w:val="0"/>
              <w:snapToGrid w:val="0"/>
              <w:spacing w:line="360" w:lineRule="exact"/>
              <w:rPr>
                <w:rFonts w:ascii="宋体" w:hAnsi="宋体" w:cs="宋体"/>
                <w:b/>
                <w:color w:val="auto"/>
                <w:szCs w:val="21"/>
                <w:highlight w:val="none"/>
              </w:rPr>
            </w:pPr>
            <w:r>
              <w:rPr>
                <w:rFonts w:hint="eastAsia" w:ascii="宋体" w:hAnsi="宋体" w:cs="宋体"/>
                <w:b/>
                <w:bCs/>
                <w:color w:val="auto"/>
                <w:szCs w:val="21"/>
                <w:highlight w:val="none"/>
              </w:rPr>
              <w:t>五、与实现项目目标相关的其他要求</w:t>
            </w:r>
          </w:p>
        </w:tc>
      </w:tr>
      <w:tr w14:paraId="21EA44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2" w:type="pct"/>
            <w:gridSpan w:val="4"/>
            <w:tcBorders>
              <w:top w:val="single" w:color="auto" w:sz="4" w:space="0"/>
              <w:left w:val="single" w:color="auto" w:sz="4" w:space="0"/>
              <w:bottom w:val="single" w:color="auto" w:sz="4" w:space="0"/>
              <w:right w:val="single" w:color="auto" w:sz="4" w:space="0"/>
            </w:tcBorders>
            <w:vAlign w:val="center"/>
          </w:tcPr>
          <w:p w14:paraId="04CDB278">
            <w:pPr>
              <w:adjustRightInd w:val="0"/>
              <w:snapToGrid w:val="0"/>
              <w:spacing w:line="300" w:lineRule="exact"/>
              <w:jc w:val="center"/>
              <w:rPr>
                <w:rFonts w:ascii="宋体" w:hAnsi="宋体" w:cs="宋体"/>
                <w:bCs/>
                <w:color w:val="auto"/>
                <w:szCs w:val="21"/>
                <w:highlight w:val="none"/>
              </w:rPr>
            </w:pPr>
            <w:r>
              <w:rPr>
                <w:rFonts w:hint="eastAsia" w:ascii="宋体" w:hAnsi="宋体" w:cs="宋体"/>
                <w:bCs/>
                <w:color w:val="auto"/>
                <w:szCs w:val="21"/>
                <w:highlight w:val="none"/>
              </w:rPr>
              <w:t>（一）安装实施方案</w:t>
            </w:r>
          </w:p>
        </w:tc>
        <w:tc>
          <w:tcPr>
            <w:tcW w:w="3267" w:type="pct"/>
            <w:gridSpan w:val="3"/>
            <w:tcBorders>
              <w:top w:val="single" w:color="auto" w:sz="4" w:space="0"/>
              <w:left w:val="single" w:color="auto" w:sz="4" w:space="0"/>
              <w:bottom w:val="single" w:color="auto" w:sz="4" w:space="0"/>
              <w:right w:val="single" w:color="auto" w:sz="4" w:space="0"/>
            </w:tcBorders>
            <w:vAlign w:val="center"/>
          </w:tcPr>
          <w:p w14:paraId="6244637C">
            <w:pPr>
              <w:adjustRightInd w:val="0"/>
              <w:snapToGrid w:val="0"/>
              <w:spacing w:line="360" w:lineRule="exact"/>
              <w:rPr>
                <w:rFonts w:ascii="宋体" w:hAnsi="宋体" w:cs="宋体"/>
                <w:bCs/>
                <w:color w:val="auto"/>
                <w:szCs w:val="21"/>
                <w:highlight w:val="none"/>
              </w:rPr>
            </w:pPr>
            <w:r>
              <w:rPr>
                <w:rFonts w:hint="eastAsia" w:ascii="宋体" w:hAnsi="宋体" w:cs="宋体"/>
                <w:color w:val="auto"/>
                <w:szCs w:val="21"/>
                <w:highlight w:val="none"/>
              </w:rPr>
              <w:t>投标人根据项目要求和自身情况，可于投标文件中提供</w:t>
            </w:r>
            <w:r>
              <w:rPr>
                <w:rFonts w:hint="eastAsia" w:ascii="宋体" w:hAnsi="宋体" w:cs="宋体"/>
                <w:bCs/>
                <w:color w:val="auto"/>
                <w:szCs w:val="21"/>
                <w:highlight w:val="none"/>
              </w:rPr>
              <w:t>安装实施方案</w:t>
            </w:r>
            <w:r>
              <w:rPr>
                <w:rFonts w:hint="eastAsia" w:ascii="宋体" w:hAnsi="宋体" w:cs="宋体"/>
                <w:color w:val="auto"/>
                <w:szCs w:val="21"/>
                <w:highlight w:val="none"/>
              </w:rPr>
              <w:t>，包含但不限于：①安装方案；②设备调试方案；③设备试运行方案等</w:t>
            </w:r>
            <w:r>
              <w:rPr>
                <w:rFonts w:hint="eastAsia" w:ascii="宋体" w:hAnsi="宋体" w:cs="宋体"/>
                <w:bCs/>
                <w:color w:val="auto"/>
                <w:szCs w:val="21"/>
                <w:highlight w:val="none"/>
              </w:rPr>
              <w:t>。</w:t>
            </w:r>
          </w:p>
          <w:p w14:paraId="74A9673B">
            <w:pPr>
              <w:adjustRightInd w:val="0"/>
              <w:snapToGrid w:val="0"/>
              <w:spacing w:line="360" w:lineRule="exact"/>
              <w:rPr>
                <w:rFonts w:ascii="宋体" w:hAnsi="宋体" w:cs="宋体"/>
                <w:b/>
                <w:i/>
                <w:color w:val="auto"/>
                <w:szCs w:val="21"/>
                <w:highlight w:val="none"/>
              </w:rPr>
            </w:pPr>
            <w:r>
              <w:rPr>
                <w:rFonts w:hint="eastAsia" w:ascii="宋体" w:hAnsi="宋体" w:cs="宋体"/>
                <w:b/>
                <w:bCs/>
                <w:color w:val="auto"/>
                <w:highlight w:val="none"/>
              </w:rPr>
              <w:t>注：上述</w:t>
            </w:r>
            <w:r>
              <w:rPr>
                <w:rFonts w:hint="eastAsia" w:ascii="宋体" w:hAnsi="宋体" w:cs="宋体"/>
                <w:b/>
                <w:color w:val="auto"/>
                <w:spacing w:val="-4"/>
                <w:szCs w:val="21"/>
                <w:highlight w:val="none"/>
              </w:rPr>
              <w:t>具体详见“第四章  评标方法及评标标准”。</w:t>
            </w:r>
          </w:p>
        </w:tc>
      </w:tr>
      <w:tr w14:paraId="3F7CB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35E9523">
            <w:pPr>
              <w:adjustRightInd w:val="0"/>
              <w:snapToGrid w:val="0"/>
              <w:spacing w:line="300" w:lineRule="exact"/>
              <w:jc w:val="center"/>
              <w:rPr>
                <w:rFonts w:ascii="宋体" w:hAnsi="宋体" w:cs="宋体"/>
                <w:bCs/>
                <w:color w:val="auto"/>
                <w:szCs w:val="21"/>
                <w:highlight w:val="none"/>
              </w:rPr>
            </w:pPr>
            <w:r>
              <w:rPr>
                <w:rFonts w:hint="eastAsia" w:ascii="宋体" w:hAnsi="宋体" w:cs="宋体"/>
                <w:bCs/>
                <w:color w:val="auto"/>
                <w:szCs w:val="21"/>
                <w:highlight w:val="none"/>
              </w:rPr>
              <w:t>（二）增值售后服务方案</w:t>
            </w:r>
          </w:p>
        </w:tc>
        <w:tc>
          <w:tcPr>
            <w:tcW w:w="326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E8C34AF">
            <w:pPr>
              <w:adjustRightInd w:val="0"/>
              <w:snapToGrid w:val="0"/>
              <w:spacing w:line="360" w:lineRule="exact"/>
              <w:rPr>
                <w:rFonts w:ascii="宋体" w:hAnsi="宋体" w:cs="宋体"/>
                <w:bCs/>
                <w:color w:val="auto"/>
                <w:szCs w:val="21"/>
                <w:highlight w:val="none"/>
              </w:rPr>
            </w:pPr>
            <w:r>
              <w:rPr>
                <w:rFonts w:hint="eastAsia" w:ascii="宋体" w:hAnsi="宋体" w:cs="宋体"/>
                <w:color w:val="auto"/>
                <w:szCs w:val="21"/>
                <w:highlight w:val="none"/>
              </w:rPr>
              <w:t>投标人根据项目要求和自身情况，可于投标文件中提供</w:t>
            </w:r>
            <w:r>
              <w:rPr>
                <w:rFonts w:hint="eastAsia" w:ascii="宋体" w:hAnsi="宋体" w:cs="宋体"/>
                <w:bCs/>
                <w:color w:val="auto"/>
                <w:szCs w:val="21"/>
                <w:highlight w:val="none"/>
              </w:rPr>
              <w:t>增值售后服务方案</w:t>
            </w:r>
            <w:r>
              <w:rPr>
                <w:rFonts w:hint="eastAsia" w:ascii="宋体" w:hAnsi="宋体" w:cs="宋体"/>
                <w:color w:val="auto"/>
                <w:szCs w:val="21"/>
                <w:highlight w:val="none"/>
              </w:rPr>
              <w:t>，包含但不限于：①</w:t>
            </w:r>
            <w:r>
              <w:rPr>
                <w:rFonts w:hint="eastAsia" w:ascii="宋体" w:hAnsi="宋体" w:cs="宋体"/>
                <w:color w:val="auto"/>
                <w:highlight w:val="none"/>
              </w:rPr>
              <w:t>服务人员的配备</w:t>
            </w:r>
            <w:r>
              <w:rPr>
                <w:rFonts w:hint="eastAsia" w:ascii="宋体" w:hAnsi="宋体" w:cs="宋体"/>
                <w:color w:val="auto"/>
                <w:szCs w:val="21"/>
                <w:highlight w:val="none"/>
              </w:rPr>
              <w:t>、故障出现解决方案，②定期维护 (注明时间)，③技术培训方案，④保修期外维修方案，⑤售后服务措施及其他优惠措施等</w:t>
            </w:r>
            <w:r>
              <w:rPr>
                <w:rFonts w:hint="eastAsia" w:ascii="宋体" w:hAnsi="宋体" w:cs="宋体"/>
                <w:bCs/>
                <w:color w:val="auto"/>
                <w:szCs w:val="21"/>
                <w:highlight w:val="none"/>
              </w:rPr>
              <w:t>。</w:t>
            </w:r>
          </w:p>
          <w:p w14:paraId="73CDF6A9">
            <w:pPr>
              <w:adjustRightInd w:val="0"/>
              <w:snapToGrid w:val="0"/>
              <w:spacing w:line="360" w:lineRule="exact"/>
              <w:rPr>
                <w:rFonts w:ascii="宋体" w:hAnsi="宋体" w:cs="宋体"/>
                <w:b/>
                <w:i/>
                <w:color w:val="auto"/>
                <w:szCs w:val="21"/>
                <w:highlight w:val="none"/>
              </w:rPr>
            </w:pPr>
            <w:r>
              <w:rPr>
                <w:rFonts w:hint="eastAsia" w:ascii="宋体" w:hAnsi="宋体" w:cs="宋体"/>
                <w:b/>
                <w:bCs/>
                <w:color w:val="auto"/>
                <w:highlight w:val="none"/>
              </w:rPr>
              <w:t>注：上述</w:t>
            </w:r>
            <w:r>
              <w:rPr>
                <w:rFonts w:hint="eastAsia" w:ascii="宋体" w:hAnsi="宋体" w:cs="宋体"/>
                <w:b/>
                <w:color w:val="auto"/>
                <w:spacing w:val="-4"/>
                <w:szCs w:val="21"/>
                <w:highlight w:val="none"/>
              </w:rPr>
              <w:t>具体详见“第四章  评标方法及评标标准”。</w:t>
            </w:r>
          </w:p>
        </w:tc>
      </w:tr>
      <w:tr w14:paraId="14C93D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2" w:type="pct"/>
            <w:gridSpan w:val="4"/>
            <w:tcBorders>
              <w:top w:val="single" w:color="auto" w:sz="4" w:space="0"/>
              <w:left w:val="single" w:color="auto" w:sz="4" w:space="0"/>
              <w:bottom w:val="single" w:color="auto" w:sz="4" w:space="0"/>
              <w:right w:val="single" w:color="auto" w:sz="4" w:space="0"/>
            </w:tcBorders>
            <w:vAlign w:val="center"/>
          </w:tcPr>
          <w:p w14:paraId="2D8AEE32">
            <w:pPr>
              <w:adjustRightInd w:val="0"/>
              <w:snapToGrid w:val="0"/>
              <w:spacing w:line="300" w:lineRule="exact"/>
              <w:jc w:val="center"/>
              <w:rPr>
                <w:rFonts w:ascii="宋体" w:hAnsi="宋体" w:cs="宋体"/>
                <w:i/>
                <w:color w:val="auto"/>
                <w:szCs w:val="21"/>
                <w:highlight w:val="none"/>
              </w:rPr>
            </w:pPr>
            <w:r>
              <w:rPr>
                <w:rFonts w:hint="eastAsia" w:ascii="宋体" w:hAnsi="宋体" w:cs="宋体"/>
                <w:color w:val="auto"/>
                <w:szCs w:val="21"/>
                <w:highlight w:val="none"/>
              </w:rPr>
              <w:t>（三）履约能力要求</w:t>
            </w:r>
          </w:p>
        </w:tc>
        <w:tc>
          <w:tcPr>
            <w:tcW w:w="3267" w:type="pct"/>
            <w:gridSpan w:val="3"/>
            <w:tcBorders>
              <w:top w:val="single" w:color="auto" w:sz="4" w:space="0"/>
              <w:left w:val="single" w:color="auto" w:sz="4" w:space="0"/>
              <w:bottom w:val="single" w:color="auto" w:sz="4" w:space="0"/>
              <w:right w:val="single" w:color="auto" w:sz="4" w:space="0"/>
            </w:tcBorders>
            <w:vAlign w:val="center"/>
          </w:tcPr>
          <w:p w14:paraId="45E0BEA5">
            <w:pPr>
              <w:spacing w:line="360" w:lineRule="exact"/>
              <w:rPr>
                <w:rFonts w:ascii="宋体" w:hAnsi="宋体" w:cs="宋体"/>
                <w:color w:val="auto"/>
                <w:highlight w:val="none"/>
              </w:rPr>
            </w:pPr>
            <w:r>
              <w:rPr>
                <w:rFonts w:hint="eastAsia" w:ascii="宋体" w:hAnsi="宋体" w:cs="宋体"/>
                <w:color w:val="auto"/>
                <w:highlight w:val="none"/>
              </w:rPr>
              <w:t>投标人或所投核心产品生产厂家2023年1月1日以来具有同类产品的销售业绩的。</w:t>
            </w:r>
          </w:p>
          <w:p w14:paraId="59FE888C">
            <w:pPr>
              <w:adjustRightInd w:val="0"/>
              <w:snapToGrid w:val="0"/>
              <w:spacing w:line="360" w:lineRule="exact"/>
              <w:rPr>
                <w:rFonts w:ascii="宋体" w:hAnsi="宋体" w:cs="宋体"/>
                <w:b/>
                <w:i/>
                <w:color w:val="auto"/>
                <w:szCs w:val="21"/>
                <w:highlight w:val="none"/>
              </w:rPr>
            </w:pPr>
            <w:r>
              <w:rPr>
                <w:rFonts w:hint="eastAsia" w:ascii="宋体" w:hAnsi="宋体" w:cs="宋体"/>
                <w:b/>
                <w:bCs/>
                <w:color w:val="auto"/>
                <w:highlight w:val="none"/>
              </w:rPr>
              <w:t>注：上述具体详见“第四章 评标办法及评标标准”。</w:t>
            </w:r>
          </w:p>
        </w:tc>
      </w:tr>
      <w:tr w14:paraId="02E5E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732" w:type="pct"/>
            <w:gridSpan w:val="4"/>
            <w:tcBorders>
              <w:top w:val="single" w:color="auto" w:sz="4" w:space="0"/>
              <w:left w:val="single" w:color="auto" w:sz="4" w:space="0"/>
              <w:bottom w:val="single" w:color="auto" w:sz="4" w:space="0"/>
              <w:right w:val="single" w:color="auto" w:sz="4" w:space="0"/>
            </w:tcBorders>
            <w:vAlign w:val="center"/>
          </w:tcPr>
          <w:p w14:paraId="0738D00E">
            <w:pPr>
              <w:adjustRightInd w:val="0"/>
              <w:snapToGrid w:val="0"/>
              <w:spacing w:line="300" w:lineRule="exact"/>
              <w:jc w:val="center"/>
              <w:rPr>
                <w:rFonts w:ascii="宋体" w:hAnsi="宋体" w:cs="宋体"/>
                <w:i/>
                <w:color w:val="auto"/>
                <w:szCs w:val="21"/>
                <w:highlight w:val="none"/>
              </w:rPr>
            </w:pPr>
            <w:r>
              <w:rPr>
                <w:rFonts w:hint="eastAsia" w:ascii="宋体" w:hAnsi="宋体" w:cs="宋体"/>
                <w:color w:val="auto"/>
                <w:szCs w:val="21"/>
                <w:highlight w:val="none"/>
              </w:rPr>
              <w:t>（四）政策性加分条件</w:t>
            </w:r>
          </w:p>
        </w:tc>
        <w:tc>
          <w:tcPr>
            <w:tcW w:w="3267" w:type="pct"/>
            <w:gridSpan w:val="3"/>
            <w:tcBorders>
              <w:top w:val="single" w:color="auto" w:sz="4" w:space="0"/>
              <w:left w:val="single" w:color="auto" w:sz="4" w:space="0"/>
              <w:bottom w:val="single" w:color="auto" w:sz="4" w:space="0"/>
              <w:right w:val="single" w:color="auto" w:sz="4" w:space="0"/>
            </w:tcBorders>
            <w:vAlign w:val="center"/>
          </w:tcPr>
          <w:p w14:paraId="29926DDF">
            <w:pPr>
              <w:spacing w:line="360" w:lineRule="exact"/>
              <w:rPr>
                <w:rFonts w:ascii="宋体" w:hAnsi="宋体" w:cs="宋体"/>
                <w:color w:val="auto"/>
                <w:highlight w:val="none"/>
              </w:rPr>
            </w:pPr>
            <w:r>
              <w:rPr>
                <w:rFonts w:hint="eastAsia" w:ascii="宋体" w:hAnsi="宋体" w:cs="宋体"/>
                <w:color w:val="auto"/>
                <w:highlight w:val="none"/>
              </w:rPr>
              <w:t>1.节能产品：属于财政部《节能产品政府采购品目清单》内优先采购（清单内未标注“★”的品目）的产品（投标文件中提供有效的认证证书复印件，并加盖投标人电子签章）。</w:t>
            </w:r>
          </w:p>
          <w:p w14:paraId="718DD41B">
            <w:pPr>
              <w:spacing w:line="360" w:lineRule="exact"/>
              <w:rPr>
                <w:rFonts w:ascii="宋体" w:hAnsi="宋体" w:cs="宋体"/>
                <w:color w:val="auto"/>
                <w:highlight w:val="none"/>
              </w:rPr>
            </w:pPr>
            <w:r>
              <w:rPr>
                <w:rFonts w:hint="eastAsia" w:ascii="宋体" w:hAnsi="宋体" w:cs="宋体"/>
                <w:color w:val="auto"/>
                <w:highlight w:val="none"/>
              </w:rPr>
              <w:t>2.环境标志产品：属于财政部《环境标志产品政府采购品目清单》内的产品（投标文件中提供有效的认证证书复印件，并加盖投标人电子签章）。</w:t>
            </w:r>
          </w:p>
          <w:p w14:paraId="690F16AD">
            <w:pPr>
              <w:adjustRightInd w:val="0"/>
              <w:snapToGrid w:val="0"/>
              <w:spacing w:line="360" w:lineRule="exact"/>
              <w:rPr>
                <w:rFonts w:ascii="宋体" w:hAnsi="宋体" w:cs="宋体"/>
                <w:b/>
                <w:color w:val="auto"/>
                <w:szCs w:val="21"/>
                <w:highlight w:val="none"/>
              </w:rPr>
            </w:pPr>
            <w:r>
              <w:rPr>
                <w:rFonts w:hint="eastAsia" w:ascii="宋体" w:hAnsi="宋体" w:cs="宋体"/>
                <w:b/>
                <w:color w:val="auto"/>
                <w:highlight w:val="none"/>
              </w:rPr>
              <w:t>注：上述具体详见“第四章 评标办法及评标标准”。</w:t>
            </w:r>
          </w:p>
        </w:tc>
      </w:tr>
    </w:tbl>
    <w:p w14:paraId="49322680">
      <w:pPr>
        <w:spacing w:line="380" w:lineRule="exact"/>
        <w:jc w:val="left"/>
        <w:rPr>
          <w:rFonts w:ascii="宋体" w:hAnsi="宋体" w:cs="宋体"/>
          <w:b/>
          <w:color w:val="auto"/>
          <w:highlight w:val="none"/>
        </w:rPr>
      </w:pPr>
    </w:p>
    <w:p w14:paraId="23FBC5B6">
      <w:pPr>
        <w:pStyle w:val="2"/>
        <w:rPr>
          <w:color w:val="auto"/>
          <w:highlight w:val="none"/>
        </w:rPr>
      </w:pPr>
    </w:p>
    <w:p w14:paraId="0CDC8CFE">
      <w:pPr>
        <w:pStyle w:val="2"/>
        <w:rPr>
          <w:color w:val="auto"/>
          <w:highlight w:val="none"/>
        </w:rPr>
      </w:pPr>
    </w:p>
    <w:p w14:paraId="0419B6C2">
      <w:pPr>
        <w:pStyle w:val="2"/>
        <w:rPr>
          <w:color w:val="auto"/>
          <w:highlight w:val="none"/>
        </w:rPr>
      </w:pPr>
    </w:p>
    <w:p w14:paraId="6984D2B7">
      <w:pPr>
        <w:pStyle w:val="2"/>
        <w:rPr>
          <w:color w:val="auto"/>
          <w:highlight w:val="none"/>
        </w:rPr>
      </w:pPr>
    </w:p>
    <w:p w14:paraId="2794B70F">
      <w:pPr>
        <w:pStyle w:val="2"/>
        <w:rPr>
          <w:color w:val="auto"/>
          <w:highlight w:val="none"/>
        </w:rPr>
      </w:pPr>
    </w:p>
    <w:p w14:paraId="0F3F889A">
      <w:pPr>
        <w:pStyle w:val="2"/>
        <w:rPr>
          <w:color w:val="auto"/>
          <w:highlight w:val="none"/>
        </w:rPr>
      </w:pPr>
    </w:p>
    <w:p w14:paraId="136840BC">
      <w:pPr>
        <w:rPr>
          <w:rFonts w:ascii="宋体" w:hAnsi="宋体" w:cs="宋体"/>
          <w:color w:val="auto"/>
          <w:highlight w:val="none"/>
        </w:rPr>
      </w:pPr>
    </w:p>
    <w:p w14:paraId="21881609">
      <w:pPr>
        <w:spacing w:line="428" w:lineRule="exact"/>
        <w:ind w:left="119"/>
        <w:rPr>
          <w:rFonts w:ascii="宋体" w:hAnsi="宋体" w:cs="宋体"/>
          <w:color w:val="auto"/>
          <w:sz w:val="32"/>
          <w:szCs w:val="32"/>
          <w:highlight w:val="none"/>
        </w:rPr>
      </w:pPr>
      <w:bookmarkStart w:id="42" w:name="_Toc74320802"/>
      <w:r>
        <w:rPr>
          <w:rFonts w:hint="eastAsia" w:ascii="宋体" w:hAnsi="宋体" w:cs="宋体"/>
          <w:color w:val="auto"/>
          <w:sz w:val="32"/>
          <w:szCs w:val="32"/>
          <w:highlight w:val="none"/>
        </w:rPr>
        <w:t>附件1：</w:t>
      </w:r>
    </w:p>
    <w:p w14:paraId="7CC21169">
      <w:pPr>
        <w:spacing w:before="7"/>
        <w:rPr>
          <w:rFonts w:ascii="宋体" w:hAnsi="宋体" w:cs="宋体"/>
          <w:color w:val="auto"/>
          <w:sz w:val="17"/>
          <w:szCs w:val="17"/>
          <w:highlight w:val="none"/>
        </w:rPr>
      </w:pPr>
    </w:p>
    <w:p w14:paraId="3C22E78D">
      <w:pPr>
        <w:spacing w:line="528" w:lineRule="exact"/>
        <w:ind w:left="1871"/>
        <w:rPr>
          <w:rFonts w:ascii="宋体" w:hAnsi="宋体" w:cs="宋体"/>
          <w:color w:val="auto"/>
          <w:sz w:val="40"/>
          <w:szCs w:val="40"/>
          <w:highlight w:val="none"/>
        </w:rPr>
      </w:pPr>
      <w:r>
        <w:rPr>
          <w:rFonts w:hint="eastAsia" w:ascii="宋体" w:hAnsi="宋体" w:cs="宋体"/>
          <w:color w:val="auto"/>
          <w:sz w:val="44"/>
          <w:szCs w:val="44"/>
          <w:highlight w:val="none"/>
        </w:rPr>
        <w:t>节能产品政府采购品目清单</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373"/>
        <w:gridCol w:w="3566"/>
      </w:tblGrid>
      <w:tr w14:paraId="588FB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2219D02F">
            <w:pPr>
              <w:jc w:val="center"/>
              <w:rPr>
                <w:rFonts w:ascii="宋体" w:hAnsi="宋体" w:cs="宋体"/>
                <w:color w:val="auto"/>
                <w:szCs w:val="22"/>
                <w:highlight w:val="none"/>
              </w:rPr>
            </w:pPr>
            <w:r>
              <w:rPr>
                <w:rFonts w:hint="eastAsia" w:ascii="宋体" w:hAnsi="宋体" w:cs="宋体"/>
                <w:b/>
                <w:bCs/>
                <w:color w:val="auto"/>
                <w:w w:val="99"/>
                <w:highlight w:val="none"/>
              </w:rPr>
              <w:t>品目序号</w:t>
            </w:r>
          </w:p>
        </w:tc>
        <w:tc>
          <w:tcPr>
            <w:tcW w:w="4285" w:type="dxa"/>
            <w:gridSpan w:val="3"/>
            <w:tcBorders>
              <w:top w:val="single" w:color="000000" w:sz="4" w:space="0"/>
              <w:left w:val="single" w:color="000000" w:sz="4" w:space="0"/>
              <w:bottom w:val="single" w:color="000000" w:sz="4" w:space="0"/>
              <w:right w:val="single" w:color="000000" w:sz="4" w:space="0"/>
            </w:tcBorders>
            <w:noWrap/>
            <w:vAlign w:val="center"/>
          </w:tcPr>
          <w:p w14:paraId="53546B3F">
            <w:pPr>
              <w:jc w:val="center"/>
              <w:rPr>
                <w:rFonts w:ascii="宋体" w:hAnsi="宋体" w:cs="宋体"/>
                <w:color w:val="auto"/>
                <w:szCs w:val="22"/>
                <w:highlight w:val="none"/>
              </w:rPr>
            </w:pPr>
            <w:r>
              <w:rPr>
                <w:rFonts w:hint="eastAsia" w:ascii="宋体" w:hAnsi="宋体" w:cs="宋体"/>
                <w:b/>
                <w:bCs/>
                <w:color w:val="auto"/>
                <w:w w:val="99"/>
                <w:highlight w:val="none"/>
              </w:rPr>
              <w:t>名称</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8A3375C">
            <w:pPr>
              <w:jc w:val="center"/>
              <w:rPr>
                <w:rFonts w:ascii="宋体" w:hAnsi="宋体" w:cs="宋体"/>
                <w:color w:val="auto"/>
                <w:szCs w:val="22"/>
                <w:highlight w:val="none"/>
              </w:rPr>
            </w:pPr>
            <w:r>
              <w:rPr>
                <w:rFonts w:hint="eastAsia" w:ascii="宋体" w:hAnsi="宋体" w:cs="宋体"/>
                <w:b/>
                <w:bCs/>
                <w:color w:val="auto"/>
                <w:w w:val="99"/>
                <w:highlight w:val="none"/>
              </w:rPr>
              <w:t>依据的标准</w:t>
            </w:r>
          </w:p>
        </w:tc>
      </w:tr>
      <w:tr w14:paraId="4D57E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1D93EA04">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4E856123">
            <w:pPr>
              <w:jc w:val="center"/>
              <w:rPr>
                <w:rFonts w:ascii="宋体" w:hAnsi="宋体" w:cs="宋体"/>
                <w:color w:val="auto"/>
                <w:szCs w:val="21"/>
                <w:highlight w:val="none"/>
              </w:rPr>
            </w:pPr>
            <w:r>
              <w:rPr>
                <w:rFonts w:hint="eastAsia" w:ascii="宋体" w:hAnsi="宋体" w:cs="宋体"/>
                <w:color w:val="auto"/>
                <w:szCs w:val="21"/>
                <w:highlight w:val="none"/>
              </w:rPr>
              <w:t>A02010100</w:t>
            </w:r>
            <w:r>
              <w:rPr>
                <w:rFonts w:hint="eastAsia" w:ascii="宋体" w:hAnsi="宋体" w:cs="宋体"/>
                <w:color w:val="auto"/>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6DEC52B4">
            <w:pPr>
              <w:pStyle w:val="135"/>
              <w:spacing w:before="93"/>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A02010105</w:t>
            </w:r>
            <w:r>
              <w:rPr>
                <w:rFonts w:hint="eastAsia" w:ascii="宋体" w:hAnsi="宋体" w:cs="宋体"/>
                <w:color w:val="auto"/>
                <w:w w:val="99"/>
                <w:kern w:val="2"/>
                <w:sz w:val="21"/>
                <w:szCs w:val="21"/>
                <w:highlight w:val="none"/>
              </w:rPr>
              <w:t>台式计算机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E2DBF2D">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5C0BD785">
            <w:pPr>
              <w:pStyle w:val="135"/>
              <w:spacing w:before="93"/>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《微型计算机能效限定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及能</w:t>
            </w:r>
            <w:r>
              <w:rPr>
                <w:rFonts w:hint="eastAsia" w:ascii="宋体" w:hAnsi="宋体" w:cs="宋体"/>
                <w:color w:val="auto"/>
                <w:w w:val="99"/>
                <w:kern w:val="2"/>
                <w:sz w:val="21"/>
                <w:szCs w:val="21"/>
                <w:highlight w:val="none"/>
                <w:lang w:eastAsia="zh-CN"/>
              </w:rPr>
              <w:t>效等级》（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28380</w:t>
            </w:r>
            <w:r>
              <w:rPr>
                <w:rFonts w:hint="eastAsia" w:ascii="宋体" w:hAnsi="宋体" w:cs="宋体"/>
                <w:color w:val="auto"/>
                <w:w w:val="99"/>
                <w:kern w:val="2"/>
                <w:sz w:val="21"/>
                <w:szCs w:val="21"/>
                <w:highlight w:val="none"/>
                <w:lang w:eastAsia="zh-CN"/>
              </w:rPr>
              <w:t>）</w:t>
            </w:r>
          </w:p>
        </w:tc>
      </w:tr>
      <w:tr w14:paraId="504A1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192519B">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5518306">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31C3D3E">
            <w:pPr>
              <w:pStyle w:val="135"/>
              <w:spacing w:before="44"/>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A02010108</w:t>
            </w:r>
            <w:r>
              <w:rPr>
                <w:rFonts w:hint="eastAsia" w:ascii="宋体" w:hAnsi="宋体" w:cs="宋体"/>
                <w:color w:val="auto"/>
                <w:w w:val="99"/>
                <w:kern w:val="2"/>
                <w:sz w:val="21"/>
                <w:szCs w:val="21"/>
                <w:highlight w:val="none"/>
              </w:rPr>
              <w:t>便携式计算机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D6658FA">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A704669">
            <w:pPr>
              <w:pStyle w:val="135"/>
              <w:spacing w:before="44"/>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《微型计算机能效限定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及能</w:t>
            </w:r>
            <w:r>
              <w:rPr>
                <w:rFonts w:hint="eastAsia" w:ascii="宋体" w:hAnsi="宋体" w:cs="宋体"/>
                <w:color w:val="auto"/>
                <w:w w:val="99"/>
                <w:kern w:val="2"/>
                <w:sz w:val="21"/>
                <w:szCs w:val="21"/>
                <w:highlight w:val="none"/>
                <w:lang w:eastAsia="zh-CN"/>
              </w:rPr>
              <w:t>效等级》（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28380</w:t>
            </w:r>
            <w:r>
              <w:rPr>
                <w:rFonts w:hint="eastAsia" w:ascii="宋体" w:hAnsi="宋体" w:cs="宋体"/>
                <w:color w:val="auto"/>
                <w:w w:val="99"/>
                <w:kern w:val="2"/>
                <w:sz w:val="21"/>
                <w:szCs w:val="21"/>
                <w:highlight w:val="none"/>
                <w:lang w:eastAsia="zh-CN"/>
              </w:rPr>
              <w:t>）</w:t>
            </w:r>
          </w:p>
        </w:tc>
      </w:tr>
      <w:tr w14:paraId="2382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478F5D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F7C48D1">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0E02629B">
            <w:pPr>
              <w:pStyle w:val="135"/>
              <w:spacing w:before="64"/>
              <w:ind w:left="7" w:right="5"/>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w:t>
            </w:r>
            <w:r>
              <w:rPr>
                <w:rFonts w:hint="eastAsia" w:ascii="宋体" w:hAnsi="宋体" w:cs="宋体"/>
                <w:color w:val="auto"/>
                <w:kern w:val="2"/>
                <w:sz w:val="21"/>
                <w:szCs w:val="21"/>
                <w:highlight w:val="none"/>
                <w:lang w:eastAsia="zh-CN"/>
              </w:rPr>
              <w:t>A02010109平板式计算机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C8D7E59">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B34CBFD">
            <w:pPr>
              <w:pStyle w:val="135"/>
              <w:spacing w:before="64"/>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《微型计算机能效限定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及能</w:t>
            </w:r>
            <w:r>
              <w:rPr>
                <w:rFonts w:hint="eastAsia" w:ascii="宋体" w:hAnsi="宋体" w:cs="宋体"/>
                <w:color w:val="auto"/>
                <w:w w:val="99"/>
                <w:kern w:val="2"/>
                <w:sz w:val="21"/>
                <w:szCs w:val="21"/>
                <w:highlight w:val="none"/>
                <w:lang w:eastAsia="zh-CN"/>
              </w:rPr>
              <w:t>效等级》（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28380</w:t>
            </w:r>
            <w:r>
              <w:rPr>
                <w:rFonts w:hint="eastAsia" w:ascii="宋体" w:hAnsi="宋体" w:cs="宋体"/>
                <w:color w:val="auto"/>
                <w:w w:val="99"/>
                <w:kern w:val="2"/>
                <w:sz w:val="21"/>
                <w:szCs w:val="21"/>
                <w:highlight w:val="none"/>
                <w:lang w:eastAsia="zh-CN"/>
              </w:rPr>
              <w:t>）</w:t>
            </w:r>
          </w:p>
        </w:tc>
      </w:tr>
      <w:tr w14:paraId="4BC6A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5E2170FA">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43F8084D">
            <w:pPr>
              <w:pStyle w:val="135"/>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A02020000</w:t>
            </w:r>
            <w:r>
              <w:rPr>
                <w:rFonts w:hint="eastAsia" w:ascii="宋体" w:hAnsi="宋体" w:cs="宋体"/>
                <w:color w:val="auto"/>
                <w:w w:val="99"/>
                <w:kern w:val="2"/>
                <w:sz w:val="21"/>
                <w:szCs w:val="21"/>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1D6357E1">
            <w:pPr>
              <w:jc w:val="center"/>
              <w:rPr>
                <w:rFonts w:ascii="宋体" w:hAnsi="宋体" w:cs="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宋体"/>
                <w:color w:val="auto"/>
                <w:szCs w:val="21"/>
                <w:highlight w:val="none"/>
                <w:shd w:val="clear" w:color="auto" w:fill="FFFFFF"/>
              </w:rPr>
              <w:t>打印机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72F076B">
            <w:pPr>
              <w:jc w:val="center"/>
              <w:rPr>
                <w:rFonts w:ascii="宋体" w:hAnsi="宋体" w:cs="宋体"/>
                <w:color w:val="auto"/>
                <w:szCs w:val="21"/>
                <w:highlight w:val="none"/>
              </w:rPr>
            </w:pPr>
            <w:r>
              <w:rPr>
                <w:rFonts w:hint="eastAsia" w:ascii="宋体" w:hAnsi="宋体" w:cs="宋体"/>
                <w:color w:val="auto"/>
                <w:szCs w:val="21"/>
                <w:highlight w:val="none"/>
              </w:rPr>
              <w:t>A02021001 A3黑白打印机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23C3B96">
            <w:pPr>
              <w:pStyle w:val="135"/>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77C9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F0D55E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DA5F881">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33B486D">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4565616">
            <w:pPr>
              <w:jc w:val="center"/>
              <w:rPr>
                <w:rFonts w:ascii="宋体" w:hAnsi="宋体" w:cs="宋体"/>
                <w:color w:val="auto"/>
                <w:szCs w:val="21"/>
                <w:highlight w:val="none"/>
              </w:rPr>
            </w:pPr>
            <w:r>
              <w:rPr>
                <w:rFonts w:hint="eastAsia" w:ascii="宋体" w:hAnsi="宋体" w:cs="宋体"/>
                <w:color w:val="auto"/>
                <w:szCs w:val="21"/>
                <w:highlight w:val="none"/>
              </w:rPr>
              <w:t>A02021002 A3彩色打印机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F3177B1">
            <w:pPr>
              <w:pStyle w:val="135"/>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1EC7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61ECD24">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6B09CA4">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076331F">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193E32E">
            <w:pPr>
              <w:jc w:val="center"/>
              <w:rPr>
                <w:rFonts w:ascii="宋体" w:hAnsi="宋体" w:cs="宋体"/>
                <w:color w:val="auto"/>
                <w:szCs w:val="21"/>
                <w:highlight w:val="none"/>
              </w:rPr>
            </w:pPr>
            <w:r>
              <w:rPr>
                <w:rFonts w:hint="eastAsia" w:ascii="宋体" w:hAnsi="宋体" w:cs="宋体"/>
                <w:color w:val="auto"/>
                <w:szCs w:val="21"/>
                <w:highlight w:val="none"/>
              </w:rPr>
              <w:t>A02021003 A4黑白打印机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517F6162">
            <w:pPr>
              <w:pStyle w:val="135"/>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3084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159AB9E">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819B5FA">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D66E8C0">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FFBD8AD">
            <w:pPr>
              <w:jc w:val="center"/>
              <w:rPr>
                <w:rFonts w:ascii="宋体" w:hAnsi="宋体" w:cs="宋体"/>
                <w:color w:val="auto"/>
                <w:szCs w:val="21"/>
                <w:highlight w:val="none"/>
              </w:rPr>
            </w:pPr>
            <w:r>
              <w:rPr>
                <w:rFonts w:hint="eastAsia" w:ascii="宋体" w:hAnsi="宋体" w:cs="宋体"/>
                <w:color w:val="auto"/>
                <w:szCs w:val="21"/>
                <w:highlight w:val="none"/>
              </w:rPr>
              <w:t>A02021004 A4彩色打印机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5BB45743">
            <w:pPr>
              <w:pStyle w:val="135"/>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3327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8296132">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682B78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FC83D6B">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FE8F742">
            <w:pPr>
              <w:jc w:val="center"/>
              <w:rPr>
                <w:rFonts w:ascii="宋体" w:hAnsi="宋体" w:cs="宋体"/>
                <w:color w:val="auto"/>
                <w:szCs w:val="21"/>
                <w:highlight w:val="none"/>
              </w:rPr>
            </w:pPr>
            <w:r>
              <w:rPr>
                <w:rFonts w:hint="eastAsia" w:ascii="宋体" w:hAnsi="宋体" w:cs="宋体"/>
                <w:color w:val="auto"/>
                <w:szCs w:val="21"/>
                <w:highlight w:val="none"/>
              </w:rPr>
              <w:t>A02021005 3D打印机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7625A19">
            <w:pPr>
              <w:pStyle w:val="135"/>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3AC6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1811ECE">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1876C8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35C1B0A">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F862E52">
            <w:pPr>
              <w:jc w:val="center"/>
              <w:rPr>
                <w:rFonts w:ascii="宋体" w:hAnsi="宋体" w:cs="宋体"/>
                <w:color w:val="auto"/>
                <w:szCs w:val="21"/>
                <w:highlight w:val="none"/>
              </w:rPr>
            </w:pPr>
            <w:r>
              <w:rPr>
                <w:rFonts w:hint="eastAsia" w:ascii="宋体" w:hAnsi="宋体" w:cs="宋体"/>
                <w:color w:val="auto"/>
                <w:szCs w:val="21"/>
                <w:highlight w:val="none"/>
              </w:rPr>
              <w:t>A02021006票据打印机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9ABB18B">
            <w:pPr>
              <w:pStyle w:val="135"/>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7A82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C65FDC7">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FC5A743">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CAEABCE">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401B80F">
            <w:pPr>
              <w:jc w:val="center"/>
              <w:rPr>
                <w:rFonts w:ascii="宋体" w:hAnsi="宋体" w:cs="宋体"/>
                <w:color w:val="auto"/>
                <w:szCs w:val="21"/>
                <w:highlight w:val="none"/>
              </w:rPr>
            </w:pPr>
            <w:r>
              <w:rPr>
                <w:rFonts w:hint="eastAsia" w:ascii="宋体" w:hAnsi="宋体" w:cs="宋体"/>
                <w:color w:val="auto"/>
                <w:szCs w:val="21"/>
                <w:highlight w:val="none"/>
              </w:rPr>
              <w:t>A02021007条码打印机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0FED018">
            <w:pPr>
              <w:pStyle w:val="135"/>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3536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A80647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A9BD82A">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7C0AB69">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57CA10E">
            <w:pPr>
              <w:jc w:val="center"/>
              <w:rPr>
                <w:rFonts w:ascii="宋体" w:hAnsi="宋体" w:cs="宋体"/>
                <w:color w:val="auto"/>
                <w:szCs w:val="21"/>
                <w:highlight w:val="none"/>
              </w:rPr>
            </w:pPr>
            <w:r>
              <w:rPr>
                <w:rFonts w:hint="eastAsia" w:ascii="宋体" w:hAnsi="宋体" w:cs="宋体"/>
                <w:color w:val="auto"/>
                <w:szCs w:val="21"/>
                <w:highlight w:val="none"/>
              </w:rPr>
              <w:t>A02021008地址打印机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93B5B9F">
            <w:pPr>
              <w:pStyle w:val="135"/>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59455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D6A4E97">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255AC4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BBF0D30">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B69CBC6">
            <w:pPr>
              <w:jc w:val="center"/>
              <w:rPr>
                <w:rFonts w:ascii="宋体" w:hAnsi="宋体" w:cs="宋体"/>
                <w:color w:val="auto"/>
                <w:szCs w:val="21"/>
                <w:highlight w:val="none"/>
              </w:rPr>
            </w:pPr>
            <w:r>
              <w:rPr>
                <w:rFonts w:hint="eastAsia" w:ascii="宋体" w:hAnsi="宋体" w:cs="宋体"/>
                <w:color w:val="auto"/>
                <w:szCs w:val="21"/>
                <w:highlight w:val="none"/>
              </w:rPr>
              <w:t>A02021099其他打印机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4BB1C9B">
            <w:pPr>
              <w:pStyle w:val="135"/>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7C79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3304727">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E268EC3">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283FC8C0">
            <w:pPr>
              <w:jc w:val="center"/>
              <w:rPr>
                <w:rFonts w:ascii="宋体" w:hAnsi="宋体" w:cs="宋体"/>
                <w:color w:val="auto"/>
                <w:szCs w:val="21"/>
                <w:highlight w:val="none"/>
              </w:rPr>
            </w:pPr>
            <w:r>
              <w:rPr>
                <w:rFonts w:hint="eastAsia" w:ascii="宋体" w:hAnsi="宋体" w:cs="宋体"/>
                <w:color w:val="auto"/>
                <w:szCs w:val="21"/>
                <w:highlight w:val="none"/>
              </w:rPr>
              <w:t>A02021100输入输出设备</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205359B">
            <w:pPr>
              <w:jc w:val="center"/>
              <w:rPr>
                <w:rFonts w:ascii="宋体" w:hAnsi="宋体" w:cs="宋体"/>
                <w:color w:val="auto"/>
                <w:szCs w:val="21"/>
                <w:highlight w:val="none"/>
              </w:rPr>
            </w:pPr>
            <w:r>
              <w:rPr>
                <w:rFonts w:hint="eastAsia" w:ascii="宋体" w:hAnsi="宋体" w:cs="宋体"/>
                <w:color w:val="auto"/>
                <w:w w:val="99"/>
                <w:szCs w:val="21"/>
                <w:highlight w:val="none"/>
              </w:rPr>
              <w:t>★</w:t>
            </w:r>
            <w:r>
              <w:rPr>
                <w:rFonts w:hint="eastAsia" w:ascii="宋体" w:hAnsi="宋体" w:cs="宋体"/>
                <w:color w:val="auto"/>
                <w:szCs w:val="21"/>
                <w:highlight w:val="none"/>
              </w:rPr>
              <w:t>A02021104液晶显示器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CE65C92">
            <w:pPr>
              <w:jc w:val="left"/>
              <w:rPr>
                <w:rFonts w:ascii="宋体" w:hAnsi="宋体" w:cs="宋体"/>
                <w:color w:val="auto"/>
                <w:szCs w:val="21"/>
                <w:highlight w:val="none"/>
              </w:rPr>
            </w:pPr>
            <w:r>
              <w:rPr>
                <w:rFonts w:hint="eastAsia" w:ascii="宋体" w:hAnsi="宋体" w:cs="宋体"/>
                <w:color w:val="auto"/>
                <w:spacing w:val="12"/>
                <w:w w:val="99"/>
                <w:szCs w:val="21"/>
                <w:highlight w:val="none"/>
              </w:rPr>
              <w:t>《计算机显示器能效限</w:t>
            </w:r>
            <w:r>
              <w:rPr>
                <w:rFonts w:hint="eastAsia" w:ascii="宋体" w:hAnsi="宋体" w:cs="宋体"/>
                <w:color w:val="auto"/>
                <w:spacing w:val="9"/>
                <w:w w:val="99"/>
                <w:szCs w:val="21"/>
                <w:highlight w:val="none"/>
              </w:rPr>
              <w:t>定</w:t>
            </w:r>
            <w:r>
              <w:rPr>
                <w:rFonts w:hint="eastAsia" w:ascii="宋体" w:hAnsi="宋体" w:cs="宋体"/>
                <w:color w:val="auto"/>
                <w:spacing w:val="12"/>
                <w:w w:val="99"/>
                <w:szCs w:val="21"/>
                <w:highlight w:val="none"/>
              </w:rPr>
              <w:t>值及</w:t>
            </w:r>
            <w:r>
              <w:rPr>
                <w:rFonts w:hint="eastAsia" w:ascii="宋体" w:hAnsi="宋体" w:cs="宋体"/>
                <w:color w:val="auto"/>
                <w:w w:val="99"/>
                <w:szCs w:val="21"/>
                <w:highlight w:val="none"/>
              </w:rPr>
              <w:t>能效等级</w:t>
            </w:r>
            <w:r>
              <w:rPr>
                <w:rFonts w:hint="eastAsia" w:ascii="宋体" w:hAnsi="宋体" w:cs="宋体"/>
                <w:color w:val="auto"/>
                <w:spacing w:val="2"/>
                <w:w w:val="99"/>
                <w:szCs w:val="21"/>
                <w:highlight w:val="none"/>
              </w:rPr>
              <w:t>》</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w:t>
            </w:r>
            <w:r>
              <w:rPr>
                <w:rFonts w:hint="eastAsia" w:ascii="宋体" w:hAnsi="宋体" w:cs="宋体"/>
                <w:color w:val="auto"/>
                <w:w w:val="99"/>
                <w:szCs w:val="21"/>
                <w:highlight w:val="none"/>
              </w:rPr>
              <w:t>52</w:t>
            </w:r>
            <w:r>
              <w:rPr>
                <w:rFonts w:hint="eastAsia" w:ascii="宋体" w:hAnsi="宋体" w:cs="宋体"/>
                <w:color w:val="auto"/>
                <w:spacing w:val="1"/>
                <w:w w:val="99"/>
                <w:szCs w:val="21"/>
                <w:highlight w:val="none"/>
              </w:rPr>
              <w:t>0</w:t>
            </w:r>
            <w:r>
              <w:rPr>
                <w:rFonts w:hint="eastAsia" w:ascii="宋体" w:hAnsi="宋体" w:cs="宋体"/>
                <w:color w:val="auto"/>
                <w:w w:val="99"/>
                <w:szCs w:val="21"/>
                <w:highlight w:val="none"/>
              </w:rPr>
              <w:t>）</w:t>
            </w:r>
          </w:p>
        </w:tc>
      </w:tr>
      <w:tr w14:paraId="30781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E1F68E2">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607996B">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C956654">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A8370CA">
            <w:pPr>
              <w:jc w:val="center"/>
              <w:rPr>
                <w:rFonts w:ascii="宋体" w:hAnsi="宋体" w:cs="宋体"/>
                <w:color w:val="auto"/>
                <w:szCs w:val="21"/>
                <w:highlight w:val="none"/>
              </w:rPr>
            </w:pPr>
            <w:r>
              <w:rPr>
                <w:rFonts w:hint="eastAsia" w:ascii="宋体" w:hAnsi="宋体" w:cs="宋体"/>
                <w:color w:val="auto"/>
                <w:szCs w:val="21"/>
                <w:highlight w:val="none"/>
              </w:rPr>
              <w:t>A02021118扫描仪</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F8AF224">
            <w:pPr>
              <w:jc w:val="left"/>
              <w:rPr>
                <w:rFonts w:ascii="宋体" w:hAnsi="宋体" w:cs="宋体"/>
                <w:color w:val="auto"/>
                <w:szCs w:val="21"/>
                <w:highlight w:val="none"/>
              </w:rPr>
            </w:pPr>
            <w:r>
              <w:rPr>
                <w:rFonts w:hint="eastAsia" w:ascii="宋体" w:hAnsi="宋体" w:cs="宋体"/>
                <w:color w:val="auto"/>
                <w:w w:val="99"/>
                <w:szCs w:val="21"/>
                <w:highlight w:val="none"/>
              </w:rPr>
              <w:t>参</w:t>
            </w:r>
            <w:r>
              <w:rPr>
                <w:rFonts w:hint="eastAsia" w:ascii="宋体" w:hAnsi="宋体" w:cs="宋体"/>
                <w:color w:val="auto"/>
                <w:spacing w:val="-29"/>
                <w:w w:val="99"/>
                <w:szCs w:val="21"/>
                <w:highlight w:val="none"/>
              </w:rPr>
              <w:t>照</w:t>
            </w:r>
            <w:r>
              <w:rPr>
                <w:rFonts w:hint="eastAsia" w:ascii="宋体" w:hAnsi="宋体" w:cs="宋体"/>
                <w:color w:val="auto"/>
                <w:w w:val="99"/>
                <w:szCs w:val="21"/>
                <w:highlight w:val="none"/>
              </w:rPr>
              <w:t>《</w:t>
            </w:r>
            <w:r>
              <w:rPr>
                <w:rFonts w:hint="eastAsia" w:ascii="宋体" w:hAnsi="宋体" w:cs="宋体"/>
                <w:color w:val="auto"/>
                <w:spacing w:val="2"/>
                <w:w w:val="99"/>
                <w:szCs w:val="21"/>
                <w:highlight w:val="none"/>
              </w:rPr>
              <w:t>复</w:t>
            </w:r>
            <w:r>
              <w:rPr>
                <w:rFonts w:hint="eastAsia" w:ascii="宋体" w:hAnsi="宋体" w:cs="宋体"/>
                <w:color w:val="auto"/>
                <w:w w:val="99"/>
                <w:szCs w:val="21"/>
                <w:highlight w:val="none"/>
              </w:rPr>
              <w:t>印</w:t>
            </w:r>
            <w:r>
              <w:rPr>
                <w:rFonts w:hint="eastAsia" w:ascii="宋体" w:hAnsi="宋体" w:cs="宋体"/>
                <w:color w:val="auto"/>
                <w:spacing w:val="2"/>
                <w:w w:val="99"/>
                <w:szCs w:val="21"/>
                <w:highlight w:val="none"/>
              </w:rPr>
              <w:t>机</w:t>
            </w:r>
            <w:r>
              <w:rPr>
                <w:rFonts w:hint="eastAsia" w:ascii="宋体" w:hAnsi="宋体" w:cs="宋体"/>
                <w:color w:val="auto"/>
                <w:spacing w:val="-29"/>
                <w:w w:val="99"/>
                <w:szCs w:val="21"/>
                <w:highlight w:val="none"/>
              </w:rPr>
              <w:t>、</w:t>
            </w:r>
            <w:r>
              <w:rPr>
                <w:rFonts w:hint="eastAsia" w:ascii="宋体" w:hAnsi="宋体" w:cs="宋体"/>
                <w:color w:val="auto"/>
                <w:w w:val="99"/>
                <w:szCs w:val="21"/>
                <w:highlight w:val="none"/>
              </w:rPr>
              <w:t>打</w:t>
            </w:r>
            <w:r>
              <w:rPr>
                <w:rFonts w:hint="eastAsia" w:ascii="宋体" w:hAnsi="宋体" w:cs="宋体"/>
                <w:color w:val="auto"/>
                <w:spacing w:val="2"/>
                <w:w w:val="99"/>
                <w:szCs w:val="21"/>
                <w:highlight w:val="none"/>
              </w:rPr>
              <w:t>印</w:t>
            </w:r>
            <w:r>
              <w:rPr>
                <w:rFonts w:hint="eastAsia" w:ascii="宋体" w:hAnsi="宋体" w:cs="宋体"/>
                <w:color w:val="auto"/>
                <w:w w:val="99"/>
                <w:szCs w:val="21"/>
                <w:highlight w:val="none"/>
              </w:rPr>
              <w:t>机和</w:t>
            </w:r>
            <w:r>
              <w:rPr>
                <w:rFonts w:hint="eastAsia" w:ascii="宋体" w:hAnsi="宋体" w:cs="宋体"/>
                <w:color w:val="auto"/>
                <w:spacing w:val="2"/>
                <w:w w:val="99"/>
                <w:szCs w:val="21"/>
                <w:highlight w:val="none"/>
              </w:rPr>
              <w:t>传</w:t>
            </w:r>
            <w:r>
              <w:rPr>
                <w:rFonts w:hint="eastAsia" w:ascii="宋体" w:hAnsi="宋体" w:cs="宋体"/>
                <w:color w:val="auto"/>
                <w:w w:val="99"/>
                <w:szCs w:val="21"/>
                <w:highlight w:val="none"/>
              </w:rPr>
              <w:t>真机能效限定</w:t>
            </w:r>
            <w:r>
              <w:rPr>
                <w:rFonts w:hint="eastAsia" w:ascii="宋体" w:hAnsi="宋体" w:cs="宋体"/>
                <w:color w:val="auto"/>
                <w:spacing w:val="2"/>
                <w:w w:val="99"/>
                <w:szCs w:val="21"/>
                <w:highlight w:val="none"/>
              </w:rPr>
              <w:t>值</w:t>
            </w:r>
            <w:r>
              <w:rPr>
                <w:rFonts w:hint="eastAsia" w:ascii="宋体" w:hAnsi="宋体" w:cs="宋体"/>
                <w:color w:val="auto"/>
                <w:w w:val="99"/>
                <w:szCs w:val="21"/>
                <w:highlight w:val="none"/>
              </w:rPr>
              <w:t>及能</w:t>
            </w:r>
            <w:r>
              <w:rPr>
                <w:rFonts w:hint="eastAsia" w:ascii="宋体" w:hAnsi="宋体" w:cs="宋体"/>
                <w:color w:val="auto"/>
                <w:spacing w:val="2"/>
                <w:w w:val="99"/>
                <w:szCs w:val="21"/>
                <w:highlight w:val="none"/>
              </w:rPr>
              <w:t>效</w:t>
            </w:r>
            <w:r>
              <w:rPr>
                <w:rFonts w:hint="eastAsia" w:ascii="宋体" w:hAnsi="宋体" w:cs="宋体"/>
                <w:color w:val="auto"/>
                <w:w w:val="99"/>
                <w:szCs w:val="21"/>
                <w:highlight w:val="none"/>
              </w:rPr>
              <w:t>等级</w:t>
            </w:r>
            <w:r>
              <w:rPr>
                <w:rFonts w:hint="eastAsia" w:ascii="宋体" w:hAnsi="宋体" w:cs="宋体"/>
                <w:color w:val="auto"/>
                <w:spacing w:val="-106"/>
                <w:w w:val="99"/>
                <w:szCs w:val="21"/>
                <w:highlight w:val="none"/>
              </w:rPr>
              <w:t>》</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2152</w:t>
            </w:r>
            <w:r>
              <w:rPr>
                <w:rFonts w:hint="eastAsia" w:ascii="宋体" w:hAnsi="宋体" w:cs="宋体"/>
                <w:color w:val="auto"/>
                <w:w w:val="99"/>
                <w:szCs w:val="21"/>
                <w:highlight w:val="none"/>
              </w:rPr>
              <w:t>1）</w:t>
            </w:r>
            <w:r>
              <w:rPr>
                <w:rFonts w:hint="eastAsia" w:ascii="宋体" w:hAnsi="宋体" w:cs="宋体"/>
                <w:color w:val="auto"/>
                <w:spacing w:val="2"/>
                <w:w w:val="99"/>
                <w:szCs w:val="21"/>
                <w:highlight w:val="none"/>
              </w:rPr>
              <w:t>中</w:t>
            </w:r>
            <w:r>
              <w:rPr>
                <w:rFonts w:hint="eastAsia" w:ascii="宋体" w:hAnsi="宋体" w:cs="宋体"/>
                <w:color w:val="auto"/>
                <w:spacing w:val="4"/>
                <w:w w:val="99"/>
                <w:szCs w:val="21"/>
                <w:highlight w:val="none"/>
              </w:rPr>
              <w:t>打印速</w:t>
            </w:r>
            <w:r>
              <w:rPr>
                <w:rFonts w:hint="eastAsia" w:ascii="宋体" w:hAnsi="宋体" w:cs="宋体"/>
                <w:color w:val="auto"/>
                <w:spacing w:val="2"/>
                <w:w w:val="99"/>
                <w:szCs w:val="21"/>
                <w:highlight w:val="none"/>
              </w:rPr>
              <w:t>度</w:t>
            </w:r>
            <w:r>
              <w:rPr>
                <w:rFonts w:hint="eastAsia" w:ascii="宋体" w:hAnsi="宋体" w:cs="宋体"/>
                <w:color w:val="auto"/>
                <w:w w:val="99"/>
                <w:szCs w:val="21"/>
                <w:highlight w:val="none"/>
              </w:rPr>
              <w:t>为</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5</w:t>
            </w:r>
            <w:r>
              <w:rPr>
                <w:rFonts w:hint="eastAsia" w:ascii="宋体" w:hAnsi="宋体" w:cs="宋体"/>
                <w:color w:val="auto"/>
                <w:spacing w:val="2"/>
                <w:w w:val="99"/>
                <w:szCs w:val="21"/>
                <w:highlight w:val="none"/>
              </w:rPr>
              <w:t>页</w:t>
            </w:r>
            <w:r>
              <w:rPr>
                <w:rFonts w:hint="eastAsia" w:ascii="宋体" w:hAnsi="宋体" w:cs="宋体"/>
                <w:color w:val="auto"/>
                <w:spacing w:val="5"/>
                <w:w w:val="99"/>
                <w:szCs w:val="21"/>
                <w:highlight w:val="none"/>
              </w:rPr>
              <w:t>/</w:t>
            </w:r>
            <w:r>
              <w:rPr>
                <w:rFonts w:hint="eastAsia" w:ascii="宋体" w:hAnsi="宋体" w:cs="宋体"/>
                <w:color w:val="auto"/>
                <w:spacing w:val="4"/>
                <w:w w:val="99"/>
                <w:szCs w:val="21"/>
                <w:highlight w:val="none"/>
              </w:rPr>
              <w:t>分的</w:t>
            </w:r>
            <w:r>
              <w:rPr>
                <w:rFonts w:hint="eastAsia" w:ascii="宋体" w:hAnsi="宋体" w:cs="宋体"/>
                <w:color w:val="auto"/>
                <w:spacing w:val="2"/>
                <w:w w:val="99"/>
                <w:szCs w:val="21"/>
                <w:highlight w:val="none"/>
              </w:rPr>
              <w:t>针</w:t>
            </w:r>
            <w:r>
              <w:rPr>
                <w:rFonts w:hint="eastAsia" w:ascii="宋体" w:hAnsi="宋体" w:cs="宋体"/>
                <w:color w:val="auto"/>
                <w:spacing w:val="4"/>
                <w:w w:val="99"/>
                <w:szCs w:val="21"/>
                <w:highlight w:val="none"/>
              </w:rPr>
              <w:t>式</w:t>
            </w:r>
            <w:r>
              <w:rPr>
                <w:rFonts w:hint="eastAsia" w:ascii="宋体" w:hAnsi="宋体" w:cs="宋体"/>
                <w:color w:val="auto"/>
                <w:w w:val="99"/>
                <w:szCs w:val="21"/>
                <w:highlight w:val="none"/>
              </w:rPr>
              <w:t>打印机相</w:t>
            </w:r>
            <w:r>
              <w:rPr>
                <w:rFonts w:hint="eastAsia" w:ascii="宋体" w:hAnsi="宋体" w:cs="宋体"/>
                <w:color w:val="auto"/>
                <w:spacing w:val="2"/>
                <w:w w:val="99"/>
                <w:szCs w:val="21"/>
                <w:highlight w:val="none"/>
              </w:rPr>
              <w:t>关</w:t>
            </w:r>
            <w:r>
              <w:rPr>
                <w:rFonts w:hint="eastAsia" w:ascii="宋体" w:hAnsi="宋体" w:cs="宋体"/>
                <w:color w:val="auto"/>
                <w:w w:val="99"/>
                <w:szCs w:val="21"/>
                <w:highlight w:val="none"/>
              </w:rPr>
              <w:t>要求</w:t>
            </w:r>
          </w:p>
        </w:tc>
      </w:tr>
      <w:tr w14:paraId="2163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0984F68D">
            <w:pPr>
              <w:jc w:val="center"/>
              <w:rPr>
                <w:rFonts w:ascii="宋体" w:hAnsi="宋体" w:cs="宋体"/>
                <w:color w:val="auto"/>
                <w:szCs w:val="21"/>
                <w:highlight w:val="none"/>
              </w:rPr>
            </w:pPr>
            <w:r>
              <w:rPr>
                <w:rFonts w:hint="eastAsia" w:ascii="宋体" w:hAnsi="宋体" w:cs="宋体"/>
                <w:color w:val="auto"/>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4CF33818">
            <w:pPr>
              <w:jc w:val="center"/>
              <w:rPr>
                <w:rFonts w:ascii="宋体" w:hAnsi="宋体" w:cs="宋体"/>
                <w:color w:val="auto"/>
                <w:szCs w:val="21"/>
                <w:highlight w:val="none"/>
              </w:rPr>
            </w:pPr>
            <w:r>
              <w:rPr>
                <w:rFonts w:hint="eastAsia" w:ascii="宋体" w:hAnsi="宋体" w:cs="宋体"/>
                <w:color w:val="auto"/>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29BBC564">
            <w:pPr>
              <w:jc w:val="center"/>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3904A8C">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1889FB1">
            <w:pPr>
              <w:jc w:val="left"/>
              <w:rPr>
                <w:rFonts w:ascii="宋体" w:hAnsi="宋体" w:cs="宋体"/>
                <w:color w:val="auto"/>
                <w:szCs w:val="21"/>
                <w:highlight w:val="none"/>
              </w:rPr>
            </w:pPr>
            <w:r>
              <w:rPr>
                <w:rFonts w:hint="eastAsia" w:ascii="宋体" w:hAnsi="宋体" w:cs="宋体"/>
                <w:color w:val="auto"/>
                <w:w w:val="99"/>
                <w:szCs w:val="21"/>
                <w:highlight w:val="none"/>
              </w:rPr>
              <w:t>《投影</w:t>
            </w:r>
            <w:r>
              <w:rPr>
                <w:rFonts w:hint="eastAsia" w:ascii="宋体" w:hAnsi="宋体" w:cs="宋体"/>
                <w:color w:val="auto"/>
                <w:spacing w:val="2"/>
                <w:w w:val="99"/>
                <w:szCs w:val="21"/>
                <w:highlight w:val="none"/>
              </w:rPr>
              <w:t>机</w:t>
            </w:r>
            <w:r>
              <w:rPr>
                <w:rFonts w:hint="eastAsia" w:ascii="宋体" w:hAnsi="宋体" w:cs="宋体"/>
                <w:color w:val="auto"/>
                <w:w w:val="99"/>
                <w:szCs w:val="21"/>
                <w:highlight w:val="none"/>
              </w:rPr>
              <w:t>能效</w:t>
            </w:r>
            <w:r>
              <w:rPr>
                <w:rFonts w:hint="eastAsia" w:ascii="宋体" w:hAnsi="宋体" w:cs="宋体"/>
                <w:color w:val="auto"/>
                <w:spacing w:val="2"/>
                <w:w w:val="99"/>
                <w:szCs w:val="21"/>
                <w:highlight w:val="none"/>
              </w:rPr>
              <w:t>限</w:t>
            </w:r>
            <w:r>
              <w:rPr>
                <w:rFonts w:hint="eastAsia" w:ascii="宋体" w:hAnsi="宋体" w:cs="宋体"/>
                <w:color w:val="auto"/>
                <w:w w:val="99"/>
                <w:szCs w:val="21"/>
                <w:highlight w:val="none"/>
              </w:rPr>
              <w:t>定值</w:t>
            </w:r>
            <w:r>
              <w:rPr>
                <w:rFonts w:hint="eastAsia" w:ascii="宋体" w:hAnsi="宋体" w:cs="宋体"/>
                <w:color w:val="auto"/>
                <w:spacing w:val="2"/>
                <w:w w:val="99"/>
                <w:szCs w:val="21"/>
                <w:highlight w:val="none"/>
              </w:rPr>
              <w:t>及</w:t>
            </w:r>
            <w:r>
              <w:rPr>
                <w:rFonts w:hint="eastAsia" w:ascii="宋体" w:hAnsi="宋体" w:cs="宋体"/>
                <w:color w:val="auto"/>
                <w:w w:val="99"/>
                <w:szCs w:val="21"/>
                <w:highlight w:val="none"/>
              </w:rPr>
              <w:t>能</w:t>
            </w:r>
            <w:r>
              <w:rPr>
                <w:rFonts w:hint="eastAsia" w:ascii="宋体" w:hAnsi="宋体" w:cs="宋体"/>
                <w:color w:val="auto"/>
                <w:spacing w:val="2"/>
                <w:w w:val="99"/>
                <w:szCs w:val="21"/>
                <w:highlight w:val="none"/>
              </w:rPr>
              <w:t>效</w:t>
            </w:r>
            <w:r>
              <w:rPr>
                <w:rFonts w:hint="eastAsia" w:ascii="宋体" w:hAnsi="宋体" w:cs="宋体"/>
                <w:color w:val="auto"/>
                <w:w w:val="99"/>
                <w:szCs w:val="21"/>
                <w:highlight w:val="none"/>
              </w:rPr>
              <w:t>等级》（</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3</w:t>
            </w:r>
            <w:r>
              <w:rPr>
                <w:rFonts w:hint="eastAsia" w:ascii="宋体" w:hAnsi="宋体" w:cs="宋体"/>
                <w:color w:val="auto"/>
                <w:w w:val="99"/>
                <w:szCs w:val="21"/>
                <w:highlight w:val="none"/>
              </w:rPr>
              <w:t>20</w:t>
            </w:r>
            <w:r>
              <w:rPr>
                <w:rFonts w:hint="eastAsia" w:ascii="宋体" w:hAnsi="宋体" w:cs="宋体"/>
                <w:color w:val="auto"/>
                <w:spacing w:val="1"/>
                <w:w w:val="99"/>
                <w:szCs w:val="21"/>
                <w:highlight w:val="none"/>
              </w:rPr>
              <w:t>28</w:t>
            </w:r>
            <w:r>
              <w:rPr>
                <w:rFonts w:hint="eastAsia" w:ascii="宋体" w:hAnsi="宋体" w:cs="宋体"/>
                <w:color w:val="auto"/>
                <w:w w:val="99"/>
                <w:szCs w:val="21"/>
                <w:highlight w:val="none"/>
              </w:rPr>
              <w:t>）</w:t>
            </w:r>
          </w:p>
        </w:tc>
      </w:tr>
      <w:tr w14:paraId="2A3A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792A2A0E">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619C56B7">
            <w:pPr>
              <w:pStyle w:val="135"/>
              <w:spacing w:before="66"/>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A02020400</w:t>
            </w:r>
            <w:r>
              <w:rPr>
                <w:rFonts w:hint="eastAsia" w:ascii="宋体" w:hAnsi="宋体" w:cs="宋体"/>
                <w:color w:val="auto"/>
                <w:w w:val="99"/>
                <w:kern w:val="2"/>
                <w:sz w:val="21"/>
                <w:szCs w:val="21"/>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5B79F98">
            <w:pPr>
              <w:jc w:val="center"/>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0726063">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EE88B76">
            <w:pPr>
              <w:jc w:val="left"/>
              <w:rPr>
                <w:rFonts w:ascii="宋体" w:hAnsi="宋体" w:cs="宋体"/>
                <w:color w:val="auto"/>
                <w:szCs w:val="21"/>
                <w:highlight w:val="none"/>
              </w:rPr>
            </w:pPr>
            <w:r>
              <w:rPr>
                <w:rFonts w:hint="eastAsia" w:ascii="宋体" w:hAnsi="宋体" w:cs="宋体"/>
                <w:color w:val="auto"/>
                <w:w w:val="99"/>
                <w:szCs w:val="21"/>
                <w:highlight w:val="none"/>
              </w:rPr>
              <w:t>《复印</w:t>
            </w:r>
            <w:r>
              <w:rPr>
                <w:rFonts w:hint="eastAsia" w:ascii="宋体" w:hAnsi="宋体" w:cs="宋体"/>
                <w:color w:val="auto"/>
                <w:spacing w:val="2"/>
                <w:w w:val="99"/>
                <w:szCs w:val="21"/>
                <w:highlight w:val="none"/>
              </w:rPr>
              <w:t>机</w:t>
            </w:r>
            <w:r>
              <w:rPr>
                <w:rFonts w:hint="eastAsia" w:ascii="宋体" w:hAnsi="宋体" w:cs="宋体"/>
                <w:color w:val="auto"/>
                <w:spacing w:val="-58"/>
                <w:w w:val="99"/>
                <w:szCs w:val="21"/>
                <w:highlight w:val="none"/>
              </w:rPr>
              <w:t>、</w:t>
            </w:r>
            <w:r>
              <w:rPr>
                <w:rFonts w:hint="eastAsia" w:ascii="宋体" w:hAnsi="宋体" w:cs="宋体"/>
                <w:color w:val="auto"/>
                <w:spacing w:val="2"/>
                <w:w w:val="99"/>
                <w:szCs w:val="21"/>
                <w:highlight w:val="none"/>
              </w:rPr>
              <w:t>打</w:t>
            </w:r>
            <w:r>
              <w:rPr>
                <w:rFonts w:hint="eastAsia" w:ascii="宋体" w:hAnsi="宋体" w:cs="宋体"/>
                <w:color w:val="auto"/>
                <w:w w:val="99"/>
                <w:szCs w:val="21"/>
                <w:highlight w:val="none"/>
              </w:rPr>
              <w:t>印机</w:t>
            </w:r>
            <w:r>
              <w:rPr>
                <w:rFonts w:hint="eastAsia" w:ascii="宋体" w:hAnsi="宋体" w:cs="宋体"/>
                <w:color w:val="auto"/>
                <w:spacing w:val="2"/>
                <w:w w:val="99"/>
                <w:szCs w:val="21"/>
                <w:highlight w:val="none"/>
              </w:rPr>
              <w:t>和</w:t>
            </w:r>
            <w:r>
              <w:rPr>
                <w:rFonts w:hint="eastAsia" w:ascii="宋体" w:hAnsi="宋体" w:cs="宋体"/>
                <w:color w:val="auto"/>
                <w:w w:val="99"/>
                <w:szCs w:val="21"/>
                <w:highlight w:val="none"/>
              </w:rPr>
              <w:t>传真</w:t>
            </w:r>
            <w:r>
              <w:rPr>
                <w:rFonts w:hint="eastAsia" w:ascii="宋体" w:hAnsi="宋体" w:cs="宋体"/>
                <w:color w:val="auto"/>
                <w:spacing w:val="2"/>
                <w:w w:val="99"/>
                <w:szCs w:val="21"/>
                <w:highlight w:val="none"/>
              </w:rPr>
              <w:t>机</w:t>
            </w:r>
            <w:r>
              <w:rPr>
                <w:rFonts w:hint="eastAsia" w:ascii="宋体" w:hAnsi="宋体" w:cs="宋体"/>
                <w:color w:val="auto"/>
                <w:w w:val="99"/>
                <w:szCs w:val="21"/>
                <w:highlight w:val="none"/>
              </w:rPr>
              <w:t>能效限定值及</w:t>
            </w:r>
            <w:r>
              <w:rPr>
                <w:rFonts w:hint="eastAsia" w:ascii="宋体" w:hAnsi="宋体" w:cs="宋体"/>
                <w:color w:val="auto"/>
                <w:spacing w:val="2"/>
                <w:w w:val="99"/>
                <w:szCs w:val="21"/>
                <w:highlight w:val="none"/>
              </w:rPr>
              <w:t>能</w:t>
            </w:r>
            <w:r>
              <w:rPr>
                <w:rFonts w:hint="eastAsia" w:ascii="宋体" w:hAnsi="宋体" w:cs="宋体"/>
                <w:color w:val="auto"/>
                <w:w w:val="99"/>
                <w:szCs w:val="21"/>
                <w:highlight w:val="none"/>
              </w:rPr>
              <w:t>效等</w:t>
            </w:r>
            <w:r>
              <w:rPr>
                <w:rFonts w:hint="eastAsia" w:ascii="宋体" w:hAnsi="宋体" w:cs="宋体"/>
                <w:color w:val="auto"/>
                <w:spacing w:val="2"/>
                <w:w w:val="99"/>
                <w:szCs w:val="21"/>
                <w:highlight w:val="none"/>
              </w:rPr>
              <w:t>级</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w:t>
            </w:r>
            <w:r>
              <w:rPr>
                <w:rFonts w:hint="eastAsia" w:ascii="宋体" w:hAnsi="宋体" w:cs="宋体"/>
                <w:color w:val="auto"/>
                <w:w w:val="99"/>
                <w:szCs w:val="21"/>
                <w:highlight w:val="none"/>
              </w:rPr>
              <w:t>52</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w:t>
            </w:r>
          </w:p>
        </w:tc>
      </w:tr>
      <w:tr w14:paraId="5AD7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31568DF5">
            <w:pPr>
              <w:pStyle w:val="135"/>
              <w:spacing w:before="160"/>
              <w:ind w:right="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5</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6090CEDD">
            <w:pPr>
              <w:pStyle w:val="135"/>
              <w:spacing w:before="160"/>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A02051900</w:t>
            </w:r>
            <w:r>
              <w:rPr>
                <w:rFonts w:hint="eastAsia" w:ascii="宋体" w:hAnsi="宋体" w:cs="宋体"/>
                <w:color w:val="auto"/>
                <w:w w:val="99"/>
                <w:kern w:val="2"/>
                <w:sz w:val="21"/>
                <w:szCs w:val="21"/>
                <w:highlight w:val="none"/>
              </w:rPr>
              <w:t>泵</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2E5CCC7A">
            <w:pPr>
              <w:pStyle w:val="135"/>
              <w:spacing w:before="160"/>
              <w:ind w:left="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05</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901离心泵</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91D3625">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0B2EA68">
            <w:pPr>
              <w:pStyle w:val="135"/>
              <w:spacing w:before="4"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《清水离心泵能效限定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及节</w:t>
            </w:r>
            <w:r>
              <w:rPr>
                <w:rFonts w:hint="eastAsia" w:ascii="宋体" w:hAnsi="宋体" w:cs="宋体"/>
                <w:color w:val="auto"/>
                <w:w w:val="99"/>
                <w:kern w:val="2"/>
                <w:sz w:val="21"/>
                <w:szCs w:val="21"/>
                <w:highlight w:val="none"/>
                <w:lang w:eastAsia="zh-CN"/>
              </w:rPr>
              <w:t>能评价值</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19</w:t>
            </w:r>
            <w:r>
              <w:rPr>
                <w:rFonts w:hint="eastAsia" w:ascii="宋体" w:hAnsi="宋体" w:cs="宋体"/>
                <w:color w:val="auto"/>
                <w:w w:val="99"/>
                <w:kern w:val="2"/>
                <w:sz w:val="21"/>
                <w:szCs w:val="21"/>
                <w:highlight w:val="none"/>
                <w:lang w:eastAsia="zh-CN"/>
              </w:rPr>
              <w:t>76</w:t>
            </w:r>
            <w:r>
              <w:rPr>
                <w:rFonts w:hint="eastAsia" w:ascii="宋体" w:hAnsi="宋体" w:cs="宋体"/>
                <w:color w:val="auto"/>
                <w:spacing w:val="1"/>
                <w:w w:val="99"/>
                <w:kern w:val="2"/>
                <w:sz w:val="21"/>
                <w:szCs w:val="21"/>
                <w:highlight w:val="none"/>
                <w:lang w:eastAsia="zh-CN"/>
              </w:rPr>
              <w:t>2</w:t>
            </w:r>
            <w:r>
              <w:rPr>
                <w:rFonts w:hint="eastAsia" w:ascii="宋体" w:hAnsi="宋体" w:cs="宋体"/>
                <w:color w:val="auto"/>
                <w:w w:val="99"/>
                <w:kern w:val="2"/>
                <w:sz w:val="21"/>
                <w:szCs w:val="21"/>
                <w:highlight w:val="none"/>
                <w:lang w:eastAsia="zh-CN"/>
              </w:rPr>
              <w:t>）</w:t>
            </w:r>
          </w:p>
        </w:tc>
      </w:tr>
      <w:tr w14:paraId="5894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1334F4B5">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719C88AF">
            <w:pPr>
              <w:pStyle w:val="13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A02052300</w:t>
            </w:r>
            <w:r>
              <w:rPr>
                <w:rFonts w:hint="eastAsia" w:ascii="宋体" w:hAnsi="宋体" w:cs="宋体"/>
                <w:color w:val="auto"/>
                <w:w w:val="99"/>
                <w:kern w:val="2"/>
                <w:sz w:val="21"/>
                <w:szCs w:val="21"/>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1D34A5FA">
            <w:pPr>
              <w:pStyle w:val="135"/>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52</w:t>
            </w:r>
            <w:r>
              <w:rPr>
                <w:rFonts w:hint="eastAsia" w:ascii="宋体" w:hAnsi="宋体" w:cs="宋体"/>
                <w:color w:val="auto"/>
                <w:spacing w:val="1"/>
                <w:w w:val="99"/>
                <w:kern w:val="2"/>
                <w:sz w:val="21"/>
                <w:szCs w:val="21"/>
                <w:highlight w:val="none"/>
              </w:rPr>
              <w:t>3</w:t>
            </w:r>
            <w:r>
              <w:rPr>
                <w:rFonts w:hint="eastAsia" w:ascii="宋体" w:hAnsi="宋体" w:cs="宋体"/>
                <w:color w:val="auto"/>
                <w:w w:val="99"/>
                <w:kern w:val="2"/>
                <w:sz w:val="21"/>
                <w:szCs w:val="21"/>
                <w:highlight w:val="none"/>
              </w:rPr>
              <w:t>01制冷压缩机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7D019CD">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冷水机组</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557A86DE">
            <w:pPr>
              <w:pStyle w:val="135"/>
              <w:spacing w:before="30"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《冷水机组能效限定值</w:t>
            </w:r>
            <w:r>
              <w:rPr>
                <w:rFonts w:hint="eastAsia" w:ascii="宋体" w:hAnsi="宋体" w:cs="宋体"/>
                <w:color w:val="auto"/>
                <w:spacing w:val="9"/>
                <w:w w:val="99"/>
                <w:kern w:val="2"/>
                <w:sz w:val="21"/>
                <w:szCs w:val="21"/>
                <w:highlight w:val="none"/>
                <w:lang w:eastAsia="zh-CN"/>
              </w:rPr>
              <w:t>及</w:t>
            </w:r>
            <w:r>
              <w:rPr>
                <w:rFonts w:hint="eastAsia" w:ascii="宋体" w:hAnsi="宋体" w:cs="宋体"/>
                <w:color w:val="auto"/>
                <w:spacing w:val="12"/>
                <w:w w:val="99"/>
                <w:kern w:val="2"/>
                <w:sz w:val="21"/>
                <w:szCs w:val="21"/>
                <w:highlight w:val="none"/>
                <w:lang w:eastAsia="zh-CN"/>
              </w:rPr>
              <w:t>能效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3"/>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195</w:t>
            </w:r>
            <w:r>
              <w:rPr>
                <w:rFonts w:hint="eastAsia" w:ascii="宋体" w:hAnsi="宋体" w:cs="宋体"/>
                <w:color w:val="auto"/>
                <w:w w:val="99"/>
                <w:kern w:val="2"/>
                <w:sz w:val="21"/>
                <w:szCs w:val="21"/>
                <w:highlight w:val="none"/>
                <w:lang w:eastAsia="zh-CN"/>
              </w:rPr>
              <w:t>77</w:t>
            </w:r>
            <w:r>
              <w:rPr>
                <w:rFonts w:hint="eastAsia" w:ascii="宋体" w:hAnsi="宋体" w:cs="宋体"/>
                <w:color w:val="auto"/>
                <w:spacing w:val="-3"/>
                <w:w w:val="99"/>
                <w:kern w:val="2"/>
                <w:sz w:val="21"/>
                <w:szCs w:val="21"/>
                <w:highlight w:val="none"/>
                <w:lang w:eastAsia="zh-CN"/>
              </w:rPr>
              <w:t>），</w:t>
            </w:r>
            <w:r>
              <w:rPr>
                <w:rFonts w:hint="eastAsia" w:ascii="宋体" w:hAnsi="宋体" w:cs="宋体"/>
                <w:color w:val="auto"/>
                <w:w w:val="99"/>
                <w:kern w:val="2"/>
                <w:sz w:val="21"/>
                <w:szCs w:val="21"/>
                <w:highlight w:val="none"/>
                <w:lang w:eastAsia="zh-CN"/>
              </w:rPr>
              <w:t>《低</w:t>
            </w:r>
            <w:r>
              <w:rPr>
                <w:rFonts w:hint="eastAsia" w:ascii="宋体" w:hAnsi="宋体" w:cs="宋体"/>
                <w:color w:val="auto"/>
                <w:spacing w:val="2"/>
                <w:w w:val="99"/>
                <w:kern w:val="2"/>
                <w:sz w:val="21"/>
                <w:szCs w:val="21"/>
                <w:highlight w:val="none"/>
                <w:lang w:eastAsia="zh-CN"/>
              </w:rPr>
              <w:t>环</w:t>
            </w:r>
            <w:r>
              <w:rPr>
                <w:rFonts w:hint="eastAsia" w:ascii="宋体" w:hAnsi="宋体" w:cs="宋体"/>
                <w:color w:val="auto"/>
                <w:w w:val="99"/>
                <w:kern w:val="2"/>
                <w:sz w:val="21"/>
                <w:szCs w:val="21"/>
                <w:highlight w:val="none"/>
                <w:lang w:eastAsia="zh-CN"/>
              </w:rPr>
              <w:t>境温度空气源</w:t>
            </w:r>
            <w:r>
              <w:rPr>
                <w:rFonts w:hint="eastAsia" w:ascii="宋体" w:hAnsi="宋体" w:cs="宋体"/>
                <w:color w:val="auto"/>
                <w:spacing w:val="2"/>
                <w:w w:val="99"/>
                <w:kern w:val="2"/>
                <w:sz w:val="21"/>
                <w:szCs w:val="21"/>
                <w:highlight w:val="none"/>
                <w:lang w:eastAsia="zh-CN"/>
              </w:rPr>
              <w:t>热</w:t>
            </w:r>
            <w:r>
              <w:rPr>
                <w:rFonts w:hint="eastAsia" w:ascii="宋体" w:hAnsi="宋体" w:cs="宋体"/>
                <w:color w:val="auto"/>
                <w:spacing w:val="-29"/>
                <w:w w:val="99"/>
                <w:kern w:val="2"/>
                <w:sz w:val="21"/>
                <w:szCs w:val="21"/>
                <w:highlight w:val="none"/>
                <w:lang w:eastAsia="zh-CN"/>
              </w:rPr>
              <w:t>泵</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冷水</w:t>
            </w:r>
            <w:r>
              <w:rPr>
                <w:rFonts w:hint="eastAsia" w:ascii="宋体" w:hAnsi="宋体" w:cs="宋体"/>
                <w:color w:val="auto"/>
                <w:spacing w:val="-27"/>
                <w:w w:val="99"/>
                <w:kern w:val="2"/>
                <w:sz w:val="21"/>
                <w:szCs w:val="21"/>
                <w:highlight w:val="none"/>
                <w:lang w:eastAsia="zh-CN"/>
              </w:rPr>
              <w:t>）</w:t>
            </w:r>
            <w:r>
              <w:rPr>
                <w:rFonts w:hint="eastAsia" w:ascii="宋体" w:hAnsi="宋体" w:cs="宋体"/>
                <w:color w:val="auto"/>
                <w:w w:val="99"/>
                <w:kern w:val="2"/>
                <w:sz w:val="21"/>
                <w:szCs w:val="21"/>
                <w:highlight w:val="none"/>
                <w:lang w:eastAsia="zh-CN"/>
              </w:rPr>
              <w:t>机组</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效限定值及能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37</w:t>
            </w:r>
            <w:r>
              <w:rPr>
                <w:rFonts w:hint="eastAsia" w:ascii="宋体" w:hAnsi="宋体" w:cs="宋体"/>
                <w:color w:val="auto"/>
                <w:w w:val="99"/>
                <w:kern w:val="2"/>
                <w:sz w:val="21"/>
                <w:szCs w:val="21"/>
                <w:highlight w:val="none"/>
                <w:lang w:eastAsia="zh-CN"/>
              </w:rPr>
              <w:t>48</w:t>
            </w:r>
            <w:r>
              <w:rPr>
                <w:rFonts w:hint="eastAsia" w:ascii="宋体" w:hAnsi="宋体" w:cs="宋体"/>
                <w:color w:val="auto"/>
                <w:spacing w:val="-2"/>
                <w:w w:val="99"/>
                <w:kern w:val="2"/>
                <w:sz w:val="21"/>
                <w:szCs w:val="21"/>
                <w:highlight w:val="none"/>
                <w:lang w:eastAsia="zh-CN"/>
              </w:rPr>
              <w:t>0</w:t>
            </w:r>
            <w:r>
              <w:rPr>
                <w:rFonts w:hint="eastAsia" w:ascii="宋体" w:hAnsi="宋体" w:cs="宋体"/>
                <w:color w:val="auto"/>
                <w:w w:val="99"/>
                <w:kern w:val="2"/>
                <w:sz w:val="21"/>
                <w:szCs w:val="21"/>
                <w:highlight w:val="none"/>
                <w:lang w:eastAsia="zh-CN"/>
              </w:rPr>
              <w:t>）</w:t>
            </w:r>
          </w:p>
        </w:tc>
      </w:tr>
      <w:tr w14:paraId="5308C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03EE007">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725585D">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EBBD03D">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6306F95">
            <w:pPr>
              <w:jc w:val="center"/>
              <w:rPr>
                <w:rFonts w:ascii="宋体" w:hAnsi="宋体" w:cs="宋体"/>
                <w:color w:val="auto"/>
                <w:szCs w:val="21"/>
                <w:highlight w:val="none"/>
              </w:rPr>
            </w:pPr>
            <w:r>
              <w:rPr>
                <w:rFonts w:hint="eastAsia" w:ascii="宋体" w:hAnsi="宋体" w:cs="宋体"/>
                <w:color w:val="auto"/>
                <w:szCs w:val="21"/>
                <w:highlight w:val="none"/>
              </w:rPr>
              <w:t>溴化锂吸收式冷水机组</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B355C2E">
            <w:pPr>
              <w:pStyle w:val="135"/>
              <w:spacing w:before="93"/>
              <w:ind w:left="7"/>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《溴化锂吸收式冷水机组能效限</w:t>
            </w:r>
          </w:p>
          <w:p w14:paraId="391E1B44">
            <w:pPr>
              <w:jc w:val="left"/>
              <w:rPr>
                <w:rFonts w:ascii="宋体" w:hAnsi="宋体" w:cs="宋体"/>
                <w:color w:val="auto"/>
                <w:szCs w:val="21"/>
                <w:highlight w:val="none"/>
              </w:rPr>
            </w:pPr>
            <w:r>
              <w:rPr>
                <w:rFonts w:hint="eastAsia" w:ascii="宋体" w:hAnsi="宋体" w:cs="宋体"/>
                <w:color w:val="auto"/>
                <w:w w:val="99"/>
                <w:szCs w:val="21"/>
                <w:highlight w:val="none"/>
              </w:rPr>
              <w:t>定值及能效等级》（GB29540）</w:t>
            </w:r>
          </w:p>
        </w:tc>
      </w:tr>
      <w:tr w14:paraId="6393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404ACE3">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2694EFE">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6D082789">
            <w:pPr>
              <w:pStyle w:val="135"/>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★A02052305空调机组</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CE194A0">
            <w:pPr>
              <w:pStyle w:val="135"/>
              <w:spacing w:before="4" w:line="276" w:lineRule="auto"/>
              <w:ind w:left="7" w:righ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多联式空调（热泵）机组（制冷量&gt;14000W）</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50FA0A8">
            <w:pPr>
              <w:pStyle w:val="135"/>
              <w:spacing w:before="160" w:line="276" w:lineRule="auto"/>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《多联式空调（热泵）机组能效限定值及能源效率等级》（GB21454）</w:t>
            </w:r>
          </w:p>
        </w:tc>
      </w:tr>
      <w:tr w14:paraId="3CCBF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E7813FF">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FA3ECD5">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EC1A75B">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63E3130">
            <w:pPr>
              <w:jc w:val="center"/>
              <w:rPr>
                <w:rFonts w:ascii="宋体" w:hAnsi="宋体" w:cs="宋体"/>
                <w:color w:val="auto"/>
                <w:szCs w:val="21"/>
                <w:highlight w:val="none"/>
              </w:rPr>
            </w:pPr>
            <w:r>
              <w:rPr>
                <w:rFonts w:hint="eastAsia" w:ascii="宋体" w:hAnsi="宋体" w:cs="宋体"/>
                <w:color w:val="auto"/>
                <w:w w:val="99"/>
                <w:szCs w:val="21"/>
                <w:highlight w:val="none"/>
              </w:rPr>
              <w:t>单元式空气调节机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AF1E431">
            <w:pPr>
              <w:jc w:val="left"/>
              <w:rPr>
                <w:rFonts w:ascii="宋体" w:hAnsi="宋体" w:cs="宋体"/>
                <w:color w:val="auto"/>
                <w:szCs w:val="21"/>
                <w:highlight w:val="none"/>
              </w:rPr>
            </w:pPr>
            <w:r>
              <w:rPr>
                <w:rFonts w:hint="eastAsia" w:ascii="宋体" w:hAnsi="宋体" w:cs="宋体"/>
                <w:color w:val="auto"/>
                <w:w w:val="99"/>
                <w:szCs w:val="21"/>
                <w:highlight w:val="none"/>
              </w:rPr>
              <w:t>《单元式空气调节机能效限定值及能效等级》（GB19576）《风管送风式空调机组能效限定值及能效等级》（GB37479）</w:t>
            </w:r>
          </w:p>
        </w:tc>
      </w:tr>
      <w:tr w14:paraId="26C1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81E4BF9">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D559102">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16A8D5D1">
            <w:pPr>
              <w:pStyle w:val="135"/>
              <w:spacing w:before="83"/>
              <w:ind w:lef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★A02052309专用制冷、空调设备</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61F6F77">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机房空调</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5F041F71">
            <w:pPr>
              <w:pStyle w:val="135"/>
              <w:spacing w:before="83"/>
              <w:ind w:left="7"/>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《单元式空气调节机能效限定值</w:t>
            </w:r>
          </w:p>
          <w:p w14:paraId="3C370B84">
            <w:pPr>
              <w:pStyle w:val="135"/>
              <w:spacing w:before="83"/>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及能效等级》（GB19576）</w:t>
            </w:r>
          </w:p>
        </w:tc>
      </w:tr>
      <w:tr w14:paraId="1196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C90256F">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0F90609">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1C698B12">
            <w:pPr>
              <w:pStyle w:val="135"/>
              <w:spacing w:line="254" w:lineRule="exact"/>
              <w:ind w:left="7"/>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A02052399其他制冷</w:t>
            </w:r>
          </w:p>
          <w:p w14:paraId="1808F880">
            <w:pPr>
              <w:pStyle w:val="135"/>
              <w:spacing w:line="254" w:lineRule="exact"/>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空调设备</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B31FA80">
            <w:pPr>
              <w:widowControl/>
              <w:jc w:val="center"/>
              <w:rPr>
                <w:rFonts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763DC96">
            <w:pPr>
              <w:pStyle w:val="135"/>
              <w:spacing w:line="254" w:lineRule="exact"/>
              <w:ind w:left="7"/>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《机械通风冷却塔第1部分：中小型开式冷却塔》（GB/T7190.1）</w:t>
            </w:r>
          </w:p>
          <w:p w14:paraId="0D124967">
            <w:pPr>
              <w:pStyle w:val="135"/>
              <w:spacing w:line="254" w:lineRule="exact"/>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《机械通风冷却塔第2部分：大型开式冷却塔》（GB/T7190.2）</w:t>
            </w:r>
          </w:p>
        </w:tc>
      </w:tr>
      <w:tr w14:paraId="50354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5A5ADD62">
            <w:pPr>
              <w:pStyle w:val="135"/>
              <w:ind w:right="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7</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6AEBCDCB">
            <w:pPr>
              <w:pStyle w:val="13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A02060100</w:t>
            </w:r>
            <w:r>
              <w:rPr>
                <w:rFonts w:hint="eastAsia" w:ascii="宋体" w:hAnsi="宋体" w:cs="宋体"/>
                <w:color w:val="auto"/>
                <w:w w:val="99"/>
                <w:kern w:val="2"/>
                <w:sz w:val="21"/>
                <w:szCs w:val="21"/>
                <w:highlight w:val="none"/>
              </w:rPr>
              <w:t>电机</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7342D2BD">
            <w:pPr>
              <w:jc w:val="center"/>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59B8F60">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BD83350">
            <w:pPr>
              <w:pStyle w:val="135"/>
              <w:spacing w:before="52" w:line="276" w:lineRule="auto"/>
              <w:ind w:left="7" w:right="4"/>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《中小型三相异步电动机能效限定值及能效等级》（GB18613）</w:t>
            </w:r>
          </w:p>
        </w:tc>
      </w:tr>
      <w:tr w14:paraId="16D5F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2788F950">
            <w:pPr>
              <w:pStyle w:val="135"/>
              <w:ind w:right="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8</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4CD12BE8">
            <w:pPr>
              <w:pStyle w:val="135"/>
              <w:spacing w:before="30"/>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A02060200</w:t>
            </w:r>
            <w:r>
              <w:rPr>
                <w:rFonts w:hint="eastAsia" w:ascii="宋体" w:hAnsi="宋体" w:cs="宋体"/>
                <w:color w:val="auto"/>
                <w:w w:val="99"/>
                <w:kern w:val="2"/>
                <w:sz w:val="21"/>
                <w:szCs w:val="21"/>
                <w:highlight w:val="none"/>
              </w:rPr>
              <w:t>变压</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0F8E45D1">
            <w:pPr>
              <w:pStyle w:val="135"/>
              <w:jc w:val="center"/>
              <w:rPr>
                <w:rFonts w:ascii="宋体" w:hAnsi="宋体" w:cs="宋体"/>
                <w:color w:val="auto"/>
                <w:kern w:val="2"/>
                <w:sz w:val="21"/>
                <w:szCs w:val="21"/>
                <w:highlight w:val="none"/>
              </w:rPr>
            </w:pPr>
            <w:r>
              <w:rPr>
                <w:rFonts w:hint="eastAsia" w:ascii="宋体" w:hAnsi="宋体" w:cs="宋体"/>
                <w:color w:val="auto"/>
                <w:w w:val="99"/>
                <w:szCs w:val="21"/>
                <w:highlight w:val="none"/>
              </w:rPr>
              <w:t>★</w:t>
            </w:r>
            <w:r>
              <w:rPr>
                <w:rFonts w:hint="eastAsia" w:ascii="宋体" w:hAnsi="宋体" w:cs="宋体"/>
                <w:color w:val="auto"/>
                <w:w w:val="99"/>
                <w:kern w:val="2"/>
                <w:sz w:val="21"/>
                <w:szCs w:val="21"/>
                <w:highlight w:val="none"/>
              </w:rPr>
              <w:t>配电变压器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01910EE">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CAB6888">
            <w:pPr>
              <w:pStyle w:val="135"/>
              <w:spacing w:before="30"/>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《三相配电变压器能效限定值及</w:t>
            </w:r>
          </w:p>
        </w:tc>
      </w:tr>
      <w:tr w14:paraId="4753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2A4D44D0">
            <w:pPr>
              <w:pStyle w:val="135"/>
              <w:ind w:right="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9</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71559FD9">
            <w:pPr>
              <w:pStyle w:val="135"/>
              <w:spacing w:before="126"/>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7CE24230">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管型荧光灯镇流器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F121D1B">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4F35D6A">
            <w:pPr>
              <w:pStyle w:val="135"/>
              <w:spacing w:before="126"/>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《管形荧光灯镇流器能效限定值及能效等级》（GB17896）</w:t>
            </w:r>
          </w:p>
        </w:tc>
      </w:tr>
      <w:tr w14:paraId="19F8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6A3DD85B">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61A20634">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1FD4EF5B">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A02061801电冰箱</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6EF3034">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11912EE">
            <w:pPr>
              <w:pStyle w:val="135"/>
              <w:spacing w:before="126"/>
              <w:ind w:left="7"/>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《家用电冰箱耗电量限定值及能效等级》（GB12021.2）</w:t>
            </w:r>
          </w:p>
        </w:tc>
      </w:tr>
      <w:tr w14:paraId="556C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EBEF552">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ED63662">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5AF14782">
            <w:pPr>
              <w:pStyle w:val="135"/>
              <w:spacing w:before="17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A02061804</w:t>
            </w:r>
            <w:r>
              <w:rPr>
                <w:rFonts w:hint="eastAsia" w:ascii="宋体" w:hAnsi="宋体" w:cs="宋体"/>
                <w:color w:val="auto"/>
                <w:w w:val="99"/>
                <w:kern w:val="2"/>
                <w:sz w:val="21"/>
                <w:szCs w:val="21"/>
                <w:highlight w:val="none"/>
              </w:rPr>
              <w:t>空调机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551345E">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房间空气调节器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752FACD">
            <w:pPr>
              <w:pStyle w:val="135"/>
              <w:spacing w:line="256" w:lineRule="exact"/>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《房间空气调节器能效限定值及能效等级》（GB21455-2019）</w:t>
            </w:r>
          </w:p>
        </w:tc>
      </w:tr>
      <w:tr w14:paraId="2373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99EEAC1">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0A0BA7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11E4497">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13A3B23">
            <w:pPr>
              <w:pStyle w:val="135"/>
              <w:spacing w:before="4"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 14000W）</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1FB5EDF">
            <w:pPr>
              <w:pStyle w:val="135"/>
              <w:spacing w:before="160" w:line="276" w:lineRule="auto"/>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《多联式空调（热泵）机组能效限定值及能源效率等级》（GB21454）</w:t>
            </w:r>
          </w:p>
        </w:tc>
      </w:tr>
      <w:tr w14:paraId="640F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8FD36BE">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529CA46">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F41C28F">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8D1CDB4">
            <w:pPr>
              <w:pStyle w:val="135"/>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单元式空气调节机（制冷量≤ 14000W）</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3CD3FA5">
            <w:pPr>
              <w:pStyle w:val="135"/>
              <w:spacing w:before="4"/>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《单元式空气调节机能效限定值及能源效率等级》（GB19576）《风管送风式空调机组能效限定值及能效等级》（GB37479）</w:t>
            </w:r>
          </w:p>
        </w:tc>
      </w:tr>
      <w:tr w14:paraId="4284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C1C7891">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B4A2EB0">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57EDF1E0">
            <w:pPr>
              <w:pStyle w:val="135"/>
              <w:spacing w:before="162"/>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A02061810</w:t>
            </w:r>
            <w:r>
              <w:rPr>
                <w:rFonts w:hint="eastAsia" w:ascii="宋体" w:hAnsi="宋体" w:cs="宋体"/>
                <w:color w:val="auto"/>
                <w:w w:val="99"/>
                <w:kern w:val="2"/>
                <w:sz w:val="21"/>
                <w:szCs w:val="21"/>
                <w:highlight w:val="none"/>
              </w:rPr>
              <w:t>洗衣机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E64F358">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1D8500F">
            <w:pPr>
              <w:pStyle w:val="135"/>
              <w:spacing w:before="6" w:line="276" w:lineRule="auto"/>
              <w:ind w:left="7" w:right="4"/>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《电动洗衣机能效水效限定值及等级》（GB12021.4）</w:t>
            </w:r>
          </w:p>
        </w:tc>
      </w:tr>
      <w:tr w14:paraId="2FC8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305AF7E">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C2A659D">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31892701">
            <w:pPr>
              <w:pStyle w:val="135"/>
              <w:spacing w:before="161"/>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A02061819</w:t>
            </w:r>
            <w:r>
              <w:rPr>
                <w:rFonts w:hint="eastAsia" w:ascii="宋体" w:hAnsi="宋体" w:cs="宋体"/>
                <w:color w:val="auto"/>
                <w:w w:val="99"/>
                <w:kern w:val="2"/>
                <w:sz w:val="21"/>
                <w:szCs w:val="21"/>
                <w:highlight w:val="none"/>
              </w:rPr>
              <w:t>热水器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5AA2BA6">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C597ACA">
            <w:pPr>
              <w:pStyle w:val="135"/>
              <w:tabs>
                <w:tab w:val="left" w:pos="1608"/>
              </w:tabs>
              <w:spacing w:before="5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《储水式电热水器能效</w:t>
            </w:r>
            <w:r>
              <w:rPr>
                <w:rFonts w:hint="eastAsia" w:ascii="宋体" w:hAnsi="宋体" w:cs="宋体"/>
                <w:color w:val="auto"/>
                <w:spacing w:val="9"/>
                <w:w w:val="99"/>
                <w:kern w:val="2"/>
                <w:sz w:val="21"/>
                <w:szCs w:val="21"/>
                <w:highlight w:val="none"/>
                <w:lang w:eastAsia="zh-CN"/>
              </w:rPr>
              <w:t>限</w:t>
            </w:r>
            <w:r>
              <w:rPr>
                <w:rFonts w:hint="eastAsia" w:ascii="宋体" w:hAnsi="宋体" w:cs="宋体"/>
                <w:color w:val="auto"/>
                <w:spacing w:val="12"/>
                <w:w w:val="99"/>
                <w:kern w:val="2"/>
                <w:sz w:val="21"/>
                <w:szCs w:val="21"/>
                <w:highlight w:val="none"/>
                <w:lang w:eastAsia="zh-CN"/>
              </w:rPr>
              <w:t>定值</w:t>
            </w:r>
            <w:r>
              <w:rPr>
                <w:rFonts w:hint="eastAsia" w:ascii="宋体" w:hAnsi="宋体" w:cs="宋体"/>
                <w:color w:val="auto"/>
                <w:w w:val="99"/>
                <w:kern w:val="2"/>
                <w:sz w:val="21"/>
                <w:szCs w:val="21"/>
                <w:highlight w:val="none"/>
                <w:lang w:eastAsia="zh-CN"/>
              </w:rPr>
              <w:t>及能效等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51</w:t>
            </w:r>
            <w:r>
              <w:rPr>
                <w:rFonts w:hint="eastAsia" w:ascii="宋体" w:hAnsi="宋体" w:cs="宋体"/>
                <w:color w:val="auto"/>
                <w:spacing w:val="1"/>
                <w:w w:val="99"/>
                <w:kern w:val="2"/>
                <w:sz w:val="21"/>
                <w:szCs w:val="21"/>
                <w:highlight w:val="none"/>
                <w:lang w:eastAsia="zh-CN"/>
              </w:rPr>
              <w:t>9</w:t>
            </w:r>
            <w:r>
              <w:rPr>
                <w:rFonts w:hint="eastAsia" w:ascii="宋体" w:hAnsi="宋体" w:cs="宋体"/>
                <w:color w:val="auto"/>
                <w:w w:val="99"/>
                <w:kern w:val="2"/>
                <w:sz w:val="21"/>
                <w:szCs w:val="21"/>
                <w:highlight w:val="none"/>
                <w:lang w:eastAsia="zh-CN"/>
              </w:rPr>
              <w:t>）</w:t>
            </w:r>
          </w:p>
        </w:tc>
      </w:tr>
      <w:tr w14:paraId="65C5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3E694D5">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FE88C5E">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75DB596">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10C0140">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燃气热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498D236">
            <w:pPr>
              <w:pStyle w:val="135"/>
              <w:spacing w:before="4"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《家用燃气快速热水器</w:t>
            </w:r>
            <w:r>
              <w:rPr>
                <w:rFonts w:hint="eastAsia" w:ascii="宋体" w:hAnsi="宋体" w:cs="宋体"/>
                <w:color w:val="auto"/>
                <w:spacing w:val="9"/>
                <w:w w:val="99"/>
                <w:kern w:val="2"/>
                <w:sz w:val="21"/>
                <w:szCs w:val="21"/>
                <w:highlight w:val="none"/>
                <w:lang w:eastAsia="zh-CN"/>
              </w:rPr>
              <w:t>和</w:t>
            </w:r>
            <w:r>
              <w:rPr>
                <w:rFonts w:hint="eastAsia" w:ascii="宋体" w:hAnsi="宋体" w:cs="宋体"/>
                <w:color w:val="auto"/>
                <w:spacing w:val="12"/>
                <w:w w:val="99"/>
                <w:kern w:val="2"/>
                <w:sz w:val="21"/>
                <w:szCs w:val="21"/>
                <w:highlight w:val="none"/>
                <w:lang w:eastAsia="zh-CN"/>
              </w:rPr>
              <w:t>燃气</w:t>
            </w:r>
            <w:r>
              <w:rPr>
                <w:rFonts w:hint="eastAsia" w:ascii="宋体" w:hAnsi="宋体" w:cs="宋体"/>
                <w:color w:val="auto"/>
                <w:w w:val="99"/>
                <w:kern w:val="2"/>
                <w:sz w:val="21"/>
                <w:szCs w:val="21"/>
                <w:highlight w:val="none"/>
                <w:lang w:eastAsia="zh-CN"/>
              </w:rPr>
              <w:t>采暖热水</w:t>
            </w:r>
            <w:r>
              <w:rPr>
                <w:rFonts w:hint="eastAsia" w:ascii="宋体" w:hAnsi="宋体" w:cs="宋体"/>
                <w:color w:val="auto"/>
                <w:spacing w:val="2"/>
                <w:w w:val="99"/>
                <w:kern w:val="2"/>
                <w:sz w:val="21"/>
                <w:szCs w:val="21"/>
                <w:highlight w:val="none"/>
                <w:lang w:eastAsia="zh-CN"/>
              </w:rPr>
              <w:t>炉</w:t>
            </w:r>
            <w:r>
              <w:rPr>
                <w:rFonts w:hint="eastAsia" w:ascii="宋体" w:hAnsi="宋体" w:cs="宋体"/>
                <w:color w:val="auto"/>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w:t>
            </w:r>
            <w:r>
              <w:rPr>
                <w:rFonts w:hint="eastAsia" w:ascii="宋体" w:hAnsi="宋体" w:cs="宋体"/>
                <w:color w:val="auto"/>
                <w:spacing w:val="2"/>
                <w:w w:val="99"/>
                <w:kern w:val="2"/>
                <w:sz w:val="21"/>
                <w:szCs w:val="21"/>
                <w:highlight w:val="none"/>
                <w:lang w:eastAsia="zh-CN"/>
              </w:rPr>
              <w:t>及</w:t>
            </w:r>
            <w:r>
              <w:rPr>
                <w:rFonts w:hint="eastAsia" w:ascii="宋体" w:hAnsi="宋体" w:cs="宋体"/>
                <w:color w:val="auto"/>
                <w:w w:val="99"/>
                <w:kern w:val="2"/>
                <w:sz w:val="21"/>
                <w:szCs w:val="21"/>
                <w:highlight w:val="none"/>
                <w:lang w:eastAsia="zh-CN"/>
              </w:rPr>
              <w:t>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w:t>
            </w:r>
            <w:r>
              <w:rPr>
                <w:rFonts w:hint="eastAsia" w:ascii="宋体" w:hAnsi="宋体" w:cs="宋体"/>
                <w:color w:val="auto"/>
                <w:w w:val="99"/>
                <w:kern w:val="2"/>
                <w:sz w:val="21"/>
                <w:szCs w:val="21"/>
                <w:highlight w:val="none"/>
                <w:lang w:eastAsia="zh-CN"/>
              </w:rPr>
              <w:t>06</w:t>
            </w:r>
            <w:r>
              <w:rPr>
                <w:rFonts w:hint="eastAsia" w:ascii="宋体" w:hAnsi="宋体" w:cs="宋体"/>
                <w:color w:val="auto"/>
                <w:spacing w:val="1"/>
                <w:w w:val="99"/>
                <w:kern w:val="2"/>
                <w:sz w:val="21"/>
                <w:szCs w:val="21"/>
                <w:highlight w:val="none"/>
                <w:lang w:eastAsia="zh-CN"/>
              </w:rPr>
              <w:t>65</w:t>
            </w:r>
            <w:r>
              <w:rPr>
                <w:rFonts w:hint="eastAsia" w:ascii="宋体" w:hAnsi="宋体" w:cs="宋体"/>
                <w:color w:val="auto"/>
                <w:w w:val="99"/>
                <w:kern w:val="2"/>
                <w:sz w:val="21"/>
                <w:szCs w:val="21"/>
                <w:highlight w:val="none"/>
                <w:lang w:eastAsia="zh-CN"/>
              </w:rPr>
              <w:t>）</w:t>
            </w:r>
          </w:p>
        </w:tc>
      </w:tr>
      <w:tr w14:paraId="2CF33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93F17EB">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4857533">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EEE15C4">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EC60427">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热泵热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D9A2110">
            <w:pPr>
              <w:pStyle w:val="135"/>
              <w:spacing w:before="93" w:line="276" w:lineRule="auto"/>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《热泵</w:t>
            </w:r>
            <w:r>
              <w:rPr>
                <w:rFonts w:hint="eastAsia" w:ascii="宋体" w:hAnsi="宋体" w:cs="宋体"/>
                <w:color w:val="auto"/>
                <w:spacing w:val="2"/>
                <w:w w:val="99"/>
                <w:kern w:val="2"/>
                <w:sz w:val="21"/>
                <w:szCs w:val="21"/>
                <w:highlight w:val="none"/>
                <w:lang w:eastAsia="zh-CN"/>
              </w:rPr>
              <w:t>热</w:t>
            </w:r>
            <w:r>
              <w:rPr>
                <w:rFonts w:hint="eastAsia" w:ascii="宋体" w:hAnsi="宋体" w:cs="宋体"/>
                <w:color w:val="auto"/>
                <w:w w:val="99"/>
                <w:kern w:val="2"/>
                <w:sz w:val="21"/>
                <w:szCs w:val="21"/>
                <w:highlight w:val="none"/>
                <w:lang w:eastAsia="zh-CN"/>
              </w:rPr>
              <w:t>水</w:t>
            </w:r>
            <w:r>
              <w:rPr>
                <w:rFonts w:hint="eastAsia" w:ascii="宋体" w:hAnsi="宋体" w:cs="宋体"/>
                <w:color w:val="auto"/>
                <w:spacing w:val="-27"/>
                <w:w w:val="99"/>
                <w:kern w:val="2"/>
                <w:sz w:val="21"/>
                <w:szCs w:val="21"/>
                <w:highlight w:val="none"/>
                <w:lang w:eastAsia="zh-CN"/>
              </w:rPr>
              <w:t>机</w:t>
            </w:r>
            <w:r>
              <w:rPr>
                <w:rFonts w:hint="eastAsia" w:ascii="宋体" w:hAnsi="宋体" w:cs="宋体"/>
                <w:color w:val="auto"/>
                <w:w w:val="99"/>
                <w:kern w:val="2"/>
                <w:sz w:val="21"/>
                <w:szCs w:val="21"/>
                <w:highlight w:val="none"/>
                <w:lang w:eastAsia="zh-CN"/>
              </w:rPr>
              <w:t>（器</w:t>
            </w:r>
            <w:r>
              <w:rPr>
                <w:rFonts w:hint="eastAsia" w:ascii="宋体" w:hAnsi="宋体" w:cs="宋体"/>
                <w:color w:val="auto"/>
                <w:spacing w:val="-27"/>
                <w:w w:val="99"/>
                <w:kern w:val="2"/>
                <w:sz w:val="21"/>
                <w:szCs w:val="21"/>
                <w:highlight w:val="none"/>
                <w:lang w:eastAsia="zh-CN"/>
              </w:rPr>
              <w:t>）</w:t>
            </w:r>
            <w:r>
              <w:rPr>
                <w:rFonts w:hint="eastAsia" w:ascii="宋体" w:hAnsi="宋体" w:cs="宋体"/>
                <w:color w:val="auto"/>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定值及能效等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295</w:t>
            </w:r>
            <w:r>
              <w:rPr>
                <w:rFonts w:hint="eastAsia" w:ascii="宋体" w:hAnsi="宋体" w:cs="宋体"/>
                <w:color w:val="auto"/>
                <w:w w:val="99"/>
                <w:kern w:val="2"/>
                <w:sz w:val="21"/>
                <w:szCs w:val="21"/>
                <w:highlight w:val="none"/>
                <w:lang w:eastAsia="zh-CN"/>
              </w:rPr>
              <w:t>4</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42455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94291AA">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9DADC41">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C409DFA">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5F95D09">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太阳能</w:t>
            </w:r>
            <w:r>
              <w:rPr>
                <w:rFonts w:hint="eastAsia" w:ascii="宋体" w:hAnsi="宋体" w:cs="宋体"/>
                <w:color w:val="auto"/>
                <w:spacing w:val="2"/>
                <w:w w:val="99"/>
                <w:kern w:val="2"/>
                <w:sz w:val="21"/>
                <w:szCs w:val="21"/>
                <w:highlight w:val="none"/>
              </w:rPr>
              <w:t>热</w:t>
            </w:r>
            <w:r>
              <w:rPr>
                <w:rFonts w:hint="eastAsia" w:ascii="宋体" w:hAnsi="宋体" w:cs="宋体"/>
                <w:color w:val="auto"/>
                <w:w w:val="99"/>
                <w:kern w:val="2"/>
                <w:sz w:val="21"/>
                <w:szCs w:val="21"/>
                <w:highlight w:val="none"/>
              </w:rPr>
              <w:t>水系统</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A72D440">
            <w:pPr>
              <w:pStyle w:val="135"/>
              <w:spacing w:before="5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《家用太阳能热水系统</w:t>
            </w:r>
            <w:r>
              <w:rPr>
                <w:rFonts w:hint="eastAsia" w:ascii="宋体" w:hAnsi="宋体" w:cs="宋体"/>
                <w:color w:val="auto"/>
                <w:spacing w:val="9"/>
                <w:w w:val="99"/>
                <w:kern w:val="2"/>
                <w:sz w:val="21"/>
                <w:szCs w:val="21"/>
                <w:highlight w:val="none"/>
                <w:lang w:eastAsia="zh-CN"/>
              </w:rPr>
              <w:t>能</w:t>
            </w:r>
            <w:r>
              <w:rPr>
                <w:rFonts w:hint="eastAsia" w:ascii="宋体" w:hAnsi="宋体" w:cs="宋体"/>
                <w:color w:val="auto"/>
                <w:spacing w:val="12"/>
                <w:w w:val="99"/>
                <w:kern w:val="2"/>
                <w:sz w:val="21"/>
                <w:szCs w:val="21"/>
                <w:highlight w:val="none"/>
                <w:lang w:eastAsia="zh-CN"/>
              </w:rPr>
              <w:t>效限</w:t>
            </w:r>
            <w:r>
              <w:rPr>
                <w:rFonts w:hint="eastAsia" w:ascii="宋体" w:hAnsi="宋体" w:cs="宋体"/>
                <w:color w:val="auto"/>
                <w:w w:val="99"/>
                <w:kern w:val="2"/>
                <w:sz w:val="21"/>
                <w:szCs w:val="21"/>
                <w:highlight w:val="none"/>
                <w:lang w:eastAsia="zh-CN"/>
              </w:rPr>
              <w:t>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26</w:t>
            </w:r>
            <w:r>
              <w:rPr>
                <w:rFonts w:hint="eastAsia" w:ascii="宋体" w:hAnsi="宋体" w:cs="宋体"/>
                <w:color w:val="auto"/>
                <w:w w:val="99"/>
                <w:kern w:val="2"/>
                <w:sz w:val="21"/>
                <w:szCs w:val="21"/>
                <w:highlight w:val="none"/>
                <w:lang w:eastAsia="zh-CN"/>
              </w:rPr>
              <w:t>96</w:t>
            </w:r>
            <w:r>
              <w:rPr>
                <w:rFonts w:hint="eastAsia" w:ascii="宋体" w:hAnsi="宋体" w:cs="宋体"/>
                <w:color w:val="auto"/>
                <w:spacing w:val="-2"/>
                <w:w w:val="99"/>
                <w:kern w:val="2"/>
                <w:sz w:val="21"/>
                <w:szCs w:val="21"/>
                <w:highlight w:val="none"/>
                <w:lang w:eastAsia="zh-CN"/>
              </w:rPr>
              <w:t>9</w:t>
            </w:r>
            <w:r>
              <w:rPr>
                <w:rFonts w:hint="eastAsia" w:ascii="宋体" w:hAnsi="宋体" w:cs="宋体"/>
                <w:color w:val="auto"/>
                <w:w w:val="99"/>
                <w:kern w:val="2"/>
                <w:sz w:val="21"/>
                <w:szCs w:val="21"/>
                <w:highlight w:val="none"/>
                <w:lang w:eastAsia="zh-CN"/>
              </w:rPr>
              <w:t>）</w:t>
            </w:r>
          </w:p>
        </w:tc>
      </w:tr>
      <w:tr w14:paraId="7CDE8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78CD1D06">
            <w:pPr>
              <w:pStyle w:val="135"/>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6FDF5C46">
            <w:pPr>
              <w:pStyle w:val="135"/>
              <w:spacing w:before="15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06</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66E3D540">
            <w:pPr>
              <w:pStyle w:val="135"/>
              <w:spacing w:before="133"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★通照明用端荧光灯</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D78E0C6">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153F4AE">
            <w:pPr>
              <w:pStyle w:val="135"/>
              <w:spacing w:before="133"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《普通照明用双端荧光</w:t>
            </w:r>
            <w:r>
              <w:rPr>
                <w:rFonts w:hint="eastAsia" w:ascii="宋体" w:hAnsi="宋体" w:cs="宋体"/>
                <w:color w:val="auto"/>
                <w:spacing w:val="9"/>
                <w:w w:val="99"/>
                <w:kern w:val="2"/>
                <w:sz w:val="21"/>
                <w:szCs w:val="21"/>
                <w:highlight w:val="none"/>
                <w:lang w:eastAsia="zh-CN"/>
              </w:rPr>
              <w:t>灯</w:t>
            </w:r>
            <w:r>
              <w:rPr>
                <w:rFonts w:hint="eastAsia" w:ascii="宋体" w:hAnsi="宋体" w:cs="宋体"/>
                <w:color w:val="auto"/>
                <w:spacing w:val="12"/>
                <w:w w:val="99"/>
                <w:kern w:val="2"/>
                <w:sz w:val="21"/>
                <w:szCs w:val="21"/>
                <w:highlight w:val="none"/>
                <w:lang w:eastAsia="zh-CN"/>
              </w:rPr>
              <w:t>能效</w:t>
            </w:r>
            <w:r>
              <w:rPr>
                <w:rFonts w:hint="eastAsia" w:ascii="宋体" w:hAnsi="宋体" w:cs="宋体"/>
                <w:color w:val="auto"/>
                <w:w w:val="99"/>
                <w:kern w:val="2"/>
                <w:sz w:val="21"/>
                <w:szCs w:val="21"/>
                <w:highlight w:val="none"/>
                <w:lang w:eastAsia="zh-CN"/>
              </w:rPr>
              <w:t>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19</w:t>
            </w:r>
            <w:r>
              <w:rPr>
                <w:rFonts w:hint="eastAsia" w:ascii="宋体" w:hAnsi="宋体" w:cs="宋体"/>
                <w:color w:val="auto"/>
                <w:w w:val="99"/>
                <w:kern w:val="2"/>
                <w:sz w:val="21"/>
                <w:szCs w:val="21"/>
                <w:highlight w:val="none"/>
                <w:lang w:eastAsia="zh-CN"/>
              </w:rPr>
              <w:t>04</w:t>
            </w:r>
            <w:r>
              <w:rPr>
                <w:rFonts w:hint="eastAsia" w:ascii="宋体" w:hAnsi="宋体" w:cs="宋体"/>
                <w:color w:val="auto"/>
                <w:spacing w:val="1"/>
                <w:w w:val="99"/>
                <w:kern w:val="2"/>
                <w:sz w:val="21"/>
                <w:szCs w:val="21"/>
                <w:highlight w:val="none"/>
                <w:lang w:eastAsia="zh-CN"/>
              </w:rPr>
              <w:t>3</w:t>
            </w:r>
            <w:r>
              <w:rPr>
                <w:rFonts w:hint="eastAsia" w:ascii="宋体" w:hAnsi="宋体" w:cs="宋体"/>
                <w:color w:val="auto"/>
                <w:w w:val="99"/>
                <w:kern w:val="2"/>
                <w:sz w:val="21"/>
                <w:szCs w:val="21"/>
                <w:highlight w:val="none"/>
                <w:lang w:eastAsia="zh-CN"/>
              </w:rPr>
              <w:t>）</w:t>
            </w:r>
          </w:p>
        </w:tc>
      </w:tr>
      <w:tr w14:paraId="2ABE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10DB5C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603F8CD">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616C91F6">
            <w:pPr>
              <w:pStyle w:val="135"/>
              <w:spacing w:before="92" w:line="276" w:lineRule="auto"/>
              <w:ind w:left="7" w:right="2"/>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w:t>
            </w:r>
            <w:r>
              <w:rPr>
                <w:rFonts w:hint="eastAsia" w:ascii="宋体" w:hAnsi="宋体" w:cs="宋体"/>
                <w:color w:val="auto"/>
                <w:spacing w:val="12"/>
                <w:w w:val="99"/>
                <w:kern w:val="2"/>
                <w:sz w:val="21"/>
                <w:szCs w:val="21"/>
                <w:highlight w:val="none"/>
              </w:rPr>
              <w:t>道</w:t>
            </w:r>
            <w:r>
              <w:rPr>
                <w:rFonts w:hint="eastAsia" w:ascii="宋体" w:hAnsi="宋体" w:cs="宋体"/>
                <w:color w:val="auto"/>
                <w:spacing w:val="9"/>
                <w:w w:val="99"/>
                <w:kern w:val="2"/>
                <w:sz w:val="21"/>
                <w:szCs w:val="21"/>
                <w:highlight w:val="none"/>
              </w:rPr>
              <w:t>路</w:t>
            </w:r>
            <w:r>
              <w:rPr>
                <w:rFonts w:hint="eastAsia" w:ascii="宋体" w:hAnsi="宋体" w:cs="宋体"/>
                <w:color w:val="auto"/>
                <w:spacing w:val="13"/>
                <w:w w:val="99"/>
                <w:kern w:val="2"/>
                <w:sz w:val="21"/>
                <w:szCs w:val="21"/>
                <w:highlight w:val="none"/>
              </w:rPr>
              <w:t>/</w:t>
            </w:r>
            <w:r>
              <w:rPr>
                <w:rFonts w:hint="eastAsia" w:ascii="宋体" w:hAnsi="宋体" w:cs="宋体"/>
                <w:color w:val="auto"/>
                <w:spacing w:val="12"/>
                <w:w w:val="99"/>
                <w:kern w:val="2"/>
                <w:sz w:val="21"/>
                <w:szCs w:val="21"/>
                <w:highlight w:val="none"/>
              </w:rPr>
              <w:t>隧道照</w:t>
            </w:r>
            <w:r>
              <w:rPr>
                <w:rFonts w:hint="eastAsia" w:ascii="宋体" w:hAnsi="宋体" w:cs="宋体"/>
                <w:color w:val="auto"/>
                <w:w w:val="99"/>
                <w:kern w:val="2"/>
                <w:sz w:val="21"/>
                <w:szCs w:val="21"/>
                <w:highlight w:val="none"/>
              </w:rPr>
              <w:t>明产品</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D286644">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1E7F567">
            <w:pPr>
              <w:pStyle w:val="135"/>
              <w:spacing w:before="92" w:line="276" w:lineRule="auto"/>
              <w:ind w:left="7" w:right="7"/>
              <w:rPr>
                <w:rFonts w:ascii="宋体" w:hAnsi="宋体" w:cs="宋体"/>
                <w:color w:val="auto"/>
                <w:kern w:val="2"/>
                <w:sz w:val="21"/>
                <w:szCs w:val="21"/>
                <w:highlight w:val="none"/>
                <w:lang w:eastAsia="zh-CN"/>
              </w:rPr>
            </w:pPr>
            <w:r>
              <w:rPr>
                <w:rFonts w:hint="eastAsia" w:ascii="宋体" w:hAnsi="宋体" w:cs="宋体"/>
                <w:color w:val="auto"/>
                <w:spacing w:val="4"/>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道</w:t>
            </w:r>
            <w:r>
              <w:rPr>
                <w:rFonts w:hint="eastAsia" w:ascii="宋体" w:hAnsi="宋体" w:cs="宋体"/>
                <w:color w:val="auto"/>
                <w:spacing w:val="4"/>
                <w:w w:val="99"/>
                <w:kern w:val="2"/>
                <w:sz w:val="21"/>
                <w:szCs w:val="21"/>
                <w:highlight w:val="none"/>
                <w:lang w:eastAsia="zh-CN"/>
              </w:rPr>
              <w:t>路和隧道照</w:t>
            </w:r>
            <w:r>
              <w:rPr>
                <w:rFonts w:hint="eastAsia" w:ascii="宋体" w:hAnsi="宋体" w:cs="宋体"/>
                <w:color w:val="auto"/>
                <w:spacing w:val="2"/>
                <w:w w:val="99"/>
                <w:kern w:val="2"/>
                <w:sz w:val="21"/>
                <w:szCs w:val="21"/>
                <w:highlight w:val="none"/>
                <w:lang w:eastAsia="zh-CN"/>
              </w:rPr>
              <w:t>明</w:t>
            </w:r>
            <w:r>
              <w:rPr>
                <w:rFonts w:hint="eastAsia" w:ascii="宋体" w:hAnsi="宋体" w:cs="宋体"/>
                <w:color w:val="auto"/>
                <w:w w:val="99"/>
                <w:kern w:val="2"/>
                <w:sz w:val="21"/>
                <w:szCs w:val="21"/>
                <w:highlight w:val="none"/>
                <w:lang w:eastAsia="zh-CN"/>
              </w:rPr>
              <w:t>用</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w:t>
            </w:r>
            <w:r>
              <w:rPr>
                <w:rFonts w:hint="eastAsia" w:ascii="宋体" w:hAnsi="宋体" w:cs="宋体"/>
                <w:color w:val="auto"/>
                <w:spacing w:val="4"/>
                <w:w w:val="99"/>
                <w:kern w:val="2"/>
                <w:sz w:val="21"/>
                <w:szCs w:val="21"/>
                <w:highlight w:val="none"/>
                <w:lang w:eastAsia="zh-CN"/>
              </w:rPr>
              <w:t>灯</w:t>
            </w:r>
            <w:r>
              <w:rPr>
                <w:rFonts w:hint="eastAsia" w:ascii="宋体" w:hAnsi="宋体" w:cs="宋体"/>
                <w:color w:val="auto"/>
                <w:spacing w:val="2"/>
                <w:w w:val="99"/>
                <w:kern w:val="2"/>
                <w:sz w:val="21"/>
                <w:szCs w:val="21"/>
                <w:highlight w:val="none"/>
                <w:lang w:eastAsia="zh-CN"/>
              </w:rPr>
              <w:t>具</w:t>
            </w:r>
            <w:r>
              <w:rPr>
                <w:rFonts w:hint="eastAsia" w:ascii="宋体" w:hAnsi="宋体" w:cs="宋体"/>
                <w:color w:val="auto"/>
                <w:w w:val="99"/>
                <w:kern w:val="2"/>
                <w:sz w:val="21"/>
                <w:szCs w:val="21"/>
                <w:highlight w:val="none"/>
                <w:lang w:eastAsia="zh-CN"/>
              </w:rPr>
              <w:t>能效限定</w:t>
            </w:r>
            <w:r>
              <w:rPr>
                <w:rFonts w:hint="eastAsia" w:ascii="宋体" w:hAnsi="宋体" w:cs="宋体"/>
                <w:color w:val="auto"/>
                <w:spacing w:val="2"/>
                <w:w w:val="99"/>
                <w:kern w:val="2"/>
                <w:sz w:val="21"/>
                <w:szCs w:val="21"/>
                <w:highlight w:val="none"/>
                <w:lang w:eastAsia="zh-CN"/>
              </w:rPr>
              <w:t>值</w:t>
            </w:r>
            <w:r>
              <w:rPr>
                <w:rFonts w:hint="eastAsia" w:ascii="宋体" w:hAnsi="宋体" w:cs="宋体"/>
                <w:color w:val="auto"/>
                <w:w w:val="99"/>
                <w:kern w:val="2"/>
                <w:sz w:val="21"/>
                <w:szCs w:val="21"/>
                <w:highlight w:val="none"/>
                <w:lang w:eastAsia="zh-CN"/>
              </w:rPr>
              <w:t>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106"/>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3747</w:t>
            </w:r>
            <w:r>
              <w:rPr>
                <w:rFonts w:hint="eastAsia" w:ascii="宋体" w:hAnsi="宋体" w:cs="宋体"/>
                <w:color w:val="auto"/>
                <w:w w:val="99"/>
                <w:kern w:val="2"/>
                <w:sz w:val="21"/>
                <w:szCs w:val="21"/>
                <w:highlight w:val="none"/>
                <w:lang w:eastAsia="zh-CN"/>
              </w:rPr>
              <w:t>8）</w:t>
            </w:r>
          </w:p>
        </w:tc>
      </w:tr>
      <w:tr w14:paraId="1658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EE3724A">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6A45F37">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7AE5B51E">
            <w:pPr>
              <w:pStyle w:val="135"/>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D筒灯</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9622E91">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6A15575">
            <w:pPr>
              <w:pStyle w:val="135"/>
              <w:spacing w:before="83" w:line="276" w:lineRule="auto"/>
              <w:ind w:left="7" w:right="7"/>
              <w:rPr>
                <w:rFonts w:ascii="宋体" w:hAnsi="宋体" w:cs="宋体"/>
                <w:color w:val="auto"/>
                <w:kern w:val="2"/>
                <w:sz w:val="21"/>
                <w:szCs w:val="21"/>
                <w:highlight w:val="none"/>
                <w:lang w:eastAsia="zh-CN"/>
              </w:rPr>
            </w:pPr>
            <w:r>
              <w:rPr>
                <w:rFonts w:hint="eastAsia" w:ascii="宋体" w:hAnsi="宋体" w:cs="宋体"/>
                <w:color w:val="auto"/>
                <w:spacing w:val="4"/>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室</w:t>
            </w:r>
            <w:r>
              <w:rPr>
                <w:rFonts w:hint="eastAsia" w:ascii="宋体" w:hAnsi="宋体" w:cs="宋体"/>
                <w:color w:val="auto"/>
                <w:spacing w:val="4"/>
                <w:w w:val="99"/>
                <w:kern w:val="2"/>
                <w:sz w:val="21"/>
                <w:szCs w:val="21"/>
                <w:highlight w:val="none"/>
                <w:lang w:eastAsia="zh-CN"/>
              </w:rPr>
              <w:t>内照明</w:t>
            </w:r>
            <w:r>
              <w:rPr>
                <w:rFonts w:hint="eastAsia" w:ascii="宋体" w:hAnsi="宋体" w:cs="宋体"/>
                <w:color w:val="auto"/>
                <w:w w:val="99"/>
                <w:kern w:val="2"/>
                <w:sz w:val="21"/>
                <w:szCs w:val="21"/>
                <w:highlight w:val="none"/>
                <w:lang w:eastAsia="zh-CN"/>
              </w:rPr>
              <w:t>用</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w:t>
            </w:r>
            <w:r>
              <w:rPr>
                <w:rFonts w:hint="eastAsia" w:ascii="宋体" w:hAnsi="宋体" w:cs="宋体"/>
                <w:color w:val="auto"/>
                <w:spacing w:val="4"/>
                <w:w w:val="99"/>
                <w:kern w:val="2"/>
                <w:sz w:val="21"/>
                <w:szCs w:val="21"/>
                <w:highlight w:val="none"/>
                <w:lang w:eastAsia="zh-CN"/>
              </w:rPr>
              <w:t>产</w:t>
            </w:r>
            <w:r>
              <w:rPr>
                <w:rFonts w:hint="eastAsia" w:ascii="宋体" w:hAnsi="宋体" w:cs="宋体"/>
                <w:color w:val="auto"/>
                <w:spacing w:val="2"/>
                <w:w w:val="99"/>
                <w:kern w:val="2"/>
                <w:sz w:val="21"/>
                <w:szCs w:val="21"/>
                <w:highlight w:val="none"/>
                <w:lang w:eastAsia="zh-CN"/>
              </w:rPr>
              <w:t>品</w:t>
            </w:r>
            <w:r>
              <w:rPr>
                <w:rFonts w:hint="eastAsia" w:ascii="宋体" w:hAnsi="宋体" w:cs="宋体"/>
                <w:color w:val="auto"/>
                <w:spacing w:val="4"/>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w:t>
            </w:r>
            <w:r>
              <w:rPr>
                <w:rFonts w:hint="eastAsia" w:ascii="宋体" w:hAnsi="宋体" w:cs="宋体"/>
                <w:color w:val="auto"/>
                <w:w w:val="99"/>
                <w:kern w:val="2"/>
                <w:sz w:val="21"/>
                <w:szCs w:val="21"/>
                <w:highlight w:val="none"/>
                <w:lang w:eastAsia="zh-CN"/>
              </w:rPr>
              <w:t>25</w:t>
            </w:r>
            <w:r>
              <w:rPr>
                <w:rFonts w:hint="eastAsia" w:ascii="宋体" w:hAnsi="宋体" w:cs="宋体"/>
                <w:color w:val="auto"/>
                <w:spacing w:val="-2"/>
                <w:w w:val="99"/>
                <w:kern w:val="2"/>
                <w:sz w:val="21"/>
                <w:szCs w:val="21"/>
                <w:highlight w:val="none"/>
                <w:lang w:eastAsia="zh-CN"/>
              </w:rPr>
              <w:t>5</w:t>
            </w:r>
            <w:r>
              <w:rPr>
                <w:rFonts w:hint="eastAsia" w:ascii="宋体" w:hAnsi="宋体" w:cs="宋体"/>
                <w:color w:val="auto"/>
                <w:w w:val="99"/>
                <w:kern w:val="2"/>
                <w:sz w:val="21"/>
                <w:szCs w:val="21"/>
                <w:highlight w:val="none"/>
                <w:lang w:eastAsia="zh-CN"/>
              </w:rPr>
              <w:t>）</w:t>
            </w:r>
          </w:p>
        </w:tc>
      </w:tr>
      <w:tr w14:paraId="001A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F1FE68D">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5DC8DC9">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9381456">
            <w:pPr>
              <w:pStyle w:val="135"/>
              <w:spacing w:line="276" w:lineRule="auto"/>
              <w:ind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w:t>
            </w:r>
            <w:r>
              <w:rPr>
                <w:rFonts w:hint="eastAsia" w:ascii="宋体" w:hAnsi="宋体" w:cs="宋体"/>
                <w:color w:val="auto"/>
                <w:spacing w:val="24"/>
                <w:w w:val="99"/>
                <w:kern w:val="2"/>
                <w:sz w:val="21"/>
                <w:szCs w:val="21"/>
                <w:highlight w:val="none"/>
                <w:lang w:eastAsia="zh-CN"/>
              </w:rPr>
              <w:t>通</w:t>
            </w:r>
            <w:r>
              <w:rPr>
                <w:rFonts w:hint="eastAsia" w:ascii="宋体" w:hAnsi="宋体" w:cs="宋体"/>
                <w:color w:val="auto"/>
                <w:w w:val="99"/>
                <w:kern w:val="2"/>
                <w:sz w:val="21"/>
                <w:szCs w:val="21"/>
                <w:highlight w:val="none"/>
                <w:lang w:eastAsia="zh-CN"/>
              </w:rPr>
              <w:t>照明用非</w:t>
            </w:r>
            <w:r>
              <w:rPr>
                <w:rFonts w:hint="eastAsia" w:ascii="宋体" w:hAnsi="宋体" w:cs="宋体"/>
                <w:color w:val="auto"/>
                <w:spacing w:val="24"/>
                <w:w w:val="99"/>
                <w:kern w:val="2"/>
                <w:sz w:val="21"/>
                <w:szCs w:val="21"/>
                <w:highlight w:val="none"/>
                <w:lang w:eastAsia="zh-CN"/>
              </w:rPr>
              <w:t>定</w:t>
            </w:r>
            <w:r>
              <w:rPr>
                <w:rFonts w:hint="eastAsia" w:ascii="宋体" w:hAnsi="宋体" w:cs="宋体"/>
                <w:color w:val="auto"/>
                <w:w w:val="99"/>
                <w:kern w:val="2"/>
                <w:sz w:val="21"/>
                <w:szCs w:val="21"/>
                <w:highlight w:val="none"/>
                <w:lang w:eastAsia="zh-CN"/>
              </w:rPr>
              <w:t>向自镇流</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D灯</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771098D">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68825B1">
            <w:pPr>
              <w:pStyle w:val="135"/>
              <w:spacing w:line="276" w:lineRule="auto"/>
              <w:ind w:right="7"/>
              <w:rPr>
                <w:rFonts w:ascii="宋体" w:hAnsi="宋体" w:cs="宋体"/>
                <w:color w:val="auto"/>
                <w:kern w:val="2"/>
                <w:sz w:val="21"/>
                <w:szCs w:val="21"/>
                <w:highlight w:val="none"/>
                <w:lang w:eastAsia="zh-CN"/>
              </w:rPr>
            </w:pPr>
            <w:r>
              <w:rPr>
                <w:rFonts w:hint="eastAsia" w:ascii="宋体" w:hAnsi="宋体" w:cs="宋体"/>
                <w:color w:val="auto"/>
                <w:spacing w:val="4"/>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室</w:t>
            </w:r>
            <w:r>
              <w:rPr>
                <w:rFonts w:hint="eastAsia" w:ascii="宋体" w:hAnsi="宋体" w:cs="宋体"/>
                <w:color w:val="auto"/>
                <w:spacing w:val="4"/>
                <w:w w:val="99"/>
                <w:kern w:val="2"/>
                <w:sz w:val="21"/>
                <w:szCs w:val="21"/>
                <w:highlight w:val="none"/>
                <w:lang w:eastAsia="zh-CN"/>
              </w:rPr>
              <w:t>内照明</w:t>
            </w:r>
            <w:r>
              <w:rPr>
                <w:rFonts w:hint="eastAsia" w:ascii="宋体" w:hAnsi="宋体" w:cs="宋体"/>
                <w:color w:val="auto"/>
                <w:w w:val="99"/>
                <w:kern w:val="2"/>
                <w:sz w:val="21"/>
                <w:szCs w:val="21"/>
                <w:highlight w:val="none"/>
                <w:lang w:eastAsia="zh-CN"/>
              </w:rPr>
              <w:t>用</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w:t>
            </w:r>
            <w:r>
              <w:rPr>
                <w:rFonts w:hint="eastAsia" w:ascii="宋体" w:hAnsi="宋体" w:cs="宋体"/>
                <w:color w:val="auto"/>
                <w:spacing w:val="4"/>
                <w:w w:val="99"/>
                <w:kern w:val="2"/>
                <w:sz w:val="21"/>
                <w:szCs w:val="21"/>
                <w:highlight w:val="none"/>
                <w:lang w:eastAsia="zh-CN"/>
              </w:rPr>
              <w:t>产</w:t>
            </w:r>
            <w:r>
              <w:rPr>
                <w:rFonts w:hint="eastAsia" w:ascii="宋体" w:hAnsi="宋体" w:cs="宋体"/>
                <w:color w:val="auto"/>
                <w:spacing w:val="2"/>
                <w:w w:val="99"/>
                <w:kern w:val="2"/>
                <w:sz w:val="21"/>
                <w:szCs w:val="21"/>
                <w:highlight w:val="none"/>
                <w:lang w:eastAsia="zh-CN"/>
              </w:rPr>
              <w:t>品</w:t>
            </w:r>
            <w:r>
              <w:rPr>
                <w:rFonts w:hint="eastAsia" w:ascii="宋体" w:hAnsi="宋体" w:cs="宋体"/>
                <w:color w:val="auto"/>
                <w:spacing w:val="4"/>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w:t>
            </w:r>
            <w:r>
              <w:rPr>
                <w:rFonts w:hint="eastAsia" w:ascii="宋体" w:hAnsi="宋体" w:cs="宋体"/>
                <w:color w:val="auto"/>
                <w:w w:val="99"/>
                <w:kern w:val="2"/>
                <w:sz w:val="21"/>
                <w:szCs w:val="21"/>
                <w:highlight w:val="none"/>
                <w:lang w:eastAsia="zh-CN"/>
              </w:rPr>
              <w:t>25</w:t>
            </w:r>
            <w:r>
              <w:rPr>
                <w:rFonts w:hint="eastAsia" w:ascii="宋体" w:hAnsi="宋体" w:cs="宋体"/>
                <w:color w:val="auto"/>
                <w:spacing w:val="-2"/>
                <w:w w:val="99"/>
                <w:kern w:val="2"/>
                <w:sz w:val="21"/>
                <w:szCs w:val="21"/>
                <w:highlight w:val="none"/>
                <w:lang w:eastAsia="zh-CN"/>
              </w:rPr>
              <w:t>5</w:t>
            </w:r>
            <w:r>
              <w:rPr>
                <w:rFonts w:hint="eastAsia" w:ascii="宋体" w:hAnsi="宋体" w:cs="宋体"/>
                <w:color w:val="auto"/>
                <w:w w:val="99"/>
                <w:kern w:val="2"/>
                <w:sz w:val="21"/>
                <w:szCs w:val="21"/>
                <w:highlight w:val="none"/>
                <w:lang w:eastAsia="zh-CN"/>
              </w:rPr>
              <w:t>）</w:t>
            </w:r>
          </w:p>
        </w:tc>
      </w:tr>
      <w:tr w14:paraId="154F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19390FED">
            <w:pPr>
              <w:pStyle w:val="135"/>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2</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3D24B48A">
            <w:pPr>
              <w:pStyle w:val="135"/>
              <w:spacing w:before="81"/>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42EF83E">
            <w:pPr>
              <w:pStyle w:val="135"/>
              <w:spacing w:before="81" w:line="276" w:lineRule="auto"/>
              <w:ind w:left="7" w:right="5"/>
              <w:jc w:val="center"/>
              <w:rPr>
                <w:rFonts w:ascii="宋体" w:hAnsi="宋体" w:cs="宋体"/>
                <w:color w:val="auto"/>
                <w:kern w:val="2"/>
                <w:sz w:val="21"/>
                <w:szCs w:val="21"/>
                <w:highlight w:val="none"/>
                <w:lang w:eastAsia="zh-CN"/>
              </w:rPr>
            </w:pPr>
            <w:r>
              <w:rPr>
                <w:rFonts w:hint="eastAsia" w:ascii="宋体" w:hAnsi="宋体" w:cs="宋体"/>
                <w:color w:val="auto"/>
                <w:spacing w:val="1"/>
                <w:w w:val="99"/>
                <w:kern w:val="2"/>
                <w:sz w:val="21"/>
                <w:szCs w:val="21"/>
                <w:highlight w:val="none"/>
                <w:lang w:eastAsia="zh-CN"/>
              </w:rPr>
              <w:t>A02</w:t>
            </w:r>
            <w:r>
              <w:rPr>
                <w:rFonts w:hint="eastAsia" w:ascii="宋体" w:hAnsi="宋体" w:cs="宋体"/>
                <w:color w:val="auto"/>
                <w:w w:val="99"/>
                <w:kern w:val="2"/>
                <w:sz w:val="21"/>
                <w:szCs w:val="21"/>
                <w:highlight w:val="none"/>
                <w:lang w:eastAsia="zh-CN"/>
              </w:rPr>
              <w:t>09</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001普通电视设备（</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8F633F8">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8349BF0">
            <w:pPr>
              <w:pStyle w:val="135"/>
              <w:spacing w:before="81" w:line="276" w:lineRule="auto"/>
              <w:ind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《平板电视能效限定值</w:t>
            </w:r>
            <w:r>
              <w:rPr>
                <w:rFonts w:hint="eastAsia" w:ascii="宋体" w:hAnsi="宋体" w:cs="宋体"/>
                <w:color w:val="auto"/>
                <w:spacing w:val="9"/>
                <w:w w:val="99"/>
                <w:kern w:val="2"/>
                <w:sz w:val="21"/>
                <w:szCs w:val="21"/>
                <w:highlight w:val="none"/>
                <w:lang w:eastAsia="zh-CN"/>
              </w:rPr>
              <w:t>及</w:t>
            </w:r>
            <w:r>
              <w:rPr>
                <w:rFonts w:hint="eastAsia" w:ascii="宋体" w:hAnsi="宋体" w:cs="宋体"/>
                <w:color w:val="auto"/>
                <w:spacing w:val="12"/>
                <w:w w:val="99"/>
                <w:kern w:val="2"/>
                <w:sz w:val="21"/>
                <w:szCs w:val="21"/>
                <w:highlight w:val="none"/>
                <w:lang w:eastAsia="zh-CN"/>
              </w:rPr>
              <w:t>能效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248</w:t>
            </w:r>
            <w:r>
              <w:rPr>
                <w:rFonts w:hint="eastAsia" w:ascii="宋体" w:hAnsi="宋体" w:cs="宋体"/>
                <w:color w:val="auto"/>
                <w:w w:val="99"/>
                <w:kern w:val="2"/>
                <w:sz w:val="21"/>
                <w:szCs w:val="21"/>
                <w:highlight w:val="none"/>
                <w:lang w:eastAsia="zh-CN"/>
              </w:rPr>
              <w:t>50）</w:t>
            </w:r>
          </w:p>
        </w:tc>
      </w:tr>
      <w:tr w14:paraId="02F1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1D68FAC9">
            <w:pPr>
              <w:pStyle w:val="135"/>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5F69A82A">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73654778">
            <w:pPr>
              <w:pStyle w:val="135"/>
              <w:spacing w:line="276" w:lineRule="auto"/>
              <w:ind w:right="5"/>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09</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107视频监控设备</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F73BC3C">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监视器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609042A">
            <w:pPr>
              <w:pStyle w:val="135"/>
              <w:spacing w:before="28" w:line="276" w:lineRule="auto"/>
              <w:ind w:left="7" w:right="5"/>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以射频信号为主要信号</w:t>
            </w:r>
            <w:r>
              <w:rPr>
                <w:rFonts w:hint="eastAsia" w:ascii="宋体" w:hAnsi="宋体" w:cs="宋体"/>
                <w:color w:val="auto"/>
                <w:spacing w:val="9"/>
                <w:w w:val="99"/>
                <w:kern w:val="2"/>
                <w:sz w:val="21"/>
                <w:szCs w:val="21"/>
                <w:highlight w:val="none"/>
                <w:lang w:eastAsia="zh-CN"/>
              </w:rPr>
              <w:t>输</w:t>
            </w:r>
            <w:r>
              <w:rPr>
                <w:rFonts w:hint="eastAsia" w:ascii="宋体" w:hAnsi="宋体" w:cs="宋体"/>
                <w:color w:val="auto"/>
                <w:spacing w:val="12"/>
                <w:w w:val="99"/>
                <w:kern w:val="2"/>
                <w:sz w:val="21"/>
                <w:szCs w:val="21"/>
                <w:highlight w:val="none"/>
                <w:lang w:eastAsia="zh-CN"/>
              </w:rPr>
              <w:t>入的</w:t>
            </w:r>
            <w:r>
              <w:rPr>
                <w:rFonts w:hint="eastAsia" w:ascii="宋体" w:hAnsi="宋体" w:cs="宋体"/>
                <w:color w:val="auto"/>
                <w:w w:val="99"/>
                <w:kern w:val="2"/>
                <w:sz w:val="21"/>
                <w:szCs w:val="21"/>
                <w:highlight w:val="none"/>
                <w:lang w:eastAsia="zh-CN"/>
              </w:rPr>
              <w:t>监视器应</w:t>
            </w:r>
            <w:r>
              <w:rPr>
                <w:rFonts w:hint="eastAsia" w:ascii="宋体" w:hAnsi="宋体" w:cs="宋体"/>
                <w:color w:val="auto"/>
                <w:spacing w:val="2"/>
                <w:w w:val="99"/>
                <w:kern w:val="2"/>
                <w:sz w:val="21"/>
                <w:szCs w:val="21"/>
                <w:highlight w:val="none"/>
                <w:lang w:eastAsia="zh-CN"/>
              </w:rPr>
              <w:t>符</w:t>
            </w:r>
            <w:r>
              <w:rPr>
                <w:rFonts w:hint="eastAsia" w:ascii="宋体" w:hAnsi="宋体" w:cs="宋体"/>
                <w:color w:val="auto"/>
                <w:spacing w:val="-58"/>
                <w:w w:val="99"/>
                <w:kern w:val="2"/>
                <w:sz w:val="21"/>
                <w:szCs w:val="21"/>
                <w:highlight w:val="none"/>
                <w:lang w:eastAsia="zh-CN"/>
              </w:rPr>
              <w:t>合</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平板</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限定值及能效</w:t>
            </w:r>
            <w:r>
              <w:rPr>
                <w:rFonts w:hint="eastAsia" w:ascii="宋体" w:hAnsi="宋体" w:cs="宋体"/>
                <w:color w:val="auto"/>
                <w:spacing w:val="2"/>
                <w:w w:val="99"/>
                <w:kern w:val="2"/>
                <w:sz w:val="21"/>
                <w:szCs w:val="21"/>
                <w:highlight w:val="none"/>
                <w:lang w:eastAsia="zh-CN"/>
              </w:rPr>
              <w:t>等</w:t>
            </w:r>
            <w:r>
              <w:rPr>
                <w:rFonts w:hint="eastAsia" w:ascii="宋体" w:hAnsi="宋体" w:cs="宋体"/>
                <w:color w:val="auto"/>
                <w:w w:val="99"/>
                <w:kern w:val="2"/>
                <w:sz w:val="21"/>
                <w:szCs w:val="21"/>
                <w:highlight w:val="none"/>
                <w:lang w:eastAsia="zh-CN"/>
              </w:rPr>
              <w:t>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24850</w:t>
            </w:r>
            <w:r>
              <w:rPr>
                <w:rFonts w:hint="eastAsia" w:ascii="宋体" w:hAnsi="宋体" w:cs="宋体"/>
                <w:color w:val="auto"/>
                <w:spacing w:val="-3"/>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2"/>
                <w:w w:val="99"/>
                <w:kern w:val="2"/>
                <w:sz w:val="21"/>
                <w:szCs w:val="21"/>
                <w:highlight w:val="none"/>
                <w:lang w:eastAsia="zh-CN"/>
              </w:rPr>
              <w:t>以数字信号为主要信号</w:t>
            </w:r>
            <w:r>
              <w:rPr>
                <w:rFonts w:hint="eastAsia" w:ascii="宋体" w:hAnsi="宋体" w:cs="宋体"/>
                <w:color w:val="auto"/>
                <w:spacing w:val="9"/>
                <w:w w:val="99"/>
                <w:kern w:val="2"/>
                <w:sz w:val="21"/>
                <w:szCs w:val="21"/>
                <w:highlight w:val="none"/>
                <w:lang w:eastAsia="zh-CN"/>
              </w:rPr>
              <w:t>输</w:t>
            </w:r>
            <w:r>
              <w:rPr>
                <w:rFonts w:hint="eastAsia" w:ascii="宋体" w:hAnsi="宋体" w:cs="宋体"/>
                <w:color w:val="auto"/>
                <w:spacing w:val="12"/>
                <w:w w:val="99"/>
                <w:kern w:val="2"/>
                <w:sz w:val="21"/>
                <w:szCs w:val="21"/>
                <w:highlight w:val="none"/>
                <w:lang w:eastAsia="zh-CN"/>
              </w:rPr>
              <w:t>入的</w:t>
            </w:r>
            <w:r>
              <w:rPr>
                <w:rFonts w:hint="eastAsia" w:ascii="宋体" w:hAnsi="宋体" w:cs="宋体"/>
                <w:color w:val="auto"/>
                <w:w w:val="99"/>
                <w:kern w:val="2"/>
                <w:sz w:val="21"/>
                <w:szCs w:val="21"/>
                <w:highlight w:val="none"/>
                <w:lang w:eastAsia="zh-CN"/>
              </w:rPr>
              <w:t>监视器应</w:t>
            </w:r>
            <w:r>
              <w:rPr>
                <w:rFonts w:hint="eastAsia" w:ascii="宋体" w:hAnsi="宋体" w:cs="宋体"/>
                <w:color w:val="auto"/>
                <w:spacing w:val="2"/>
                <w:w w:val="99"/>
                <w:kern w:val="2"/>
                <w:sz w:val="21"/>
                <w:szCs w:val="21"/>
                <w:highlight w:val="none"/>
                <w:lang w:eastAsia="zh-CN"/>
              </w:rPr>
              <w:t>符</w:t>
            </w:r>
            <w:r>
              <w:rPr>
                <w:rFonts w:hint="eastAsia" w:ascii="宋体" w:hAnsi="宋体" w:cs="宋体"/>
                <w:color w:val="auto"/>
                <w:spacing w:val="-58"/>
                <w:w w:val="99"/>
                <w:kern w:val="2"/>
                <w:sz w:val="21"/>
                <w:szCs w:val="21"/>
                <w:highlight w:val="none"/>
                <w:lang w:eastAsia="zh-CN"/>
              </w:rPr>
              <w:t>合</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计算</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显示</w:t>
            </w:r>
            <w:r>
              <w:rPr>
                <w:rFonts w:hint="eastAsia" w:ascii="宋体" w:hAnsi="宋体" w:cs="宋体"/>
                <w:color w:val="auto"/>
                <w:spacing w:val="2"/>
                <w:w w:val="99"/>
                <w:kern w:val="2"/>
                <w:sz w:val="21"/>
                <w:szCs w:val="21"/>
                <w:highlight w:val="none"/>
                <w:lang w:eastAsia="zh-CN"/>
              </w:rPr>
              <w:t>器</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0</w:t>
            </w:r>
            <w:r>
              <w:rPr>
                <w:rFonts w:hint="eastAsia" w:ascii="宋体" w:hAnsi="宋体" w:cs="宋体"/>
                <w:color w:val="auto"/>
                <w:w w:val="99"/>
                <w:kern w:val="2"/>
                <w:sz w:val="21"/>
                <w:szCs w:val="21"/>
                <w:highlight w:val="none"/>
                <w:lang w:eastAsia="zh-CN"/>
              </w:rPr>
              <w:t>）</w:t>
            </w:r>
          </w:p>
        </w:tc>
      </w:tr>
      <w:tr w14:paraId="0359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0C6824C7">
            <w:pPr>
              <w:pStyle w:val="135"/>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1257B0A1">
            <w:pPr>
              <w:pStyle w:val="135"/>
              <w:spacing w:before="76"/>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A02241000</w:t>
            </w:r>
            <w:r>
              <w:rPr>
                <w:rFonts w:hint="eastAsia" w:ascii="宋体" w:hAnsi="宋体" w:cs="宋体"/>
                <w:color w:val="auto"/>
                <w:w w:val="99"/>
                <w:kern w:val="2"/>
                <w:sz w:val="21"/>
                <w:szCs w:val="21"/>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91FBBCA">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商用燃</w:t>
            </w:r>
            <w:r>
              <w:rPr>
                <w:rFonts w:hint="eastAsia" w:ascii="宋体" w:hAnsi="宋体" w:cs="宋体"/>
                <w:color w:val="auto"/>
                <w:spacing w:val="2"/>
                <w:w w:val="99"/>
                <w:kern w:val="2"/>
                <w:sz w:val="21"/>
                <w:szCs w:val="21"/>
                <w:highlight w:val="none"/>
              </w:rPr>
              <w:t>气</w:t>
            </w:r>
            <w:r>
              <w:rPr>
                <w:rFonts w:hint="eastAsia" w:ascii="宋体" w:hAnsi="宋体" w:cs="宋体"/>
                <w:color w:val="auto"/>
                <w:w w:val="99"/>
                <w:kern w:val="2"/>
                <w:sz w:val="21"/>
                <w:szCs w:val="21"/>
                <w:highlight w:val="none"/>
              </w:rPr>
              <w:t>灶具</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173FE86">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9F83D70">
            <w:pPr>
              <w:pStyle w:val="135"/>
              <w:spacing w:before="76"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《商用燃气灶具能效限</w:t>
            </w:r>
            <w:r>
              <w:rPr>
                <w:rFonts w:hint="eastAsia" w:ascii="宋体" w:hAnsi="宋体" w:cs="宋体"/>
                <w:color w:val="auto"/>
                <w:spacing w:val="9"/>
                <w:w w:val="99"/>
                <w:kern w:val="2"/>
                <w:sz w:val="21"/>
                <w:szCs w:val="21"/>
                <w:highlight w:val="none"/>
                <w:lang w:eastAsia="zh-CN"/>
              </w:rPr>
              <w:t>定</w:t>
            </w:r>
            <w:r>
              <w:rPr>
                <w:rFonts w:hint="eastAsia" w:ascii="宋体" w:hAnsi="宋体" w:cs="宋体"/>
                <w:color w:val="auto"/>
                <w:spacing w:val="12"/>
                <w:w w:val="99"/>
                <w:kern w:val="2"/>
                <w:sz w:val="21"/>
                <w:szCs w:val="21"/>
                <w:highlight w:val="none"/>
                <w:lang w:eastAsia="zh-CN"/>
              </w:rPr>
              <w:t>值及</w:t>
            </w:r>
            <w:r>
              <w:rPr>
                <w:rFonts w:hint="eastAsia" w:ascii="宋体" w:hAnsi="宋体" w:cs="宋体"/>
                <w:color w:val="auto"/>
                <w:w w:val="99"/>
                <w:kern w:val="2"/>
                <w:sz w:val="21"/>
                <w:szCs w:val="21"/>
                <w:highlight w:val="none"/>
                <w:lang w:eastAsia="zh-CN"/>
              </w:rPr>
              <w:t>能效等级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w:t>
            </w:r>
            <w:r>
              <w:rPr>
                <w:rFonts w:hint="eastAsia" w:ascii="宋体" w:hAnsi="宋体" w:cs="宋体"/>
                <w:color w:val="auto"/>
                <w:w w:val="99"/>
                <w:kern w:val="2"/>
                <w:sz w:val="21"/>
                <w:szCs w:val="21"/>
                <w:highlight w:val="none"/>
                <w:lang w:eastAsia="zh-CN"/>
              </w:rPr>
              <w:t>53</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067E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2372334A">
            <w:pPr>
              <w:jc w:val="center"/>
              <w:rPr>
                <w:rFonts w:ascii="宋体" w:hAnsi="宋体" w:cs="宋体"/>
                <w:color w:val="auto"/>
                <w:szCs w:val="21"/>
                <w:highlight w:val="none"/>
              </w:rPr>
            </w:pPr>
            <w:r>
              <w:rPr>
                <w:rFonts w:hint="eastAsia" w:ascii="宋体" w:hAnsi="宋体" w:cs="宋体"/>
                <w:color w:val="auto"/>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6F267253">
            <w:pPr>
              <w:pStyle w:val="135"/>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A05020105</w:t>
            </w:r>
            <w:r>
              <w:rPr>
                <w:rFonts w:hint="eastAsia" w:ascii="宋体" w:hAnsi="宋体" w:cs="宋体"/>
                <w:color w:val="auto"/>
                <w:w w:val="99"/>
                <w:kern w:val="2"/>
                <w:sz w:val="21"/>
                <w:szCs w:val="21"/>
                <w:highlight w:val="none"/>
              </w:rPr>
              <w:t>便器</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30FCCF31">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坐便器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DA55A26">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B804B5A">
            <w:pPr>
              <w:pStyle w:val="135"/>
              <w:spacing w:before="124"/>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《坐便</w:t>
            </w:r>
            <w:r>
              <w:rPr>
                <w:rFonts w:hint="eastAsia" w:ascii="宋体" w:hAnsi="宋体" w:cs="宋体"/>
                <w:color w:val="auto"/>
                <w:spacing w:val="2"/>
                <w:w w:val="99"/>
                <w:kern w:val="2"/>
                <w:sz w:val="21"/>
                <w:szCs w:val="21"/>
                <w:highlight w:val="none"/>
                <w:lang w:eastAsia="zh-CN"/>
              </w:rPr>
              <w:t>器</w:t>
            </w:r>
            <w:r>
              <w:rPr>
                <w:rFonts w:hint="eastAsia" w:ascii="宋体" w:hAnsi="宋体" w:cs="宋体"/>
                <w:color w:val="auto"/>
                <w:w w:val="99"/>
                <w:kern w:val="2"/>
                <w:sz w:val="21"/>
                <w:szCs w:val="21"/>
                <w:highlight w:val="none"/>
                <w:lang w:eastAsia="zh-CN"/>
              </w:rPr>
              <w:t>水效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w:t>
            </w:r>
            <w:r>
              <w:rPr>
                <w:rFonts w:hint="eastAsia" w:ascii="宋体" w:hAnsi="宋体" w:cs="宋体"/>
                <w:color w:val="auto"/>
                <w:spacing w:val="2"/>
                <w:w w:val="99"/>
                <w:kern w:val="2"/>
                <w:sz w:val="21"/>
                <w:szCs w:val="21"/>
                <w:highlight w:val="none"/>
                <w:lang w:eastAsia="zh-CN"/>
              </w:rPr>
              <w:t>及</w:t>
            </w:r>
            <w:r>
              <w:rPr>
                <w:rFonts w:hint="eastAsia" w:ascii="宋体" w:hAnsi="宋体" w:cs="宋体"/>
                <w:color w:val="auto"/>
                <w:w w:val="99"/>
                <w:kern w:val="2"/>
                <w:sz w:val="21"/>
                <w:szCs w:val="21"/>
                <w:highlight w:val="none"/>
                <w:lang w:eastAsia="zh-CN"/>
              </w:rPr>
              <w:t>水</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p>
          <w:p w14:paraId="03D7BD1A">
            <w:pPr>
              <w:pStyle w:val="135"/>
              <w:spacing w:before="50"/>
              <w:ind w:left="7"/>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G</w:t>
            </w:r>
            <w:r>
              <w:rPr>
                <w:rFonts w:hint="eastAsia" w:ascii="宋体" w:hAnsi="宋体" w:cs="宋体"/>
                <w:color w:val="auto"/>
                <w:w w:val="99"/>
                <w:kern w:val="2"/>
                <w:sz w:val="21"/>
                <w:szCs w:val="21"/>
                <w:highlight w:val="none"/>
              </w:rPr>
              <w:t>B</w:t>
            </w:r>
            <w:r>
              <w:rPr>
                <w:rFonts w:hint="eastAsia" w:ascii="宋体" w:hAnsi="宋体" w:cs="宋体"/>
                <w:color w:val="auto"/>
                <w:spacing w:val="1"/>
                <w:w w:val="99"/>
                <w:kern w:val="2"/>
                <w:sz w:val="21"/>
                <w:szCs w:val="21"/>
                <w:highlight w:val="none"/>
              </w:rPr>
              <w:t>2</w:t>
            </w:r>
            <w:r>
              <w:rPr>
                <w:rFonts w:hint="eastAsia" w:ascii="宋体" w:hAnsi="宋体" w:cs="宋体"/>
                <w:color w:val="auto"/>
                <w:w w:val="99"/>
                <w:kern w:val="2"/>
                <w:sz w:val="21"/>
                <w:szCs w:val="21"/>
                <w:highlight w:val="none"/>
              </w:rPr>
              <w:t>55</w:t>
            </w:r>
            <w:r>
              <w:rPr>
                <w:rFonts w:hint="eastAsia" w:ascii="宋体" w:hAnsi="宋体" w:cs="宋体"/>
                <w:color w:val="auto"/>
                <w:spacing w:val="1"/>
                <w:w w:val="99"/>
                <w:kern w:val="2"/>
                <w:sz w:val="21"/>
                <w:szCs w:val="21"/>
                <w:highlight w:val="none"/>
              </w:rPr>
              <w:t>02</w:t>
            </w:r>
            <w:r>
              <w:rPr>
                <w:rFonts w:hint="eastAsia" w:ascii="宋体" w:hAnsi="宋体" w:cs="宋体"/>
                <w:color w:val="auto"/>
                <w:w w:val="99"/>
                <w:kern w:val="2"/>
                <w:sz w:val="21"/>
                <w:szCs w:val="21"/>
                <w:highlight w:val="none"/>
              </w:rPr>
              <w:t>）</w:t>
            </w:r>
          </w:p>
        </w:tc>
      </w:tr>
      <w:tr w14:paraId="32B1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2F36095">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DCD043A">
            <w:pPr>
              <w:widowControl/>
              <w:jc w:val="left"/>
              <w:rPr>
                <w:rFonts w:ascii="宋体" w:hAnsi="宋体" w:cs="宋体"/>
                <w:color w:val="auto"/>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7D280593">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蹲便器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36AD6CF">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4BF8729">
            <w:pPr>
              <w:pStyle w:val="135"/>
              <w:spacing w:before="124"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《蹲便器用水效率限定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及用</w:t>
            </w:r>
            <w:r>
              <w:rPr>
                <w:rFonts w:hint="eastAsia" w:ascii="宋体" w:hAnsi="宋体" w:cs="宋体"/>
                <w:color w:val="auto"/>
                <w:w w:val="99"/>
                <w:kern w:val="2"/>
                <w:sz w:val="21"/>
                <w:szCs w:val="21"/>
                <w:highlight w:val="none"/>
                <w:lang w:eastAsia="zh-CN"/>
              </w:rPr>
              <w:t>水效率等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307</w:t>
            </w:r>
            <w:r>
              <w:rPr>
                <w:rFonts w:hint="eastAsia" w:ascii="宋体" w:hAnsi="宋体" w:cs="宋体"/>
                <w:color w:val="auto"/>
                <w:w w:val="99"/>
                <w:kern w:val="2"/>
                <w:sz w:val="21"/>
                <w:szCs w:val="21"/>
                <w:highlight w:val="none"/>
                <w:lang w:eastAsia="zh-CN"/>
              </w:rPr>
              <w:t>1</w:t>
            </w:r>
            <w:r>
              <w:rPr>
                <w:rFonts w:hint="eastAsia" w:ascii="宋体" w:hAnsi="宋体" w:cs="宋体"/>
                <w:color w:val="auto"/>
                <w:spacing w:val="-1"/>
                <w:w w:val="99"/>
                <w:kern w:val="2"/>
                <w:sz w:val="21"/>
                <w:szCs w:val="21"/>
                <w:highlight w:val="none"/>
                <w:lang w:eastAsia="zh-CN"/>
              </w:rPr>
              <w:t>7</w:t>
            </w:r>
            <w:r>
              <w:rPr>
                <w:rFonts w:hint="eastAsia" w:ascii="宋体" w:hAnsi="宋体" w:cs="宋体"/>
                <w:color w:val="auto"/>
                <w:w w:val="99"/>
                <w:kern w:val="2"/>
                <w:sz w:val="21"/>
                <w:szCs w:val="21"/>
                <w:highlight w:val="none"/>
                <w:lang w:eastAsia="zh-CN"/>
              </w:rPr>
              <w:t>）</w:t>
            </w:r>
          </w:p>
        </w:tc>
      </w:tr>
      <w:tr w14:paraId="503C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B5C73A7">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4CDA197">
            <w:pPr>
              <w:widowControl/>
              <w:jc w:val="left"/>
              <w:rPr>
                <w:rFonts w:ascii="宋体" w:hAnsi="宋体" w:cs="宋体"/>
                <w:color w:val="auto"/>
                <w:w w:val="99"/>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FBCE21D">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小便器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C3B5E96">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CA8511F">
            <w:pPr>
              <w:pStyle w:val="135"/>
              <w:spacing w:before="124"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《小便器用水效率限定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及用</w:t>
            </w:r>
            <w:r>
              <w:rPr>
                <w:rFonts w:hint="eastAsia" w:ascii="宋体" w:hAnsi="宋体" w:cs="宋体"/>
                <w:color w:val="auto"/>
                <w:w w:val="99"/>
                <w:kern w:val="2"/>
                <w:sz w:val="21"/>
                <w:szCs w:val="21"/>
                <w:highlight w:val="none"/>
                <w:lang w:eastAsia="zh-CN"/>
              </w:rPr>
              <w:t>水效率等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w:t>
            </w:r>
            <w:r>
              <w:rPr>
                <w:rFonts w:hint="eastAsia" w:ascii="宋体" w:hAnsi="宋体" w:cs="宋体"/>
                <w:color w:val="auto"/>
                <w:w w:val="99"/>
                <w:kern w:val="2"/>
                <w:sz w:val="21"/>
                <w:szCs w:val="21"/>
                <w:highlight w:val="none"/>
                <w:lang w:eastAsia="zh-CN"/>
              </w:rPr>
              <w:t>7</w:t>
            </w:r>
            <w:r>
              <w:rPr>
                <w:rFonts w:hint="eastAsia" w:ascii="宋体" w:hAnsi="宋体" w:cs="宋体"/>
                <w:color w:val="auto"/>
                <w:spacing w:val="-1"/>
                <w:w w:val="99"/>
                <w:kern w:val="2"/>
                <w:sz w:val="21"/>
                <w:szCs w:val="21"/>
                <w:highlight w:val="none"/>
                <w:lang w:eastAsia="zh-CN"/>
              </w:rPr>
              <w:t>7</w:t>
            </w:r>
            <w:r>
              <w:rPr>
                <w:rFonts w:hint="eastAsia" w:ascii="宋体" w:hAnsi="宋体" w:cs="宋体"/>
                <w:color w:val="auto"/>
                <w:w w:val="99"/>
                <w:kern w:val="2"/>
                <w:sz w:val="21"/>
                <w:szCs w:val="21"/>
                <w:highlight w:val="none"/>
                <w:lang w:eastAsia="zh-CN"/>
              </w:rPr>
              <w:t>）</w:t>
            </w:r>
          </w:p>
        </w:tc>
      </w:tr>
      <w:tr w14:paraId="0554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4B90DABF">
            <w:pPr>
              <w:pStyle w:val="13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16</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0F24B7BE">
            <w:pPr>
              <w:pStyle w:val="135"/>
              <w:spacing w:before="153"/>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★A05020106水</w:t>
            </w:r>
            <w:r>
              <w:rPr>
                <w:rFonts w:hint="eastAsia" w:ascii="宋体" w:hAnsi="宋体" w:cs="宋体"/>
                <w:color w:val="auto"/>
                <w:w w:val="99"/>
                <w:kern w:val="2"/>
                <w:sz w:val="21"/>
                <w:szCs w:val="21"/>
                <w:highlight w:val="none"/>
              </w:rPr>
              <w:t>嘴</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0EA9AC26">
            <w:pPr>
              <w:jc w:val="center"/>
              <w:rPr>
                <w:rFonts w:ascii="宋体" w:hAnsi="宋体" w:cs="宋体"/>
                <w:color w:val="auto"/>
                <w:szCs w:val="21"/>
                <w:highlight w:val="none"/>
                <w:lang w:eastAsia="en-US"/>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E3DE328">
            <w:pPr>
              <w:jc w:val="center"/>
              <w:rPr>
                <w:rFonts w:ascii="宋体" w:hAnsi="宋体" w:cs="宋体"/>
                <w:color w:val="auto"/>
                <w:szCs w:val="21"/>
                <w:highlight w:val="none"/>
                <w:lang w:eastAsia="en-US"/>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7403598">
            <w:pPr>
              <w:pStyle w:val="135"/>
              <w:spacing w:before="153"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《水嘴用水效率限定值及用水效</w:t>
            </w:r>
            <w:r>
              <w:rPr>
                <w:rFonts w:hint="eastAsia" w:ascii="宋体" w:hAnsi="宋体" w:cs="宋体"/>
                <w:color w:val="auto"/>
                <w:kern w:val="2"/>
                <w:sz w:val="21"/>
                <w:szCs w:val="21"/>
                <w:highlight w:val="none"/>
                <w:lang w:eastAsia="zh-CN"/>
              </w:rPr>
              <w:t>率等级》（GB 25501）</w:t>
            </w:r>
          </w:p>
        </w:tc>
      </w:tr>
      <w:tr w14:paraId="1424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262EB714">
            <w:pPr>
              <w:pStyle w:val="13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17</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69323AB4">
            <w:pPr>
              <w:pStyle w:val="135"/>
              <w:spacing w:before="112"/>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A05020107便器冲洗阀</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702ED52">
            <w:pPr>
              <w:jc w:val="center"/>
              <w:rPr>
                <w:rFonts w:ascii="宋体" w:hAnsi="宋体" w:cs="宋体"/>
                <w:color w:val="auto"/>
                <w:szCs w:val="21"/>
                <w:highlight w:val="none"/>
                <w:lang w:eastAsia="en-US"/>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6574C23">
            <w:pPr>
              <w:jc w:val="center"/>
              <w:rPr>
                <w:rFonts w:ascii="宋体" w:hAnsi="宋体" w:cs="宋体"/>
                <w:color w:val="auto"/>
                <w:szCs w:val="21"/>
                <w:highlight w:val="none"/>
                <w:lang w:eastAsia="en-US"/>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E10C363">
            <w:pPr>
              <w:pStyle w:val="135"/>
              <w:spacing w:before="11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《便器冲洗阀用水效率限定值及</w:t>
            </w:r>
            <w:r>
              <w:rPr>
                <w:rFonts w:hint="eastAsia" w:ascii="宋体" w:hAnsi="宋体" w:cs="宋体"/>
                <w:color w:val="auto"/>
                <w:kern w:val="2"/>
                <w:sz w:val="21"/>
                <w:szCs w:val="21"/>
                <w:highlight w:val="none"/>
                <w:lang w:eastAsia="zh-CN"/>
              </w:rPr>
              <w:t>用水效率等级》（GB28379）</w:t>
            </w:r>
          </w:p>
        </w:tc>
      </w:tr>
      <w:tr w14:paraId="1C26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5CA70CB7">
            <w:pPr>
              <w:pStyle w:val="13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18</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0F9FBA86">
            <w:pPr>
              <w:pStyle w:val="135"/>
              <w:spacing w:before="131"/>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A05020110淋浴</w:t>
            </w:r>
            <w:r>
              <w:rPr>
                <w:rFonts w:hint="eastAsia" w:ascii="宋体" w:hAnsi="宋体" w:cs="宋体"/>
                <w:color w:val="auto"/>
                <w:w w:val="99"/>
                <w:kern w:val="2"/>
                <w:sz w:val="21"/>
                <w:szCs w:val="21"/>
                <w:highlight w:val="none"/>
              </w:rPr>
              <w:t>器</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7DC36BAF">
            <w:pPr>
              <w:jc w:val="center"/>
              <w:rPr>
                <w:rFonts w:ascii="宋体" w:hAnsi="宋体" w:cs="宋体"/>
                <w:color w:val="auto"/>
                <w:szCs w:val="21"/>
                <w:highlight w:val="none"/>
                <w:lang w:eastAsia="en-US"/>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D0723F1">
            <w:pPr>
              <w:jc w:val="center"/>
              <w:rPr>
                <w:rFonts w:ascii="宋体" w:hAnsi="宋体" w:cs="宋体"/>
                <w:color w:val="auto"/>
                <w:szCs w:val="21"/>
                <w:highlight w:val="none"/>
                <w:lang w:eastAsia="en-US"/>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5FAA8B2">
            <w:pPr>
              <w:pStyle w:val="135"/>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《淋浴器用水效率限定值及用水</w:t>
            </w:r>
            <w:r>
              <w:rPr>
                <w:rFonts w:hint="eastAsia" w:ascii="宋体" w:hAnsi="宋体" w:cs="宋体"/>
                <w:color w:val="auto"/>
                <w:kern w:val="2"/>
                <w:sz w:val="21"/>
                <w:szCs w:val="21"/>
                <w:highlight w:val="none"/>
                <w:lang w:eastAsia="zh-CN"/>
              </w:rPr>
              <w:t>效率等级》（GB28378）</w:t>
            </w:r>
          </w:p>
        </w:tc>
      </w:tr>
    </w:tbl>
    <w:p w14:paraId="0E1BDDB4">
      <w:pPr>
        <w:pStyle w:val="2"/>
        <w:spacing w:line="360" w:lineRule="auto"/>
        <w:rPr>
          <w:rFonts w:ascii="宋体" w:hAnsi="宋体" w:cs="宋体"/>
          <w:color w:val="auto"/>
          <w:kern w:val="2"/>
          <w:sz w:val="21"/>
          <w:szCs w:val="21"/>
          <w:highlight w:val="none"/>
        </w:rPr>
      </w:pPr>
      <w:r>
        <w:rPr>
          <w:rFonts w:hint="eastAsia" w:ascii="宋体" w:hAnsi="宋体" w:cs="宋体"/>
          <w:color w:val="auto"/>
          <w:spacing w:val="-3"/>
          <w:sz w:val="21"/>
          <w:szCs w:val="21"/>
          <w:highlight w:val="none"/>
        </w:rPr>
        <w:t>注：1.节能产品认证应依据相关国家标准的最新版本，依据国家标准中二级能效（水效）</w:t>
      </w:r>
      <w:r>
        <w:rPr>
          <w:rFonts w:hint="eastAsia" w:ascii="宋体" w:hAnsi="宋体" w:cs="宋体"/>
          <w:color w:val="auto"/>
          <w:sz w:val="21"/>
          <w:szCs w:val="21"/>
          <w:highlight w:val="none"/>
        </w:rPr>
        <w:t>指标。</w:t>
      </w:r>
    </w:p>
    <w:p w14:paraId="5E14F424">
      <w:pPr>
        <w:pStyle w:val="2"/>
        <w:spacing w:line="360" w:lineRule="auto"/>
        <w:ind w:firstLine="465"/>
        <w:rPr>
          <w:rFonts w:ascii="宋体" w:hAnsi="宋体" w:cs="宋体"/>
          <w:color w:val="auto"/>
          <w:sz w:val="21"/>
          <w:szCs w:val="21"/>
          <w:highlight w:val="none"/>
        </w:rPr>
      </w:pPr>
      <w:r>
        <w:rPr>
          <w:rFonts w:hint="eastAsia" w:ascii="宋体" w:hAnsi="宋体" w:cs="宋体"/>
          <w:color w:val="auto"/>
          <w:sz w:val="21"/>
          <w:szCs w:val="21"/>
          <w:highlight w:val="none"/>
        </w:rPr>
        <w:t>2.以“★”标注的为政府强制采购产品。</w:t>
      </w:r>
    </w:p>
    <w:p w14:paraId="64E6FA4B">
      <w:pPr>
        <w:pStyle w:val="2"/>
        <w:spacing w:line="360" w:lineRule="auto"/>
        <w:ind w:firstLine="465"/>
        <w:rPr>
          <w:rFonts w:ascii="宋体" w:hAnsi="宋体" w:cs="宋体"/>
          <w:color w:val="auto"/>
          <w:sz w:val="21"/>
          <w:szCs w:val="21"/>
          <w:highlight w:val="none"/>
        </w:rPr>
      </w:pPr>
      <w:r>
        <w:rPr>
          <w:rFonts w:hint="eastAsia" w:ascii="宋体" w:hAnsi="宋体" w:cs="宋体"/>
          <w:color w:val="auto"/>
          <w:sz w:val="21"/>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0C1CFAB2">
      <w:pPr>
        <w:widowControl/>
        <w:jc w:val="left"/>
        <w:rPr>
          <w:rFonts w:ascii="宋体" w:hAnsi="宋体" w:cs="宋体"/>
          <w:color w:val="auto"/>
          <w:sz w:val="20"/>
          <w:szCs w:val="20"/>
          <w:highlight w:val="none"/>
        </w:rPr>
      </w:pPr>
    </w:p>
    <w:p w14:paraId="4ECA4446">
      <w:pPr>
        <w:widowControl/>
        <w:jc w:val="left"/>
        <w:rPr>
          <w:rFonts w:ascii="宋体" w:hAnsi="宋体" w:cs="宋体"/>
          <w:color w:val="auto"/>
          <w:sz w:val="20"/>
          <w:szCs w:val="20"/>
          <w:highlight w:val="none"/>
        </w:rPr>
      </w:pPr>
    </w:p>
    <w:p w14:paraId="40AA0174">
      <w:pPr>
        <w:widowControl/>
        <w:jc w:val="left"/>
        <w:rPr>
          <w:rFonts w:ascii="宋体" w:hAnsi="宋体" w:cs="宋体"/>
          <w:color w:val="auto"/>
          <w:sz w:val="32"/>
          <w:szCs w:val="32"/>
          <w:highlight w:val="none"/>
        </w:rPr>
      </w:pPr>
      <w:r>
        <w:rPr>
          <w:rFonts w:hint="eastAsia" w:ascii="宋体" w:hAnsi="宋体" w:cs="宋体"/>
          <w:color w:val="auto"/>
          <w:sz w:val="20"/>
          <w:szCs w:val="20"/>
          <w:highlight w:val="none"/>
        </w:rPr>
        <w:br w:type="page"/>
      </w:r>
      <w:r>
        <w:rPr>
          <w:rFonts w:hint="eastAsia" w:ascii="宋体" w:hAnsi="宋体" w:cs="宋体"/>
          <w:color w:val="auto"/>
          <w:sz w:val="32"/>
          <w:szCs w:val="32"/>
          <w:highlight w:val="none"/>
        </w:rPr>
        <w:t>附件2：</w:t>
      </w:r>
    </w:p>
    <w:p w14:paraId="550698AE">
      <w:pPr>
        <w:pStyle w:val="2"/>
        <w:jc w:val="center"/>
        <w:rPr>
          <w:rFonts w:ascii="宋体" w:hAnsi="宋体" w:cs="宋体"/>
          <w:b/>
          <w:color w:val="auto"/>
          <w:sz w:val="28"/>
          <w:szCs w:val="28"/>
          <w:highlight w:val="none"/>
        </w:rPr>
      </w:pPr>
      <w:r>
        <w:rPr>
          <w:rFonts w:hint="eastAsia" w:ascii="宋体" w:hAnsi="宋体" w:cs="宋体"/>
          <w:b/>
          <w:color w:val="auto"/>
          <w:sz w:val="28"/>
          <w:szCs w:val="28"/>
          <w:highlight w:val="none"/>
        </w:rPr>
        <w:t>中小企业划型标准规定</w:t>
      </w:r>
    </w:p>
    <w:p w14:paraId="791C275F">
      <w:pPr>
        <w:pStyle w:val="2"/>
        <w:jc w:val="center"/>
        <w:rPr>
          <w:rFonts w:ascii="宋体" w:hAnsi="宋体" w:cs="宋体"/>
          <w:color w:val="auto"/>
          <w:sz w:val="21"/>
          <w:szCs w:val="21"/>
          <w:highlight w:val="none"/>
        </w:rPr>
      </w:pPr>
      <w:r>
        <w:rPr>
          <w:rFonts w:hint="eastAsia" w:ascii="宋体" w:hAnsi="宋体" w:cs="宋体"/>
          <w:color w:val="auto"/>
          <w:sz w:val="21"/>
          <w:szCs w:val="21"/>
          <w:highlight w:val="none"/>
        </w:rPr>
        <w:t>工信部联企业[2011]300号</w:t>
      </w:r>
    </w:p>
    <w:p w14:paraId="481F5163">
      <w:pPr>
        <w:pStyle w:val="2"/>
        <w:rPr>
          <w:rFonts w:ascii="宋体" w:hAnsi="宋体" w:cs="宋体"/>
          <w:color w:val="auto"/>
          <w:sz w:val="21"/>
          <w:szCs w:val="21"/>
          <w:highlight w:val="none"/>
        </w:rPr>
      </w:pPr>
    </w:p>
    <w:p w14:paraId="74820FC3">
      <w:pPr>
        <w:pStyle w:val="2"/>
        <w:rPr>
          <w:rFonts w:ascii="宋体" w:hAnsi="宋体" w:cs="宋体"/>
          <w:color w:val="auto"/>
          <w:sz w:val="21"/>
          <w:szCs w:val="21"/>
          <w:highlight w:val="none"/>
        </w:rPr>
      </w:pPr>
      <w:r>
        <w:rPr>
          <w:rFonts w:hint="eastAsia" w:ascii="宋体" w:hAnsi="宋体" w:cs="宋体"/>
          <w:color w:val="auto"/>
          <w:sz w:val="21"/>
          <w:szCs w:val="21"/>
          <w:highlight w:val="none"/>
        </w:rPr>
        <w:t>　　一、根据《中华人民共和国中小企业促进法》和《国务院关于进一步促进中小企业发展的若干意见》(国发[2009]36号)，制定本规定。</w:t>
      </w:r>
    </w:p>
    <w:p w14:paraId="3CA3B303">
      <w:pPr>
        <w:pStyle w:val="2"/>
        <w:rPr>
          <w:rFonts w:ascii="宋体" w:hAnsi="宋体" w:cs="宋体"/>
          <w:color w:val="auto"/>
          <w:sz w:val="21"/>
          <w:szCs w:val="21"/>
          <w:highlight w:val="none"/>
        </w:rPr>
      </w:pPr>
      <w:r>
        <w:rPr>
          <w:rFonts w:hint="eastAsia" w:ascii="宋体" w:hAnsi="宋体" w:cs="宋体"/>
          <w:color w:val="auto"/>
          <w:sz w:val="21"/>
          <w:szCs w:val="21"/>
          <w:highlight w:val="none"/>
        </w:rPr>
        <w:t>　　二、中小企业划分为中型、小型、微型三种类型，具体标准根据企业从业人员、营业收入、资产总额等指标，结合行业特点制定。</w:t>
      </w:r>
    </w:p>
    <w:p w14:paraId="6F1747A3">
      <w:pPr>
        <w:pStyle w:val="2"/>
        <w:rPr>
          <w:rFonts w:ascii="宋体" w:hAnsi="宋体" w:cs="宋体"/>
          <w:color w:val="auto"/>
          <w:sz w:val="21"/>
          <w:szCs w:val="21"/>
          <w:highlight w:val="none"/>
        </w:rPr>
      </w:pPr>
      <w:r>
        <w:rPr>
          <w:rFonts w:hint="eastAsia" w:ascii="宋体" w:hAnsi="宋体" w:cs="宋体"/>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B243857">
      <w:pPr>
        <w:pStyle w:val="2"/>
        <w:rPr>
          <w:rFonts w:ascii="宋体" w:hAnsi="宋体" w:cs="宋体"/>
          <w:color w:val="auto"/>
          <w:sz w:val="21"/>
          <w:szCs w:val="21"/>
          <w:highlight w:val="none"/>
        </w:rPr>
      </w:pPr>
      <w:r>
        <w:rPr>
          <w:rFonts w:hint="eastAsia" w:ascii="宋体" w:hAnsi="宋体" w:cs="宋体"/>
          <w:color w:val="auto"/>
          <w:sz w:val="21"/>
          <w:szCs w:val="21"/>
          <w:highlight w:val="none"/>
        </w:rPr>
        <w:t>　　四、各行业划型标准为：</w:t>
      </w:r>
    </w:p>
    <w:p w14:paraId="679252D2">
      <w:pPr>
        <w:pStyle w:val="2"/>
        <w:rPr>
          <w:rFonts w:ascii="宋体" w:hAnsi="宋体" w:cs="宋体"/>
          <w:color w:val="auto"/>
          <w:sz w:val="21"/>
          <w:szCs w:val="21"/>
          <w:highlight w:val="none"/>
        </w:rPr>
      </w:pPr>
      <w:r>
        <w:rPr>
          <w:rFonts w:hint="eastAsia" w:ascii="宋体" w:hAnsi="宋体" w:cs="宋体"/>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73802DCF">
      <w:pPr>
        <w:pStyle w:val="2"/>
        <w:rPr>
          <w:rFonts w:ascii="宋体" w:hAnsi="宋体" w:cs="宋体"/>
          <w:color w:val="auto"/>
          <w:sz w:val="21"/>
          <w:szCs w:val="21"/>
          <w:highlight w:val="none"/>
        </w:rPr>
      </w:pPr>
      <w:r>
        <w:rPr>
          <w:rFonts w:hint="eastAsia" w:ascii="宋体" w:hAnsi="宋体" w:cs="宋体"/>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76A5124">
      <w:pPr>
        <w:pStyle w:val="2"/>
        <w:rPr>
          <w:rFonts w:ascii="宋体" w:hAnsi="宋体" w:cs="宋体"/>
          <w:color w:val="auto"/>
          <w:sz w:val="21"/>
          <w:szCs w:val="21"/>
          <w:highlight w:val="none"/>
        </w:rPr>
      </w:pPr>
      <w:r>
        <w:rPr>
          <w:rFonts w:hint="eastAsia" w:ascii="宋体" w:hAnsi="宋体" w:cs="宋体"/>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4B79E21">
      <w:pPr>
        <w:pStyle w:val="2"/>
        <w:rPr>
          <w:rFonts w:ascii="宋体" w:hAnsi="宋体" w:cs="宋体"/>
          <w:color w:val="auto"/>
          <w:sz w:val="21"/>
          <w:szCs w:val="21"/>
          <w:highlight w:val="none"/>
        </w:rPr>
      </w:pPr>
      <w:r>
        <w:rPr>
          <w:rFonts w:hint="eastAsia" w:ascii="宋体" w:hAnsi="宋体" w:cs="宋体"/>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33A3FD6">
      <w:pPr>
        <w:pStyle w:val="2"/>
        <w:rPr>
          <w:rFonts w:ascii="宋体" w:hAnsi="宋体" w:cs="宋体"/>
          <w:color w:val="auto"/>
          <w:sz w:val="21"/>
          <w:szCs w:val="21"/>
          <w:highlight w:val="none"/>
        </w:rPr>
      </w:pPr>
      <w:r>
        <w:rPr>
          <w:rFonts w:hint="eastAsia" w:ascii="宋体" w:hAnsi="宋体" w:cs="宋体"/>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CAFEB82">
      <w:pPr>
        <w:pStyle w:val="2"/>
        <w:rPr>
          <w:rFonts w:ascii="宋体" w:hAnsi="宋体" w:cs="宋体"/>
          <w:color w:val="auto"/>
          <w:sz w:val="21"/>
          <w:szCs w:val="21"/>
          <w:highlight w:val="none"/>
        </w:rPr>
      </w:pPr>
      <w:r>
        <w:rPr>
          <w:rFonts w:hint="eastAsia" w:ascii="宋体" w:hAnsi="宋体" w:cs="宋体"/>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3EA89F5">
      <w:pPr>
        <w:pStyle w:val="2"/>
        <w:rPr>
          <w:rFonts w:ascii="宋体" w:hAnsi="宋体" w:cs="宋体"/>
          <w:color w:val="auto"/>
          <w:sz w:val="21"/>
          <w:szCs w:val="21"/>
          <w:highlight w:val="none"/>
        </w:rPr>
      </w:pPr>
      <w:r>
        <w:rPr>
          <w:rFonts w:hint="eastAsia" w:ascii="宋体" w:hAnsi="宋体" w:cs="宋体"/>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7BB4A87">
      <w:pPr>
        <w:pStyle w:val="2"/>
        <w:rPr>
          <w:rFonts w:ascii="宋体" w:hAnsi="宋体" w:cs="宋体"/>
          <w:color w:val="auto"/>
          <w:sz w:val="21"/>
          <w:szCs w:val="21"/>
          <w:highlight w:val="none"/>
        </w:rPr>
      </w:pPr>
      <w:r>
        <w:rPr>
          <w:rFonts w:hint="eastAsia" w:ascii="宋体" w:hAnsi="宋体" w:cs="宋体"/>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72704AB">
      <w:pPr>
        <w:pStyle w:val="2"/>
        <w:rPr>
          <w:rFonts w:ascii="宋体" w:hAnsi="宋体" w:cs="宋体"/>
          <w:color w:val="auto"/>
          <w:sz w:val="21"/>
          <w:szCs w:val="21"/>
          <w:highlight w:val="none"/>
        </w:rPr>
      </w:pPr>
      <w:r>
        <w:rPr>
          <w:rFonts w:hint="eastAsia" w:ascii="宋体" w:hAnsi="宋体" w:cs="宋体"/>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EEAF60D">
      <w:pPr>
        <w:pStyle w:val="2"/>
        <w:rPr>
          <w:rFonts w:ascii="宋体" w:hAnsi="宋体" w:cs="宋体"/>
          <w:color w:val="auto"/>
          <w:sz w:val="21"/>
          <w:szCs w:val="21"/>
          <w:highlight w:val="none"/>
        </w:rPr>
      </w:pPr>
      <w:r>
        <w:rPr>
          <w:rFonts w:hint="eastAsia" w:ascii="宋体" w:hAnsi="宋体" w:cs="宋体"/>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6EE3A12">
      <w:pPr>
        <w:pStyle w:val="2"/>
        <w:rPr>
          <w:rFonts w:ascii="宋体" w:hAnsi="宋体" w:cs="宋体"/>
          <w:color w:val="auto"/>
          <w:sz w:val="21"/>
          <w:szCs w:val="21"/>
          <w:highlight w:val="none"/>
        </w:rPr>
      </w:pPr>
      <w:r>
        <w:rPr>
          <w:rFonts w:hint="eastAsia" w:ascii="宋体" w:hAnsi="宋体" w:cs="宋体"/>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C36AD37">
      <w:pPr>
        <w:pStyle w:val="2"/>
        <w:rPr>
          <w:rFonts w:ascii="宋体" w:hAnsi="宋体" w:cs="宋体"/>
          <w:color w:val="auto"/>
          <w:sz w:val="21"/>
          <w:szCs w:val="21"/>
          <w:highlight w:val="none"/>
        </w:rPr>
      </w:pPr>
      <w:r>
        <w:rPr>
          <w:rFonts w:hint="eastAsia" w:ascii="宋体" w:hAnsi="宋体" w:cs="宋体"/>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89FE761">
      <w:pPr>
        <w:pStyle w:val="2"/>
        <w:rPr>
          <w:rFonts w:ascii="宋体" w:hAnsi="宋体" w:cs="宋体"/>
          <w:color w:val="auto"/>
          <w:sz w:val="21"/>
          <w:szCs w:val="21"/>
          <w:highlight w:val="none"/>
        </w:rPr>
      </w:pPr>
      <w:r>
        <w:rPr>
          <w:rFonts w:hint="eastAsia" w:ascii="宋体" w:hAnsi="宋体" w:cs="宋体"/>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97C4A42">
      <w:pPr>
        <w:pStyle w:val="2"/>
        <w:rPr>
          <w:rFonts w:ascii="宋体" w:hAnsi="宋体" w:cs="宋体"/>
          <w:color w:val="auto"/>
          <w:sz w:val="21"/>
          <w:szCs w:val="21"/>
          <w:highlight w:val="none"/>
        </w:rPr>
      </w:pPr>
      <w:r>
        <w:rPr>
          <w:rFonts w:hint="eastAsia" w:ascii="宋体" w:hAnsi="宋体" w:cs="宋体"/>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0398D88">
      <w:pPr>
        <w:pStyle w:val="2"/>
        <w:rPr>
          <w:rFonts w:ascii="宋体" w:hAnsi="宋体" w:cs="宋体"/>
          <w:color w:val="auto"/>
          <w:sz w:val="21"/>
          <w:szCs w:val="21"/>
          <w:highlight w:val="none"/>
        </w:rPr>
      </w:pPr>
      <w:r>
        <w:rPr>
          <w:rFonts w:hint="eastAsia" w:ascii="宋体" w:hAnsi="宋体" w:cs="宋体"/>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AF78627">
      <w:pPr>
        <w:pStyle w:val="2"/>
        <w:rPr>
          <w:rFonts w:ascii="宋体" w:hAnsi="宋体" w:cs="宋体"/>
          <w:color w:val="auto"/>
          <w:sz w:val="21"/>
          <w:szCs w:val="21"/>
          <w:highlight w:val="none"/>
        </w:rPr>
      </w:pPr>
      <w:r>
        <w:rPr>
          <w:rFonts w:hint="eastAsia" w:ascii="宋体" w:hAnsi="宋体" w:cs="宋体"/>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34E267CD">
      <w:pPr>
        <w:pStyle w:val="2"/>
        <w:rPr>
          <w:rFonts w:ascii="宋体" w:hAnsi="宋体" w:cs="宋体"/>
          <w:color w:val="auto"/>
          <w:sz w:val="21"/>
          <w:szCs w:val="21"/>
          <w:highlight w:val="none"/>
        </w:rPr>
      </w:pPr>
      <w:r>
        <w:rPr>
          <w:rFonts w:hint="eastAsia" w:ascii="宋体" w:hAnsi="宋体" w:cs="宋体"/>
          <w:color w:val="auto"/>
          <w:sz w:val="21"/>
          <w:szCs w:val="21"/>
          <w:highlight w:val="none"/>
        </w:rPr>
        <w:t>　　五、企业类型的划分以统计部门的统计数据为依据。</w:t>
      </w:r>
    </w:p>
    <w:p w14:paraId="6CB4F105">
      <w:pPr>
        <w:pStyle w:val="2"/>
        <w:rPr>
          <w:rFonts w:ascii="宋体" w:hAnsi="宋体" w:cs="宋体"/>
          <w:color w:val="auto"/>
          <w:sz w:val="21"/>
          <w:szCs w:val="21"/>
          <w:highlight w:val="none"/>
        </w:rPr>
      </w:pPr>
      <w:r>
        <w:rPr>
          <w:rFonts w:hint="eastAsia" w:ascii="宋体" w:hAnsi="宋体" w:cs="宋体"/>
          <w:color w:val="auto"/>
          <w:sz w:val="21"/>
          <w:szCs w:val="21"/>
          <w:highlight w:val="none"/>
        </w:rPr>
        <w:t>　　六、本规定适用于在中华人民共和国境内依法设立的各类所有制和各种组织形式的企业。个体工商户和本规定以外的行业，参照本规定进行划型。</w:t>
      </w:r>
    </w:p>
    <w:p w14:paraId="748F4CF1">
      <w:pPr>
        <w:pStyle w:val="2"/>
        <w:rPr>
          <w:rFonts w:ascii="宋体" w:hAnsi="宋体" w:cs="宋体"/>
          <w:color w:val="auto"/>
          <w:sz w:val="21"/>
          <w:szCs w:val="21"/>
          <w:highlight w:val="none"/>
        </w:rPr>
      </w:pPr>
      <w:r>
        <w:rPr>
          <w:rFonts w:hint="eastAsia" w:ascii="宋体" w:hAnsi="宋体" w:cs="宋体"/>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3887AAC5">
      <w:pPr>
        <w:pStyle w:val="2"/>
        <w:rPr>
          <w:rFonts w:ascii="宋体" w:hAnsi="宋体" w:cs="宋体"/>
          <w:color w:val="auto"/>
          <w:sz w:val="21"/>
          <w:szCs w:val="21"/>
          <w:highlight w:val="none"/>
        </w:rPr>
      </w:pPr>
      <w:r>
        <w:rPr>
          <w:rFonts w:hint="eastAsia" w:ascii="宋体" w:hAnsi="宋体" w:cs="宋体"/>
          <w:color w:val="auto"/>
          <w:sz w:val="21"/>
          <w:szCs w:val="21"/>
          <w:highlight w:val="none"/>
        </w:rPr>
        <w:t>　　八、本规定由工业和信息化部、国家统计局会同有关部门根据《国民经济行业分类》修订情况和企业发展变化情况适时修订。</w:t>
      </w:r>
    </w:p>
    <w:p w14:paraId="47AF0CBA">
      <w:pPr>
        <w:pStyle w:val="2"/>
        <w:rPr>
          <w:rFonts w:ascii="宋体" w:hAnsi="宋体" w:cs="宋体"/>
          <w:color w:val="auto"/>
          <w:sz w:val="21"/>
          <w:szCs w:val="21"/>
          <w:highlight w:val="none"/>
        </w:rPr>
      </w:pPr>
      <w:r>
        <w:rPr>
          <w:rFonts w:hint="eastAsia" w:ascii="宋体" w:hAnsi="宋体" w:cs="宋体"/>
          <w:color w:val="auto"/>
          <w:sz w:val="21"/>
          <w:szCs w:val="21"/>
          <w:highlight w:val="none"/>
        </w:rPr>
        <w:t>　　九、本规定由工业和信息化部、国家统计局会同有关部门负责解释。</w:t>
      </w:r>
    </w:p>
    <w:p w14:paraId="21880826">
      <w:pPr>
        <w:pStyle w:val="2"/>
        <w:ind w:firstLine="420"/>
        <w:rPr>
          <w:rFonts w:ascii="宋体" w:hAnsi="宋体" w:cs="宋体"/>
          <w:color w:val="auto"/>
          <w:sz w:val="21"/>
          <w:szCs w:val="21"/>
          <w:highlight w:val="none"/>
        </w:rPr>
      </w:pPr>
      <w:r>
        <w:rPr>
          <w:rFonts w:hint="eastAsia" w:ascii="宋体" w:hAnsi="宋体" w:cs="宋体"/>
          <w:color w:val="auto"/>
          <w:sz w:val="21"/>
          <w:szCs w:val="21"/>
          <w:highlight w:val="none"/>
        </w:rPr>
        <w:t>十、本规定自发布之日起执行，原国家经贸委、原国家计委、财政部和国家统计局2003年颁布的《中小企业标准暂行规定》同时废止。</w:t>
      </w:r>
    </w:p>
    <w:p w14:paraId="7AAD65B4">
      <w:pPr>
        <w:pStyle w:val="3"/>
        <w:spacing w:before="0" w:after="0" w:line="360" w:lineRule="auto"/>
        <w:jc w:val="center"/>
        <w:rPr>
          <w:rFonts w:ascii="宋体" w:hAnsi="宋体" w:cs="宋体"/>
          <w:color w:val="auto"/>
          <w:highlight w:val="none"/>
        </w:rPr>
      </w:pPr>
      <w:r>
        <w:rPr>
          <w:rFonts w:hint="eastAsia" w:ascii="宋体" w:hAnsi="宋体" w:cs="宋体"/>
          <w:color w:val="auto"/>
          <w:highlight w:val="none"/>
        </w:rPr>
        <w:br w:type="page"/>
      </w:r>
      <w:bookmarkStart w:id="43" w:name="_Toc23318"/>
      <w:r>
        <w:rPr>
          <w:rFonts w:hint="eastAsia" w:ascii="宋体" w:hAnsi="宋体" w:cs="宋体"/>
          <w:color w:val="auto"/>
          <w:highlight w:val="none"/>
        </w:rPr>
        <w:t>第三章投标人须知</w:t>
      </w:r>
      <w:bookmarkEnd w:id="42"/>
      <w:bookmarkEnd w:id="43"/>
    </w:p>
    <w:p w14:paraId="6923AAAA">
      <w:pPr>
        <w:jc w:val="center"/>
        <w:rPr>
          <w:rFonts w:ascii="宋体" w:hAnsi="宋体" w:cs="宋体"/>
          <w:color w:val="auto"/>
          <w:sz w:val="36"/>
          <w:szCs w:val="36"/>
          <w:highlight w:val="none"/>
        </w:rPr>
      </w:pPr>
      <w:bookmarkStart w:id="44" w:name="_Toc254970667"/>
      <w:bookmarkStart w:id="45" w:name="_Toc254970526"/>
      <w:r>
        <w:rPr>
          <w:rFonts w:hint="eastAsia" w:ascii="宋体" w:hAnsi="宋体" w:cs="宋体"/>
          <w:color w:val="auto"/>
          <w:sz w:val="36"/>
          <w:szCs w:val="36"/>
          <w:highlight w:val="none"/>
        </w:rPr>
        <w:t>投标人须知前附表</w:t>
      </w:r>
      <w:bookmarkEnd w:id="44"/>
      <w:bookmarkEnd w:id="45"/>
    </w:p>
    <w:tbl>
      <w:tblPr>
        <w:tblStyle w:val="47"/>
        <w:tblW w:w="931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423"/>
      </w:tblGrid>
      <w:tr w14:paraId="7FBAA0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8573AC4">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条款号</w:t>
            </w:r>
          </w:p>
        </w:tc>
        <w:tc>
          <w:tcPr>
            <w:tcW w:w="8423" w:type="dxa"/>
            <w:tcBorders>
              <w:top w:val="single" w:color="auto" w:sz="4" w:space="0"/>
              <w:left w:val="single" w:color="auto" w:sz="4" w:space="0"/>
              <w:bottom w:val="single" w:color="auto" w:sz="4" w:space="0"/>
              <w:right w:val="single" w:color="auto" w:sz="4" w:space="0"/>
            </w:tcBorders>
            <w:vAlign w:val="center"/>
          </w:tcPr>
          <w:p w14:paraId="6576201B">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7436AD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5B69429">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8423" w:type="dxa"/>
            <w:tcBorders>
              <w:top w:val="single" w:color="auto" w:sz="4" w:space="0"/>
              <w:left w:val="single" w:color="auto" w:sz="4" w:space="0"/>
              <w:bottom w:val="single" w:color="auto" w:sz="4" w:space="0"/>
              <w:right w:val="single" w:color="auto" w:sz="4" w:space="0"/>
            </w:tcBorders>
            <w:vAlign w:val="center"/>
          </w:tcPr>
          <w:p w14:paraId="385EC6A1">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1.投标人的资格要求详见招标公告。</w:t>
            </w:r>
          </w:p>
          <w:p w14:paraId="26F6F13F">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2.投标人出现下列情形之一的，不得参加政府采购活动：</w:t>
            </w:r>
          </w:p>
          <w:p w14:paraId="6A91C0CC">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49E33D0">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2.2对在“信用中国”网站（</w:t>
            </w:r>
            <w:r>
              <w:rPr>
                <w:rFonts w:hint="eastAsia" w:ascii="宋体" w:hAnsi="宋体" w:cs="宋体"/>
                <w:color w:val="auto"/>
                <w:kern w:val="0"/>
                <w:szCs w:val="21"/>
                <w:highlight w:val="none"/>
              </w:rPr>
              <w:t>http://</w:t>
            </w:r>
            <w:r>
              <w:rPr>
                <w:rFonts w:hint="eastAsia" w:ascii="宋体" w:hAnsi="宋体" w:cs="宋体"/>
                <w:color w:val="auto"/>
                <w:szCs w:val="21"/>
                <w:highlight w:val="none"/>
              </w:rPr>
              <w:t>www.creditchina.gov.cn） 、中国政府采购网（</w:t>
            </w:r>
            <w:r>
              <w:rPr>
                <w:rFonts w:hint="eastAsia" w:ascii="宋体" w:hAnsi="宋体" w:cs="宋体"/>
                <w:color w:val="auto"/>
                <w:kern w:val="0"/>
                <w:szCs w:val="21"/>
                <w:highlight w:val="none"/>
              </w:rPr>
              <w:t>http://</w:t>
            </w:r>
            <w:r>
              <w:rPr>
                <w:rFonts w:hint="eastAsia" w:ascii="宋体" w:hAnsi="宋体" w:cs="宋体"/>
                <w:color w:val="auto"/>
                <w:szCs w:val="21"/>
                <w:highlight w:val="none"/>
              </w:rPr>
              <w:t>www.ccgp.gov.cn）被列入失信被执行人、重大税收违法失信主体、政府采购严重违法失信行为记录名单及其他不符合《中华人民共和国政府采购法》第二十二条规定条件的供应商，不得参与政府采购活动。</w:t>
            </w:r>
          </w:p>
        </w:tc>
      </w:tr>
      <w:tr w14:paraId="5F4694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0A5E442">
            <w:pPr>
              <w:adjustRightInd w:val="0"/>
              <w:spacing w:line="400" w:lineRule="exact"/>
              <w:jc w:val="center"/>
              <w:rPr>
                <w:rFonts w:ascii="宋体" w:hAnsi="宋体" w:cs="宋体"/>
                <w:color w:val="auto"/>
                <w:szCs w:val="21"/>
                <w:highlight w:val="none"/>
              </w:rPr>
            </w:pPr>
            <w:bookmarkStart w:id="46" w:name="_8.1"/>
            <w:bookmarkEnd w:id="46"/>
            <w:bookmarkStart w:id="47" w:name="_9.2"/>
            <w:bookmarkEnd w:id="47"/>
            <w:bookmarkStart w:id="48" w:name="_5"/>
            <w:bookmarkEnd w:id="48"/>
            <w:r>
              <w:rPr>
                <w:rFonts w:hint="eastAsia" w:ascii="宋体" w:hAnsi="宋体" w:cs="宋体"/>
                <w:color w:val="auto"/>
                <w:szCs w:val="21"/>
                <w:highlight w:val="none"/>
              </w:rPr>
              <w:t>6.1</w:t>
            </w:r>
          </w:p>
        </w:tc>
        <w:tc>
          <w:tcPr>
            <w:tcW w:w="8423" w:type="dxa"/>
            <w:tcBorders>
              <w:top w:val="single" w:color="auto" w:sz="4" w:space="0"/>
              <w:left w:val="single" w:color="auto" w:sz="4" w:space="0"/>
              <w:bottom w:val="single" w:color="auto" w:sz="4" w:space="0"/>
              <w:right w:val="single" w:color="auto" w:sz="4" w:space="0"/>
            </w:tcBorders>
            <w:vAlign w:val="center"/>
          </w:tcPr>
          <w:p w14:paraId="2732B496">
            <w:pPr>
              <w:pStyle w:val="17"/>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本项目是否接受联合体投标：</w:t>
            </w:r>
            <w:r>
              <w:rPr>
                <w:rFonts w:hint="eastAsia" w:ascii="宋体" w:hAnsi="宋体" w:cs="宋体"/>
                <w:b/>
                <w:color w:val="auto"/>
                <w:szCs w:val="21"/>
                <w:highlight w:val="none"/>
              </w:rPr>
              <w:t>本项目不接受联合体投标。</w:t>
            </w:r>
          </w:p>
        </w:tc>
      </w:tr>
      <w:tr w14:paraId="75FC43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1C2241C">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6.2</w:t>
            </w:r>
          </w:p>
        </w:tc>
        <w:tc>
          <w:tcPr>
            <w:tcW w:w="8423" w:type="dxa"/>
            <w:tcBorders>
              <w:top w:val="single" w:color="auto" w:sz="4" w:space="0"/>
              <w:left w:val="single" w:color="auto" w:sz="4" w:space="0"/>
              <w:bottom w:val="single" w:color="auto" w:sz="4" w:space="0"/>
              <w:right w:val="single" w:color="auto" w:sz="4" w:space="0"/>
            </w:tcBorders>
            <w:vAlign w:val="center"/>
          </w:tcPr>
          <w:p w14:paraId="7FF024A7">
            <w:pPr>
              <w:pStyle w:val="17"/>
              <w:adjustRightInd w:val="0"/>
              <w:spacing w:line="400" w:lineRule="exact"/>
              <w:rPr>
                <w:rFonts w:ascii="宋体" w:hAnsi="宋体" w:cs="宋体"/>
                <w:color w:val="auto"/>
                <w:szCs w:val="21"/>
                <w:highlight w:val="none"/>
              </w:rPr>
            </w:pPr>
            <w:bookmarkStart w:id="49" w:name="_Hlk54105293"/>
            <w:r>
              <w:rPr>
                <w:rFonts w:hint="eastAsia" w:ascii="宋体" w:hAnsi="宋体" w:cs="宋体"/>
                <w:color w:val="auto"/>
                <w:szCs w:val="21"/>
                <w:highlight w:val="none"/>
              </w:rPr>
              <w:t>如接受联合体投标</w:t>
            </w:r>
            <w:bookmarkEnd w:id="49"/>
            <w:r>
              <w:rPr>
                <w:rFonts w:hint="eastAsia" w:ascii="宋体" w:hAnsi="宋体" w:cs="宋体"/>
                <w:color w:val="auto"/>
                <w:szCs w:val="21"/>
                <w:highlight w:val="none"/>
              </w:rPr>
              <w:t>，联合体投标要求如下：</w:t>
            </w:r>
          </w:p>
          <w:p w14:paraId="3ABB1CBE">
            <w:pPr>
              <w:pStyle w:val="17"/>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1.两个以上投标人可以组成一个投标联合体，以一个投标人的身份共同参加投标。联合体投标的，须提供《联合体投标协议书》（格式后附）。</w:t>
            </w:r>
          </w:p>
          <w:p w14:paraId="374A8B74">
            <w:pPr>
              <w:pStyle w:val="17"/>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41D4A03B">
            <w:pPr>
              <w:pStyle w:val="17"/>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3.联合体各方之间必须签订联合投标协议，协议书必须明确主体方（或者牵头方）并明确约定联合体各方承担的工作和相应的责任（各方承担责任与义务的分工必须符合采购需求，否则，</w:t>
            </w:r>
            <w:r>
              <w:rPr>
                <w:rFonts w:hint="eastAsia" w:ascii="宋体" w:hAnsi="宋体" w:cs="宋体"/>
                <w:b/>
                <w:color w:val="auto"/>
                <w:szCs w:val="21"/>
                <w:highlight w:val="none"/>
              </w:rPr>
              <w:t>联合体投标无效</w:t>
            </w:r>
            <w:r>
              <w:rPr>
                <w:rFonts w:hint="eastAsia" w:ascii="宋体" w:hAnsi="宋体" w:cs="宋体"/>
                <w:color w:val="auto"/>
                <w:szCs w:val="21"/>
                <w:highlight w:val="none"/>
              </w:rPr>
              <w:t>），并将联合投标协议放入投标文件。联合体各方必须共同与采购人签订采购合同，就采购合同约定的事项对采购人承担连带责任。</w:t>
            </w:r>
          </w:p>
          <w:p w14:paraId="1513CF07">
            <w:pPr>
              <w:pStyle w:val="17"/>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4.以联合体形式参加政府采购活动的，联合体各方不得再单独参加或者与其他投标人另外组成联合体参加同一合同项下的政府采购活动。</w:t>
            </w:r>
          </w:p>
          <w:p w14:paraId="33F9FFFB">
            <w:pPr>
              <w:pStyle w:val="17"/>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5.联合体中有同类资质的投标人按照联合体分工承担相同工作的，应当按照资质等级较低的投标人确定资质等级。</w:t>
            </w:r>
          </w:p>
          <w:p w14:paraId="18DE221E">
            <w:pPr>
              <w:pStyle w:val="17"/>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6.联合体投标业绩、履约能力按照联合体各方其中较高的一方认定并计算（招标文件另有规定的除外）。</w:t>
            </w:r>
          </w:p>
          <w:p w14:paraId="1CCF9BE3">
            <w:pPr>
              <w:pStyle w:val="17"/>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7.投标人为联合体的，可以由联合体中的一方或者多方共同交纳投标保证金，其交纳的保证金对联合体各方均具有约束力。</w:t>
            </w:r>
          </w:p>
          <w:p w14:paraId="639C15C6">
            <w:pPr>
              <w:pStyle w:val="17"/>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8.联合体各方均应按照招标文件的规定提交资格证明文件。</w:t>
            </w:r>
          </w:p>
        </w:tc>
      </w:tr>
      <w:tr w14:paraId="5221B4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9BAD372">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7.2</w:t>
            </w:r>
          </w:p>
        </w:tc>
        <w:tc>
          <w:tcPr>
            <w:tcW w:w="8423" w:type="dxa"/>
            <w:tcBorders>
              <w:top w:val="single" w:color="auto" w:sz="4" w:space="0"/>
              <w:left w:val="single" w:color="auto" w:sz="4" w:space="0"/>
              <w:bottom w:val="single" w:color="auto" w:sz="4" w:space="0"/>
              <w:right w:val="single" w:color="auto" w:sz="4" w:space="0"/>
            </w:tcBorders>
            <w:vAlign w:val="center"/>
          </w:tcPr>
          <w:p w14:paraId="3F4EAE88">
            <w:pPr>
              <w:pStyle w:val="17"/>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☑不允许分包</w:t>
            </w:r>
          </w:p>
          <w:p w14:paraId="488A6362">
            <w:pPr>
              <w:pStyle w:val="17"/>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□允许分包</w:t>
            </w:r>
          </w:p>
          <w:p w14:paraId="0013877D">
            <w:pPr>
              <w:pStyle w:val="17"/>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                    。</w:t>
            </w:r>
          </w:p>
          <w:p w14:paraId="08417492">
            <w:pPr>
              <w:pStyle w:val="17"/>
              <w:adjustRightInd w:val="0"/>
              <w:spacing w:line="400" w:lineRule="exact"/>
              <w:jc w:val="both"/>
              <w:rPr>
                <w:rFonts w:ascii="宋体" w:hAnsi="宋体" w:cs="宋体"/>
                <w:color w:val="auto"/>
                <w:szCs w:val="21"/>
                <w:highlight w:val="none"/>
                <w:u w:val="singl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                       。</w:t>
            </w:r>
          </w:p>
        </w:tc>
      </w:tr>
      <w:tr w14:paraId="1D043E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20F8685">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8.1</w:t>
            </w:r>
          </w:p>
        </w:tc>
        <w:tc>
          <w:tcPr>
            <w:tcW w:w="8423" w:type="dxa"/>
            <w:tcBorders>
              <w:top w:val="single" w:color="auto" w:sz="4" w:space="0"/>
              <w:left w:val="single" w:color="auto" w:sz="4" w:space="0"/>
              <w:bottom w:val="single" w:color="auto" w:sz="4" w:space="0"/>
              <w:right w:val="single" w:color="auto" w:sz="4" w:space="0"/>
            </w:tcBorders>
            <w:vAlign w:val="center"/>
          </w:tcPr>
          <w:p w14:paraId="58A8970C">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采用最低评标价法的采购项目，提供相同品牌产品（非单一产品采购项目的，指核心产品）的不同投标人评标报价相同时，按照下列方式确定一个投标人获得中标人推荐资格：</w:t>
            </w:r>
          </w:p>
          <w:p w14:paraId="56B79594">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□依次按投标报价低的优先、带“▲”的实质性要求正偏离项数多的优先、均无正偏离或者正偏离项数一致时负偏离项数少的优先、保修期长优先、交货期短优先、故障响应时间短优先的顺序推荐。</w:t>
            </w:r>
          </w:p>
          <w:p w14:paraId="5BF23005">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7529272D">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p w14:paraId="46D0D0C0">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采用综合评分法的采购项目，提供相同品牌产品（非单一产品采购项目的，指核心产品）的不同投标人评审得分相同时，按照下列方式确定一个投标人获得中标人推荐资格：</w:t>
            </w:r>
          </w:p>
          <w:p w14:paraId="53E522B3">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☑依次按投标报价低的优先、技术分高的优先、</w:t>
            </w:r>
            <w:r>
              <w:rPr>
                <w:rFonts w:hint="eastAsia" w:ascii="宋体" w:hAnsi="宋体" w:cs="宋体"/>
                <w:bCs/>
                <w:color w:val="auto"/>
                <w:szCs w:val="21"/>
                <w:highlight w:val="none"/>
              </w:rPr>
              <w:t>安装实施方案分高的优先、</w:t>
            </w:r>
            <w:r>
              <w:rPr>
                <w:rFonts w:hint="eastAsia" w:ascii="宋体" w:hAnsi="宋体" w:cs="宋体"/>
                <w:color w:val="auto"/>
                <w:szCs w:val="21"/>
                <w:highlight w:val="none"/>
              </w:rPr>
              <w:t>增值售后服务方案分高的优先、履约能力分高的优先、政策分高的优先顺序推荐；</w:t>
            </w:r>
          </w:p>
          <w:p w14:paraId="18711BC6">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4643403D">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tc>
      </w:tr>
      <w:tr w14:paraId="6F6143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95" w:type="dxa"/>
            <w:vMerge w:val="restart"/>
            <w:tcBorders>
              <w:top w:val="single" w:color="auto" w:sz="4" w:space="0"/>
              <w:left w:val="single" w:color="auto" w:sz="4" w:space="0"/>
              <w:right w:val="single" w:color="auto" w:sz="4" w:space="0"/>
            </w:tcBorders>
            <w:vAlign w:val="center"/>
          </w:tcPr>
          <w:p w14:paraId="46E53682">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11.2</w:t>
            </w:r>
          </w:p>
        </w:tc>
        <w:tc>
          <w:tcPr>
            <w:tcW w:w="8423" w:type="dxa"/>
            <w:tcBorders>
              <w:top w:val="single" w:color="auto" w:sz="4" w:space="0"/>
              <w:left w:val="single" w:color="auto" w:sz="4" w:space="0"/>
              <w:bottom w:val="single" w:color="auto" w:sz="4" w:space="0"/>
              <w:right w:val="single" w:color="auto" w:sz="4" w:space="0"/>
            </w:tcBorders>
            <w:vAlign w:val="center"/>
          </w:tcPr>
          <w:p w14:paraId="6268F3E3">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本项目不组织现场考察</w:t>
            </w:r>
          </w:p>
        </w:tc>
      </w:tr>
      <w:tr w14:paraId="2D031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auto" w:sz="4" w:space="0"/>
              <w:bottom w:val="single" w:color="auto" w:sz="4" w:space="0"/>
              <w:right w:val="single" w:color="auto" w:sz="4" w:space="0"/>
            </w:tcBorders>
            <w:vAlign w:val="center"/>
          </w:tcPr>
          <w:p w14:paraId="01647F06">
            <w:pPr>
              <w:adjustRightInd w:val="0"/>
              <w:spacing w:line="400" w:lineRule="exact"/>
              <w:jc w:val="center"/>
              <w:rPr>
                <w:rFonts w:ascii="宋体" w:hAnsi="宋体" w:cs="宋体"/>
                <w:color w:val="auto"/>
                <w:szCs w:val="21"/>
                <w:highlight w:val="none"/>
              </w:rPr>
            </w:pPr>
          </w:p>
        </w:tc>
        <w:tc>
          <w:tcPr>
            <w:tcW w:w="8423" w:type="dxa"/>
            <w:tcBorders>
              <w:top w:val="single" w:color="auto" w:sz="4" w:space="0"/>
              <w:left w:val="single" w:color="auto" w:sz="4" w:space="0"/>
              <w:bottom w:val="single" w:color="auto" w:sz="4" w:space="0"/>
              <w:right w:val="single" w:color="auto" w:sz="4" w:space="0"/>
            </w:tcBorders>
            <w:vAlign w:val="center"/>
          </w:tcPr>
          <w:p w14:paraId="0769B52B">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☑不组织召开开标前答疑会</w:t>
            </w:r>
          </w:p>
          <w:p w14:paraId="7D57D7A2">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□组织召开开标前答疑会</w:t>
            </w:r>
          </w:p>
          <w:p w14:paraId="2DF86337">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会议开始时间：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\分</w:t>
            </w:r>
            <w:r>
              <w:rPr>
                <w:rFonts w:hint="eastAsia" w:ascii="宋体" w:hAnsi="宋体" w:cs="宋体"/>
                <w:color w:val="auto"/>
                <w:szCs w:val="21"/>
                <w:highlight w:val="none"/>
              </w:rPr>
              <w:t>，逾期后果自负。会议地点：</w:t>
            </w:r>
            <w:r>
              <w:rPr>
                <w:rFonts w:hint="eastAsia" w:ascii="宋体" w:hAnsi="宋体" w:cs="宋体"/>
                <w:color w:val="auto"/>
                <w:szCs w:val="21"/>
                <w:highlight w:val="none"/>
                <w:u w:val="single"/>
              </w:rPr>
              <w:t>\</w:t>
            </w:r>
          </w:p>
        </w:tc>
      </w:tr>
      <w:tr w14:paraId="5D6766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vAlign w:val="center"/>
          </w:tcPr>
          <w:p w14:paraId="69F798FA">
            <w:pPr>
              <w:adjustRightInd w:val="0"/>
              <w:spacing w:line="400" w:lineRule="exact"/>
              <w:jc w:val="center"/>
              <w:rPr>
                <w:rFonts w:ascii="宋体" w:hAnsi="宋体" w:cs="宋体"/>
                <w:color w:val="auto"/>
                <w:szCs w:val="21"/>
                <w:highlight w:val="none"/>
              </w:rPr>
            </w:pPr>
            <w:bookmarkStart w:id="50" w:name="_13.1"/>
            <w:bookmarkEnd w:id="50"/>
            <w:r>
              <w:rPr>
                <w:rFonts w:hint="eastAsia" w:ascii="宋体" w:hAnsi="宋体" w:cs="宋体"/>
                <w:color w:val="auto"/>
                <w:szCs w:val="21"/>
                <w:highlight w:val="none"/>
              </w:rPr>
              <w:t>13</w:t>
            </w:r>
          </w:p>
        </w:tc>
        <w:tc>
          <w:tcPr>
            <w:tcW w:w="8423" w:type="dxa"/>
            <w:tcBorders>
              <w:top w:val="single" w:color="auto" w:sz="4" w:space="0"/>
              <w:left w:val="single" w:color="auto" w:sz="4" w:space="0"/>
              <w:bottom w:val="single" w:color="auto" w:sz="4" w:space="0"/>
              <w:right w:val="single" w:color="auto" w:sz="4" w:space="0"/>
            </w:tcBorders>
            <w:vAlign w:val="center"/>
          </w:tcPr>
          <w:p w14:paraId="5AB48FDA">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报价文件：</w:t>
            </w:r>
          </w:p>
          <w:p w14:paraId="5BFF80A6">
            <w:pPr>
              <w:tabs>
                <w:tab w:val="left" w:pos="459"/>
              </w:tabs>
              <w:snapToGrid w:val="0"/>
              <w:spacing w:line="360" w:lineRule="auto"/>
              <w:jc w:val="left"/>
              <w:rPr>
                <w:rFonts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73F75411">
            <w:pPr>
              <w:tabs>
                <w:tab w:val="left" w:pos="459"/>
              </w:tabs>
              <w:snapToGrid w:val="0"/>
              <w:spacing w:line="360" w:lineRule="auto"/>
              <w:jc w:val="left"/>
              <w:rPr>
                <w:rFonts w:ascii="宋体" w:hAnsi="宋体"/>
                <w:color w:val="auto"/>
                <w:szCs w:val="21"/>
                <w:highlight w:val="none"/>
              </w:rPr>
            </w:pPr>
            <w:bookmarkStart w:id="51" w:name="_Hlk71299233"/>
            <w:r>
              <w:rPr>
                <w:rFonts w:hint="eastAsia" w:ascii="宋体" w:hAnsi="宋体"/>
                <w:color w:val="auto"/>
                <w:szCs w:val="21"/>
                <w:highlight w:val="none"/>
              </w:rPr>
              <w:t>2.开标一览表</w:t>
            </w:r>
            <w:bookmarkEnd w:id="51"/>
            <w:r>
              <w:rPr>
                <w:rFonts w:hint="eastAsia" w:ascii="宋体" w:hAnsi="宋体"/>
                <w:color w:val="auto"/>
                <w:szCs w:val="21"/>
                <w:highlight w:val="none"/>
              </w:rPr>
              <w:t>（格式后附）； （</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261025D">
            <w:pPr>
              <w:tabs>
                <w:tab w:val="left" w:pos="459"/>
              </w:tabs>
              <w:snapToGrid w:val="0"/>
              <w:spacing w:line="360" w:lineRule="auto"/>
              <w:jc w:val="left"/>
              <w:rPr>
                <w:rFonts w:ascii="宋体" w:hAnsi="宋体"/>
                <w:color w:val="auto"/>
                <w:szCs w:val="21"/>
                <w:highlight w:val="none"/>
              </w:rPr>
            </w:pPr>
            <w:r>
              <w:rPr>
                <w:rFonts w:hint="eastAsia" w:ascii="宋体" w:hAnsi="宋体"/>
                <w:color w:val="auto"/>
                <w:szCs w:val="21"/>
                <w:highlight w:val="none"/>
              </w:rPr>
              <w:t>3.</w:t>
            </w:r>
            <w:bookmarkStart w:id="52" w:name="OLE_LINK6"/>
            <w:r>
              <w:rPr>
                <w:rFonts w:ascii="宋体" w:hAnsi="宋体"/>
                <w:color w:val="auto"/>
                <w:szCs w:val="21"/>
                <w:highlight w:val="none"/>
              </w:rPr>
              <w:t>供应商享受</w:t>
            </w:r>
            <w:r>
              <w:rPr>
                <w:rFonts w:hint="eastAsia" w:ascii="宋体" w:hAnsi="宋体"/>
                <w:color w:val="auto"/>
                <w:szCs w:val="21"/>
                <w:highlight w:val="none"/>
              </w:rPr>
              <w:t>中小企业</w:t>
            </w:r>
            <w:bookmarkStart w:id="53" w:name="OLE_LINK5"/>
            <w:bookmarkStart w:id="54" w:name="OLE_LINK4"/>
            <w:r>
              <w:rPr>
                <w:rFonts w:hint="eastAsia" w:ascii="宋体" w:hAnsi="宋体"/>
                <w:color w:val="auto"/>
                <w:szCs w:val="21"/>
                <w:highlight w:val="none"/>
              </w:rPr>
              <w:t>扶持政策</w:t>
            </w:r>
            <w:bookmarkEnd w:id="53"/>
            <w:bookmarkEnd w:id="54"/>
            <w:r>
              <w:rPr>
                <w:rFonts w:hint="eastAsia" w:ascii="宋体" w:hAnsi="宋体"/>
                <w:color w:val="auto"/>
                <w:szCs w:val="21"/>
                <w:highlight w:val="none"/>
              </w:rPr>
              <w:t>的材料（供应商根据自身响应情况，提供以下</w:t>
            </w:r>
            <w:r>
              <w:rPr>
                <w:rFonts w:ascii="宋体" w:hAnsi="宋体"/>
                <w:color w:val="auto"/>
                <w:szCs w:val="21"/>
                <w:highlight w:val="none"/>
              </w:rPr>
              <w:t>任意一项材料以证明自身可享受中小企业</w:t>
            </w:r>
            <w:r>
              <w:rPr>
                <w:rFonts w:hint="eastAsia" w:ascii="宋体" w:hAnsi="宋体"/>
                <w:color w:val="auto"/>
                <w:szCs w:val="21"/>
                <w:highlight w:val="none"/>
              </w:rPr>
              <w:t>扶持政策）：</w:t>
            </w:r>
          </w:p>
          <w:p w14:paraId="0EA4A319">
            <w:pPr>
              <w:tabs>
                <w:tab w:val="left" w:pos="459"/>
              </w:tabs>
              <w:snapToGrid w:val="0"/>
              <w:spacing w:line="360" w:lineRule="auto"/>
              <w:jc w:val="left"/>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《中小企业声明函》（格式后附）；</w:t>
            </w:r>
          </w:p>
          <w:p w14:paraId="5D11AC8E">
            <w:pPr>
              <w:tabs>
                <w:tab w:val="left" w:pos="459"/>
              </w:tabs>
              <w:snapToGrid w:val="0"/>
              <w:spacing w:line="360" w:lineRule="auto"/>
              <w:jc w:val="left"/>
              <w:rPr>
                <w:rFonts w:ascii="宋体" w:hAnsi="宋体"/>
                <w:color w:val="auto"/>
                <w:szCs w:val="21"/>
                <w:highlight w:val="none"/>
              </w:rPr>
            </w:pPr>
            <w:r>
              <w:rPr>
                <w:rFonts w:hint="eastAsia" w:ascii="宋体" w:hAnsi="宋体"/>
                <w:color w:val="auto"/>
                <w:szCs w:val="21"/>
                <w:highlight w:val="none"/>
              </w:rPr>
              <w:t>（2）《残疾人福利性单位声明函》（格式后附）</w:t>
            </w:r>
          </w:p>
          <w:p w14:paraId="0A159F74">
            <w:pPr>
              <w:tabs>
                <w:tab w:val="left" w:pos="459"/>
              </w:tabs>
              <w:snapToGrid w:val="0"/>
              <w:spacing w:line="360" w:lineRule="auto"/>
              <w:jc w:val="left"/>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省级以上监狱管理局、戒毒管理局</w:t>
            </w:r>
            <w:r>
              <w:rPr>
                <w:rFonts w:ascii="宋体" w:hAnsi="宋体"/>
                <w:color w:val="auto"/>
                <w:szCs w:val="21"/>
                <w:highlight w:val="none"/>
              </w:rPr>
              <w:t>(</w:t>
            </w:r>
            <w:r>
              <w:rPr>
                <w:rFonts w:hint="eastAsia" w:ascii="宋体" w:hAnsi="宋体"/>
                <w:color w:val="auto"/>
                <w:szCs w:val="21"/>
                <w:highlight w:val="none"/>
              </w:rPr>
              <w:t>含新疆生产建设兵团</w:t>
            </w:r>
            <w:r>
              <w:rPr>
                <w:rFonts w:ascii="宋体" w:hAnsi="宋体"/>
                <w:color w:val="auto"/>
                <w:szCs w:val="21"/>
                <w:highlight w:val="none"/>
              </w:rPr>
              <w:t>)</w:t>
            </w:r>
            <w:r>
              <w:rPr>
                <w:rFonts w:hint="eastAsia" w:ascii="宋体" w:hAnsi="宋体"/>
                <w:color w:val="auto"/>
                <w:szCs w:val="21"/>
                <w:highlight w:val="none"/>
              </w:rPr>
              <w:t xml:space="preserve">出具的属于监狱企业的证明文件； </w:t>
            </w:r>
          </w:p>
          <w:bookmarkEnd w:id="52"/>
          <w:p w14:paraId="7A92CCC6">
            <w:pPr>
              <w:tabs>
                <w:tab w:val="left" w:pos="459"/>
              </w:tabs>
              <w:snapToGrid w:val="0"/>
              <w:spacing w:line="360" w:lineRule="auto"/>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xml:space="preserve"> 《关于符合本国产品标准的声明函》或者财政部会同有关部门规定的有关证明文件；（供应商根据自身响应情况出具）</w:t>
            </w:r>
          </w:p>
          <w:p w14:paraId="6CC6CB80">
            <w:pPr>
              <w:tabs>
                <w:tab w:val="left" w:pos="459"/>
              </w:tabs>
              <w:snapToGrid w:val="0"/>
              <w:spacing w:line="360" w:lineRule="auto"/>
              <w:jc w:val="left"/>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投标人针对报价需要说明的其他文件和说明（格式自拟）。</w:t>
            </w:r>
          </w:p>
          <w:p w14:paraId="2179EC35">
            <w:pPr>
              <w:adjustRightInd w:val="0"/>
              <w:spacing w:line="400" w:lineRule="exact"/>
              <w:jc w:val="left"/>
              <w:rPr>
                <w:rFonts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b/>
                <w:bCs/>
                <w:color w:val="auto"/>
                <w:szCs w:val="21"/>
                <w:highlight w:val="none"/>
              </w:rPr>
              <w:t>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2F92BB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62DCAD42">
            <w:pPr>
              <w:adjustRightInd w:val="0"/>
              <w:spacing w:line="400" w:lineRule="exact"/>
              <w:rPr>
                <w:rFonts w:ascii="宋体" w:hAnsi="宋体" w:cs="宋体"/>
                <w:color w:val="auto"/>
                <w:szCs w:val="21"/>
                <w:highlight w:val="none"/>
              </w:rPr>
            </w:pPr>
            <w:bookmarkStart w:id="55" w:name="_13.2"/>
            <w:bookmarkEnd w:id="55"/>
          </w:p>
        </w:tc>
        <w:tc>
          <w:tcPr>
            <w:tcW w:w="8423" w:type="dxa"/>
            <w:tcBorders>
              <w:top w:val="single" w:color="auto" w:sz="4" w:space="0"/>
              <w:left w:val="single" w:color="auto" w:sz="4" w:space="0"/>
              <w:bottom w:val="single" w:color="auto" w:sz="4" w:space="0"/>
              <w:right w:val="single" w:color="auto" w:sz="4" w:space="0"/>
            </w:tcBorders>
            <w:vAlign w:val="center"/>
          </w:tcPr>
          <w:p w14:paraId="46EFA5F3">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72BE4779">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w:t>
            </w:r>
            <w:r>
              <w:rPr>
                <w:rStyle w:val="87"/>
                <w:rFonts w:hint="eastAsia"/>
                <w:color w:val="auto"/>
                <w:sz w:val="21"/>
                <w:szCs w:val="21"/>
                <w:highlight w:val="none"/>
              </w:rPr>
              <w:t>执业许可证</w:t>
            </w:r>
            <w:r>
              <w:rPr>
                <w:rFonts w:hint="eastAsia" w:ascii="宋体" w:hAnsi="宋体" w:cs="宋体"/>
                <w:color w:val="auto"/>
                <w:szCs w:val="21"/>
                <w:highlight w:val="none"/>
              </w:rPr>
              <w:t>或者登记证书等），投标人为自然人的，提供身份证复印件；（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08C8D1E4">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u w:val="single"/>
              </w:rPr>
              <w:t>2026</w:t>
            </w:r>
            <w:r>
              <w:rPr>
                <w:rFonts w:hint="eastAsia" w:ascii="宋体" w:hAnsi="宋体" w:cs="宋体"/>
                <w:color w:val="auto"/>
                <w:szCs w:val="21"/>
                <w:highlight w:val="none"/>
              </w:rPr>
              <w:t>年</w:t>
            </w:r>
            <w:r>
              <w:rPr>
                <w:rFonts w:hint="eastAsia" w:ascii="宋体" w:hAnsi="宋体" w:cs="宋体"/>
                <w:color w:val="auto"/>
                <w:szCs w:val="21"/>
                <w:highlight w:val="none"/>
                <w:u w:val="single"/>
              </w:rPr>
              <w:t>1</w:t>
            </w:r>
            <w:r>
              <w:rPr>
                <w:rFonts w:hint="eastAsia" w:ascii="宋体" w:hAnsi="宋体" w:cs="宋体"/>
                <w:color w:val="auto"/>
                <w:szCs w:val="21"/>
                <w:highlight w:val="none"/>
              </w:rPr>
              <w:t>月以来任意一个月的依法缴纳税收的</w:t>
            </w:r>
            <w:r>
              <w:rPr>
                <w:rFonts w:hint="eastAsia" w:ascii="宋体" w:hAnsi="宋体" w:cs="宋体"/>
                <w:color w:val="auto"/>
                <w:highlight w:val="none"/>
              </w:rPr>
              <w:t>证明材料</w:t>
            </w:r>
            <w:r>
              <w:rPr>
                <w:rFonts w:hint="eastAsia" w:ascii="宋体" w:hAnsi="宋体" w:cs="宋体"/>
                <w:color w:val="auto"/>
                <w:szCs w:val="21"/>
                <w:highlight w:val="none"/>
              </w:rPr>
              <w:t>复印件；依法免税的供应商，</w:t>
            </w:r>
            <w:r>
              <w:rPr>
                <w:rFonts w:hint="eastAsia" w:ascii="宋体" w:hAnsi="宋体" w:cs="宋体"/>
                <w:color w:val="auto"/>
                <w:highlight w:val="none"/>
              </w:rPr>
              <w:t>必须提供符合免税条件的证明材料</w:t>
            </w:r>
            <w:r>
              <w:rPr>
                <w:rFonts w:hint="eastAsia" w:ascii="宋体" w:hAnsi="宋体" w:cs="宋体"/>
                <w:color w:val="auto"/>
                <w:szCs w:val="21"/>
                <w:highlight w:val="none"/>
              </w:rPr>
              <w:t>。从成立之日起到投标文件提交截止时间止不足要求月数的</w:t>
            </w:r>
            <w:r>
              <w:rPr>
                <w:rFonts w:hint="eastAsia" w:ascii="宋体" w:hAnsi="宋体" w:cs="宋体"/>
                <w:color w:val="auto"/>
                <w:highlight w:val="none"/>
              </w:rPr>
              <w:t>，则无需提交</w:t>
            </w:r>
            <w:r>
              <w:rPr>
                <w:rFonts w:hint="eastAsia" w:ascii="宋体" w:hAnsi="宋体" w:cs="宋体"/>
                <w:color w:val="auto"/>
                <w:szCs w:val="21"/>
                <w:highlight w:val="none"/>
              </w:rPr>
              <w:t>）；（</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B28BEB8">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rPr>
              <w:t>2026</w:t>
            </w:r>
            <w:r>
              <w:rPr>
                <w:rFonts w:hint="eastAsia" w:ascii="宋体" w:hAnsi="宋体" w:cs="宋体"/>
                <w:color w:val="auto"/>
                <w:szCs w:val="21"/>
                <w:highlight w:val="none"/>
              </w:rPr>
              <w:t>年</w:t>
            </w:r>
            <w:r>
              <w:rPr>
                <w:rFonts w:hint="eastAsia" w:ascii="宋体" w:hAnsi="宋体" w:cs="宋体"/>
                <w:color w:val="auto"/>
                <w:szCs w:val="21"/>
                <w:highlight w:val="none"/>
                <w:u w:val="single"/>
              </w:rPr>
              <w:t>1</w:t>
            </w:r>
            <w:r>
              <w:rPr>
                <w:rFonts w:hint="eastAsia" w:ascii="宋体" w:hAnsi="宋体" w:cs="宋体"/>
                <w:color w:val="auto"/>
                <w:szCs w:val="21"/>
                <w:highlight w:val="none"/>
              </w:rPr>
              <w:t>月以来任意一个月的依法缴纳社会保障资金的缴费</w:t>
            </w:r>
            <w:r>
              <w:rPr>
                <w:rFonts w:hint="eastAsia" w:ascii="宋体" w:hAnsi="宋体" w:cs="宋体"/>
                <w:color w:val="auto"/>
                <w:highlight w:val="none"/>
              </w:rPr>
              <w:t>证明材料</w:t>
            </w:r>
            <w:r>
              <w:rPr>
                <w:rFonts w:hint="eastAsia" w:ascii="宋体" w:hAnsi="宋体" w:cs="宋体"/>
                <w:color w:val="auto"/>
                <w:szCs w:val="21"/>
                <w:highlight w:val="none"/>
              </w:rPr>
              <w:t>（</w:t>
            </w:r>
            <w:r>
              <w:rPr>
                <w:rFonts w:hint="eastAsia" w:ascii="宋体" w:hAnsi="宋体" w:cs="宋体"/>
                <w:color w:val="auto"/>
                <w:highlight w:val="none"/>
              </w:rPr>
              <w:t>如：</w:t>
            </w:r>
            <w:r>
              <w:rPr>
                <w:rFonts w:hint="eastAsia" w:ascii="宋体" w:hAnsi="宋体" w:cs="宋体"/>
                <w:color w:val="auto"/>
                <w:szCs w:val="21"/>
                <w:highlight w:val="none"/>
              </w:rPr>
              <w:t>专用收据、社会保险缴纳清单或者社保部门的证明）复印件。依法不需要缴纳社会保障资金的供应商，必须提供相应文件证明不需要缴纳社会保障资金。从成立之日起到投标文件提交截止时间止不足要求月数的，则无需提交]；（</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052956BD">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4.投标人财务状况报告（</w:t>
            </w:r>
            <w:bookmarkStart w:id="56" w:name="OLE_LINK10"/>
            <w:r>
              <w:rPr>
                <w:rFonts w:hint="eastAsia" w:ascii="宋体" w:hAnsi="宋体" w:cs="宋体"/>
                <w:color w:val="auto"/>
                <w:szCs w:val="21"/>
                <w:highlight w:val="none"/>
                <w:u w:val="single"/>
              </w:rPr>
              <w:t>2024</w:t>
            </w:r>
            <w:r>
              <w:rPr>
                <w:rFonts w:hint="eastAsia" w:ascii="宋体" w:hAnsi="宋体" w:cs="宋体"/>
                <w:color w:val="auto"/>
                <w:szCs w:val="21"/>
                <w:highlight w:val="none"/>
              </w:rPr>
              <w:t>年以来任一年度的</w:t>
            </w:r>
            <w:bookmarkEnd w:id="56"/>
            <w:r>
              <w:rPr>
                <w:rFonts w:hint="eastAsia" w:ascii="宋体" w:hAnsi="宋体" w:cs="宋体"/>
                <w:color w:val="auto"/>
                <w:szCs w:val="21"/>
                <w:highlight w:val="none"/>
              </w:rPr>
              <w:t>财务报表复印件，或者2025年以来银行出具的资信证明，或者中国人民银行征信中心出具的信用报告（企业投标的提供企业信用报告，自然人投标的提供个人信用报告</w:t>
            </w:r>
            <w:r>
              <w:rPr>
                <w:rFonts w:hint="eastAsia" w:ascii="宋体" w:hAnsi="宋体" w:cs="宋体"/>
                <w:color w:val="auto"/>
                <w:highlight w:val="none"/>
              </w:rPr>
              <w:t>，投标人属于成立时间在规定年度之后的法人或其他组织，需提供成立之日起至投标截止时间前的月报表</w:t>
            </w:r>
            <w:r>
              <w:rPr>
                <w:rFonts w:hint="eastAsia" w:ascii="宋体" w:hAnsi="宋体" w:cs="宋体"/>
                <w:color w:val="auto"/>
                <w:szCs w:val="21"/>
                <w:highlight w:val="none"/>
              </w:rPr>
              <w:t>或银行出具的资信证明或者中国人民银行征信中心出具的企业信用报告；资信证明应在有效期内，未注明有效期的，银行出具时间至投标截止时间不超过一年）；（</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DF1457D">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5.投标人直接控股股东信息表（格式后附）；</w:t>
            </w:r>
            <w:r>
              <w:rPr>
                <w:rFonts w:hint="eastAsia" w:ascii="宋体" w:hAnsi="宋体" w:cs="宋体"/>
                <w:b/>
                <w:color w:val="auto"/>
                <w:szCs w:val="21"/>
                <w:highlight w:val="none"/>
              </w:rPr>
              <w:t>（必须提供，否则按无效投标处理）</w:t>
            </w:r>
          </w:p>
          <w:p w14:paraId="4C03820F">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6.投标人直接管理关系信息表（格式后附）；</w:t>
            </w:r>
            <w:r>
              <w:rPr>
                <w:rFonts w:hint="eastAsia" w:ascii="宋体" w:hAnsi="宋体" w:cs="宋体"/>
                <w:b/>
                <w:color w:val="auto"/>
                <w:szCs w:val="21"/>
                <w:highlight w:val="none"/>
              </w:rPr>
              <w:t>（必须提供，否则按无效投标处理）</w:t>
            </w:r>
          </w:p>
          <w:p w14:paraId="3DA15563">
            <w:pPr>
              <w:tabs>
                <w:tab w:val="left" w:pos="1305"/>
              </w:tabs>
              <w:spacing w:line="360" w:lineRule="exact"/>
              <w:jc w:val="left"/>
              <w:rPr>
                <w:rFonts w:ascii="宋体" w:hAnsi="宋体" w:cs="宋体"/>
                <w:color w:val="auto"/>
                <w:szCs w:val="21"/>
                <w:highlight w:val="none"/>
              </w:rPr>
            </w:pPr>
            <w:r>
              <w:rPr>
                <w:rFonts w:hint="eastAsia" w:ascii="宋体" w:hAnsi="宋体" w:cs="宋体"/>
                <w:color w:val="auto"/>
                <w:szCs w:val="21"/>
                <w:highlight w:val="none"/>
              </w:rPr>
              <w:t>7.投标人</w:t>
            </w:r>
            <w:r>
              <w:rPr>
                <w:rFonts w:hint="eastAsia" w:ascii="宋体" w:hAnsi="宋体" w:cs="宋体"/>
                <w:color w:val="auto"/>
                <w:highlight w:val="none"/>
              </w:rPr>
              <w:t>根据所投产品</w:t>
            </w:r>
            <w:r>
              <w:rPr>
                <w:rFonts w:hint="eastAsia" w:ascii="宋体" w:hAnsi="宋体" w:cs="宋体"/>
                <w:color w:val="auto"/>
                <w:szCs w:val="21"/>
                <w:highlight w:val="none"/>
              </w:rPr>
              <w:t>提供医疗器械的有关证明材料复印件；（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1558BEE">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①本项目有第二类医疗器械的，应提供有效的医疗器械经营备案凭证（经营范围包含采购的第二类医疗器械），符合《医疗器械监督管理条例》（国务院令第739号）第四十一条第二款规定的除外；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79E628E9">
            <w:pPr>
              <w:adjustRightInd w:val="0"/>
              <w:spacing w:line="400" w:lineRule="exact"/>
              <w:jc w:val="left"/>
              <w:rPr>
                <w:rFonts w:ascii="宋体" w:hAnsi="宋体" w:cs="宋体"/>
                <w:color w:val="auto"/>
                <w:highlight w:val="none"/>
              </w:rPr>
            </w:pPr>
            <w:r>
              <w:rPr>
                <w:rFonts w:hint="eastAsia" w:ascii="宋体" w:hAnsi="宋体" w:cs="宋体"/>
                <w:color w:val="auto"/>
                <w:szCs w:val="21"/>
                <w:highlight w:val="none"/>
              </w:rPr>
              <w:t>②本项目有第三类医疗器械的，应提供有效的医疗器械经营许可证（经营范围包含采购的第三类医疗器械）；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0DBC71CD">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8.投标声明（格式后附）；（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1668264">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9.联合体协议书（格式后附）；（</w:t>
            </w:r>
            <w:r>
              <w:rPr>
                <w:rFonts w:hint="eastAsia" w:ascii="宋体" w:hAnsi="宋体" w:cs="宋体"/>
                <w:b/>
                <w:color w:val="auto"/>
                <w:szCs w:val="21"/>
                <w:highlight w:val="none"/>
              </w:rPr>
              <w:t>联合体投标时必须提供，否则按无效投标处理</w:t>
            </w:r>
            <w:r>
              <w:rPr>
                <w:rFonts w:hint="eastAsia" w:ascii="宋体" w:hAnsi="宋体" w:cs="宋体"/>
                <w:color w:val="auto"/>
                <w:szCs w:val="21"/>
                <w:highlight w:val="none"/>
              </w:rPr>
              <w:t>）</w:t>
            </w:r>
          </w:p>
          <w:p w14:paraId="24A503A8">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10.除招标文件规定必须提供以外，投标人认为需要提供的其他证明材料。</w:t>
            </w:r>
          </w:p>
          <w:p w14:paraId="698A08E3">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w:t>
            </w:r>
          </w:p>
          <w:p w14:paraId="6F83E9E4">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1.以上标明“必须提供”的材料必须加盖投标人电子签章，格式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p w14:paraId="32B0D294">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2.联合体投标时，第1-8项资格证明文件联合体各方均必须分别提供，联合体各方分别盖章和签字（或者电子签名），否则按无效投标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p w14:paraId="448B5042">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3.分公司参加投标的，应当取得总公司授权。</w:t>
            </w:r>
          </w:p>
        </w:tc>
      </w:tr>
      <w:tr w14:paraId="2D7B26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2B289C8B">
            <w:pPr>
              <w:adjustRightInd w:val="0"/>
              <w:spacing w:line="400" w:lineRule="exact"/>
              <w:rPr>
                <w:rFonts w:ascii="宋体" w:hAnsi="宋体" w:cs="宋体"/>
                <w:color w:val="auto"/>
                <w:szCs w:val="21"/>
                <w:highlight w:val="none"/>
              </w:rPr>
            </w:pPr>
            <w:bookmarkStart w:id="57" w:name="_13.3"/>
            <w:bookmarkEnd w:id="57"/>
          </w:p>
        </w:tc>
        <w:tc>
          <w:tcPr>
            <w:tcW w:w="8423" w:type="dxa"/>
            <w:tcBorders>
              <w:top w:val="single" w:color="auto" w:sz="4" w:space="0"/>
              <w:left w:val="single" w:color="auto" w:sz="4" w:space="0"/>
              <w:bottom w:val="single" w:color="auto" w:sz="4" w:space="0"/>
              <w:right w:val="single" w:color="auto" w:sz="4" w:space="0"/>
            </w:tcBorders>
            <w:vAlign w:val="center"/>
          </w:tcPr>
          <w:p w14:paraId="500A47FA">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商务文件：</w:t>
            </w:r>
          </w:p>
          <w:p w14:paraId="3578269A">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1.无串通投标行为的承诺函（格式后附）；（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007FB721">
            <w:pPr>
              <w:adjustRightIn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2.投标保证金提交凭证；</w:t>
            </w:r>
            <w:r>
              <w:rPr>
                <w:rFonts w:hint="eastAsia" w:ascii="宋体" w:hAnsi="宋体" w:cs="宋体"/>
                <w:b/>
                <w:bCs/>
                <w:color w:val="auto"/>
                <w:szCs w:val="21"/>
                <w:highlight w:val="none"/>
              </w:rPr>
              <w:t>（如要求提交投标保证金的则必须提供，否则按无效投标处理）</w:t>
            </w:r>
          </w:p>
          <w:p w14:paraId="5D6DA12F">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1CD6D9A">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.授权委托书及委托代理人有效身份证正反面复印件（格式后附）；（</w:t>
            </w:r>
            <w:r>
              <w:rPr>
                <w:rFonts w:hint="eastAsia" w:ascii="宋体" w:hAnsi="宋体" w:cs="宋体"/>
                <w:b/>
                <w:color w:val="auto"/>
                <w:szCs w:val="21"/>
                <w:highlight w:val="none"/>
              </w:rPr>
              <w:t>委托时必须提供，否则按无效投标处理</w:t>
            </w:r>
            <w:r>
              <w:rPr>
                <w:rFonts w:hint="eastAsia" w:ascii="宋体" w:hAnsi="宋体" w:cs="宋体"/>
                <w:color w:val="auto"/>
                <w:szCs w:val="21"/>
                <w:highlight w:val="none"/>
              </w:rPr>
              <w:t>）</w:t>
            </w:r>
          </w:p>
          <w:p w14:paraId="50F28B81">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.商务要求承诺响应表（格式后附）；（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03DEB68C">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bCs/>
                <w:color w:val="auto"/>
                <w:szCs w:val="21"/>
                <w:highlight w:val="none"/>
              </w:rPr>
              <w:t>安装实施方案</w:t>
            </w:r>
            <w:r>
              <w:rPr>
                <w:rFonts w:hint="eastAsia" w:ascii="宋体" w:hAnsi="宋体" w:cs="宋体"/>
                <w:color w:val="auto"/>
                <w:szCs w:val="21"/>
                <w:highlight w:val="none"/>
              </w:rPr>
              <w:t>（格式后附）；内容包含但不限于：①安装方案；②设备调试方案；③设备试运行方案等。</w:t>
            </w:r>
          </w:p>
          <w:p w14:paraId="120DD4CE">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.增值售后服务方案（格式后附）；内容包含但不限于：①</w:t>
            </w:r>
            <w:r>
              <w:rPr>
                <w:rFonts w:hint="eastAsia" w:ascii="宋体" w:hAnsi="宋体" w:cs="宋体"/>
                <w:color w:val="auto"/>
                <w:highlight w:val="none"/>
              </w:rPr>
              <w:t>服务人员的配备</w:t>
            </w:r>
            <w:r>
              <w:rPr>
                <w:rFonts w:hint="eastAsia" w:ascii="宋体" w:hAnsi="宋体" w:cs="宋体"/>
                <w:color w:val="auto"/>
                <w:szCs w:val="21"/>
                <w:highlight w:val="none"/>
              </w:rPr>
              <w:t>、故障出现解决方案，②定期维护 (注明时间)，③技术培训方案，④保修期外维修方案，⑤售后服务措施及其他优惠措施等。</w:t>
            </w:r>
          </w:p>
          <w:p w14:paraId="37A9A24D">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.投标人的业绩证明材料（格式后附）；</w:t>
            </w:r>
          </w:p>
          <w:p w14:paraId="01C4380C">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.投标人情况介绍（格式自拟）；</w:t>
            </w:r>
          </w:p>
          <w:p w14:paraId="5FA6D031">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.联合体协议书（格式后附，详见“其他文书、文件格式”）；（</w:t>
            </w:r>
            <w:r>
              <w:rPr>
                <w:rFonts w:hint="eastAsia" w:ascii="宋体" w:hAnsi="宋体" w:cs="宋体"/>
                <w:b/>
                <w:color w:val="auto"/>
                <w:szCs w:val="21"/>
                <w:highlight w:val="none"/>
              </w:rPr>
              <w:t>联合体投标时必须提供，否则按无效投标处理</w:t>
            </w:r>
            <w:r>
              <w:rPr>
                <w:rFonts w:hint="eastAsia" w:ascii="宋体" w:hAnsi="宋体" w:cs="宋体"/>
                <w:color w:val="auto"/>
                <w:szCs w:val="21"/>
                <w:highlight w:val="none"/>
              </w:rPr>
              <w:t>）</w:t>
            </w:r>
          </w:p>
          <w:p w14:paraId="1D8DCB9C">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.除招标文件规定必须提供以外，投标人认为需要提供的其他证明材料（格式自拟）。（投标人根据“第二章 采购需求”及“第四章 评标方法及评标标准”提供有关证明材料）。</w:t>
            </w:r>
          </w:p>
          <w:p w14:paraId="63C8E80D">
            <w:pPr>
              <w:adjustRightInd w:val="0"/>
              <w:spacing w:line="400" w:lineRule="exact"/>
              <w:jc w:val="left"/>
              <w:rPr>
                <w:rFonts w:ascii="宋体" w:hAnsi="宋体" w:cs="宋体"/>
                <w:color w:val="auto"/>
                <w:szCs w:val="21"/>
                <w:highlight w:val="none"/>
              </w:rPr>
            </w:pPr>
            <w:r>
              <w:rPr>
                <w:rFonts w:hint="eastAsia" w:ascii="宋体" w:hAnsi="宋体" w:cs="宋体"/>
                <w:b/>
                <w:bCs/>
                <w:color w:val="auto"/>
                <w:szCs w:val="21"/>
                <w:highlight w:val="none"/>
              </w:rPr>
              <w:t>注：以上标明“必须提供”的材料必须加盖投标人电子签章，格式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2CB590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bottom w:val="single" w:color="auto" w:sz="4" w:space="0"/>
              <w:right w:val="single" w:color="auto" w:sz="4" w:space="0"/>
            </w:tcBorders>
            <w:vAlign w:val="center"/>
          </w:tcPr>
          <w:p w14:paraId="687CCB34">
            <w:pPr>
              <w:adjustRightInd w:val="0"/>
              <w:spacing w:line="400" w:lineRule="exact"/>
              <w:rPr>
                <w:rFonts w:ascii="宋体" w:hAnsi="宋体" w:cs="宋体"/>
                <w:color w:val="auto"/>
                <w:szCs w:val="21"/>
                <w:highlight w:val="none"/>
              </w:rPr>
            </w:pPr>
            <w:bookmarkStart w:id="58" w:name="_13.4"/>
            <w:bookmarkEnd w:id="58"/>
          </w:p>
        </w:tc>
        <w:tc>
          <w:tcPr>
            <w:tcW w:w="8423" w:type="dxa"/>
            <w:tcBorders>
              <w:top w:val="single" w:color="auto" w:sz="4" w:space="0"/>
              <w:left w:val="single" w:color="auto" w:sz="4" w:space="0"/>
              <w:bottom w:val="single" w:color="auto" w:sz="4" w:space="0"/>
              <w:right w:val="single" w:color="auto" w:sz="4" w:space="0"/>
            </w:tcBorders>
            <w:vAlign w:val="center"/>
          </w:tcPr>
          <w:p w14:paraId="168C73EB">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技术文件：</w:t>
            </w:r>
          </w:p>
          <w:p w14:paraId="2547B2AC">
            <w:pPr>
              <w:tabs>
                <w:tab w:val="left" w:pos="312"/>
              </w:tabs>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highlight w:val="none"/>
              </w:rPr>
              <w:t>投标人所投产品相应有效的《医疗器械产品注册证》复印件</w:t>
            </w:r>
            <w:r>
              <w:rPr>
                <w:rFonts w:hint="eastAsia" w:ascii="宋体" w:hAnsi="宋体" w:cs="宋体"/>
                <w:color w:val="auto"/>
                <w:szCs w:val="21"/>
                <w:highlight w:val="none"/>
              </w:rPr>
              <w:t>；（</w:t>
            </w:r>
            <w:r>
              <w:rPr>
                <w:rFonts w:hint="eastAsia" w:ascii="宋体" w:hAnsi="宋体" w:cs="宋体"/>
                <w:b/>
                <w:bCs/>
                <w:color w:val="auto"/>
                <w:szCs w:val="21"/>
                <w:highlight w:val="none"/>
              </w:rPr>
              <w:t>必须提供，否则作无效投标处理</w:t>
            </w:r>
            <w:r>
              <w:rPr>
                <w:rFonts w:hint="eastAsia" w:ascii="宋体" w:hAnsi="宋体" w:cs="宋体"/>
                <w:color w:val="auto"/>
                <w:szCs w:val="21"/>
                <w:highlight w:val="none"/>
              </w:rPr>
              <w:t>）</w:t>
            </w:r>
          </w:p>
          <w:p w14:paraId="4A9E4215">
            <w:pPr>
              <w:tabs>
                <w:tab w:val="left" w:pos="312"/>
              </w:tabs>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2.技术要求偏离表（格式后附）；（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459F20D">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3.设备性能配置清单（格式后附）；（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9A7AF11">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4.项目实施人员一览表（格式后附）；</w:t>
            </w:r>
          </w:p>
          <w:p w14:paraId="30F410EB">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5.对本项目系统总体要求的理解。包括：功能说明、性能指标及设备选型说明（质量、性能、价格、外观、体积等方面进行比较和选择的理由及过程）（格式自拟）；</w:t>
            </w:r>
          </w:p>
          <w:p w14:paraId="1E39D706">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6.产品出厂标准、质量检测报告（格式自拟）；</w:t>
            </w:r>
          </w:p>
          <w:p w14:paraId="2BFAB7E1">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7.优惠条件：投标人承诺给予招标人的各种优惠条件，包括选配件、专用耗材、售后服务优惠（格式后附）；注：投标人不得给予赠品或者与采购无关的其他商品、服务；</w:t>
            </w:r>
          </w:p>
          <w:p w14:paraId="4C6CFD24">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8.投标人对本项目的合理化建议和改进措施（格式自拟）；</w:t>
            </w:r>
          </w:p>
          <w:p w14:paraId="0C383615">
            <w:pPr>
              <w:adjustRightInd w:val="0"/>
              <w:spacing w:line="400" w:lineRule="exact"/>
              <w:jc w:val="left"/>
              <w:rPr>
                <w:rFonts w:ascii="宋体" w:hAnsi="宋体" w:cs="宋体"/>
                <w:bCs/>
                <w:color w:val="auto"/>
                <w:szCs w:val="21"/>
                <w:highlight w:val="none"/>
              </w:rPr>
            </w:pPr>
            <w:r>
              <w:rPr>
                <w:rFonts w:hint="eastAsia" w:ascii="宋体" w:hAnsi="宋体" w:cs="宋体"/>
                <w:color w:val="auto"/>
                <w:szCs w:val="21"/>
                <w:highlight w:val="none"/>
              </w:rPr>
              <w:t>9.除招标文件规定必须提供以外，投标人需要说明的其他文件和说明（格式自拟）。</w:t>
            </w:r>
          </w:p>
          <w:p w14:paraId="637F7B99">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注：以上标明“必须提供”的材料必须加盖投标人电子签章，格式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2AE2E2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C7DD183">
            <w:pPr>
              <w:adjustRightInd w:val="0"/>
              <w:spacing w:line="400" w:lineRule="exact"/>
              <w:jc w:val="center"/>
              <w:rPr>
                <w:rFonts w:ascii="宋体" w:hAnsi="宋体" w:cs="宋体"/>
                <w:color w:val="auto"/>
                <w:szCs w:val="21"/>
                <w:highlight w:val="none"/>
              </w:rPr>
            </w:pPr>
            <w:bookmarkStart w:id="59" w:name="_13.5"/>
            <w:bookmarkEnd w:id="59"/>
            <w:bookmarkStart w:id="60" w:name="_16.2"/>
            <w:bookmarkEnd w:id="60"/>
            <w:r>
              <w:rPr>
                <w:rFonts w:hint="eastAsia" w:ascii="宋体" w:hAnsi="宋体" w:cs="宋体"/>
                <w:color w:val="auto"/>
                <w:szCs w:val="21"/>
                <w:highlight w:val="none"/>
              </w:rPr>
              <w:t>16</w:t>
            </w:r>
            <w:bookmarkStart w:id="61" w:name="_Hlt19693758"/>
            <w:bookmarkStart w:id="62" w:name="_Hlt19194067"/>
            <w:bookmarkStart w:id="63" w:name="_Hlt19693759"/>
            <w:bookmarkStart w:id="64" w:name="_Hlt19194066"/>
            <w:r>
              <w:rPr>
                <w:rFonts w:hint="eastAsia" w:ascii="宋体" w:hAnsi="宋体" w:cs="宋体"/>
                <w:color w:val="auto"/>
                <w:szCs w:val="21"/>
                <w:highlight w:val="none"/>
              </w:rPr>
              <w:t>.</w:t>
            </w:r>
            <w:bookmarkEnd w:id="61"/>
            <w:bookmarkEnd w:id="62"/>
            <w:bookmarkEnd w:id="63"/>
            <w:bookmarkEnd w:id="64"/>
            <w:r>
              <w:rPr>
                <w:rFonts w:hint="eastAsia" w:ascii="宋体" w:hAnsi="宋体" w:cs="宋体"/>
                <w:color w:val="auto"/>
                <w:szCs w:val="21"/>
                <w:highlight w:val="none"/>
              </w:rPr>
              <w:t>2</w:t>
            </w:r>
          </w:p>
        </w:tc>
        <w:tc>
          <w:tcPr>
            <w:tcW w:w="8423" w:type="dxa"/>
            <w:tcBorders>
              <w:top w:val="single" w:color="auto" w:sz="4" w:space="0"/>
              <w:left w:val="single" w:color="auto" w:sz="4" w:space="0"/>
              <w:bottom w:val="single" w:color="auto" w:sz="4" w:space="0"/>
              <w:right w:val="single" w:color="auto" w:sz="4" w:space="0"/>
            </w:tcBorders>
            <w:vAlign w:val="center"/>
          </w:tcPr>
          <w:p w14:paraId="11DB734C">
            <w:pPr>
              <w:adjustRightInd w:val="0"/>
              <w:spacing w:line="400" w:lineRule="exact"/>
              <w:rPr>
                <w:rFonts w:ascii="宋体" w:hAnsi="宋体" w:cs="宋体"/>
                <w:b/>
                <w:color w:val="auto"/>
                <w:szCs w:val="21"/>
                <w:highlight w:val="none"/>
              </w:rPr>
            </w:pPr>
            <w:r>
              <w:rPr>
                <w:rFonts w:hint="eastAsia" w:ascii="宋体" w:hAnsi="宋体" w:cs="宋体"/>
                <w:color w:val="auto"/>
                <w:szCs w:val="21"/>
                <w:highlight w:val="none"/>
              </w:rPr>
              <w:t>投标报价是履行合同的最终价格，包括但不限于：货物货款、货物标准附件、备品配件、专用工具、包装、运输、装卸、保险、税金、货到就位和安装、调试、培训、保修、验收等的费用。</w:t>
            </w:r>
            <w:r>
              <w:rPr>
                <w:rFonts w:ascii="Arial" w:hAnsi="Arial" w:cs="Arial"/>
                <w:color w:val="auto"/>
                <w:szCs w:val="21"/>
                <w:highlight w:val="none"/>
              </w:rPr>
              <w:t>对于本文件中明确列明必须报价的货物或服务</w:t>
            </w:r>
            <w:r>
              <w:rPr>
                <w:rFonts w:hint="eastAsia" w:ascii="Arial" w:hAnsi="Arial" w:cs="Arial"/>
                <w:color w:val="auto"/>
                <w:szCs w:val="21"/>
                <w:highlight w:val="none"/>
              </w:rPr>
              <w:t>，投标人</w:t>
            </w:r>
            <w:r>
              <w:rPr>
                <w:rFonts w:ascii="Arial" w:hAnsi="Arial" w:cs="Arial"/>
                <w:color w:val="auto"/>
                <w:szCs w:val="21"/>
                <w:highlight w:val="none"/>
              </w:rPr>
              <w:t>应分别报价。对于本文件中未列明</w:t>
            </w:r>
            <w:r>
              <w:rPr>
                <w:rFonts w:hint="eastAsia" w:ascii="Arial" w:hAnsi="Arial" w:cs="Arial"/>
                <w:color w:val="auto"/>
                <w:szCs w:val="21"/>
                <w:highlight w:val="none"/>
              </w:rPr>
              <w:t>，</w:t>
            </w:r>
            <w:r>
              <w:rPr>
                <w:rFonts w:ascii="Arial" w:hAnsi="Arial" w:cs="Arial"/>
                <w:color w:val="auto"/>
                <w:szCs w:val="21"/>
                <w:highlight w:val="none"/>
              </w:rPr>
              <w:t>而</w:t>
            </w:r>
            <w:r>
              <w:rPr>
                <w:rFonts w:hint="eastAsia" w:ascii="Arial" w:hAnsi="Arial" w:cs="Arial"/>
                <w:color w:val="auto"/>
                <w:szCs w:val="21"/>
                <w:highlight w:val="none"/>
              </w:rPr>
              <w:t>投标人</w:t>
            </w:r>
            <w:r>
              <w:rPr>
                <w:rFonts w:ascii="Arial" w:hAnsi="Arial" w:cs="Arial"/>
                <w:color w:val="auto"/>
                <w:szCs w:val="21"/>
                <w:highlight w:val="none"/>
              </w:rPr>
              <w:t>认为必需的费用也需列入总报价。在合同实施时</w:t>
            </w:r>
            <w:r>
              <w:rPr>
                <w:rFonts w:hint="eastAsia" w:ascii="Arial" w:hAnsi="Arial" w:cs="Arial"/>
                <w:color w:val="auto"/>
                <w:szCs w:val="21"/>
                <w:highlight w:val="none"/>
              </w:rPr>
              <w:t>，采购人</w:t>
            </w:r>
            <w:r>
              <w:rPr>
                <w:rFonts w:ascii="Arial" w:hAnsi="Arial" w:cs="Arial"/>
                <w:color w:val="auto"/>
                <w:szCs w:val="21"/>
                <w:highlight w:val="none"/>
              </w:rPr>
              <w:t>将不予支付</w:t>
            </w:r>
            <w:r>
              <w:rPr>
                <w:rFonts w:hint="eastAsia" w:ascii="Arial" w:hAnsi="Arial" w:cs="Arial"/>
                <w:color w:val="auto"/>
                <w:szCs w:val="21"/>
                <w:highlight w:val="none"/>
              </w:rPr>
              <w:t>投标人</w:t>
            </w:r>
            <w:r>
              <w:rPr>
                <w:rFonts w:ascii="Arial" w:hAnsi="Arial" w:cs="Arial"/>
                <w:color w:val="auto"/>
                <w:szCs w:val="21"/>
                <w:highlight w:val="none"/>
              </w:rPr>
              <w:t>没有列入的项目费用</w:t>
            </w:r>
            <w:r>
              <w:rPr>
                <w:rFonts w:hint="eastAsia" w:ascii="Arial" w:hAnsi="Arial" w:cs="Arial"/>
                <w:color w:val="auto"/>
                <w:szCs w:val="21"/>
                <w:highlight w:val="none"/>
              </w:rPr>
              <w:t>，</w:t>
            </w:r>
            <w:r>
              <w:rPr>
                <w:rFonts w:ascii="Arial" w:hAnsi="Arial" w:cs="Arial"/>
                <w:color w:val="auto"/>
                <w:szCs w:val="21"/>
                <w:highlight w:val="none"/>
              </w:rPr>
              <w:t>并认为此项目的费用已包括在投标总报价中。</w:t>
            </w:r>
          </w:p>
        </w:tc>
      </w:tr>
      <w:tr w14:paraId="5152CF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D26BB63">
            <w:pPr>
              <w:adjustRightInd w:val="0"/>
              <w:spacing w:line="400" w:lineRule="exact"/>
              <w:jc w:val="center"/>
              <w:rPr>
                <w:rFonts w:ascii="宋体" w:hAnsi="宋体" w:cs="宋体"/>
                <w:color w:val="auto"/>
                <w:szCs w:val="21"/>
                <w:highlight w:val="none"/>
              </w:rPr>
            </w:pPr>
            <w:bookmarkStart w:id="65" w:name="_17.1"/>
            <w:bookmarkEnd w:id="65"/>
            <w:r>
              <w:rPr>
                <w:rFonts w:hint="eastAsia" w:ascii="宋体" w:hAnsi="宋体" w:cs="宋体"/>
                <w:color w:val="auto"/>
                <w:szCs w:val="21"/>
                <w:highlight w:val="none"/>
              </w:rPr>
              <w:t>17.2</w:t>
            </w:r>
          </w:p>
        </w:tc>
        <w:tc>
          <w:tcPr>
            <w:tcW w:w="8423" w:type="dxa"/>
            <w:tcBorders>
              <w:top w:val="single" w:color="auto" w:sz="4" w:space="0"/>
              <w:left w:val="single" w:color="auto" w:sz="4" w:space="0"/>
              <w:bottom w:val="single" w:color="auto" w:sz="4" w:space="0"/>
              <w:right w:val="single" w:color="auto" w:sz="4" w:space="0"/>
            </w:tcBorders>
            <w:vAlign w:val="center"/>
          </w:tcPr>
          <w:p w14:paraId="31EFA327">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投标有效期：自投标截止之日起</w:t>
            </w:r>
            <w:r>
              <w:rPr>
                <w:rFonts w:hint="eastAsia" w:ascii="宋体" w:hAnsi="宋体" w:cs="宋体"/>
                <w:color w:val="auto"/>
                <w:szCs w:val="21"/>
                <w:highlight w:val="none"/>
                <w:u w:val="single"/>
              </w:rPr>
              <w:t>180</w:t>
            </w:r>
            <w:r>
              <w:rPr>
                <w:rFonts w:hint="eastAsia" w:ascii="宋体" w:hAnsi="宋体" w:cs="宋体"/>
                <w:color w:val="auto"/>
                <w:szCs w:val="21"/>
                <w:highlight w:val="none"/>
              </w:rPr>
              <w:t>日。</w:t>
            </w:r>
          </w:p>
        </w:tc>
      </w:tr>
      <w:tr w14:paraId="5F0AA2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0DC5046">
            <w:pPr>
              <w:adjustRightInd w:val="0"/>
              <w:spacing w:line="400" w:lineRule="exact"/>
              <w:jc w:val="center"/>
              <w:rPr>
                <w:rFonts w:ascii="宋体" w:hAnsi="宋体" w:cs="宋体"/>
                <w:color w:val="auto"/>
                <w:szCs w:val="21"/>
                <w:highlight w:val="none"/>
              </w:rPr>
            </w:pPr>
            <w:bookmarkStart w:id="66" w:name="_18"/>
            <w:bookmarkEnd w:id="66"/>
            <w:r>
              <w:rPr>
                <w:rFonts w:hint="eastAsia" w:ascii="宋体" w:hAnsi="宋体" w:cs="宋体"/>
                <w:color w:val="auto"/>
                <w:szCs w:val="21"/>
                <w:highlight w:val="none"/>
              </w:rPr>
              <w:t>18.1</w:t>
            </w:r>
          </w:p>
        </w:tc>
        <w:tc>
          <w:tcPr>
            <w:tcW w:w="8423" w:type="dxa"/>
            <w:tcBorders>
              <w:top w:val="single" w:color="auto" w:sz="4" w:space="0"/>
              <w:left w:val="single" w:color="auto" w:sz="4" w:space="0"/>
              <w:bottom w:val="single" w:color="auto" w:sz="4" w:space="0"/>
              <w:right w:val="single" w:color="auto" w:sz="4" w:space="0"/>
            </w:tcBorders>
            <w:vAlign w:val="center"/>
          </w:tcPr>
          <w:p w14:paraId="4F007162">
            <w:pPr>
              <w:autoSpaceDE w:val="0"/>
              <w:autoSpaceDN w:val="0"/>
              <w:adjustRightIn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本项目不收取投标保证金。</w:t>
            </w:r>
          </w:p>
          <w:p w14:paraId="716DB3C0">
            <w:pPr>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本项目收取</w:t>
            </w:r>
            <w:r>
              <w:rPr>
                <w:rFonts w:hint="eastAsia" w:ascii="宋体" w:hAnsi="宋体"/>
                <w:color w:val="auto"/>
                <w:szCs w:val="21"/>
                <w:highlight w:val="none"/>
                <w:lang w:eastAsia="zh-CN"/>
              </w:rPr>
              <w:t>投标保证金</w:t>
            </w:r>
            <w:r>
              <w:rPr>
                <w:rFonts w:hint="eastAsia" w:ascii="宋体" w:hAnsi="宋体"/>
                <w:color w:val="auto"/>
                <w:szCs w:val="21"/>
                <w:highlight w:val="none"/>
              </w:rPr>
              <w:t>，具体规定如下：</w:t>
            </w:r>
          </w:p>
          <w:p w14:paraId="4D1A77EE">
            <w:pPr>
              <w:snapToGrid w:val="0"/>
              <w:spacing w:line="360" w:lineRule="auto"/>
              <w:rPr>
                <w:rFonts w:hint="eastAsia" w:ascii="宋体" w:hAnsi="宋体"/>
                <w:color w:val="auto"/>
                <w:szCs w:val="21"/>
                <w:highlight w:val="none"/>
              </w:rPr>
            </w:pPr>
            <w:r>
              <w:rPr>
                <w:rFonts w:hint="eastAsia" w:ascii="宋体" w:hAnsi="宋体" w:cs="宋体"/>
                <w:color w:val="auto"/>
                <w:kern w:val="0"/>
                <w:szCs w:val="21"/>
                <w:highlight w:val="none"/>
              </w:rPr>
              <w:t>本项目</w:t>
            </w:r>
            <w:r>
              <w:rPr>
                <w:rFonts w:hint="eastAsia" w:ascii="宋体" w:hAnsi="宋体" w:cs="宋体"/>
                <w:color w:val="auto"/>
                <w:kern w:val="0"/>
                <w:szCs w:val="21"/>
                <w:highlight w:val="none"/>
                <w:lang w:eastAsia="zh-CN"/>
              </w:rPr>
              <w:t>投标保证金</w:t>
            </w:r>
            <w:r>
              <w:rPr>
                <w:rFonts w:hint="eastAsia" w:ascii="宋体" w:hAnsi="宋体" w:cs="宋体"/>
                <w:color w:val="auto"/>
                <w:kern w:val="0"/>
                <w:szCs w:val="21"/>
                <w:highlight w:val="none"/>
              </w:rPr>
              <w:t>为人民币</w:t>
            </w:r>
            <w:r>
              <w:rPr>
                <w:rFonts w:hint="eastAsia" w:ascii="宋体" w:hAnsi="宋体" w:cs="宋体"/>
                <w:color w:val="auto"/>
                <w:kern w:val="0"/>
                <w:szCs w:val="21"/>
                <w:highlight w:val="none"/>
                <w:lang w:eastAsia="zh-CN"/>
              </w:rPr>
              <w:t>肆</w:t>
            </w:r>
            <w:r>
              <w:rPr>
                <w:rFonts w:hint="eastAsia" w:ascii="宋体" w:hAnsi="宋体" w:cs="宋体"/>
                <w:color w:val="auto"/>
                <w:kern w:val="0"/>
                <w:szCs w:val="21"/>
                <w:highlight w:val="none"/>
              </w:rPr>
              <w:t>万元整（¥</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0000.00）（须足额交纳）。</w:t>
            </w:r>
          </w:p>
          <w:p w14:paraId="16DA2E32">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投标保证金</w:t>
            </w:r>
            <w:r>
              <w:rPr>
                <w:rFonts w:hint="eastAsia" w:ascii="宋体" w:hAnsi="宋体" w:cs="宋体"/>
                <w:color w:val="auto"/>
                <w:kern w:val="0"/>
                <w:szCs w:val="21"/>
                <w:highlight w:val="none"/>
              </w:rPr>
              <w:t>的交纳方式：银行转账、支票、汇票、本票或者金融机构、担保机构出具的保函</w:t>
            </w:r>
            <w:r>
              <w:rPr>
                <w:rFonts w:hint="eastAsia" w:ascii="宋体" w:hAnsi="宋体"/>
                <w:color w:val="auto"/>
                <w:szCs w:val="21"/>
                <w:highlight w:val="none"/>
              </w:rPr>
              <w:t>（包含电子保函）</w:t>
            </w:r>
            <w:r>
              <w:rPr>
                <w:rFonts w:hint="eastAsia" w:ascii="宋体" w:hAnsi="宋体" w:cs="宋体"/>
                <w:color w:val="auto"/>
                <w:kern w:val="0"/>
                <w:szCs w:val="21"/>
                <w:highlight w:val="none"/>
              </w:rPr>
              <w:t>，禁止采用现钞方式。采用银行转账方式的，在</w:t>
            </w:r>
            <w:r>
              <w:rPr>
                <w:rFonts w:hint="eastAsia" w:ascii="宋体" w:hAnsi="宋体" w:cs="宋体"/>
                <w:color w:val="auto"/>
                <w:kern w:val="0"/>
                <w:szCs w:val="21"/>
                <w:highlight w:val="none"/>
                <w:lang w:eastAsia="zh-CN"/>
              </w:rPr>
              <w:t>投标</w:t>
            </w:r>
            <w:r>
              <w:rPr>
                <w:rFonts w:hint="eastAsia" w:ascii="宋体" w:hAnsi="宋体" w:cs="宋体"/>
                <w:color w:val="auto"/>
                <w:kern w:val="0"/>
                <w:szCs w:val="21"/>
                <w:highlight w:val="none"/>
              </w:rPr>
              <w:t>文件提交截止时间前交至指定账户并且到账</w:t>
            </w:r>
            <w:r>
              <w:rPr>
                <w:rFonts w:hint="eastAsia" w:ascii="宋体" w:hAnsi="宋体" w:cs="宋体"/>
                <w:b/>
                <w:color w:val="auto"/>
                <w:kern w:val="0"/>
                <w:szCs w:val="21"/>
                <w:highlight w:val="none"/>
              </w:rPr>
              <w:t>（开户名称：云之龙咨询集团有限公司桂林分公司；银行账号：8113001013100074449；开户银行：中信银行股份有限公司南宁</w:t>
            </w:r>
            <w:r>
              <w:rPr>
                <w:rFonts w:hint="eastAsia" w:ascii="宋体" w:hAnsi="宋体" w:cs="宋体"/>
                <w:b/>
                <w:color w:val="auto"/>
                <w:kern w:val="0"/>
                <w:szCs w:val="21"/>
                <w:highlight w:val="none"/>
                <w:lang w:eastAsia="zh-CN"/>
              </w:rPr>
              <w:t>园湖</w:t>
            </w:r>
            <w:r>
              <w:rPr>
                <w:rFonts w:hint="eastAsia" w:ascii="宋体" w:hAnsi="宋体" w:cs="宋体"/>
                <w:b/>
                <w:color w:val="auto"/>
                <w:kern w:val="0"/>
                <w:szCs w:val="21"/>
                <w:highlight w:val="none"/>
              </w:rPr>
              <w:t>支行）</w:t>
            </w:r>
            <w:r>
              <w:rPr>
                <w:rFonts w:hint="eastAsia" w:ascii="宋体" w:hAnsi="宋体" w:cs="宋体"/>
                <w:color w:val="auto"/>
                <w:kern w:val="0"/>
                <w:szCs w:val="21"/>
                <w:highlight w:val="none"/>
              </w:rPr>
              <w:t>；采用支票、汇票、本票或者保函等方式的，在</w:t>
            </w:r>
            <w:r>
              <w:rPr>
                <w:rFonts w:hint="eastAsia" w:ascii="宋体" w:hAnsi="宋体" w:cs="宋体"/>
                <w:color w:val="auto"/>
                <w:kern w:val="0"/>
                <w:szCs w:val="21"/>
                <w:highlight w:val="none"/>
                <w:lang w:eastAsia="zh-CN"/>
              </w:rPr>
              <w:t>投标</w:t>
            </w:r>
            <w:r>
              <w:rPr>
                <w:rFonts w:hint="eastAsia" w:ascii="宋体" w:hAnsi="宋体" w:cs="宋体"/>
                <w:color w:val="auto"/>
                <w:kern w:val="0"/>
                <w:szCs w:val="21"/>
                <w:highlight w:val="none"/>
              </w:rPr>
              <w:t>文件提交截止时间前，</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必须提交单独密封的支票、汇票、本票或者保函原件。</w:t>
            </w:r>
            <w:r>
              <w:rPr>
                <w:rFonts w:hint="eastAsia" w:ascii="宋体" w:hAnsi="宋体" w:cs="宋体"/>
                <w:b/>
                <w:color w:val="auto"/>
                <w:kern w:val="0"/>
                <w:szCs w:val="21"/>
                <w:highlight w:val="none"/>
              </w:rPr>
              <w:t>否则视为无效</w:t>
            </w:r>
            <w:r>
              <w:rPr>
                <w:rFonts w:hint="eastAsia" w:ascii="宋体" w:hAnsi="宋体" w:cs="宋体"/>
                <w:b/>
                <w:color w:val="auto"/>
                <w:kern w:val="0"/>
                <w:szCs w:val="21"/>
                <w:highlight w:val="none"/>
                <w:lang w:eastAsia="zh-CN"/>
              </w:rPr>
              <w:t>投标保证金</w:t>
            </w:r>
            <w:r>
              <w:rPr>
                <w:rFonts w:hint="eastAsia" w:ascii="宋体" w:hAnsi="宋体" w:cs="宋体"/>
                <w:b/>
                <w:color w:val="auto"/>
                <w:kern w:val="0"/>
                <w:szCs w:val="21"/>
                <w:highlight w:val="none"/>
              </w:rPr>
              <w:t>。</w:t>
            </w:r>
          </w:p>
          <w:p w14:paraId="14616AC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相关要求：</w:t>
            </w:r>
          </w:p>
          <w:p w14:paraId="3A8925F6">
            <w:pPr>
              <w:pStyle w:val="17"/>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1.投标保证金采用银行转账交纳方式，在投标截止时间前交至指定账户并且到账，投标人应将银行转账底单的复印件作为投标保证金提交凭证，</w:t>
            </w:r>
            <w:r>
              <w:rPr>
                <w:rFonts w:ascii="宋体" w:hAnsi="宋体"/>
                <w:color w:val="auto"/>
                <w:szCs w:val="21"/>
                <w:highlight w:val="none"/>
                <w:lang w:val="en-US" w:eastAsia="zh-CN"/>
              </w:rPr>
              <w:t>放置于</w:t>
            </w:r>
            <w:r>
              <w:rPr>
                <w:rFonts w:hint="eastAsia" w:ascii="宋体" w:hAnsi="宋体"/>
                <w:color w:val="auto"/>
                <w:szCs w:val="21"/>
                <w:highlight w:val="none"/>
                <w:lang w:val="en-US" w:eastAsia="zh-CN"/>
              </w:rPr>
              <w:t>商务及技术文件</w:t>
            </w:r>
            <w:r>
              <w:rPr>
                <w:rFonts w:ascii="宋体" w:hAnsi="宋体"/>
                <w:color w:val="auto"/>
                <w:szCs w:val="21"/>
                <w:highlight w:val="none"/>
                <w:lang w:val="en-US" w:eastAsia="zh-CN"/>
              </w:rPr>
              <w:t>中</w:t>
            </w:r>
            <w:r>
              <w:rPr>
                <w:rFonts w:hint="eastAsia" w:ascii="宋体" w:hAnsi="宋体"/>
                <w:color w:val="auto"/>
                <w:szCs w:val="21"/>
                <w:highlight w:val="none"/>
                <w:lang w:val="en-US" w:eastAsia="zh-CN"/>
              </w:rPr>
              <w:t>，</w:t>
            </w:r>
            <w:r>
              <w:rPr>
                <w:rFonts w:hint="eastAsia" w:ascii="宋体" w:hAnsi="宋体"/>
                <w:b/>
                <w:color w:val="auto"/>
                <w:szCs w:val="21"/>
                <w:highlight w:val="none"/>
                <w:lang w:val="en-US" w:eastAsia="zh-CN"/>
              </w:rPr>
              <w:t>否则投标无效</w:t>
            </w:r>
            <w:r>
              <w:rPr>
                <w:rFonts w:hint="eastAsia" w:ascii="宋体" w:hAnsi="宋体"/>
                <w:color w:val="auto"/>
                <w:szCs w:val="21"/>
                <w:highlight w:val="none"/>
                <w:lang w:val="en-US" w:eastAsia="zh-CN"/>
              </w:rPr>
              <w:t>。</w:t>
            </w:r>
          </w:p>
          <w:p w14:paraId="621FA1B8">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2.投标保证金采用支票、汇票、本票或者银行、保险机构出具的保函</w:t>
            </w:r>
            <w:r>
              <w:rPr>
                <w:color w:val="auto"/>
                <w:highlight w:val="none"/>
              </w:rPr>
              <w:t>（包含电子保函）</w:t>
            </w:r>
            <w:r>
              <w:rPr>
                <w:rFonts w:hint="eastAsia" w:ascii="宋体" w:hAnsi="宋体"/>
                <w:color w:val="auto"/>
                <w:szCs w:val="21"/>
                <w:highlight w:val="none"/>
              </w:rPr>
              <w:t>交纳方式的，投标人应将支票、汇票、本票或者银行、保险机构出具的保函</w:t>
            </w:r>
            <w:r>
              <w:rPr>
                <w:color w:val="auto"/>
                <w:highlight w:val="none"/>
              </w:rPr>
              <w:t>（包含电子保函）</w:t>
            </w:r>
            <w:r>
              <w:rPr>
                <w:rFonts w:hint="eastAsia" w:ascii="宋体" w:hAnsi="宋体"/>
                <w:color w:val="auto"/>
                <w:szCs w:val="21"/>
                <w:highlight w:val="none"/>
              </w:rPr>
              <w:t>的复印件作为投标保证金提交凭证，放置于商务及技术文件中，</w:t>
            </w:r>
            <w:r>
              <w:rPr>
                <w:rFonts w:hint="eastAsia" w:ascii="宋体" w:hAnsi="宋体"/>
                <w:b/>
                <w:color w:val="auto"/>
                <w:szCs w:val="21"/>
                <w:highlight w:val="none"/>
              </w:rPr>
              <w:t>否则投标无效</w:t>
            </w:r>
            <w:r>
              <w:rPr>
                <w:rFonts w:hint="eastAsia" w:ascii="宋体" w:hAnsi="宋体"/>
                <w:color w:val="auto"/>
                <w:szCs w:val="21"/>
                <w:highlight w:val="none"/>
              </w:rPr>
              <w:t>。投标人必须</w:t>
            </w:r>
            <w:r>
              <w:rPr>
                <w:rFonts w:hint="eastAsia"/>
                <w:color w:val="auto"/>
                <w:highlight w:val="none"/>
              </w:rPr>
              <w:t>在投标截止时间前采用现场或邮寄方式</w:t>
            </w:r>
            <w:r>
              <w:rPr>
                <w:rFonts w:hint="eastAsia" w:ascii="宋体" w:hAnsi="宋体"/>
                <w:color w:val="auto"/>
                <w:szCs w:val="21"/>
                <w:highlight w:val="none"/>
              </w:rPr>
              <w:t>（现场提交地址：</w:t>
            </w:r>
            <w:r>
              <w:rPr>
                <w:rFonts w:hint="eastAsia" w:ascii="宋体" w:hAnsi="宋体" w:cs="宋体"/>
                <w:color w:val="auto"/>
                <w:szCs w:val="21"/>
                <w:highlight w:val="none"/>
                <w:u w:val="single"/>
              </w:rPr>
              <w:t>桂林市公共资源交易中心9号开标室（广西桂林市临桂区西城中路69号创业大厦西辅楼4楼北区）</w:t>
            </w:r>
            <w:r>
              <w:rPr>
                <w:rFonts w:hint="eastAsia" w:ascii="宋体" w:hAnsi="宋体"/>
                <w:color w:val="auto"/>
                <w:szCs w:val="21"/>
                <w:highlight w:val="none"/>
              </w:rPr>
              <w:t>；邮寄地址：</w:t>
            </w:r>
            <w:r>
              <w:rPr>
                <w:rFonts w:hint="eastAsia" w:ascii="宋体" w:hAnsi="宋体"/>
                <w:color w:val="auto"/>
                <w:szCs w:val="21"/>
                <w:highlight w:val="none"/>
                <w:u w:val="single"/>
              </w:rPr>
              <w:t>广西壮族自治区桂林市临桂区西城北路2号耀辉•美好家园2幢12层1号房</w:t>
            </w:r>
            <w:r>
              <w:rPr>
                <w:rFonts w:hint="eastAsia" w:ascii="宋体" w:hAnsi="宋体"/>
                <w:color w:val="auto"/>
                <w:szCs w:val="21"/>
                <w:highlight w:val="none"/>
              </w:rPr>
              <w:t>，收件人：</w:t>
            </w:r>
            <w:r>
              <w:rPr>
                <w:rFonts w:hint="eastAsia" w:ascii="宋体" w:hAnsi="宋体"/>
                <w:color w:val="auto"/>
                <w:szCs w:val="21"/>
                <w:highlight w:val="none"/>
                <w:u w:val="single"/>
              </w:rPr>
              <w:t>吕雯</w:t>
            </w:r>
            <w:r>
              <w:rPr>
                <w:rFonts w:hint="eastAsia" w:ascii="宋体" w:hAnsi="宋体"/>
                <w:color w:val="auto"/>
                <w:szCs w:val="21"/>
                <w:highlight w:val="none"/>
                <w:u w:val="single"/>
                <w:lang w:eastAsia="zh-CN"/>
              </w:rPr>
              <w:t>、万紫琳</w:t>
            </w:r>
            <w:r>
              <w:rPr>
                <w:rFonts w:hint="eastAsia" w:ascii="宋体" w:hAnsi="宋体"/>
                <w:color w:val="auto"/>
                <w:szCs w:val="21"/>
                <w:highlight w:val="none"/>
              </w:rPr>
              <w:t>，联系方式：</w:t>
            </w:r>
            <w:r>
              <w:rPr>
                <w:rFonts w:hint="eastAsia" w:ascii="宋体" w:hAnsi="宋体"/>
                <w:color w:val="auto"/>
                <w:szCs w:val="21"/>
                <w:highlight w:val="none"/>
                <w:u w:val="single"/>
              </w:rPr>
              <w:t xml:space="preserve"> </w:t>
            </w:r>
            <w:r>
              <w:rPr>
                <w:rFonts w:ascii="宋体" w:hAnsi="宋体"/>
                <w:color w:val="auto"/>
                <w:szCs w:val="21"/>
                <w:highlight w:val="none"/>
                <w:u w:val="single"/>
              </w:rPr>
              <w:t>0773-2887388</w:t>
            </w:r>
            <w:r>
              <w:rPr>
                <w:rFonts w:hint="eastAsia" w:ascii="宋体" w:hAnsi="宋体"/>
                <w:color w:val="auto"/>
                <w:szCs w:val="21"/>
                <w:highlight w:val="none"/>
                <w:u w:val="single"/>
              </w:rPr>
              <w:t>、2</w:t>
            </w:r>
            <w:r>
              <w:rPr>
                <w:rFonts w:ascii="宋体" w:hAnsi="宋体"/>
                <w:color w:val="auto"/>
                <w:szCs w:val="21"/>
                <w:highlight w:val="none"/>
                <w:u w:val="single"/>
              </w:rPr>
              <w:t>887399</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支票、汇票、本票或者银行、保险机构出具的保函原件提交给采购人或者采购代理机构</w:t>
            </w:r>
            <w:r>
              <w:rPr>
                <w:rFonts w:hint="eastAsia" w:ascii="宋体" w:hAnsi="宋体"/>
                <w:color w:val="auto"/>
                <w:szCs w:val="21"/>
                <w:highlight w:val="none"/>
                <w:lang w:eastAsia="zh-CN"/>
              </w:rPr>
              <w:t>（电子保函除外）</w:t>
            </w:r>
            <w:r>
              <w:rPr>
                <w:rFonts w:hint="eastAsia" w:ascii="宋体" w:hAnsi="宋体"/>
                <w:color w:val="auto"/>
                <w:szCs w:val="21"/>
                <w:highlight w:val="none"/>
              </w:rPr>
              <w:t>，未按时提交的</w:t>
            </w:r>
            <w:r>
              <w:rPr>
                <w:rFonts w:hint="eastAsia" w:ascii="宋体" w:hAnsi="宋体"/>
                <w:b/>
                <w:color w:val="auto"/>
                <w:szCs w:val="21"/>
                <w:highlight w:val="none"/>
              </w:rPr>
              <w:t>，投标无效</w:t>
            </w:r>
            <w:r>
              <w:rPr>
                <w:rFonts w:hint="eastAsia" w:ascii="宋体" w:hAnsi="宋体"/>
                <w:color w:val="auto"/>
                <w:szCs w:val="21"/>
                <w:highlight w:val="none"/>
              </w:rPr>
              <w:t>，由采购人或者采购代理机构向投标人出具回执（邮寄方式的除外），并妥善保管。</w:t>
            </w:r>
          </w:p>
          <w:p w14:paraId="6548AD2A">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3</w:t>
            </w:r>
            <w:r>
              <w:rPr>
                <w:rFonts w:hint="eastAsia" w:ascii="宋体" w:hAnsi="宋体" w:cs="宋体"/>
                <w:color w:val="auto"/>
                <w:szCs w:val="21"/>
                <w:highlight w:val="none"/>
              </w:rPr>
              <w:t>.投标人为联合体的，可以由联合体中的一方或者多方共同交纳投标保证金，其交纳的保证金对联合体各方均具有约束力。</w:t>
            </w:r>
          </w:p>
          <w:p w14:paraId="5A53E55B">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 xml:space="preserve">备注： </w:t>
            </w:r>
          </w:p>
          <w:p w14:paraId="29275E02">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1</w:t>
            </w:r>
            <w:r>
              <w:rPr>
                <w:rFonts w:hint="eastAsia" w:ascii="宋体" w:hAnsi="宋体"/>
                <w:b/>
                <w:color w:val="auto"/>
                <w:szCs w:val="21"/>
                <w:highlight w:val="none"/>
                <w:lang w:eastAsia="zh-CN"/>
              </w:rPr>
              <w:t>）</w:t>
            </w:r>
            <w:r>
              <w:rPr>
                <w:rFonts w:hint="eastAsia" w:ascii="宋体" w:hAnsi="宋体"/>
                <w:b/>
                <w:color w:val="auto"/>
                <w:szCs w:val="21"/>
                <w:highlight w:val="none"/>
              </w:rPr>
              <w:t>投标保证金在投标截止时间后提交的，或者不按规定交纳方式交纳的，或者未足额交纳的（包含保函额度不足的），视为无效投标保证金。</w:t>
            </w:r>
          </w:p>
          <w:p w14:paraId="30468756">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2</w:t>
            </w:r>
            <w:r>
              <w:rPr>
                <w:rFonts w:hint="eastAsia" w:ascii="宋体" w:hAnsi="宋体"/>
                <w:b/>
                <w:color w:val="auto"/>
                <w:szCs w:val="21"/>
                <w:highlight w:val="none"/>
                <w:lang w:eastAsia="zh-CN"/>
              </w:rPr>
              <w:t>）</w:t>
            </w:r>
            <w:r>
              <w:rPr>
                <w:rFonts w:hint="eastAsia" w:ascii="宋体" w:hAnsi="宋体"/>
                <w:b/>
                <w:color w:val="auto"/>
                <w:szCs w:val="21"/>
                <w:highlight w:val="none"/>
              </w:rPr>
              <w:t>投标人采用现钞方式或者从个人账户（自然人投标除外）转出的投标保证金，视为无效投标保证金。</w:t>
            </w:r>
          </w:p>
          <w:p w14:paraId="158A55A4">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3</w:t>
            </w:r>
            <w:r>
              <w:rPr>
                <w:rFonts w:hint="eastAsia" w:ascii="宋体" w:hAnsi="宋体"/>
                <w:b/>
                <w:color w:val="auto"/>
                <w:szCs w:val="21"/>
                <w:highlight w:val="none"/>
                <w:lang w:eastAsia="zh-CN"/>
              </w:rPr>
              <w:t>）</w:t>
            </w:r>
            <w:r>
              <w:rPr>
                <w:rFonts w:hint="eastAsia" w:ascii="宋体" w:hAnsi="宋体"/>
                <w:b/>
                <w:color w:val="auto"/>
                <w:szCs w:val="21"/>
                <w:highlight w:val="none"/>
              </w:rPr>
              <w:t>支票、汇票或者本票出现无效或者背书情形的，视为无效投标保证金。</w:t>
            </w:r>
          </w:p>
          <w:p w14:paraId="195959A7">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4</w:t>
            </w:r>
            <w:r>
              <w:rPr>
                <w:rFonts w:hint="eastAsia" w:ascii="宋体" w:hAnsi="宋体"/>
                <w:b/>
                <w:color w:val="auto"/>
                <w:szCs w:val="21"/>
                <w:highlight w:val="none"/>
                <w:lang w:eastAsia="zh-CN"/>
              </w:rPr>
              <w:t>）</w:t>
            </w:r>
            <w:r>
              <w:rPr>
                <w:rFonts w:hint="eastAsia" w:ascii="宋体" w:hAnsi="宋体"/>
                <w:b/>
                <w:color w:val="auto"/>
                <w:szCs w:val="21"/>
                <w:highlight w:val="none"/>
              </w:rPr>
              <w:t>保函有效期低于投标有效期的，视为无效投标保证金。</w:t>
            </w:r>
          </w:p>
          <w:p w14:paraId="0CD7B2BD">
            <w:pPr>
              <w:snapToGrid w:val="0"/>
              <w:spacing w:line="360" w:lineRule="auto"/>
              <w:rPr>
                <w:color w:val="auto"/>
                <w:highlight w:val="none"/>
              </w:rPr>
            </w:pP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5</w:t>
            </w:r>
            <w:r>
              <w:rPr>
                <w:rFonts w:hint="eastAsia" w:ascii="宋体" w:hAnsi="宋体"/>
                <w:b/>
                <w:color w:val="auto"/>
                <w:szCs w:val="21"/>
                <w:highlight w:val="none"/>
                <w:lang w:eastAsia="zh-CN"/>
              </w:rPr>
              <w:t>）</w:t>
            </w:r>
            <w:r>
              <w:rPr>
                <w:rFonts w:hint="eastAsia" w:ascii="宋体" w:hAnsi="宋体"/>
                <w:b/>
                <w:color w:val="auto"/>
                <w:szCs w:val="21"/>
                <w:highlight w:val="none"/>
              </w:rPr>
              <w:t>采用银行、保险机构出具保函的，必须为无条件保函，否则视为无效投标保证金。</w:t>
            </w:r>
          </w:p>
        </w:tc>
      </w:tr>
      <w:tr w14:paraId="3D97AD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6062A08">
            <w:pPr>
              <w:adjustRightInd w:val="0"/>
              <w:spacing w:line="400" w:lineRule="exact"/>
              <w:jc w:val="center"/>
              <w:rPr>
                <w:rFonts w:ascii="宋体" w:hAnsi="宋体" w:cs="宋体"/>
                <w:color w:val="auto"/>
                <w:szCs w:val="21"/>
                <w:highlight w:val="none"/>
              </w:rPr>
            </w:pPr>
            <w:bookmarkStart w:id="67" w:name="_19.2"/>
            <w:bookmarkEnd w:id="67"/>
            <w:r>
              <w:rPr>
                <w:rFonts w:hint="eastAsia" w:ascii="宋体" w:hAnsi="宋体" w:cs="宋体"/>
                <w:color w:val="auto"/>
                <w:szCs w:val="21"/>
                <w:highlight w:val="none"/>
              </w:rPr>
              <w:t>20</w:t>
            </w:r>
          </w:p>
        </w:tc>
        <w:tc>
          <w:tcPr>
            <w:tcW w:w="8423" w:type="dxa"/>
            <w:tcBorders>
              <w:top w:val="single" w:color="auto" w:sz="4" w:space="0"/>
              <w:left w:val="single" w:color="auto" w:sz="4" w:space="0"/>
              <w:bottom w:val="single" w:color="auto" w:sz="4" w:space="0"/>
              <w:right w:val="single" w:color="auto" w:sz="4" w:space="0"/>
            </w:tcBorders>
            <w:vAlign w:val="center"/>
          </w:tcPr>
          <w:p w14:paraId="2587471B">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□本项目不接受电子备份投标文件。</w:t>
            </w:r>
          </w:p>
          <w:p w14:paraId="51BF9440">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☑本项目接受</w:t>
            </w:r>
            <w:r>
              <w:rPr>
                <w:rFonts w:hint="eastAsia" w:ascii="宋体" w:hAnsi="宋体" w:cs="宋体"/>
                <w:color w:val="auto"/>
                <w:highlight w:val="none"/>
              </w:rPr>
              <w:t>电子</w:t>
            </w:r>
            <w:r>
              <w:rPr>
                <w:rFonts w:hint="eastAsia" w:ascii="宋体" w:hAnsi="宋体" w:cs="宋体"/>
                <w:color w:val="auto"/>
                <w:szCs w:val="21"/>
                <w:highlight w:val="none"/>
              </w:rPr>
              <w:t>备份投标文件。</w:t>
            </w:r>
          </w:p>
          <w:p w14:paraId="3DA732FE">
            <w:pPr>
              <w:autoSpaceDE w:val="0"/>
              <w:autoSpaceDN w:val="0"/>
              <w:adjustRightInd w:val="0"/>
              <w:spacing w:line="400" w:lineRule="exact"/>
              <w:ind w:firstLine="420" w:firstLineChars="200"/>
              <w:textAlignment w:val="bottom"/>
              <w:rPr>
                <w:rFonts w:ascii="宋体" w:hAnsi="宋体" w:cs="宋体"/>
                <w:color w:val="auto"/>
                <w:highlight w:val="none"/>
              </w:rPr>
            </w:pPr>
            <w:r>
              <w:rPr>
                <w:rFonts w:hint="eastAsia" w:ascii="宋体" w:hAnsi="宋体" w:cs="宋体"/>
                <w:color w:val="auto"/>
                <w:highlight w:val="none"/>
              </w:rPr>
              <w:t>电子</w:t>
            </w:r>
            <w:r>
              <w:rPr>
                <w:rFonts w:hint="eastAsia" w:ascii="宋体" w:hAnsi="宋体" w:cs="宋体"/>
                <w:color w:val="auto"/>
                <w:szCs w:val="21"/>
                <w:highlight w:val="none"/>
              </w:rPr>
              <w:t>备份投标文件</w:t>
            </w:r>
            <w:r>
              <w:rPr>
                <w:rFonts w:hint="eastAsia" w:ascii="宋体" w:hAnsi="宋体" w:cs="宋体"/>
                <w:color w:val="auto"/>
                <w:highlight w:val="none"/>
              </w:rPr>
              <w:t>提交方式：投标人可以在解密截止时间起30分钟内采用以下</w:t>
            </w:r>
            <w:r>
              <w:rPr>
                <w:rFonts w:hint="eastAsia" w:ascii="宋体" w:hAnsi="宋体" w:cs="宋体"/>
                <w:color w:val="auto"/>
                <w:highlight w:val="none"/>
                <w:u w:val="single"/>
              </w:rPr>
              <w:t>第（1）或（2）</w:t>
            </w:r>
            <w:r>
              <w:rPr>
                <w:rFonts w:hint="eastAsia" w:ascii="宋体" w:hAnsi="宋体" w:cs="宋体"/>
                <w:color w:val="auto"/>
                <w:highlight w:val="none"/>
              </w:rPr>
              <w:t>种方式向采购代理机构提交电子备份投标文件：</w:t>
            </w:r>
          </w:p>
          <w:p w14:paraId="525C08A6">
            <w:pPr>
              <w:autoSpaceDE w:val="0"/>
              <w:autoSpaceDN w:val="0"/>
              <w:adjustRightInd w:val="0"/>
              <w:spacing w:line="400" w:lineRule="exact"/>
              <w:textAlignment w:val="bottom"/>
              <w:rPr>
                <w:rFonts w:ascii="宋体" w:hAnsi="宋体" w:cs="宋体"/>
                <w:color w:val="auto"/>
                <w:highlight w:val="none"/>
              </w:rPr>
            </w:pPr>
            <w:r>
              <w:rPr>
                <w:rFonts w:hint="eastAsia" w:ascii="宋体" w:hAnsi="宋体" w:cs="宋体"/>
                <w:color w:val="auto"/>
                <w:highlight w:val="none"/>
              </w:rPr>
              <w:t>（1）现场提交方式，应采用U盘进行存储，提交地址：</w:t>
            </w:r>
            <w:r>
              <w:rPr>
                <w:rFonts w:hint="eastAsia" w:ascii="宋体" w:hAnsi="宋体" w:cs="宋体"/>
                <w:color w:val="auto"/>
                <w:szCs w:val="21"/>
                <w:highlight w:val="none"/>
              </w:rPr>
              <w:t>桂林市公共资源交易中心9号开标室  （广西桂林市临桂区西城中路69号创业大厦西辅楼4楼北区）</w:t>
            </w:r>
            <w:r>
              <w:rPr>
                <w:rFonts w:hint="eastAsia" w:ascii="宋体" w:hAnsi="宋体" w:cs="宋体"/>
                <w:color w:val="auto"/>
                <w:highlight w:val="none"/>
              </w:rPr>
              <w:t>；外包装上注明投标人名称、项目名称及项目编号（外包装不作密封要求）。</w:t>
            </w:r>
          </w:p>
          <w:p w14:paraId="2FC4A1FF">
            <w:pPr>
              <w:autoSpaceDE w:val="0"/>
              <w:autoSpaceDN w:val="0"/>
              <w:adjustRightInd w:val="0"/>
              <w:spacing w:line="400" w:lineRule="exact"/>
              <w:textAlignment w:val="bottom"/>
              <w:rPr>
                <w:rFonts w:ascii="宋体" w:hAnsi="宋体" w:cs="宋体"/>
                <w:color w:val="auto"/>
                <w:highlight w:val="none"/>
              </w:rPr>
            </w:pPr>
            <w:r>
              <w:rPr>
                <w:rFonts w:hint="eastAsia" w:ascii="宋体" w:hAnsi="宋体" w:cs="宋体"/>
                <w:color w:val="auto"/>
                <w:highlight w:val="none"/>
              </w:rPr>
              <w:t>（2）若投标人在规定的时间内无法解密或解密失败的，可以在投标文件解密截止时间后30分钟内向采购代理机构提交电子备份投标文件（接收电子备份投标文件的电子邮箱为：guilinyl@vip.sina.com）。投标人未按上述规定提交的电子备份投标文件，采购代理机构不予接收或承认。若投标人无法在规定的时间内解密投标文件或者解密失败的，采购代理机构将电子备份投标文件按“广西政府采购云平台”操作规范上传至“广西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投标人的投标文件作无效处理。</w:t>
            </w:r>
          </w:p>
          <w:p w14:paraId="25877760">
            <w:pPr>
              <w:autoSpaceDE w:val="0"/>
              <w:autoSpaceDN w:val="0"/>
              <w:adjustRightInd w:val="0"/>
              <w:spacing w:line="400" w:lineRule="exact"/>
              <w:textAlignment w:val="bottom"/>
              <w:rPr>
                <w:rFonts w:ascii="宋体" w:hAnsi="宋体" w:cs="宋体"/>
                <w:color w:val="auto"/>
                <w:highlight w:val="none"/>
              </w:rPr>
            </w:pPr>
            <w:r>
              <w:rPr>
                <w:rFonts w:hint="eastAsia" w:ascii="宋体" w:hAnsi="宋体" w:cs="宋体"/>
                <w:color w:val="auto"/>
                <w:highlight w:val="none"/>
              </w:rPr>
              <w:t>（3）邮寄方式，应采用U盘进行存储，邮寄地址：</w:t>
            </w:r>
            <w:r>
              <w:rPr>
                <w:rFonts w:hint="eastAsia" w:ascii="宋体" w:hAnsi="宋体" w:cs="宋体"/>
                <w:color w:val="auto"/>
                <w:highlight w:val="none"/>
                <w:u w:val="single"/>
              </w:rPr>
              <w:t xml:space="preserve">   \   </w:t>
            </w:r>
            <w:r>
              <w:rPr>
                <w:rFonts w:hint="eastAsia" w:ascii="宋体" w:hAnsi="宋体" w:cs="宋体"/>
                <w:color w:val="auto"/>
                <w:highlight w:val="none"/>
              </w:rPr>
              <w:t>，收件人：</w:t>
            </w:r>
            <w:r>
              <w:rPr>
                <w:rFonts w:hint="eastAsia" w:ascii="宋体" w:hAnsi="宋体" w:cs="宋体"/>
                <w:color w:val="auto"/>
                <w:highlight w:val="none"/>
                <w:u w:val="single"/>
              </w:rPr>
              <w:t xml:space="preserve">  \    </w:t>
            </w:r>
            <w:r>
              <w:rPr>
                <w:rFonts w:hint="eastAsia" w:ascii="宋体" w:hAnsi="宋体" w:cs="宋体"/>
                <w:color w:val="auto"/>
                <w:highlight w:val="none"/>
              </w:rPr>
              <w:t>，联系方式：</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；外包装上注明投标人名称、项目名称及项目编号（外包装不作密封要求）。 </w:t>
            </w:r>
          </w:p>
          <w:p w14:paraId="58FB5924">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highlight w:val="none"/>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政府采购云平台”操作规范上传至“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Pr>
                <w:rFonts w:hint="eastAsia" w:ascii="宋体" w:hAnsi="宋体" w:cs="宋体"/>
                <w:b/>
                <w:bCs/>
                <w:color w:val="auto"/>
                <w:highlight w:val="none"/>
              </w:rPr>
              <w:t>投标人的投标文件作无效处理。</w:t>
            </w:r>
          </w:p>
        </w:tc>
      </w:tr>
      <w:tr w14:paraId="5C7B8B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7EF7E32A">
            <w:pPr>
              <w:adjustRightInd w:val="0"/>
              <w:spacing w:line="400" w:lineRule="exact"/>
              <w:jc w:val="center"/>
              <w:rPr>
                <w:rFonts w:ascii="宋体" w:hAnsi="宋体" w:cs="宋体"/>
                <w:color w:val="auto"/>
                <w:szCs w:val="21"/>
                <w:highlight w:val="none"/>
              </w:rPr>
            </w:pPr>
            <w:bookmarkStart w:id="68" w:name="_21.1"/>
            <w:bookmarkEnd w:id="68"/>
            <w:r>
              <w:rPr>
                <w:rFonts w:hint="eastAsia" w:ascii="宋体" w:hAnsi="宋体" w:cs="宋体"/>
                <w:color w:val="auto"/>
                <w:szCs w:val="21"/>
                <w:highlight w:val="none"/>
              </w:rPr>
              <w:t>21.1</w:t>
            </w:r>
          </w:p>
        </w:tc>
        <w:tc>
          <w:tcPr>
            <w:tcW w:w="8423" w:type="dxa"/>
            <w:tcBorders>
              <w:top w:val="single" w:color="auto" w:sz="4" w:space="0"/>
              <w:left w:val="single" w:color="auto" w:sz="4" w:space="0"/>
              <w:bottom w:val="single" w:color="auto" w:sz="4" w:space="0"/>
              <w:right w:val="single" w:color="auto" w:sz="4" w:space="0"/>
            </w:tcBorders>
            <w:vAlign w:val="center"/>
          </w:tcPr>
          <w:p w14:paraId="06D2B773">
            <w:pPr>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1.投标文件提交截止时间：详见招标公告</w:t>
            </w:r>
          </w:p>
          <w:p w14:paraId="5CD46D8C">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2.投标地点：详见招标公告</w:t>
            </w:r>
          </w:p>
        </w:tc>
      </w:tr>
      <w:tr w14:paraId="76CB8F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AA72A1A">
            <w:pPr>
              <w:adjustRightInd w:val="0"/>
              <w:spacing w:line="400" w:lineRule="exact"/>
              <w:jc w:val="center"/>
              <w:rPr>
                <w:rFonts w:ascii="宋体" w:hAnsi="宋体" w:cs="宋体"/>
                <w:color w:val="auto"/>
                <w:szCs w:val="21"/>
                <w:highlight w:val="none"/>
              </w:rPr>
            </w:pPr>
            <w:bookmarkStart w:id="69" w:name="_23"/>
            <w:bookmarkEnd w:id="69"/>
            <w:r>
              <w:rPr>
                <w:rFonts w:hint="eastAsia" w:ascii="宋体" w:hAnsi="宋体" w:cs="宋体"/>
                <w:color w:val="auto"/>
                <w:szCs w:val="21"/>
                <w:highlight w:val="none"/>
              </w:rPr>
              <w:t>23</w:t>
            </w:r>
          </w:p>
        </w:tc>
        <w:tc>
          <w:tcPr>
            <w:tcW w:w="8423" w:type="dxa"/>
            <w:tcBorders>
              <w:top w:val="single" w:color="auto" w:sz="4" w:space="0"/>
              <w:left w:val="single" w:color="auto" w:sz="4" w:space="0"/>
              <w:bottom w:val="single" w:color="auto" w:sz="4" w:space="0"/>
              <w:right w:val="single" w:color="auto" w:sz="4" w:space="0"/>
            </w:tcBorders>
            <w:vAlign w:val="center"/>
          </w:tcPr>
          <w:p w14:paraId="4A06DFCB">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1.开标时间：详见招标公告</w:t>
            </w:r>
          </w:p>
          <w:p w14:paraId="04C43901">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2.开标地点：详见招标公告</w:t>
            </w:r>
          </w:p>
        </w:tc>
      </w:tr>
      <w:tr w14:paraId="08DBCE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A3C3F63">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24.3（1）</w:t>
            </w:r>
          </w:p>
        </w:tc>
        <w:tc>
          <w:tcPr>
            <w:tcW w:w="8423" w:type="dxa"/>
            <w:tcBorders>
              <w:top w:val="single" w:color="auto" w:sz="4" w:space="0"/>
              <w:left w:val="single" w:color="auto" w:sz="4" w:space="0"/>
              <w:bottom w:val="single" w:color="auto" w:sz="4" w:space="0"/>
              <w:right w:val="single" w:color="auto" w:sz="4" w:space="0"/>
            </w:tcBorders>
            <w:vAlign w:val="center"/>
          </w:tcPr>
          <w:p w14:paraId="7458AC6D">
            <w:pPr>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电子投标文件解密时间：</w:t>
            </w:r>
            <w:r>
              <w:rPr>
                <w:rFonts w:hint="eastAsia" w:ascii="宋体" w:hAnsi="宋体" w:cs="宋体"/>
                <w:color w:val="auto"/>
                <w:szCs w:val="21"/>
                <w:highlight w:val="none"/>
                <w:u w:val="single"/>
              </w:rPr>
              <w:t>30</w:t>
            </w:r>
            <w:r>
              <w:rPr>
                <w:rFonts w:hint="eastAsia" w:ascii="宋体" w:hAnsi="宋体" w:cs="宋体"/>
                <w:color w:val="auto"/>
                <w:szCs w:val="21"/>
                <w:highlight w:val="none"/>
              </w:rPr>
              <w:t>分钟</w:t>
            </w:r>
          </w:p>
        </w:tc>
      </w:tr>
      <w:tr w14:paraId="1CE77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3883D2A">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24.3（2）</w:t>
            </w:r>
          </w:p>
        </w:tc>
        <w:tc>
          <w:tcPr>
            <w:tcW w:w="8423" w:type="dxa"/>
            <w:tcBorders>
              <w:top w:val="single" w:color="auto" w:sz="4" w:space="0"/>
              <w:left w:val="single" w:color="auto" w:sz="4" w:space="0"/>
              <w:bottom w:val="single" w:color="auto" w:sz="4" w:space="0"/>
              <w:right w:val="single" w:color="auto" w:sz="4" w:space="0"/>
            </w:tcBorders>
            <w:vAlign w:val="center"/>
          </w:tcPr>
          <w:p w14:paraId="4C9F78BB">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宣布的内容：投标人名称、投标价格、</w:t>
            </w:r>
            <w:r>
              <w:rPr>
                <w:rFonts w:hint="eastAsia" w:ascii="宋体" w:hAnsi="宋体" w:cs="宋体"/>
                <w:color w:val="auto"/>
                <w:szCs w:val="21"/>
                <w:highlight w:val="none"/>
                <w:u w:val="single"/>
              </w:rPr>
              <w:t>\</w:t>
            </w:r>
          </w:p>
        </w:tc>
      </w:tr>
      <w:tr w14:paraId="62EC94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7B9AF49">
            <w:pPr>
              <w:adjustRightInd w:val="0"/>
              <w:spacing w:line="400" w:lineRule="exact"/>
              <w:jc w:val="center"/>
              <w:rPr>
                <w:rFonts w:ascii="宋体" w:hAnsi="宋体" w:cs="宋体"/>
                <w:color w:val="auto"/>
                <w:szCs w:val="21"/>
                <w:highlight w:val="none"/>
              </w:rPr>
            </w:pPr>
            <w:bookmarkStart w:id="70" w:name="_25.3"/>
            <w:bookmarkEnd w:id="70"/>
            <w:r>
              <w:rPr>
                <w:rFonts w:hint="eastAsia" w:ascii="宋体" w:hAnsi="宋体" w:cs="宋体"/>
                <w:color w:val="auto"/>
                <w:szCs w:val="21"/>
                <w:highlight w:val="none"/>
              </w:rPr>
              <w:t>25.3（2）</w:t>
            </w:r>
          </w:p>
        </w:tc>
        <w:tc>
          <w:tcPr>
            <w:tcW w:w="8423" w:type="dxa"/>
            <w:tcBorders>
              <w:top w:val="single" w:color="auto" w:sz="4" w:space="0"/>
              <w:left w:val="single" w:color="auto" w:sz="4" w:space="0"/>
              <w:bottom w:val="single" w:color="auto" w:sz="4" w:space="0"/>
              <w:right w:val="single" w:color="auto" w:sz="4" w:space="0"/>
            </w:tcBorders>
            <w:vAlign w:val="center"/>
          </w:tcPr>
          <w:p w14:paraId="29868D77">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29EDD125">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查询渠道：“信用中国”网站（</w:t>
            </w:r>
            <w:r>
              <w:rPr>
                <w:rFonts w:hint="eastAsia" w:ascii="宋体" w:hAnsi="宋体" w:cs="宋体"/>
                <w:color w:val="auto"/>
                <w:kern w:val="0"/>
                <w:szCs w:val="21"/>
                <w:highlight w:val="none"/>
              </w:rPr>
              <w:t>http://</w:t>
            </w:r>
            <w:r>
              <w:rPr>
                <w:rFonts w:hint="eastAsia" w:ascii="宋体" w:hAnsi="宋体" w:cs="宋体"/>
                <w:color w:val="auto"/>
                <w:szCs w:val="21"/>
                <w:highlight w:val="none"/>
              </w:rPr>
              <w:t>www.creditchina.gov.cn） 、中国政府采购网（</w:t>
            </w:r>
            <w:r>
              <w:rPr>
                <w:rFonts w:hint="eastAsia" w:ascii="宋体" w:hAnsi="宋体" w:cs="宋体"/>
                <w:color w:val="auto"/>
                <w:kern w:val="0"/>
                <w:szCs w:val="21"/>
                <w:highlight w:val="none"/>
              </w:rPr>
              <w:t>http://</w:t>
            </w:r>
            <w:r>
              <w:rPr>
                <w:rFonts w:hint="eastAsia" w:ascii="宋体" w:hAnsi="宋体" w:cs="宋体"/>
                <w:color w:val="auto"/>
                <w:szCs w:val="21"/>
                <w:highlight w:val="none"/>
              </w:rPr>
              <w:t>www.ccgp.gov.cn）。</w:t>
            </w:r>
          </w:p>
          <w:p w14:paraId="237D33C9">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15387A77">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查询记录和证据留存方式：在查询网站中直接截图查询记录，截图作为在“广西政府采购云平台”作为附件上传保存。</w:t>
            </w:r>
          </w:p>
          <w:p w14:paraId="32BEF5E8">
            <w:pPr>
              <w:adjustRightInd w:val="0"/>
              <w:spacing w:line="400" w:lineRule="exact"/>
              <w:rPr>
                <w:rFonts w:ascii="宋体" w:hAnsi="宋体" w:cs="宋体"/>
                <w:b/>
                <w:color w:val="auto"/>
                <w:szCs w:val="21"/>
                <w:highlight w:val="none"/>
              </w:rPr>
            </w:pPr>
            <w:r>
              <w:rPr>
                <w:rFonts w:hint="eastAsia" w:ascii="宋体" w:hAnsi="宋体" w:cs="宋体"/>
                <w:color w:val="auto"/>
                <w:szCs w:val="21"/>
                <w:highlight w:val="none"/>
              </w:rPr>
              <w:t>信用信息使用规则：对在“信用中国”网站（</w:t>
            </w:r>
            <w:r>
              <w:rPr>
                <w:rFonts w:hint="eastAsia" w:ascii="宋体" w:hAnsi="宋体" w:cs="宋体"/>
                <w:color w:val="auto"/>
                <w:kern w:val="0"/>
                <w:szCs w:val="21"/>
                <w:highlight w:val="none"/>
              </w:rPr>
              <w:t>http://</w:t>
            </w:r>
            <w:r>
              <w:rPr>
                <w:rFonts w:hint="eastAsia" w:ascii="宋体" w:hAnsi="宋体" w:cs="宋体"/>
                <w:color w:val="auto"/>
                <w:szCs w:val="21"/>
                <w:highlight w:val="none"/>
              </w:rPr>
              <w:t>www.creditchina.gov.cn） 、中国政府采购网（</w:t>
            </w:r>
            <w:r>
              <w:rPr>
                <w:rFonts w:hint="eastAsia" w:ascii="宋体" w:hAnsi="宋体" w:cs="宋体"/>
                <w:color w:val="auto"/>
                <w:kern w:val="0"/>
                <w:szCs w:val="21"/>
                <w:highlight w:val="none"/>
              </w:rPr>
              <w:t>http://</w:t>
            </w:r>
            <w:r>
              <w:rPr>
                <w:rFonts w:hint="eastAsia" w:ascii="宋体" w:hAnsi="宋体" w:cs="宋体"/>
                <w:color w:val="auto"/>
                <w:szCs w:val="21"/>
                <w:highlight w:val="none"/>
              </w:rPr>
              <w:t>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675512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9090C4D">
            <w:pPr>
              <w:adjustRightInd w:val="0"/>
              <w:spacing w:line="400" w:lineRule="exact"/>
              <w:jc w:val="center"/>
              <w:rPr>
                <w:rFonts w:ascii="宋体" w:hAnsi="宋体" w:cs="宋体"/>
                <w:color w:val="auto"/>
                <w:szCs w:val="21"/>
                <w:highlight w:val="none"/>
              </w:rPr>
            </w:pPr>
            <w:bookmarkStart w:id="71" w:name="_26"/>
            <w:bookmarkEnd w:id="71"/>
            <w:r>
              <w:rPr>
                <w:rFonts w:hint="eastAsia" w:ascii="宋体" w:hAnsi="宋体" w:cs="宋体"/>
                <w:color w:val="auto"/>
                <w:szCs w:val="21"/>
                <w:highlight w:val="none"/>
              </w:rPr>
              <w:t>26.1</w:t>
            </w:r>
          </w:p>
        </w:tc>
        <w:tc>
          <w:tcPr>
            <w:tcW w:w="8423" w:type="dxa"/>
            <w:tcBorders>
              <w:top w:val="single" w:color="auto" w:sz="4" w:space="0"/>
              <w:left w:val="single" w:color="auto" w:sz="4" w:space="0"/>
              <w:bottom w:val="single" w:color="auto" w:sz="4" w:space="0"/>
              <w:right w:val="single" w:color="auto" w:sz="4" w:space="0"/>
            </w:tcBorders>
            <w:vAlign w:val="center"/>
          </w:tcPr>
          <w:p w14:paraId="5B29A2BD">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评标委员会的人数：</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人</w:t>
            </w:r>
          </w:p>
        </w:tc>
      </w:tr>
      <w:tr w14:paraId="5A5C87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5B0399C">
            <w:pPr>
              <w:adjustRightInd w:val="0"/>
              <w:spacing w:line="400" w:lineRule="exact"/>
              <w:jc w:val="center"/>
              <w:rPr>
                <w:rFonts w:ascii="宋体" w:hAnsi="宋体" w:cs="宋体"/>
                <w:color w:val="auto"/>
                <w:szCs w:val="21"/>
                <w:highlight w:val="none"/>
              </w:rPr>
            </w:pPr>
            <w:bookmarkStart w:id="72" w:name="_28.3"/>
            <w:bookmarkEnd w:id="72"/>
            <w:r>
              <w:rPr>
                <w:rFonts w:hint="eastAsia" w:ascii="宋体" w:hAnsi="宋体" w:cs="宋体"/>
                <w:color w:val="auto"/>
                <w:szCs w:val="21"/>
                <w:highlight w:val="none"/>
              </w:rPr>
              <w:t>29.1</w:t>
            </w:r>
          </w:p>
        </w:tc>
        <w:tc>
          <w:tcPr>
            <w:tcW w:w="8423" w:type="dxa"/>
            <w:tcBorders>
              <w:top w:val="single" w:color="auto" w:sz="4" w:space="0"/>
              <w:left w:val="single" w:color="auto" w:sz="4" w:space="0"/>
              <w:bottom w:val="single" w:color="auto" w:sz="4" w:space="0"/>
              <w:right w:val="single" w:color="auto" w:sz="4" w:space="0"/>
            </w:tcBorders>
            <w:vAlign w:val="center"/>
          </w:tcPr>
          <w:p w14:paraId="149EEBFE">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评标方法：</w:t>
            </w:r>
          </w:p>
          <w:p w14:paraId="2FD02C57">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☑综合评分法</w:t>
            </w:r>
          </w:p>
          <w:p w14:paraId="6041E0DE">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□最低评标价法</w:t>
            </w:r>
          </w:p>
        </w:tc>
      </w:tr>
      <w:tr w14:paraId="0B8280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895" w:type="dxa"/>
            <w:tcBorders>
              <w:top w:val="single" w:color="auto" w:sz="4" w:space="0"/>
              <w:left w:val="single" w:color="auto" w:sz="4" w:space="0"/>
              <w:bottom w:val="single" w:color="auto" w:sz="4" w:space="0"/>
              <w:right w:val="single" w:color="auto" w:sz="4" w:space="0"/>
            </w:tcBorders>
            <w:vAlign w:val="center"/>
          </w:tcPr>
          <w:p w14:paraId="2ACC034E">
            <w:pPr>
              <w:adjustRightInd w:val="0"/>
              <w:spacing w:line="400" w:lineRule="exact"/>
              <w:jc w:val="center"/>
              <w:rPr>
                <w:rFonts w:ascii="宋体" w:hAnsi="宋体" w:cs="宋体"/>
                <w:color w:val="auto"/>
                <w:szCs w:val="21"/>
                <w:highlight w:val="none"/>
              </w:rPr>
            </w:pPr>
            <w:bookmarkStart w:id="73" w:name="_29.2.2（2）"/>
            <w:bookmarkEnd w:id="73"/>
            <w:r>
              <w:rPr>
                <w:rFonts w:hint="eastAsia" w:ascii="宋体" w:hAnsi="宋体" w:cs="宋体"/>
                <w:color w:val="auto"/>
                <w:szCs w:val="21"/>
                <w:highlight w:val="none"/>
              </w:rPr>
              <w:t>29.2</w:t>
            </w:r>
          </w:p>
        </w:tc>
        <w:tc>
          <w:tcPr>
            <w:tcW w:w="8423" w:type="dxa"/>
            <w:tcBorders>
              <w:top w:val="single" w:color="auto" w:sz="4" w:space="0"/>
              <w:left w:val="single" w:color="auto" w:sz="4" w:space="0"/>
              <w:right w:val="single" w:color="auto" w:sz="4" w:space="0"/>
            </w:tcBorders>
            <w:vAlign w:val="center"/>
          </w:tcPr>
          <w:p w14:paraId="6FA79CAD">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0C3294C8">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技术要求评审中允许负偏离的条款数：</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项。</w:t>
            </w:r>
          </w:p>
        </w:tc>
      </w:tr>
      <w:tr w14:paraId="020D47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28987D0E">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29.3</w:t>
            </w:r>
          </w:p>
        </w:tc>
        <w:tc>
          <w:tcPr>
            <w:tcW w:w="8423" w:type="dxa"/>
            <w:tcBorders>
              <w:top w:val="single" w:color="auto" w:sz="4" w:space="0"/>
              <w:left w:val="single" w:color="auto" w:sz="4" w:space="0"/>
              <w:right w:val="single" w:color="auto" w:sz="4" w:space="0"/>
            </w:tcBorders>
            <w:vAlign w:val="center"/>
          </w:tcPr>
          <w:p w14:paraId="7D025913">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中标候选人推荐数量：</w:t>
            </w:r>
          </w:p>
          <w:p w14:paraId="5E2029AF">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u w:val="single"/>
              </w:rPr>
              <w:t>\</w:t>
            </w:r>
            <w:r>
              <w:rPr>
                <w:rFonts w:hint="eastAsia" w:ascii="宋体" w:hAnsi="宋体" w:cs="宋体"/>
                <w:color w:val="auto"/>
                <w:szCs w:val="21"/>
                <w:highlight w:val="none"/>
              </w:rPr>
              <w:t>名</w:t>
            </w:r>
          </w:p>
          <w:p w14:paraId="12EBFB1D">
            <w:pPr>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☑根据[总得分由高到低（综合评分法）]排列次序并全部推荐为中标候选人</w:t>
            </w:r>
          </w:p>
        </w:tc>
      </w:tr>
      <w:tr w14:paraId="0827D3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27DBE2A">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30.1</w:t>
            </w:r>
          </w:p>
        </w:tc>
        <w:tc>
          <w:tcPr>
            <w:tcW w:w="8423" w:type="dxa"/>
            <w:tcBorders>
              <w:top w:val="single" w:color="auto" w:sz="4" w:space="0"/>
              <w:left w:val="single" w:color="auto" w:sz="4" w:space="0"/>
              <w:bottom w:val="single" w:color="auto" w:sz="4" w:space="0"/>
              <w:right w:val="single" w:color="auto" w:sz="4" w:space="0"/>
            </w:tcBorders>
            <w:vAlign w:val="center"/>
          </w:tcPr>
          <w:p w14:paraId="3CF52CF9">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采用综合评分法的采购项目，采购人确定中标人时，出现中标候选人并列的情形，采购人按以下的方式确定中标人：</w:t>
            </w:r>
          </w:p>
          <w:p w14:paraId="24CB2387">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☑依次按投标报价低的优先、技术分高的优先、</w:t>
            </w:r>
            <w:r>
              <w:rPr>
                <w:rFonts w:hint="eastAsia" w:ascii="宋体" w:hAnsi="宋体" w:cs="宋体"/>
                <w:bCs/>
                <w:color w:val="auto"/>
                <w:szCs w:val="21"/>
                <w:highlight w:val="none"/>
              </w:rPr>
              <w:t>安装实施方案分高的优先、</w:t>
            </w:r>
            <w:r>
              <w:rPr>
                <w:rFonts w:hint="eastAsia" w:ascii="宋体" w:hAnsi="宋体" w:cs="宋体"/>
                <w:color w:val="auto"/>
                <w:szCs w:val="21"/>
                <w:highlight w:val="none"/>
              </w:rPr>
              <w:t>增值售后服务方案分高的优先、履约能力分高的优先、政策分高的优先顺序推荐；</w:t>
            </w:r>
          </w:p>
          <w:p w14:paraId="201EA812">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53226C97">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p w14:paraId="6AACC394">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采用最低评标价法的采购项目，采购人确定中标人时，出现中标候选人并列的情形，采购人按以下的方式确定中标人：</w:t>
            </w:r>
          </w:p>
          <w:p w14:paraId="00D80619">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节能及环保产品累计金额高的优先、带“▲”的实质性要求正偏离项数多的优先、均无正偏离或者正偏离项数一致时负偏离项数少的优先、保修期长优先、交货期短优先、故障响应时间短优先的顺序确定。</w:t>
            </w:r>
          </w:p>
          <w:p w14:paraId="7A6E8DD3">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7E43BFF3">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tc>
      </w:tr>
      <w:tr w14:paraId="0C0ED9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7AD76FDB">
            <w:pPr>
              <w:adjustRightInd w:val="0"/>
              <w:spacing w:line="400" w:lineRule="exact"/>
              <w:jc w:val="center"/>
              <w:rPr>
                <w:rFonts w:ascii="宋体" w:hAnsi="宋体" w:cs="宋体"/>
                <w:color w:val="auto"/>
                <w:szCs w:val="21"/>
                <w:highlight w:val="none"/>
              </w:rPr>
            </w:pPr>
            <w:bookmarkStart w:id="74" w:name="_39.1"/>
            <w:bookmarkEnd w:id="74"/>
            <w:r>
              <w:rPr>
                <w:rFonts w:hint="eastAsia" w:ascii="宋体" w:hAnsi="宋体" w:cs="宋体"/>
                <w:color w:val="auto"/>
                <w:szCs w:val="21"/>
                <w:highlight w:val="none"/>
              </w:rPr>
              <w:t>35.1</w:t>
            </w:r>
          </w:p>
        </w:tc>
        <w:tc>
          <w:tcPr>
            <w:tcW w:w="8423" w:type="dxa"/>
            <w:tcBorders>
              <w:top w:val="single" w:color="auto" w:sz="4" w:space="0"/>
              <w:left w:val="single" w:color="auto" w:sz="4" w:space="0"/>
              <w:bottom w:val="single" w:color="auto" w:sz="4" w:space="0"/>
              <w:right w:val="single" w:color="auto" w:sz="4" w:space="0"/>
            </w:tcBorders>
            <w:vAlign w:val="center"/>
          </w:tcPr>
          <w:p w14:paraId="35EB2D3B">
            <w:pPr>
              <w:autoSpaceDE w:val="0"/>
              <w:autoSpaceDN w:val="0"/>
              <w:adjustRightIn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本项目不收取履约保证金。</w:t>
            </w:r>
          </w:p>
          <w:p w14:paraId="1A32EFE7">
            <w:pPr>
              <w:autoSpaceDE w:val="0"/>
              <w:autoSpaceDN w:val="0"/>
              <w:adjustRightIn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□本项目收取履约保证金，具体规定如下：</w:t>
            </w:r>
          </w:p>
          <w:p w14:paraId="2F2A1EA0">
            <w:pPr>
              <w:widowControl/>
              <w:autoSpaceDE w:val="0"/>
              <w:autoSpaceDN w:val="0"/>
              <w:snapToGrid w:val="0"/>
              <w:spacing w:line="360" w:lineRule="auto"/>
              <w:ind w:firstLine="420" w:firstLineChars="200"/>
              <w:jc w:val="left"/>
              <w:textAlignment w:val="bottom"/>
              <w:rPr>
                <w:rFonts w:ascii="宋体" w:hAnsi="宋体" w:cs="宋体"/>
                <w:color w:val="auto"/>
                <w:szCs w:val="21"/>
                <w:highlight w:val="none"/>
              </w:rPr>
            </w:pPr>
            <w:r>
              <w:rPr>
                <w:rFonts w:hint="eastAsia" w:ascii="宋体" w:hAnsi="宋体" w:cs="宋体"/>
                <w:color w:val="auto"/>
                <w:szCs w:val="21"/>
                <w:highlight w:val="none"/>
              </w:rPr>
              <w:t>履约保证金金额：按中标金额的1%。中标人必须在合同签订前向采购人足额缴纳履约保证金。</w:t>
            </w:r>
          </w:p>
          <w:p w14:paraId="7DE5B251">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b/>
                <w:color w:val="auto"/>
                <w:szCs w:val="21"/>
                <w:highlight w:val="none"/>
              </w:rPr>
              <w:t>注：根据《广西壮族自治区财政厅关于持续优化政府采购营商环境推动高质量发展的通知》（桂财采〔2024〕55号）规定，对中小企业收取的</w:t>
            </w:r>
            <w:r>
              <w:rPr>
                <w:rFonts w:hint="eastAsia" w:ascii="宋体" w:hAnsi="宋体" w:cs="宋体"/>
                <w:b/>
                <w:color w:val="auto"/>
                <w:kern w:val="0"/>
                <w:szCs w:val="21"/>
                <w:highlight w:val="none"/>
              </w:rPr>
              <w:t>履约保证金数额不得超过政府采购合同金额的2%。</w:t>
            </w:r>
          </w:p>
          <w:p w14:paraId="6FF6D797">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履约保证金递交方式：银行转账、支票、汇票、本票或者金融、担保机构出具的保函</w:t>
            </w:r>
            <w:r>
              <w:rPr>
                <w:rFonts w:hint="eastAsia" w:ascii="宋体" w:hAnsi="宋体" w:cs="宋体"/>
                <w:color w:val="auto"/>
                <w:highlight w:val="none"/>
              </w:rPr>
              <w:t>（包含电子保函）</w:t>
            </w:r>
            <w:r>
              <w:rPr>
                <w:rFonts w:hint="eastAsia" w:ascii="宋体" w:hAnsi="宋体" w:cs="宋体"/>
                <w:color w:val="auto"/>
                <w:szCs w:val="21"/>
                <w:highlight w:val="none"/>
              </w:rPr>
              <w:t>等非现金方式</w:t>
            </w:r>
          </w:p>
          <w:p w14:paraId="6BB9B9F5">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履约保证金退付方式、时间及条件：</w:t>
            </w:r>
          </w:p>
          <w:p w14:paraId="4F1FE0D1">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1）履约保证金在设备验收合格并交付使用后，由中标人凭《广西壮族自治区政府采购项目合同验收书》（详见附表1）向采购人申请办理履约保证金退还手续，采购人在收到合格材料后30日内以银行转账方式如数退还（不计利息）。</w:t>
            </w:r>
          </w:p>
          <w:p w14:paraId="150092A9">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（2）在履约保证金退还日期前，若中标人的开户名称、开户银行、账号有变动的，请以书面形式通知履约保证金收取单位，否则由此产生的后果由中标人自负。</w:t>
            </w:r>
          </w:p>
          <w:p w14:paraId="520723FA">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（3）中标人在签订合同后存在违约情形的，履约保证金不予退还。履约保证金不足以赔偿损失的，按实际损失赔偿。</w:t>
            </w:r>
          </w:p>
          <w:p w14:paraId="76FC0BB4">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履约保证金指定账户：</w:t>
            </w:r>
          </w:p>
          <w:p w14:paraId="3E59E915">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开户名称：桂林医科大学第一附属医院</w:t>
            </w:r>
          </w:p>
          <w:p w14:paraId="1A4FABAA">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开户银行：中国建设银行股份有限公司桂林叠彩支行</w:t>
            </w:r>
          </w:p>
          <w:p w14:paraId="7D7954D9">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账号：4500 1635 4100 5050 1922</w:t>
            </w:r>
          </w:p>
          <w:p w14:paraId="32B8FC99">
            <w:pPr>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备注：</w:t>
            </w:r>
          </w:p>
          <w:p w14:paraId="7DBF457B">
            <w:pPr>
              <w:adjustRightIn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1.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2DD97FF6">
            <w:pPr>
              <w:adjustRightInd w:val="0"/>
              <w:spacing w:line="360" w:lineRule="auto"/>
              <w:jc w:val="left"/>
              <w:rPr>
                <w:rFonts w:ascii="宋体" w:hAnsi="宋体" w:cs="宋体"/>
                <w:color w:val="auto"/>
                <w:kern w:val="0"/>
                <w:szCs w:val="21"/>
                <w:highlight w:val="none"/>
              </w:rPr>
            </w:pPr>
            <w:r>
              <w:rPr>
                <w:rFonts w:hint="eastAsia" w:ascii="宋体" w:hAnsi="宋体" w:cs="宋体"/>
                <w:b/>
                <w:color w:val="auto"/>
                <w:szCs w:val="21"/>
                <w:highlight w:val="none"/>
              </w:rPr>
              <w:t>2.采用金融、担保机构出具的保函的，必须为无条件保函，否则不予签订合同。</w:t>
            </w:r>
          </w:p>
        </w:tc>
      </w:tr>
      <w:tr w14:paraId="2DFCB5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0A7F6FF">
            <w:pPr>
              <w:adjustRightInd w:val="0"/>
              <w:spacing w:line="400" w:lineRule="exact"/>
              <w:jc w:val="center"/>
              <w:rPr>
                <w:rFonts w:ascii="宋体" w:hAnsi="宋体" w:cs="宋体"/>
                <w:color w:val="auto"/>
                <w:szCs w:val="21"/>
                <w:highlight w:val="none"/>
              </w:rPr>
            </w:pPr>
            <w:bookmarkStart w:id="75" w:name="_40.1"/>
            <w:bookmarkEnd w:id="75"/>
            <w:r>
              <w:rPr>
                <w:rFonts w:hint="eastAsia" w:ascii="宋体" w:hAnsi="宋体" w:cs="宋体"/>
                <w:color w:val="auto"/>
                <w:szCs w:val="21"/>
                <w:highlight w:val="none"/>
              </w:rPr>
              <w:t>36.1</w:t>
            </w:r>
          </w:p>
        </w:tc>
        <w:tc>
          <w:tcPr>
            <w:tcW w:w="8423" w:type="dxa"/>
            <w:tcBorders>
              <w:top w:val="single" w:color="auto" w:sz="4" w:space="0"/>
              <w:left w:val="single" w:color="auto" w:sz="4" w:space="0"/>
              <w:bottom w:val="single" w:color="auto" w:sz="4" w:space="0"/>
              <w:right w:val="single" w:color="auto" w:sz="4" w:space="0"/>
            </w:tcBorders>
            <w:vAlign w:val="center"/>
          </w:tcPr>
          <w:p w14:paraId="36BB633D">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4DDAE364">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61525110">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671D8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2CE64F3">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38.2</w:t>
            </w:r>
          </w:p>
        </w:tc>
        <w:tc>
          <w:tcPr>
            <w:tcW w:w="8423" w:type="dxa"/>
            <w:tcBorders>
              <w:top w:val="single" w:color="auto" w:sz="4" w:space="0"/>
              <w:left w:val="single" w:color="auto" w:sz="4" w:space="0"/>
              <w:bottom w:val="single" w:color="auto" w:sz="4" w:space="0"/>
              <w:right w:val="single" w:color="auto" w:sz="4" w:space="0"/>
            </w:tcBorders>
            <w:vAlign w:val="center"/>
          </w:tcPr>
          <w:p w14:paraId="53039FFC">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4D1D5AFE">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质疑联系部门及联系方式：云之龙咨询集团有限公司桂林分公司，联系人：吕雯、万紫琳，联系电话：0773-2887388  2887399 。通讯地址：广西桂林市临桂区西城北路2号耀辉•美好家园2幢12层1号房。</w:t>
            </w:r>
          </w:p>
          <w:p w14:paraId="7A3890F2">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业务时间：工作日每天上午8时00分到12时00分，下午3时00分到6时00分。</w:t>
            </w:r>
          </w:p>
        </w:tc>
      </w:tr>
      <w:tr w14:paraId="6C7EE3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32FE702">
            <w:pPr>
              <w:adjustRightInd w:val="0"/>
              <w:spacing w:line="400" w:lineRule="exact"/>
              <w:jc w:val="center"/>
              <w:rPr>
                <w:rFonts w:ascii="宋体" w:hAnsi="宋体" w:cs="宋体"/>
                <w:color w:val="auto"/>
                <w:szCs w:val="21"/>
                <w:highlight w:val="none"/>
              </w:rPr>
            </w:pPr>
            <w:bookmarkStart w:id="76" w:name="_42"/>
            <w:bookmarkEnd w:id="76"/>
            <w:bookmarkStart w:id="77" w:name="_41"/>
            <w:bookmarkEnd w:id="77"/>
            <w:bookmarkStart w:id="78" w:name="_Hlt17709148"/>
            <w:r>
              <w:rPr>
                <w:rFonts w:hint="eastAsia" w:ascii="宋体" w:hAnsi="宋体" w:cs="宋体"/>
                <w:color w:val="auto"/>
                <w:szCs w:val="21"/>
                <w:highlight w:val="none"/>
              </w:rPr>
              <w:t>3</w:t>
            </w:r>
            <w:bookmarkEnd w:id="78"/>
            <w:r>
              <w:rPr>
                <w:rFonts w:hint="eastAsia" w:ascii="宋体" w:hAnsi="宋体" w:cs="宋体"/>
                <w:color w:val="auto"/>
                <w:szCs w:val="21"/>
                <w:highlight w:val="none"/>
              </w:rPr>
              <w:t>9.1</w:t>
            </w:r>
          </w:p>
        </w:tc>
        <w:tc>
          <w:tcPr>
            <w:tcW w:w="8423" w:type="dxa"/>
            <w:tcBorders>
              <w:top w:val="single" w:color="auto" w:sz="4" w:space="0"/>
              <w:left w:val="single" w:color="auto" w:sz="4" w:space="0"/>
              <w:bottom w:val="single" w:color="auto" w:sz="4" w:space="0"/>
              <w:right w:val="single" w:color="auto" w:sz="4" w:space="0"/>
            </w:tcBorders>
            <w:vAlign w:val="center"/>
          </w:tcPr>
          <w:p w14:paraId="0FBE21D4">
            <w:pPr>
              <w:pStyle w:val="24"/>
              <w:adjustRightInd w:val="0"/>
              <w:spacing w:line="400" w:lineRule="exact"/>
              <w:rPr>
                <w:rFonts w:hAnsi="宋体" w:cs="宋体"/>
                <w:color w:val="auto"/>
                <w:sz w:val="21"/>
                <w:highlight w:val="none"/>
              </w:rPr>
            </w:pPr>
            <w:r>
              <w:rPr>
                <w:rFonts w:hint="eastAsia" w:hAnsi="宋体" w:cs="宋体"/>
                <w:color w:val="auto"/>
                <w:sz w:val="21"/>
                <w:highlight w:val="none"/>
              </w:rPr>
              <w:t>1.采购代理服务费支付方式：</w:t>
            </w:r>
          </w:p>
          <w:p w14:paraId="0C247D4A">
            <w:pPr>
              <w:pStyle w:val="24"/>
              <w:adjustRightInd w:val="0"/>
              <w:spacing w:line="400" w:lineRule="exact"/>
              <w:rPr>
                <w:rFonts w:hAnsi="宋体" w:cs="宋体"/>
                <w:color w:val="auto"/>
                <w:sz w:val="21"/>
                <w:highlight w:val="none"/>
              </w:rPr>
            </w:pPr>
            <w:r>
              <w:rPr>
                <w:rFonts w:hint="eastAsia" w:hAnsi="宋体" w:cs="宋体"/>
                <w:color w:val="auto"/>
                <w:highlight w:val="none"/>
              </w:rPr>
              <w:t>☑</w:t>
            </w:r>
            <w:r>
              <w:rPr>
                <w:rFonts w:hint="eastAsia" w:hAnsi="宋体" w:cs="宋体"/>
                <w:color w:val="auto"/>
                <w:sz w:val="21"/>
                <w:highlight w:val="none"/>
              </w:rPr>
              <w:t>本项目采购代理服务费由中标人在获取中标通知书前向采购代理机构一次性付清</w:t>
            </w:r>
            <w:r>
              <w:rPr>
                <w:rFonts w:hint="eastAsia" w:hAnsi="宋体"/>
                <w:color w:val="auto"/>
                <w:highlight w:val="none"/>
              </w:rPr>
              <w:t>。</w:t>
            </w:r>
          </w:p>
          <w:p w14:paraId="6EE726FE">
            <w:pPr>
              <w:pStyle w:val="24"/>
              <w:adjustRightInd w:val="0"/>
              <w:spacing w:line="400" w:lineRule="exact"/>
              <w:rPr>
                <w:rFonts w:hAnsi="宋体" w:cs="宋体"/>
                <w:color w:val="auto"/>
                <w:sz w:val="21"/>
                <w:highlight w:val="none"/>
              </w:rPr>
            </w:pPr>
            <w:r>
              <w:rPr>
                <w:rFonts w:hint="eastAsia" w:hAnsi="宋体" w:cs="宋体"/>
                <w:color w:val="auto"/>
                <w:sz w:val="21"/>
                <w:highlight w:val="none"/>
              </w:rPr>
              <w:t>□采购人支付。</w:t>
            </w:r>
          </w:p>
          <w:p w14:paraId="34CFD76F">
            <w:pPr>
              <w:pStyle w:val="24"/>
              <w:adjustRightInd w:val="0"/>
              <w:spacing w:line="400" w:lineRule="exact"/>
              <w:rPr>
                <w:rFonts w:hAnsi="宋体" w:cs="宋体"/>
                <w:color w:val="auto"/>
                <w:sz w:val="21"/>
                <w:highlight w:val="none"/>
              </w:rPr>
            </w:pPr>
            <w:r>
              <w:rPr>
                <w:rFonts w:hint="eastAsia" w:hAnsi="宋体" w:cs="宋体"/>
                <w:color w:val="auto"/>
                <w:sz w:val="21"/>
                <w:highlight w:val="none"/>
              </w:rPr>
              <w:t>2.采购代理服务费收取标准：</w:t>
            </w:r>
          </w:p>
          <w:p w14:paraId="24888C3A">
            <w:pPr>
              <w:spacing w:line="360" w:lineRule="exact"/>
              <w:rPr>
                <w:rFonts w:ascii="宋体" w:hAnsi="宋体"/>
                <w:color w:val="auto"/>
                <w:szCs w:val="21"/>
                <w:highlight w:val="none"/>
              </w:rPr>
            </w:pPr>
            <w:r>
              <w:rPr>
                <w:rFonts w:hint="eastAsia" w:hAnsi="宋体" w:cs="宋体"/>
                <w:color w:val="auto"/>
                <w:highlight w:val="none"/>
              </w:rPr>
              <w:t>☑以项目。</w:t>
            </w:r>
            <w:r>
              <w:rPr>
                <w:rFonts w:hint="eastAsia" w:ascii="宋体" w:hAnsi="宋体"/>
                <w:color w:val="auto"/>
                <w:highlight w:val="none"/>
              </w:rPr>
              <w:t>采购代理服务费按以下“采购代理服务收费标准”中</w:t>
            </w:r>
            <w:r>
              <w:rPr>
                <w:rFonts w:hint="eastAsia" w:ascii="宋体" w:hAnsi="宋体"/>
                <w:color w:val="auto"/>
                <w:szCs w:val="21"/>
                <w:highlight w:val="none"/>
              </w:rPr>
              <w:t>“货物招标”类</w:t>
            </w:r>
            <w:r>
              <w:rPr>
                <w:rFonts w:hint="eastAsia" w:ascii="宋体" w:hAnsi="宋体"/>
                <w:color w:val="auto"/>
                <w:highlight w:val="none"/>
              </w:rPr>
              <w:t>收费标准下浮20%计算（不足人民币5000元的，按5000元计）。</w:t>
            </w:r>
          </w:p>
          <w:p w14:paraId="25784AD0">
            <w:pPr>
              <w:spacing w:line="360" w:lineRule="exact"/>
              <w:rPr>
                <w:rFonts w:ascii="宋体" w:hAnsi="宋体"/>
                <w:color w:val="auto"/>
                <w:szCs w:val="21"/>
                <w:highlight w:val="none"/>
              </w:rPr>
            </w:pPr>
            <w:r>
              <w:rPr>
                <w:rFonts w:hint="eastAsia" w:ascii="宋体" w:hAnsi="宋体"/>
                <w:color w:val="auto"/>
                <w:szCs w:val="21"/>
                <w:highlight w:val="none"/>
              </w:rPr>
              <w:t>采购代理服务收费标准：</w:t>
            </w:r>
          </w:p>
          <w:tbl>
            <w:tblPr>
              <w:tblStyle w:val="47"/>
              <w:tblW w:w="805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7"/>
              <w:gridCol w:w="1647"/>
              <w:gridCol w:w="1782"/>
              <w:gridCol w:w="2052"/>
            </w:tblGrid>
            <w:tr w14:paraId="6968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2577" w:type="dxa"/>
                </w:tcPr>
                <w:p w14:paraId="12DADAD1">
                  <w:pPr>
                    <w:pStyle w:val="24"/>
                    <w:spacing w:line="360" w:lineRule="exact"/>
                    <w:ind w:left="25"/>
                    <w:rPr>
                      <w:rFonts w:hAnsi="宋体"/>
                      <w:color w:val="auto"/>
                      <w:sz w:val="21"/>
                      <w:highlight w:val="none"/>
                    </w:rPr>
                  </w:pPr>
                  <w:r>
                    <w:rPr>
                      <w:rFonts w:hAnsi="宋体"/>
                      <w:color w:val="auto"/>
                      <w:sz w:val="21"/>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245235" cy="642620"/>
                            <wp:effectExtent l="1905" t="4445" r="2540" b="8255"/>
                            <wp:wrapNone/>
                            <wp:docPr id="8" name="直线 3"/>
                            <wp:cNvGraphicFramePr/>
                            <a:graphic xmlns:a="http://schemas.openxmlformats.org/drawingml/2006/main">
                              <a:graphicData uri="http://schemas.microsoft.com/office/word/2010/wordprocessingShape">
                                <wps:wsp>
                                  <wps:cNvCnPr/>
                                  <wps:spPr>
                                    <a:xfrm>
                                      <a:off x="0" y="0"/>
                                      <a:ext cx="1245235" cy="64262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23.35pt;margin-top:0.85pt;height:50.6pt;width:98.05pt;z-index:251659264;mso-width-relative:page;mso-height-relative:page;" filled="f" stroked="t" coordsize="21600,21600" o:gfxdata="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aG443UAAAACAEA&#10;AA8AAAAAAAAAAQAgAAAAIgAAAGRycy9kb3ducmV2LnhtbFBLAQIUABQAAAAIAIdO4kAOlLGL5QEA&#10;ANQDAAAOAAAAAAAAAAEAIAAAACMBAABkcnMvZTJvRG9jLnhtbFBLBQYAAAAABgAGAFkBAAB6BQAA&#10;AAA=&#10;">
                            <v:fill on="f" focussize="0,0"/>
                            <v:stroke color="#000000" joinstyle="round"/>
                            <v:imagedata o:title=""/>
                            <o:lock v:ext="edit" aspectratio="f"/>
                          </v:line>
                        </w:pict>
                      </mc:Fallback>
                    </mc:AlternateContent>
                  </w:r>
                  <w:r>
                    <w:rPr>
                      <w:rFonts w:hint="eastAsia" w:hAnsi="宋体"/>
                      <w:color w:val="auto"/>
                      <w:sz w:val="21"/>
                      <w:highlight w:val="none"/>
                    </w:rPr>
                    <w:t>费率          服务类型</w:t>
                  </w:r>
                </w:p>
                <w:p w14:paraId="710941D0">
                  <w:pPr>
                    <w:pStyle w:val="24"/>
                    <w:spacing w:line="360" w:lineRule="exact"/>
                    <w:ind w:left="25"/>
                    <w:rPr>
                      <w:rFonts w:hAnsi="宋体"/>
                      <w:color w:val="auto"/>
                      <w:sz w:val="21"/>
                      <w:highlight w:val="none"/>
                    </w:rPr>
                  </w:pPr>
                  <w:r>
                    <w:rPr>
                      <w:rFonts w:hAnsi="宋体"/>
                      <w:color w:val="auto"/>
                      <w:sz w:val="21"/>
                      <w:highlight w:val="none"/>
                    </w:rP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69850</wp:posOffset>
                            </wp:positionV>
                            <wp:extent cx="1587500" cy="370205"/>
                            <wp:effectExtent l="1270" t="4445" r="11430" b="6350"/>
                            <wp:wrapNone/>
                            <wp:docPr id="9" name="直线 4"/>
                            <wp:cNvGraphicFramePr/>
                            <a:graphic xmlns:a="http://schemas.openxmlformats.org/drawingml/2006/main">
                              <a:graphicData uri="http://schemas.microsoft.com/office/word/2010/wordprocessingShape">
                                <wps:wsp>
                                  <wps:cNvCnPr/>
                                  <wps:spPr>
                                    <a:xfrm>
                                      <a:off x="0" y="0"/>
                                      <a:ext cx="1587500" cy="37020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1.8pt;margin-top:5.5pt;height:29.15pt;width:125pt;z-index:251660288;mso-width-relative:page;mso-height-relative:page;" filled="f" stroked="t" coordsize="21600,21600" o:gfxdata="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ejR5tYAAAAIAQAA&#10;DwAAAAAAAAABACAAAAAiAAAAZHJzL2Rvd25yZXYueG1sUEsBAhQAFAAAAAgAh07iQJgYlxjiAQAA&#10;1AMAAA4AAAAAAAAAAQAgAAAAJQEAAGRycy9lMm9Eb2MueG1sUEsFBgAAAAAGAAYAWQEAAHkFAAAA&#10;AA==&#10;">
                            <v:fill on="f" focussize="0,0"/>
                            <v:stroke color="#000000" joinstyle="round"/>
                            <v:imagedata o:title=""/>
                            <o:lock v:ext="edit" aspectratio="f"/>
                          </v:line>
                        </w:pict>
                      </mc:Fallback>
                    </mc:AlternateContent>
                  </w:r>
                </w:p>
                <w:p w14:paraId="0B2ECA1E">
                  <w:pPr>
                    <w:pStyle w:val="24"/>
                    <w:spacing w:line="360" w:lineRule="exact"/>
                    <w:ind w:left="25"/>
                    <w:rPr>
                      <w:rFonts w:hAnsi="宋体"/>
                      <w:color w:val="auto"/>
                      <w:sz w:val="21"/>
                      <w:highlight w:val="none"/>
                    </w:rPr>
                  </w:pPr>
                  <w:r>
                    <w:rPr>
                      <w:rFonts w:hint="eastAsia" w:hAnsi="宋体"/>
                      <w:color w:val="auto"/>
                      <w:sz w:val="21"/>
                      <w:highlight w:val="none"/>
                    </w:rPr>
                    <w:t>中标金额</w:t>
                  </w:r>
                </w:p>
              </w:tc>
              <w:tc>
                <w:tcPr>
                  <w:tcW w:w="1647" w:type="dxa"/>
                  <w:vAlign w:val="center"/>
                </w:tcPr>
                <w:p w14:paraId="1D0C96A0">
                  <w:pPr>
                    <w:pStyle w:val="24"/>
                    <w:spacing w:line="360" w:lineRule="exact"/>
                    <w:ind w:left="25"/>
                    <w:jc w:val="center"/>
                    <w:rPr>
                      <w:rFonts w:hAnsi="宋体"/>
                      <w:color w:val="auto"/>
                      <w:sz w:val="21"/>
                      <w:highlight w:val="none"/>
                    </w:rPr>
                  </w:pPr>
                  <w:r>
                    <w:rPr>
                      <w:rFonts w:hint="eastAsia" w:hAnsi="宋体"/>
                      <w:color w:val="auto"/>
                      <w:sz w:val="21"/>
                      <w:highlight w:val="none"/>
                    </w:rPr>
                    <w:t>货物招标</w:t>
                  </w:r>
                </w:p>
              </w:tc>
              <w:tc>
                <w:tcPr>
                  <w:tcW w:w="1782" w:type="dxa"/>
                  <w:vAlign w:val="center"/>
                </w:tcPr>
                <w:p w14:paraId="06FB34AC">
                  <w:pPr>
                    <w:pStyle w:val="24"/>
                    <w:spacing w:line="360" w:lineRule="exact"/>
                    <w:ind w:left="25"/>
                    <w:jc w:val="center"/>
                    <w:rPr>
                      <w:rFonts w:hAnsi="宋体"/>
                      <w:color w:val="auto"/>
                      <w:sz w:val="21"/>
                      <w:highlight w:val="none"/>
                    </w:rPr>
                  </w:pPr>
                  <w:r>
                    <w:rPr>
                      <w:rFonts w:hint="eastAsia" w:hAnsi="宋体"/>
                      <w:color w:val="auto"/>
                      <w:sz w:val="21"/>
                      <w:highlight w:val="none"/>
                    </w:rPr>
                    <w:t>服务招标</w:t>
                  </w:r>
                </w:p>
              </w:tc>
              <w:tc>
                <w:tcPr>
                  <w:tcW w:w="2052" w:type="dxa"/>
                  <w:vAlign w:val="center"/>
                </w:tcPr>
                <w:p w14:paraId="6E2054F7">
                  <w:pPr>
                    <w:pStyle w:val="24"/>
                    <w:spacing w:line="360" w:lineRule="exact"/>
                    <w:ind w:left="25"/>
                    <w:jc w:val="center"/>
                    <w:rPr>
                      <w:rFonts w:hAnsi="宋体"/>
                      <w:color w:val="auto"/>
                      <w:sz w:val="21"/>
                      <w:highlight w:val="none"/>
                    </w:rPr>
                  </w:pPr>
                  <w:r>
                    <w:rPr>
                      <w:rFonts w:hint="eastAsia" w:hAnsi="宋体"/>
                      <w:color w:val="auto"/>
                      <w:sz w:val="21"/>
                      <w:highlight w:val="none"/>
                    </w:rPr>
                    <w:t>工程招标</w:t>
                  </w:r>
                </w:p>
              </w:tc>
            </w:tr>
            <w:tr w14:paraId="6DA9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577" w:type="dxa"/>
                </w:tcPr>
                <w:p w14:paraId="6A254E4A">
                  <w:pPr>
                    <w:pStyle w:val="24"/>
                    <w:spacing w:line="360" w:lineRule="exact"/>
                    <w:ind w:left="25"/>
                    <w:rPr>
                      <w:rFonts w:hAnsi="宋体"/>
                      <w:color w:val="auto"/>
                      <w:sz w:val="21"/>
                      <w:highlight w:val="none"/>
                    </w:rPr>
                  </w:pPr>
                  <w:r>
                    <w:rPr>
                      <w:rFonts w:hint="eastAsia" w:hAnsi="宋体"/>
                      <w:color w:val="auto"/>
                      <w:sz w:val="21"/>
                      <w:highlight w:val="none"/>
                    </w:rPr>
                    <w:t>100万元以下</w:t>
                  </w:r>
                </w:p>
              </w:tc>
              <w:tc>
                <w:tcPr>
                  <w:tcW w:w="1647" w:type="dxa"/>
                </w:tcPr>
                <w:p w14:paraId="343968D1">
                  <w:pPr>
                    <w:pStyle w:val="186"/>
                    <w:spacing w:line="360" w:lineRule="exact"/>
                    <w:ind w:left="25"/>
                    <w:jc w:val="center"/>
                    <w:rPr>
                      <w:rFonts w:ascii="宋体" w:hAnsi="宋体"/>
                      <w:color w:val="auto"/>
                      <w:szCs w:val="21"/>
                      <w:highlight w:val="none"/>
                    </w:rPr>
                  </w:pPr>
                  <w:r>
                    <w:rPr>
                      <w:rFonts w:hint="eastAsia" w:ascii="宋体" w:hAnsi="宋体"/>
                      <w:color w:val="auto"/>
                      <w:szCs w:val="21"/>
                      <w:highlight w:val="none"/>
                    </w:rPr>
                    <w:t>1.5%</w:t>
                  </w:r>
                </w:p>
              </w:tc>
              <w:tc>
                <w:tcPr>
                  <w:tcW w:w="1782" w:type="dxa"/>
                </w:tcPr>
                <w:p w14:paraId="1976DE0A">
                  <w:pPr>
                    <w:pStyle w:val="186"/>
                    <w:spacing w:line="360" w:lineRule="exact"/>
                    <w:ind w:left="25"/>
                    <w:jc w:val="center"/>
                    <w:rPr>
                      <w:rFonts w:ascii="宋体" w:hAnsi="宋体"/>
                      <w:color w:val="auto"/>
                      <w:szCs w:val="21"/>
                      <w:highlight w:val="none"/>
                    </w:rPr>
                  </w:pPr>
                  <w:r>
                    <w:rPr>
                      <w:rFonts w:hint="eastAsia" w:ascii="宋体" w:hAnsi="宋体"/>
                      <w:color w:val="auto"/>
                      <w:szCs w:val="21"/>
                      <w:highlight w:val="none"/>
                    </w:rPr>
                    <w:t>1.5%</w:t>
                  </w:r>
                </w:p>
              </w:tc>
              <w:tc>
                <w:tcPr>
                  <w:tcW w:w="2052" w:type="dxa"/>
                </w:tcPr>
                <w:p w14:paraId="0030DD62">
                  <w:pPr>
                    <w:pStyle w:val="186"/>
                    <w:spacing w:line="360" w:lineRule="exact"/>
                    <w:ind w:left="25"/>
                    <w:jc w:val="center"/>
                    <w:rPr>
                      <w:rFonts w:ascii="宋体" w:hAnsi="宋体"/>
                      <w:color w:val="auto"/>
                      <w:szCs w:val="21"/>
                      <w:highlight w:val="none"/>
                    </w:rPr>
                  </w:pPr>
                  <w:r>
                    <w:rPr>
                      <w:rFonts w:hint="eastAsia" w:ascii="宋体" w:hAnsi="宋体"/>
                      <w:color w:val="auto"/>
                      <w:szCs w:val="21"/>
                      <w:highlight w:val="none"/>
                    </w:rPr>
                    <w:t>1.0%</w:t>
                  </w:r>
                </w:p>
              </w:tc>
            </w:tr>
            <w:tr w14:paraId="5D65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577" w:type="dxa"/>
                </w:tcPr>
                <w:p w14:paraId="220A43A1">
                  <w:pPr>
                    <w:pStyle w:val="24"/>
                    <w:spacing w:line="360" w:lineRule="exact"/>
                    <w:ind w:left="25"/>
                    <w:rPr>
                      <w:rFonts w:hAnsi="宋体"/>
                      <w:color w:val="auto"/>
                      <w:sz w:val="21"/>
                      <w:highlight w:val="none"/>
                    </w:rPr>
                  </w:pPr>
                  <w:r>
                    <w:rPr>
                      <w:rFonts w:hint="eastAsia" w:hAnsi="宋体"/>
                      <w:color w:val="auto"/>
                      <w:sz w:val="21"/>
                      <w:highlight w:val="none"/>
                    </w:rPr>
                    <w:t>100～500万元</w:t>
                  </w:r>
                </w:p>
              </w:tc>
              <w:tc>
                <w:tcPr>
                  <w:tcW w:w="1647" w:type="dxa"/>
                </w:tcPr>
                <w:p w14:paraId="7ED14316">
                  <w:pPr>
                    <w:pStyle w:val="186"/>
                    <w:spacing w:line="360" w:lineRule="exact"/>
                    <w:ind w:left="25"/>
                    <w:jc w:val="center"/>
                    <w:rPr>
                      <w:rFonts w:ascii="宋体" w:hAnsi="宋体"/>
                      <w:color w:val="auto"/>
                      <w:szCs w:val="21"/>
                      <w:highlight w:val="none"/>
                    </w:rPr>
                  </w:pPr>
                  <w:r>
                    <w:rPr>
                      <w:rFonts w:hint="eastAsia" w:ascii="宋体" w:hAnsi="宋体"/>
                      <w:color w:val="auto"/>
                      <w:szCs w:val="21"/>
                      <w:highlight w:val="none"/>
                    </w:rPr>
                    <w:t>1.1%</w:t>
                  </w:r>
                </w:p>
              </w:tc>
              <w:tc>
                <w:tcPr>
                  <w:tcW w:w="1782" w:type="dxa"/>
                </w:tcPr>
                <w:p w14:paraId="3D07ADC3">
                  <w:pPr>
                    <w:pStyle w:val="186"/>
                    <w:spacing w:line="360" w:lineRule="exact"/>
                    <w:ind w:left="25"/>
                    <w:jc w:val="center"/>
                    <w:rPr>
                      <w:rFonts w:ascii="宋体" w:hAnsi="宋体"/>
                      <w:color w:val="auto"/>
                      <w:szCs w:val="21"/>
                      <w:highlight w:val="none"/>
                    </w:rPr>
                  </w:pPr>
                  <w:r>
                    <w:rPr>
                      <w:rFonts w:hint="eastAsia" w:ascii="宋体" w:hAnsi="宋体"/>
                      <w:color w:val="auto"/>
                      <w:szCs w:val="21"/>
                      <w:highlight w:val="none"/>
                    </w:rPr>
                    <w:t>0.8%</w:t>
                  </w:r>
                </w:p>
              </w:tc>
              <w:tc>
                <w:tcPr>
                  <w:tcW w:w="2052" w:type="dxa"/>
                </w:tcPr>
                <w:p w14:paraId="6AA1D499">
                  <w:pPr>
                    <w:pStyle w:val="186"/>
                    <w:spacing w:line="360" w:lineRule="exact"/>
                    <w:ind w:left="25"/>
                    <w:jc w:val="center"/>
                    <w:rPr>
                      <w:rFonts w:ascii="宋体" w:hAnsi="宋体"/>
                      <w:color w:val="auto"/>
                      <w:szCs w:val="21"/>
                      <w:highlight w:val="none"/>
                    </w:rPr>
                  </w:pPr>
                  <w:r>
                    <w:rPr>
                      <w:rFonts w:hint="eastAsia" w:ascii="宋体" w:hAnsi="宋体"/>
                      <w:color w:val="auto"/>
                      <w:szCs w:val="21"/>
                      <w:highlight w:val="none"/>
                    </w:rPr>
                    <w:t>0.7%</w:t>
                  </w:r>
                </w:p>
              </w:tc>
            </w:tr>
            <w:tr w14:paraId="298F3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577" w:type="dxa"/>
                </w:tcPr>
                <w:p w14:paraId="2A10A82B">
                  <w:pPr>
                    <w:pStyle w:val="24"/>
                    <w:spacing w:line="360" w:lineRule="exact"/>
                    <w:ind w:left="25"/>
                    <w:rPr>
                      <w:rFonts w:hAnsi="宋体"/>
                      <w:color w:val="auto"/>
                      <w:sz w:val="21"/>
                      <w:highlight w:val="none"/>
                    </w:rPr>
                  </w:pPr>
                  <w:r>
                    <w:rPr>
                      <w:rFonts w:hint="eastAsia" w:hAnsi="宋体"/>
                      <w:color w:val="auto"/>
                      <w:sz w:val="21"/>
                      <w:highlight w:val="none"/>
                    </w:rPr>
                    <w:t>500～1000万元</w:t>
                  </w:r>
                </w:p>
              </w:tc>
              <w:tc>
                <w:tcPr>
                  <w:tcW w:w="1647" w:type="dxa"/>
                </w:tcPr>
                <w:p w14:paraId="5C10478C">
                  <w:pPr>
                    <w:pStyle w:val="24"/>
                    <w:spacing w:line="360" w:lineRule="exact"/>
                    <w:ind w:left="25"/>
                    <w:jc w:val="center"/>
                    <w:rPr>
                      <w:rFonts w:hAnsi="宋体"/>
                      <w:color w:val="auto"/>
                      <w:sz w:val="21"/>
                      <w:highlight w:val="none"/>
                    </w:rPr>
                  </w:pPr>
                  <w:r>
                    <w:rPr>
                      <w:rFonts w:hint="eastAsia" w:hAnsi="宋体"/>
                      <w:color w:val="auto"/>
                      <w:sz w:val="21"/>
                      <w:highlight w:val="none"/>
                    </w:rPr>
                    <w:t>0.8%</w:t>
                  </w:r>
                </w:p>
              </w:tc>
              <w:tc>
                <w:tcPr>
                  <w:tcW w:w="1782" w:type="dxa"/>
                </w:tcPr>
                <w:p w14:paraId="77959C19">
                  <w:pPr>
                    <w:pStyle w:val="24"/>
                    <w:spacing w:line="360" w:lineRule="exact"/>
                    <w:ind w:left="25"/>
                    <w:jc w:val="center"/>
                    <w:rPr>
                      <w:rFonts w:hAnsi="宋体"/>
                      <w:color w:val="auto"/>
                      <w:sz w:val="21"/>
                      <w:highlight w:val="none"/>
                    </w:rPr>
                  </w:pPr>
                  <w:r>
                    <w:rPr>
                      <w:rFonts w:hint="eastAsia" w:hAnsi="宋体"/>
                      <w:color w:val="auto"/>
                      <w:sz w:val="21"/>
                      <w:highlight w:val="none"/>
                    </w:rPr>
                    <w:t>0.45%</w:t>
                  </w:r>
                </w:p>
              </w:tc>
              <w:tc>
                <w:tcPr>
                  <w:tcW w:w="2052" w:type="dxa"/>
                </w:tcPr>
                <w:p w14:paraId="41926DE8">
                  <w:pPr>
                    <w:pStyle w:val="24"/>
                    <w:spacing w:line="360" w:lineRule="exact"/>
                    <w:ind w:left="25"/>
                    <w:jc w:val="center"/>
                    <w:rPr>
                      <w:rFonts w:hAnsi="宋体"/>
                      <w:color w:val="auto"/>
                      <w:sz w:val="21"/>
                      <w:highlight w:val="none"/>
                    </w:rPr>
                  </w:pPr>
                  <w:r>
                    <w:rPr>
                      <w:rFonts w:hint="eastAsia" w:hAnsi="宋体"/>
                      <w:color w:val="auto"/>
                      <w:sz w:val="21"/>
                      <w:highlight w:val="none"/>
                    </w:rPr>
                    <w:t>0.55%</w:t>
                  </w:r>
                </w:p>
              </w:tc>
            </w:tr>
            <w:tr w14:paraId="4621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577" w:type="dxa"/>
                </w:tcPr>
                <w:p w14:paraId="771CE81A">
                  <w:pPr>
                    <w:pStyle w:val="24"/>
                    <w:spacing w:line="360" w:lineRule="exact"/>
                    <w:ind w:left="25"/>
                    <w:rPr>
                      <w:rFonts w:hAnsi="宋体"/>
                      <w:color w:val="auto"/>
                      <w:sz w:val="21"/>
                      <w:highlight w:val="none"/>
                    </w:rPr>
                  </w:pPr>
                  <w:r>
                    <w:rPr>
                      <w:rFonts w:hint="eastAsia" w:hAnsi="宋体"/>
                      <w:color w:val="auto"/>
                      <w:sz w:val="21"/>
                      <w:highlight w:val="none"/>
                    </w:rPr>
                    <w:t>1000～5000万元</w:t>
                  </w:r>
                </w:p>
              </w:tc>
              <w:tc>
                <w:tcPr>
                  <w:tcW w:w="1647" w:type="dxa"/>
                </w:tcPr>
                <w:p w14:paraId="2B0126E8">
                  <w:pPr>
                    <w:pStyle w:val="24"/>
                    <w:spacing w:line="360" w:lineRule="exact"/>
                    <w:ind w:left="25"/>
                    <w:jc w:val="center"/>
                    <w:rPr>
                      <w:rFonts w:hAnsi="宋体"/>
                      <w:color w:val="auto"/>
                      <w:sz w:val="21"/>
                      <w:highlight w:val="none"/>
                    </w:rPr>
                  </w:pPr>
                  <w:r>
                    <w:rPr>
                      <w:rFonts w:hint="eastAsia" w:hAnsi="宋体"/>
                      <w:color w:val="auto"/>
                      <w:sz w:val="21"/>
                      <w:highlight w:val="none"/>
                    </w:rPr>
                    <w:t>0.5%</w:t>
                  </w:r>
                </w:p>
              </w:tc>
              <w:tc>
                <w:tcPr>
                  <w:tcW w:w="1782" w:type="dxa"/>
                </w:tcPr>
                <w:p w14:paraId="663E56B0">
                  <w:pPr>
                    <w:pStyle w:val="24"/>
                    <w:spacing w:line="360" w:lineRule="exact"/>
                    <w:ind w:left="25"/>
                    <w:jc w:val="center"/>
                    <w:rPr>
                      <w:rFonts w:hAnsi="宋体"/>
                      <w:color w:val="auto"/>
                      <w:sz w:val="21"/>
                      <w:highlight w:val="none"/>
                    </w:rPr>
                  </w:pPr>
                  <w:r>
                    <w:rPr>
                      <w:rFonts w:hint="eastAsia" w:hAnsi="宋体"/>
                      <w:color w:val="auto"/>
                      <w:sz w:val="21"/>
                      <w:highlight w:val="none"/>
                    </w:rPr>
                    <w:t>0.25%</w:t>
                  </w:r>
                </w:p>
              </w:tc>
              <w:tc>
                <w:tcPr>
                  <w:tcW w:w="2052" w:type="dxa"/>
                </w:tcPr>
                <w:p w14:paraId="009097ED">
                  <w:pPr>
                    <w:pStyle w:val="24"/>
                    <w:spacing w:line="360" w:lineRule="exact"/>
                    <w:ind w:left="25"/>
                    <w:jc w:val="center"/>
                    <w:rPr>
                      <w:rFonts w:hAnsi="宋体"/>
                      <w:color w:val="auto"/>
                      <w:sz w:val="21"/>
                      <w:highlight w:val="none"/>
                    </w:rPr>
                  </w:pPr>
                  <w:r>
                    <w:rPr>
                      <w:rFonts w:hint="eastAsia" w:hAnsi="宋体"/>
                      <w:color w:val="auto"/>
                      <w:sz w:val="21"/>
                      <w:highlight w:val="none"/>
                    </w:rPr>
                    <w:t>0.35%</w:t>
                  </w:r>
                </w:p>
              </w:tc>
            </w:tr>
            <w:tr w14:paraId="0092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577" w:type="dxa"/>
                </w:tcPr>
                <w:p w14:paraId="7C28F636">
                  <w:pPr>
                    <w:pStyle w:val="24"/>
                    <w:spacing w:line="360" w:lineRule="exact"/>
                    <w:ind w:left="25"/>
                    <w:rPr>
                      <w:rFonts w:hAnsi="宋体"/>
                      <w:color w:val="auto"/>
                      <w:sz w:val="21"/>
                      <w:highlight w:val="none"/>
                    </w:rPr>
                  </w:pPr>
                  <w:r>
                    <w:rPr>
                      <w:rFonts w:hint="eastAsia" w:hAnsi="宋体"/>
                      <w:color w:val="auto"/>
                      <w:sz w:val="21"/>
                      <w:highlight w:val="none"/>
                    </w:rPr>
                    <w:t>5000万元～1亿元</w:t>
                  </w:r>
                </w:p>
              </w:tc>
              <w:tc>
                <w:tcPr>
                  <w:tcW w:w="1647" w:type="dxa"/>
                </w:tcPr>
                <w:p w14:paraId="4A7A7CF0">
                  <w:pPr>
                    <w:pStyle w:val="24"/>
                    <w:spacing w:line="360" w:lineRule="exact"/>
                    <w:ind w:left="25"/>
                    <w:jc w:val="center"/>
                    <w:rPr>
                      <w:rFonts w:hAnsi="宋体"/>
                      <w:color w:val="auto"/>
                      <w:sz w:val="21"/>
                      <w:highlight w:val="none"/>
                    </w:rPr>
                  </w:pPr>
                  <w:r>
                    <w:rPr>
                      <w:rFonts w:hint="eastAsia" w:hAnsi="宋体"/>
                      <w:color w:val="auto"/>
                      <w:sz w:val="21"/>
                      <w:highlight w:val="none"/>
                    </w:rPr>
                    <w:t>0.25%</w:t>
                  </w:r>
                </w:p>
              </w:tc>
              <w:tc>
                <w:tcPr>
                  <w:tcW w:w="1782" w:type="dxa"/>
                </w:tcPr>
                <w:p w14:paraId="5817DED3">
                  <w:pPr>
                    <w:pStyle w:val="24"/>
                    <w:spacing w:line="360" w:lineRule="exact"/>
                    <w:ind w:left="25"/>
                    <w:jc w:val="center"/>
                    <w:rPr>
                      <w:rFonts w:hAnsi="宋体"/>
                      <w:color w:val="auto"/>
                      <w:sz w:val="21"/>
                      <w:highlight w:val="none"/>
                    </w:rPr>
                  </w:pPr>
                  <w:r>
                    <w:rPr>
                      <w:rFonts w:hint="eastAsia" w:hAnsi="宋体"/>
                      <w:color w:val="auto"/>
                      <w:sz w:val="21"/>
                      <w:highlight w:val="none"/>
                    </w:rPr>
                    <w:t>0.1%</w:t>
                  </w:r>
                </w:p>
              </w:tc>
              <w:tc>
                <w:tcPr>
                  <w:tcW w:w="2052" w:type="dxa"/>
                </w:tcPr>
                <w:p w14:paraId="26CC241D">
                  <w:pPr>
                    <w:pStyle w:val="24"/>
                    <w:spacing w:line="360" w:lineRule="exact"/>
                    <w:ind w:left="25"/>
                    <w:jc w:val="center"/>
                    <w:rPr>
                      <w:rFonts w:hAnsi="宋体"/>
                      <w:color w:val="auto"/>
                      <w:sz w:val="21"/>
                      <w:highlight w:val="none"/>
                    </w:rPr>
                  </w:pPr>
                  <w:r>
                    <w:rPr>
                      <w:rFonts w:hint="eastAsia" w:hAnsi="宋体"/>
                      <w:color w:val="auto"/>
                      <w:sz w:val="21"/>
                      <w:highlight w:val="none"/>
                    </w:rPr>
                    <w:t>0.2%</w:t>
                  </w:r>
                </w:p>
              </w:tc>
            </w:tr>
          </w:tbl>
          <w:p w14:paraId="033E899B">
            <w:pPr>
              <w:pStyle w:val="24"/>
              <w:spacing w:line="360" w:lineRule="exact"/>
              <w:ind w:left="25"/>
              <w:rPr>
                <w:rFonts w:hAnsi="宋体" w:cs="宋体"/>
                <w:color w:val="auto"/>
                <w:sz w:val="21"/>
                <w:highlight w:val="none"/>
              </w:rPr>
            </w:pPr>
            <w:r>
              <w:rPr>
                <w:rFonts w:hint="eastAsia" w:hAnsi="宋体"/>
                <w:color w:val="auto"/>
                <w:sz w:val="21"/>
                <w:highlight w:val="none"/>
              </w:rPr>
              <w:t>注：采购代理服务收费按差额定率累进法计算。</w:t>
            </w:r>
          </w:p>
          <w:p w14:paraId="1131C346">
            <w:pPr>
              <w:pStyle w:val="24"/>
              <w:snapToGrid w:val="0"/>
              <w:spacing w:line="340" w:lineRule="exact"/>
              <w:rPr>
                <w:rFonts w:hAnsi="宋体" w:cs="宋体"/>
                <w:color w:val="auto"/>
                <w:sz w:val="21"/>
                <w:highlight w:val="none"/>
                <w:u w:val="single"/>
              </w:rPr>
            </w:pPr>
            <w:r>
              <w:rPr>
                <w:rFonts w:hint="eastAsia" w:hAnsi="宋体" w:cs="宋体"/>
                <w:color w:val="auto"/>
                <w:sz w:val="21"/>
                <w:highlight w:val="none"/>
              </w:rPr>
              <w:t>□固定收费：固定采购代理收费</w:t>
            </w:r>
            <w:r>
              <w:rPr>
                <w:rFonts w:hint="eastAsia" w:hAnsi="宋体" w:cs="宋体"/>
                <w:color w:val="auto"/>
                <w:sz w:val="21"/>
                <w:highlight w:val="none"/>
                <w:u w:val="single"/>
              </w:rPr>
              <w:t xml:space="preserve">  \   元。</w:t>
            </w:r>
          </w:p>
          <w:p w14:paraId="3D1D09BD">
            <w:pPr>
              <w:pStyle w:val="24"/>
              <w:adjustRightInd w:val="0"/>
              <w:spacing w:line="400" w:lineRule="exact"/>
              <w:rPr>
                <w:rFonts w:hAnsi="宋体" w:cs="宋体"/>
                <w:color w:val="auto"/>
                <w:sz w:val="21"/>
                <w:highlight w:val="none"/>
              </w:rPr>
            </w:pPr>
            <w:r>
              <w:rPr>
                <w:rFonts w:hint="eastAsia" w:hAnsi="宋体" w:cs="宋体"/>
                <w:color w:val="auto"/>
                <w:sz w:val="21"/>
                <w:highlight w:val="none"/>
              </w:rPr>
              <w:t>3.开户名称：云之龙咨询集团有限公司桂林分公司</w:t>
            </w:r>
          </w:p>
          <w:p w14:paraId="1E0B76C9">
            <w:pPr>
              <w:pStyle w:val="24"/>
              <w:adjustRightInd w:val="0"/>
              <w:spacing w:line="400" w:lineRule="exact"/>
              <w:rPr>
                <w:rFonts w:hAnsi="宋体" w:cs="宋体"/>
                <w:color w:val="auto"/>
                <w:sz w:val="21"/>
                <w:highlight w:val="none"/>
              </w:rPr>
            </w:pPr>
            <w:r>
              <w:rPr>
                <w:rFonts w:hint="eastAsia" w:hAnsi="宋体" w:cs="宋体"/>
                <w:color w:val="auto"/>
                <w:sz w:val="21"/>
                <w:highlight w:val="none"/>
              </w:rPr>
              <w:t>银行账号：8113001014300158041</w:t>
            </w:r>
          </w:p>
          <w:p w14:paraId="38D8B405">
            <w:pPr>
              <w:pStyle w:val="24"/>
              <w:adjustRightInd w:val="0"/>
              <w:spacing w:line="400" w:lineRule="exact"/>
              <w:rPr>
                <w:rFonts w:hAnsi="宋体" w:cs="宋体"/>
                <w:color w:val="auto"/>
                <w:sz w:val="21"/>
                <w:highlight w:val="none"/>
              </w:rPr>
            </w:pPr>
            <w:r>
              <w:rPr>
                <w:rFonts w:hint="eastAsia" w:hAnsi="宋体" w:cs="宋体"/>
                <w:color w:val="auto"/>
                <w:sz w:val="21"/>
                <w:highlight w:val="none"/>
              </w:rPr>
              <w:t>开户银行：中信银行股份有限公司南宁园湖支行</w:t>
            </w:r>
          </w:p>
        </w:tc>
      </w:tr>
      <w:tr w14:paraId="272709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AF35473">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40.1</w:t>
            </w:r>
          </w:p>
        </w:tc>
        <w:tc>
          <w:tcPr>
            <w:tcW w:w="8423" w:type="dxa"/>
            <w:tcBorders>
              <w:top w:val="single" w:color="auto" w:sz="4" w:space="0"/>
              <w:left w:val="single" w:color="auto" w:sz="4" w:space="0"/>
              <w:bottom w:val="single" w:color="auto" w:sz="4" w:space="0"/>
              <w:right w:val="single" w:color="auto" w:sz="4" w:space="0"/>
            </w:tcBorders>
            <w:vAlign w:val="center"/>
          </w:tcPr>
          <w:p w14:paraId="43FB9F9C">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76280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FACE72F">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40.2</w:t>
            </w:r>
          </w:p>
        </w:tc>
        <w:tc>
          <w:tcPr>
            <w:tcW w:w="8423" w:type="dxa"/>
            <w:tcBorders>
              <w:top w:val="single" w:color="auto" w:sz="4" w:space="0"/>
              <w:left w:val="single" w:color="auto" w:sz="4" w:space="0"/>
              <w:bottom w:val="single" w:color="auto" w:sz="4" w:space="0"/>
              <w:right w:val="single" w:color="auto" w:sz="4" w:space="0"/>
            </w:tcBorders>
            <w:vAlign w:val="center"/>
          </w:tcPr>
          <w:p w14:paraId="472DBBE8">
            <w:pPr>
              <w:pStyle w:val="24"/>
              <w:adjustRightInd w:val="0"/>
              <w:spacing w:line="360" w:lineRule="exact"/>
              <w:rPr>
                <w:rFonts w:hAnsi="宋体" w:cs="宋体"/>
                <w:color w:val="auto"/>
                <w:sz w:val="21"/>
                <w:highlight w:val="none"/>
              </w:rPr>
            </w:pPr>
            <w:r>
              <w:rPr>
                <w:rFonts w:hint="eastAsia" w:hAnsi="宋体" w:cs="宋体"/>
                <w:color w:val="auto"/>
                <w:sz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408E9836">
            <w:pPr>
              <w:pStyle w:val="24"/>
              <w:adjustRightInd w:val="0"/>
              <w:spacing w:line="360" w:lineRule="exact"/>
              <w:rPr>
                <w:rFonts w:hAnsi="宋体" w:cs="宋体"/>
                <w:color w:val="auto"/>
                <w:sz w:val="21"/>
                <w:highlight w:val="none"/>
              </w:rPr>
            </w:pPr>
            <w:r>
              <w:rPr>
                <w:rFonts w:hint="eastAsia" w:hAnsi="宋体" w:cs="宋体"/>
                <w:color w:val="auto"/>
                <w:sz w:val="21"/>
                <w:highlight w:val="none"/>
              </w:rPr>
              <w:t>2.本招标文件所称的“电子签章”、“电子签名”，是指经</w:t>
            </w:r>
            <w:r>
              <w:rPr>
                <w:rFonts w:hint="eastAsia" w:hAnsi="宋体" w:cs="宋体"/>
                <w:color w:val="auto"/>
                <w:highlight w:val="none"/>
              </w:rPr>
              <w:t>“广西政府采购云平台”</w:t>
            </w:r>
            <w:r>
              <w:rPr>
                <w:rFonts w:hint="eastAsia" w:hAnsi="宋体" w:cs="宋体"/>
                <w:color w:val="auto"/>
                <w:sz w:val="21"/>
                <w:highlight w:val="none"/>
              </w:rPr>
              <w:t>认可的CA认证的电子签名数据为表现形式的印章，可用于签署电子投标文件，电子印章与实物印章具有同等法律效力，不因其采用电子化表现形式而否定其法律效力。</w:t>
            </w:r>
          </w:p>
          <w:p w14:paraId="39721CCB">
            <w:pPr>
              <w:pStyle w:val="24"/>
              <w:adjustRightInd w:val="0"/>
              <w:spacing w:line="360" w:lineRule="exact"/>
              <w:rPr>
                <w:rFonts w:hAnsi="宋体" w:cs="宋体"/>
                <w:color w:val="auto"/>
                <w:sz w:val="21"/>
                <w:highlight w:val="none"/>
              </w:rPr>
            </w:pPr>
            <w:r>
              <w:rPr>
                <w:rFonts w:hint="eastAsia" w:hAnsi="宋体" w:cs="宋体"/>
                <w:color w:val="auto"/>
                <w:sz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69C77508">
            <w:pPr>
              <w:pStyle w:val="24"/>
              <w:adjustRightInd w:val="0"/>
              <w:spacing w:line="360" w:lineRule="exact"/>
              <w:rPr>
                <w:rFonts w:hAnsi="宋体" w:cs="宋体"/>
                <w:color w:val="auto"/>
                <w:sz w:val="21"/>
                <w:highlight w:val="none"/>
              </w:rPr>
            </w:pPr>
            <w:r>
              <w:rPr>
                <w:rFonts w:hint="eastAsia" w:hAnsi="宋体" w:cs="宋体"/>
                <w:color w:val="auto"/>
                <w:sz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23E19338">
            <w:pPr>
              <w:pStyle w:val="24"/>
              <w:adjustRightInd w:val="0"/>
              <w:spacing w:line="360" w:lineRule="exact"/>
              <w:rPr>
                <w:rFonts w:hAnsi="宋体" w:cs="宋体"/>
                <w:color w:val="auto"/>
                <w:sz w:val="21"/>
                <w:highlight w:val="none"/>
              </w:rPr>
            </w:pPr>
            <w:r>
              <w:rPr>
                <w:rFonts w:hint="eastAsia" w:hAnsi="宋体" w:cs="宋体"/>
                <w:color w:val="auto"/>
                <w:sz w:val="21"/>
                <w:highlight w:val="none"/>
              </w:rPr>
              <w:t>5.本招标文件所称的“以上”“以下”“以内”“届满”，包括本数；所称的“不满”“超过”“以外”，不包括本数。</w:t>
            </w:r>
          </w:p>
          <w:p w14:paraId="1FD9809F">
            <w:pPr>
              <w:pStyle w:val="24"/>
              <w:adjustRightInd w:val="0"/>
              <w:spacing w:line="360" w:lineRule="exact"/>
              <w:rPr>
                <w:rFonts w:hAnsi="宋体" w:cs="宋体"/>
                <w:color w:val="auto"/>
                <w:sz w:val="21"/>
                <w:highlight w:val="none"/>
              </w:rPr>
            </w:pPr>
            <w:r>
              <w:rPr>
                <w:rFonts w:hint="eastAsia" w:hAnsi="宋体" w:cs="宋体"/>
                <w:color w:val="auto"/>
                <w:sz w:val="21"/>
                <w:highlight w:val="none"/>
              </w:rPr>
              <w:t>6.如本项目未划分分标的，招标文件中的“分标”是指本项目。</w:t>
            </w:r>
          </w:p>
        </w:tc>
      </w:tr>
    </w:tbl>
    <w:p w14:paraId="79821721">
      <w:pPr>
        <w:pStyle w:val="5"/>
        <w:keepNext w:val="0"/>
        <w:keepLines w:val="0"/>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投标人须知正文</w:t>
      </w:r>
    </w:p>
    <w:p w14:paraId="0EBE4AA5">
      <w:pPr>
        <w:pStyle w:val="5"/>
        <w:keepNext w:val="0"/>
        <w:keepLines w:val="0"/>
        <w:jc w:val="center"/>
        <w:rPr>
          <w:rFonts w:ascii="宋体" w:hAnsi="宋体" w:cs="宋体"/>
          <w:color w:val="auto"/>
          <w:highlight w:val="none"/>
        </w:rPr>
      </w:pPr>
      <w:r>
        <w:rPr>
          <w:rFonts w:hint="eastAsia" w:ascii="宋体" w:hAnsi="宋体" w:cs="宋体"/>
          <w:color w:val="auto"/>
          <w:highlight w:val="none"/>
        </w:rPr>
        <w:t>一、总则</w:t>
      </w:r>
    </w:p>
    <w:p w14:paraId="354266F2">
      <w:pPr>
        <w:pStyle w:val="6"/>
        <w:keepNext w:val="0"/>
        <w:keepLines w:val="0"/>
        <w:spacing w:before="0" w:after="0" w:line="360" w:lineRule="auto"/>
        <w:ind w:left="420" w:leftChars="200"/>
        <w:rPr>
          <w:rFonts w:ascii="宋体" w:hAnsi="宋体" w:cs="宋体"/>
          <w:color w:val="auto"/>
          <w:sz w:val="24"/>
          <w:highlight w:val="none"/>
        </w:rPr>
      </w:pPr>
      <w:bookmarkStart w:id="79" w:name="_Toc254970668"/>
      <w:bookmarkStart w:id="80" w:name="_Toc254970527"/>
      <w:r>
        <w:rPr>
          <w:rFonts w:hint="eastAsia" w:ascii="宋体" w:hAnsi="宋体" w:cs="宋体"/>
          <w:color w:val="auto"/>
          <w:sz w:val="24"/>
          <w:highlight w:val="none"/>
        </w:rPr>
        <w:t>1.适用范围</w:t>
      </w:r>
      <w:bookmarkEnd w:id="79"/>
      <w:bookmarkEnd w:id="80"/>
    </w:p>
    <w:p w14:paraId="4F7424EF">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35B9C88E">
      <w:pPr>
        <w:snapToGrid w:val="0"/>
        <w:spacing w:line="440" w:lineRule="exact"/>
        <w:ind w:firstLine="420" w:firstLineChars="200"/>
        <w:jc w:val="left"/>
        <w:rPr>
          <w:rFonts w:ascii="宋体" w:hAnsi="宋体" w:cs="宋体"/>
          <w:color w:val="auto"/>
          <w:spacing w:val="-6"/>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334FC05C">
      <w:pPr>
        <w:pStyle w:val="6"/>
        <w:keepNext w:val="0"/>
        <w:keepLines w:val="0"/>
        <w:spacing w:before="0" w:after="0" w:line="440" w:lineRule="exact"/>
        <w:ind w:left="420" w:leftChars="200"/>
        <w:rPr>
          <w:rFonts w:ascii="宋体" w:hAnsi="宋体" w:cs="宋体"/>
          <w:color w:val="auto"/>
          <w:sz w:val="24"/>
          <w:highlight w:val="none"/>
        </w:rPr>
      </w:pPr>
      <w:bookmarkStart w:id="81" w:name="_Toc254970669"/>
      <w:bookmarkStart w:id="82" w:name="_Toc254970528"/>
      <w:r>
        <w:rPr>
          <w:rFonts w:hint="eastAsia" w:ascii="宋体" w:hAnsi="宋体" w:cs="宋体"/>
          <w:color w:val="auto"/>
          <w:sz w:val="24"/>
          <w:highlight w:val="none"/>
        </w:rPr>
        <w:t>2.定义</w:t>
      </w:r>
      <w:bookmarkEnd w:id="81"/>
      <w:bookmarkEnd w:id="82"/>
    </w:p>
    <w:p w14:paraId="15935BEC">
      <w:pPr>
        <w:pStyle w:val="6"/>
        <w:keepNext w:val="0"/>
        <w:keepLines w:val="0"/>
        <w:spacing w:before="0" w:after="0" w:line="4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2.1“采购人”是指依法进行政府采购的国家机关、事业单位、团体组织。</w:t>
      </w:r>
    </w:p>
    <w:p w14:paraId="513A1FAF">
      <w:pPr>
        <w:pStyle w:val="6"/>
        <w:keepNext w:val="0"/>
        <w:keepLines w:val="0"/>
        <w:spacing w:before="0" w:after="0" w:line="4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2.2“采购代理机构”是指政府采购集中采购机构和集中采购机构以外的采购代理机构。</w:t>
      </w:r>
    </w:p>
    <w:p w14:paraId="3DDE6A32">
      <w:pPr>
        <w:pStyle w:val="6"/>
        <w:keepNext w:val="0"/>
        <w:keepLines w:val="0"/>
        <w:spacing w:before="0" w:after="0" w:line="4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2.3“供应商”是指向采购人提供货物、工程或者服务的法人、其他组织或者自然人。</w:t>
      </w:r>
    </w:p>
    <w:p w14:paraId="189CD00A">
      <w:pPr>
        <w:pStyle w:val="7"/>
        <w:spacing w:line="440" w:lineRule="exact"/>
        <w:rPr>
          <w:rFonts w:ascii="宋体" w:hAnsi="宋体" w:cs="宋体"/>
          <w:color w:val="auto"/>
          <w:szCs w:val="21"/>
          <w:highlight w:val="none"/>
        </w:rPr>
      </w:pPr>
      <w:r>
        <w:rPr>
          <w:rFonts w:hint="eastAsia" w:ascii="宋体" w:hAnsi="宋体" w:cs="宋体"/>
          <w:color w:val="auto"/>
          <w:szCs w:val="21"/>
          <w:highlight w:val="none"/>
        </w:rPr>
        <w:t>2.4“投标人”是指响应招标、参加投标竞争的法人、其他组织或者自然人。</w:t>
      </w:r>
    </w:p>
    <w:p w14:paraId="52E5DB3C">
      <w:pPr>
        <w:pStyle w:val="6"/>
        <w:keepNext w:val="0"/>
        <w:keepLines w:val="0"/>
        <w:spacing w:before="0" w:after="0" w:line="44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2.5“货物”是指各种形态和种类的物品，包括原材料、燃料、设备、产品等。</w:t>
      </w:r>
    </w:p>
    <w:p w14:paraId="57187133">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2.6“售后服务” 是指商品出售以后所提供的各种服务，包含但不限于投标人须承担的备品备件、包装、运输、装卸、保险、货到就位以及安装、调试、培训、质保以及其他各种服务。</w:t>
      </w:r>
    </w:p>
    <w:p w14:paraId="5FBB9AA6">
      <w:pPr>
        <w:pStyle w:val="6"/>
        <w:keepNext w:val="0"/>
        <w:keepLines w:val="0"/>
        <w:spacing w:before="0" w:after="0" w:line="44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2.7“书面形式”是指合同书、信件和数据电文（包括电报、电传、传真、电子数据交换和电子邮件）等可以有形地表现所载内容的形式。</w:t>
      </w:r>
    </w:p>
    <w:p w14:paraId="3B28CC70">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2.8“实质性要求”是指招标文件中已经指明不满足则投标无效的条款，或者不能负偏离的条款，或者采购需求中带“▲”的条款。投标人不满足实质性要求的，</w:t>
      </w:r>
      <w:r>
        <w:rPr>
          <w:rFonts w:hint="eastAsia" w:ascii="宋体" w:hAnsi="宋体" w:cs="宋体"/>
          <w:b/>
          <w:bCs/>
          <w:color w:val="auto"/>
          <w:szCs w:val="21"/>
          <w:highlight w:val="none"/>
        </w:rPr>
        <w:t>按投标无效处理。</w:t>
      </w:r>
    </w:p>
    <w:p w14:paraId="2737C160">
      <w:pPr>
        <w:pStyle w:val="6"/>
        <w:keepNext w:val="0"/>
        <w:keepLines w:val="0"/>
        <w:spacing w:before="0" w:after="0" w:line="44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2.9 “正偏离”是指投标文件对招标文件“采购需求”中有关条款作出的响应优于该条款基本要求的情形，包括：①当某技术指标要求为≥或≤某指标时，则该指标为基本要求，投标响应值＞或＜该基本要求的，为正偏离；②除上述第①种情形外，经评委独立评审后认定该技术指标优于招标文件基本要求的其他情形。</w:t>
      </w:r>
    </w:p>
    <w:p w14:paraId="21024DCD">
      <w:pPr>
        <w:pStyle w:val="6"/>
        <w:keepNext w:val="0"/>
        <w:keepLines w:val="0"/>
        <w:spacing w:before="0" w:after="0" w:line="44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2.10“负偏离”，是指投标文件对招标文件“采购需求”中有关条款作出的响应不满足条款要求，导致采购人要求不能得到满足的情形。</w:t>
      </w:r>
    </w:p>
    <w:p w14:paraId="706F87B6">
      <w:pPr>
        <w:pStyle w:val="6"/>
        <w:keepNext w:val="0"/>
        <w:keepLines w:val="0"/>
        <w:spacing w:before="0" w:after="0" w:line="44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2.11“允许负偏离的条款”是指采购需求中的不属于“实质性要求”的条款。</w:t>
      </w:r>
      <w:bookmarkStart w:id="83" w:name="_Toc254970529"/>
      <w:bookmarkStart w:id="84" w:name="_Toc254970670"/>
    </w:p>
    <w:p w14:paraId="01B653F2">
      <w:pPr>
        <w:pStyle w:val="6"/>
        <w:keepNext w:val="0"/>
        <w:keepLines w:val="0"/>
        <w:spacing w:before="0" w:after="0" w:line="440" w:lineRule="exact"/>
        <w:rPr>
          <w:rFonts w:ascii="宋体" w:hAnsi="宋体" w:cs="宋体"/>
          <w:color w:val="auto"/>
          <w:szCs w:val="21"/>
          <w:highlight w:val="none"/>
        </w:rPr>
      </w:pPr>
      <w:r>
        <w:rPr>
          <w:rFonts w:hint="eastAsia" w:ascii="宋体" w:hAnsi="宋体" w:cs="宋体"/>
          <w:b w:val="0"/>
          <w:color w:val="auto"/>
          <w:sz w:val="21"/>
          <w:szCs w:val="21"/>
          <w:highlight w:val="none"/>
        </w:rPr>
        <w:t xml:space="preserve">  2.12本项目实行全流程电子化采购，投标人通过“广西政府采购云平台”参与电子投标。“投标文件”是指投标人按本招标文件规定提交的电子投标文件。</w:t>
      </w:r>
    </w:p>
    <w:p w14:paraId="4ABF2416">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w:t>
      </w:r>
      <w:bookmarkEnd w:id="83"/>
      <w:bookmarkEnd w:id="84"/>
      <w:r>
        <w:rPr>
          <w:rFonts w:hint="eastAsia" w:ascii="宋体" w:hAnsi="宋体" w:cs="宋体"/>
          <w:color w:val="auto"/>
          <w:sz w:val="24"/>
          <w:highlight w:val="none"/>
        </w:rPr>
        <w:t>投标人的资格要求</w:t>
      </w:r>
    </w:p>
    <w:p w14:paraId="21D82A2D">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7CD6C414">
      <w:pPr>
        <w:pStyle w:val="6"/>
        <w:keepNext w:val="0"/>
        <w:keepLines w:val="0"/>
        <w:spacing w:before="0" w:after="0" w:line="360" w:lineRule="auto"/>
        <w:ind w:left="420" w:leftChars="200"/>
        <w:rPr>
          <w:rFonts w:ascii="宋体" w:hAnsi="宋体" w:cs="宋体"/>
          <w:color w:val="auto"/>
          <w:sz w:val="24"/>
          <w:highlight w:val="none"/>
        </w:rPr>
      </w:pPr>
      <w:bookmarkStart w:id="85" w:name="_Toc254970671"/>
      <w:bookmarkStart w:id="86" w:name="_Toc254970530"/>
      <w:r>
        <w:rPr>
          <w:rFonts w:hint="eastAsia" w:ascii="宋体" w:hAnsi="宋体" w:cs="宋体"/>
          <w:color w:val="auto"/>
          <w:sz w:val="24"/>
          <w:highlight w:val="none"/>
        </w:rPr>
        <w:t>4.投标委托</w:t>
      </w:r>
      <w:bookmarkEnd w:id="85"/>
      <w:bookmarkEnd w:id="86"/>
    </w:p>
    <w:p w14:paraId="562D3B42">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投标人代表参加投标活动过程中必须携带个人有效身份证件。如投标人代表不是法定代表人，须持有授权委托书（按第六章要求格式填写）。</w:t>
      </w:r>
    </w:p>
    <w:p w14:paraId="204746E5">
      <w:pPr>
        <w:pStyle w:val="6"/>
        <w:keepNext w:val="0"/>
        <w:keepLines w:val="0"/>
        <w:spacing w:before="0" w:after="0" w:line="360" w:lineRule="auto"/>
        <w:ind w:left="420" w:leftChars="200"/>
        <w:rPr>
          <w:rFonts w:ascii="宋体" w:hAnsi="宋体" w:cs="宋体"/>
          <w:color w:val="auto"/>
          <w:sz w:val="24"/>
          <w:highlight w:val="none"/>
        </w:rPr>
      </w:pPr>
      <w:bookmarkStart w:id="87" w:name="_5.投标费用"/>
      <w:bookmarkEnd w:id="87"/>
      <w:bookmarkStart w:id="88" w:name="_Toc254970672"/>
      <w:bookmarkStart w:id="89" w:name="_Toc254970531"/>
      <w:r>
        <w:rPr>
          <w:rFonts w:hint="eastAsia" w:ascii="宋体" w:hAnsi="宋体" w:cs="宋体"/>
          <w:color w:val="auto"/>
          <w:sz w:val="24"/>
          <w:highlight w:val="none"/>
        </w:rPr>
        <w:t>5.投标费用</w:t>
      </w:r>
      <w:bookmarkEnd w:id="88"/>
      <w:bookmarkEnd w:id="89"/>
    </w:p>
    <w:p w14:paraId="69777297">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2673FBED">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6.联合体投标</w:t>
      </w:r>
    </w:p>
    <w:p w14:paraId="4A946A3F">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3ABCC0BD">
      <w:pPr>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763AE1EE">
      <w:pPr>
        <w:pStyle w:val="6"/>
        <w:keepNext w:val="0"/>
        <w:keepLines w:val="0"/>
        <w:spacing w:before="0" w:after="0" w:line="360" w:lineRule="auto"/>
        <w:ind w:firstLine="424" w:firstLineChars="202"/>
        <w:rPr>
          <w:rFonts w:ascii="宋体" w:hAnsi="宋体" w:cs="宋体"/>
          <w:color w:val="auto"/>
          <w:sz w:val="24"/>
          <w:highlight w:val="none"/>
        </w:rPr>
      </w:pPr>
      <w:r>
        <w:rPr>
          <w:rFonts w:hint="eastAsia" w:ascii="宋体" w:hAnsi="宋体" w:cs="宋体"/>
          <w:b w:val="0"/>
          <w:bCs/>
          <w:color w:val="auto"/>
          <w:sz w:val="21"/>
          <w:szCs w:val="21"/>
          <w:highlight w:val="none"/>
        </w:rPr>
        <w:t>6.3</w:t>
      </w:r>
      <w:bookmarkStart w:id="90" w:name="_Hlk65857072"/>
      <w:r>
        <w:rPr>
          <w:rFonts w:hint="eastAsia" w:ascii="宋体" w:hAnsi="宋体" w:cs="宋体"/>
          <w:b w:val="0"/>
          <w:bCs/>
          <w:color w:val="auto"/>
          <w:sz w:val="21"/>
          <w:szCs w:val="21"/>
          <w:highlight w:val="none"/>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90"/>
    </w:p>
    <w:p w14:paraId="4BFA6E68">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 xml:space="preserve">7.转包与分包             </w:t>
      </w:r>
    </w:p>
    <w:p w14:paraId="616A6ADD">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7.1本项目不允许转包。</w:t>
      </w:r>
    </w:p>
    <w:p w14:paraId="4A928D61">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7346AE0F">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79905DE5">
      <w:pPr>
        <w:pStyle w:val="6"/>
        <w:keepNext w:val="0"/>
        <w:keepLines w:val="0"/>
        <w:spacing w:before="0" w:after="0" w:line="360" w:lineRule="auto"/>
        <w:ind w:left="420" w:leftChars="200"/>
        <w:rPr>
          <w:rFonts w:ascii="宋体" w:hAnsi="宋体" w:cs="宋体"/>
          <w:color w:val="auto"/>
          <w:sz w:val="24"/>
          <w:highlight w:val="none"/>
        </w:rPr>
      </w:pPr>
      <w:bookmarkStart w:id="91" w:name="_Toc254970673"/>
      <w:bookmarkStart w:id="92" w:name="_Toc254970532"/>
      <w:r>
        <w:rPr>
          <w:rFonts w:hint="eastAsia" w:ascii="宋体" w:hAnsi="宋体" w:cs="宋体"/>
          <w:color w:val="auto"/>
          <w:sz w:val="24"/>
          <w:highlight w:val="none"/>
        </w:rPr>
        <w:t>8.特别说明</w:t>
      </w:r>
      <w:bookmarkEnd w:id="91"/>
      <w:bookmarkEnd w:id="92"/>
    </w:p>
    <w:p w14:paraId="326F227D">
      <w:pPr>
        <w:pStyle w:val="6"/>
        <w:keepNext w:val="0"/>
        <w:keepLines w:val="0"/>
        <w:spacing w:before="0" w:after="0" w:line="360" w:lineRule="auto"/>
        <w:ind w:firstLine="420" w:firstLineChars="200"/>
        <w:rPr>
          <w:rFonts w:ascii="宋体" w:hAnsi="宋体" w:cs="宋体"/>
          <w:b w:val="0"/>
          <w:color w:val="auto"/>
          <w:sz w:val="21"/>
          <w:szCs w:val="21"/>
          <w:highlight w:val="none"/>
        </w:rPr>
      </w:pPr>
      <w:bookmarkStart w:id="93" w:name="_8.1提供相同品牌产品且通过资格审查、符合性审查的不同投标人参加同一合"/>
      <w:bookmarkEnd w:id="93"/>
      <w:r>
        <w:rPr>
          <w:rFonts w:hint="eastAsia" w:ascii="宋体" w:hAnsi="宋体" w:cs="宋体"/>
          <w:b w:val="0"/>
          <w:color w:val="auto"/>
          <w:sz w:val="21"/>
          <w:szCs w:val="21"/>
          <w:highlight w:val="none"/>
        </w:rPr>
        <w:t>8.1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s="宋体"/>
          <w:color w:val="auto"/>
          <w:sz w:val="22"/>
          <w:szCs w:val="22"/>
          <w:highlight w:val="none"/>
        </w:rPr>
        <w:t>其他投标无效。</w:t>
      </w:r>
    </w:p>
    <w:p w14:paraId="6C8AD878">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259F633D">
      <w:pPr>
        <w:pStyle w:val="24"/>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非单一产品采购项目，多家投标人提供的核心产品品牌相同的，</w:t>
      </w:r>
      <w:r>
        <w:rPr>
          <w:rFonts w:hint="eastAsia" w:hAnsi="宋体" w:cs="宋体"/>
          <w:color w:val="auto"/>
          <w:sz w:val="22"/>
          <w:szCs w:val="22"/>
          <w:highlight w:val="none"/>
        </w:rPr>
        <w:t>按前两款规定处理</w:t>
      </w:r>
      <w:r>
        <w:rPr>
          <w:rFonts w:hint="eastAsia" w:hAnsi="宋体" w:cs="宋体"/>
          <w:color w:val="auto"/>
          <w:kern w:val="2"/>
          <w:sz w:val="21"/>
          <w:highlight w:val="none"/>
        </w:rPr>
        <w:t>。</w:t>
      </w:r>
    </w:p>
    <w:p w14:paraId="6EAEE782">
      <w:pPr>
        <w:pStyle w:val="6"/>
        <w:keepNext w:val="0"/>
        <w:keepLines w:val="0"/>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8.2如果本招标文件要求提供投标人或制造商的资格、信誉、荣誉、业绩与企业认证等材料的，资格、信誉、荣誉、业绩与企业认证等必须为投标人或者制造商所拥有或自身获得 。</w:t>
      </w:r>
    </w:p>
    <w:p w14:paraId="46F469F3">
      <w:pPr>
        <w:pStyle w:val="6"/>
        <w:keepNext w:val="0"/>
        <w:keepLines w:val="0"/>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8.3投标人应仔细阅读招标文件的所有内容，按照招标文件的要求提交投标文件，并对所提供的全部资料的真实性承担法律责任。</w:t>
      </w:r>
    </w:p>
    <w:p w14:paraId="299175B5">
      <w:pPr>
        <w:pStyle w:val="6"/>
        <w:keepNext w:val="0"/>
        <w:keepLines w:val="0"/>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8.4投标人在投标活动中提供任何虚假材料，将报监管部门查处；中标后发现的，中标人须依照相关法律法规及招标文件约定承担违约责任及赔偿责任赔偿采购人，且民事赔偿并不免除违法投标人的行政与刑事责任。</w:t>
      </w:r>
    </w:p>
    <w:p w14:paraId="38E4909F">
      <w:pPr>
        <w:pStyle w:val="190"/>
        <w:spacing w:line="360" w:lineRule="auto"/>
        <w:rPr>
          <w:color w:val="auto"/>
          <w:highlight w:val="none"/>
        </w:rPr>
      </w:pPr>
      <w:r>
        <w:rPr>
          <w:rFonts w:hint="eastAsia"/>
          <w:color w:val="auto"/>
          <w:highlight w:val="none"/>
          <w:lang w:val="en-US" w:eastAsia="zh-CN"/>
        </w:rPr>
        <w:t>8.5</w:t>
      </w:r>
      <w:r>
        <w:rPr>
          <w:rFonts w:hint="eastAsia"/>
          <w:color w:val="auto"/>
          <w:highlight w:val="none"/>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38CE5C6">
      <w:pPr>
        <w:spacing w:line="360" w:lineRule="auto"/>
        <w:ind w:firstLine="420"/>
        <w:rPr>
          <w:color w:val="auto"/>
          <w:kern w:val="0"/>
          <w:szCs w:val="20"/>
          <w:highlight w:val="none"/>
        </w:rPr>
      </w:pPr>
      <w:r>
        <w:rPr>
          <w:rFonts w:hint="eastAsia"/>
          <w:color w:val="auto"/>
          <w:kern w:val="0"/>
          <w:szCs w:val="20"/>
          <w:highlight w:val="none"/>
        </w:rPr>
        <w:t>产品在中国境内生产的组件成本占比应当达到规定比例，计算公式为：</w:t>
      </w:r>
    </w:p>
    <w:p w14:paraId="3F57B7BE">
      <w:pPr>
        <w:widowControl/>
        <w:shd w:val="clear" w:color="auto" w:fill="FFFFFF"/>
        <w:spacing w:before="30" w:after="30" w:line="360" w:lineRule="auto"/>
        <w:jc w:val="center"/>
        <w:rPr>
          <w:rFonts w:ascii="宋体" w:hAnsi="宋体" w:cs="宋体"/>
          <w:color w:val="auto"/>
          <w:kern w:val="0"/>
          <w:sz w:val="24"/>
          <w:highlight w:val="none"/>
        </w:rPr>
      </w:pPr>
      <w:r>
        <w:rPr>
          <w:rFonts w:ascii="宋体" w:hAnsi="宋体" w:cs="宋体"/>
          <w:color w:val="auto"/>
          <w:kern w:val="0"/>
          <w:sz w:val="24"/>
          <w:highlight w:val="none"/>
        </w:rPr>
        <w:fldChar w:fldCharType="begin"/>
      </w:r>
      <w:r>
        <w:rPr>
          <w:rFonts w:ascii="宋体" w:hAnsi="宋体" w:cs="宋体"/>
          <w:color w:val="auto"/>
          <w:kern w:val="0"/>
          <w:sz w:val="24"/>
          <w:highlight w:val="none"/>
        </w:rPr>
        <w:instrText xml:space="preserve"> INCLUDEPICTURE "https://www.gov.cn/zhengce/content/202509/W020250930645245947614.png" \* MERGEFORMATINET </w:instrText>
      </w:r>
      <w:r>
        <w:rPr>
          <w:rFonts w:ascii="宋体" w:hAnsi="宋体" w:cs="宋体"/>
          <w:color w:val="auto"/>
          <w:kern w:val="0"/>
          <w:sz w:val="24"/>
          <w:highlight w:val="none"/>
        </w:rPr>
        <w:fldChar w:fldCharType="separate"/>
      </w:r>
      <w:r>
        <w:rPr>
          <w:rFonts w:ascii="宋体" w:hAnsi="宋体" w:cs="宋体"/>
          <w:color w:val="auto"/>
          <w:kern w:val="0"/>
          <w:sz w:val="24"/>
          <w:highlight w:val="none"/>
        </w:rPr>
        <w:drawing>
          <wp:inline distT="0" distB="0" distL="0" distR="0">
            <wp:extent cx="4827905" cy="762635"/>
            <wp:effectExtent l="0" t="0" r="10795" b="18415"/>
            <wp:docPr id="16" name="_x0000_i1028"/>
            <wp:cNvGraphicFramePr/>
            <a:graphic xmlns:a="http://schemas.openxmlformats.org/drawingml/2006/main">
              <a:graphicData uri="http://schemas.openxmlformats.org/drawingml/2006/picture">
                <pic:pic xmlns:pic="http://schemas.openxmlformats.org/drawingml/2006/picture">
                  <pic:nvPicPr>
                    <pic:cNvPr id="16" name="_x0000_i1028"/>
                    <pic:cNvPicPr/>
                  </pic:nvPicPr>
                  <pic:blipFill>
                    <a:blip r:embed="rId19"/>
                    <a:stretch>
                      <a:fillRect/>
                    </a:stretch>
                  </pic:blipFill>
                  <pic:spPr>
                    <a:xfrm>
                      <a:off x="0" y="0"/>
                      <a:ext cx="4827905" cy="762762"/>
                    </a:xfrm>
                    <a:prstGeom prst="rect">
                      <a:avLst/>
                    </a:prstGeom>
                    <a:noFill/>
                  </pic:spPr>
                </pic:pic>
              </a:graphicData>
            </a:graphic>
          </wp:inline>
        </w:drawing>
      </w:r>
      <w:r>
        <w:rPr>
          <w:rFonts w:ascii="宋体" w:hAnsi="宋体" w:cs="宋体"/>
          <w:color w:val="auto"/>
          <w:kern w:val="0"/>
          <w:sz w:val="24"/>
          <w:highlight w:val="none"/>
        </w:rPr>
        <w:fldChar w:fldCharType="end"/>
      </w:r>
    </w:p>
    <w:p w14:paraId="2330D38F">
      <w:pPr>
        <w:spacing w:line="360" w:lineRule="auto"/>
        <w:ind w:firstLine="420"/>
        <w:rPr>
          <w:rFonts w:hint="eastAsia"/>
          <w:color w:val="auto"/>
          <w:kern w:val="0"/>
          <w:szCs w:val="20"/>
          <w:highlight w:val="none"/>
        </w:rPr>
      </w:pPr>
      <w:r>
        <w:rPr>
          <w:rFonts w:hint="eastAsia"/>
          <w:color w:val="auto"/>
          <w:kern w:val="0"/>
          <w:szCs w:val="20"/>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2330DF21">
      <w:pPr>
        <w:spacing w:line="360" w:lineRule="auto"/>
        <w:ind w:firstLine="420"/>
        <w:rPr>
          <w:rFonts w:hint="eastAsia"/>
          <w:color w:val="auto"/>
          <w:kern w:val="0"/>
          <w:szCs w:val="20"/>
          <w:highlight w:val="none"/>
        </w:rPr>
      </w:pPr>
      <w:r>
        <w:rPr>
          <w:rFonts w:hint="eastAsia"/>
          <w:color w:val="auto"/>
          <w:kern w:val="0"/>
          <w:szCs w:val="20"/>
          <w:highlight w:val="none"/>
        </w:rPr>
        <w:t>政府采购活动中既有本国产品又有非本国产品参与竞争的，依法对本国产品给予价格评审优惠，对本国产品的报价给予20%的价格扣除，用扣除后的价格参与评审。</w:t>
      </w:r>
    </w:p>
    <w:p w14:paraId="448F081A">
      <w:pPr>
        <w:spacing w:line="360" w:lineRule="auto"/>
        <w:ind w:firstLine="420"/>
        <w:rPr>
          <w:color w:val="auto"/>
          <w:highlight w:val="none"/>
        </w:rPr>
      </w:pPr>
      <w:r>
        <w:rPr>
          <w:rFonts w:hint="eastAsia"/>
          <w:color w:val="auto"/>
          <w:kern w:val="0"/>
          <w:szCs w:val="20"/>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color w:val="auto"/>
          <w:kern w:val="0"/>
          <w:highlight w:val="none"/>
        </w:rPr>
        <w:t>。</w:t>
      </w:r>
    </w:p>
    <w:p w14:paraId="4C5D5FD8">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9.回避与串通投标</w:t>
      </w:r>
    </w:p>
    <w:p w14:paraId="3532B910">
      <w:pPr>
        <w:pStyle w:val="6"/>
        <w:keepNext w:val="0"/>
        <w:keepLines w:val="0"/>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9.1在政府采购活动中，采购人员及相关人员与供应商有下列利害关系之一的，应当回避：</w:t>
      </w:r>
    </w:p>
    <w:p w14:paraId="75F25B3F">
      <w:pPr>
        <w:pStyle w:val="24"/>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（1）参加采购活动前3年内与供应商存在劳动关系；</w:t>
      </w:r>
    </w:p>
    <w:p w14:paraId="6DA3882E">
      <w:pPr>
        <w:pStyle w:val="24"/>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（2）参加采购活动前3年内担任供应商的董事、监事；</w:t>
      </w:r>
    </w:p>
    <w:p w14:paraId="35AC3623">
      <w:pPr>
        <w:pStyle w:val="24"/>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（3）参加采购活动前3年内是供应商的控股股东或者实际控制人；</w:t>
      </w:r>
    </w:p>
    <w:p w14:paraId="2AA5A612">
      <w:pPr>
        <w:pStyle w:val="24"/>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（4）与供应商的法定代表人或者负责人有夫妻、直系血亲、三代以内旁系血亲或者近姻亲关系；</w:t>
      </w:r>
    </w:p>
    <w:p w14:paraId="2FE0D3B6">
      <w:pPr>
        <w:pStyle w:val="24"/>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（5）与供应商有其他可能影响政府采购活动公平、公正进行的关系。</w:t>
      </w:r>
    </w:p>
    <w:p w14:paraId="5F26B86B">
      <w:pPr>
        <w:pStyle w:val="24"/>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B7DCFC3">
      <w:pPr>
        <w:pStyle w:val="6"/>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9.2有下列情形之一的视为投标人相互串通投标，投标文件将被视为无效：</w:t>
      </w:r>
    </w:p>
    <w:p w14:paraId="54986573">
      <w:pPr>
        <w:pStyle w:val="24"/>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 xml:space="preserve">（1）不同投标人的投标文件由同一单位或者个人编制； </w:t>
      </w:r>
    </w:p>
    <w:p w14:paraId="7578BF1F">
      <w:pPr>
        <w:pStyle w:val="24"/>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（2）不同投标人委托同一单位或者个人办理投标事宜；</w:t>
      </w:r>
    </w:p>
    <w:p w14:paraId="3448FA01">
      <w:pPr>
        <w:pStyle w:val="24"/>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（3）不同的投标人的投标文件载明的项目管理员为同一个人；</w:t>
      </w:r>
    </w:p>
    <w:p w14:paraId="6EABC802">
      <w:pPr>
        <w:pStyle w:val="24"/>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（4）不同投标人的投标文件异常一致或者投标报价呈规律性差异；</w:t>
      </w:r>
    </w:p>
    <w:p w14:paraId="4F24F826">
      <w:pPr>
        <w:pStyle w:val="24"/>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（5）不同投标人的投标文件相互混装；</w:t>
      </w:r>
    </w:p>
    <w:p w14:paraId="5850BAB8">
      <w:pPr>
        <w:pStyle w:val="24"/>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（6）不同投标人的投标保证金从同一单位或者个人账户转出。</w:t>
      </w:r>
    </w:p>
    <w:p w14:paraId="2C181AC8">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9.3供应商有下列情形之一的，属于恶意串通行为，将报同级监督管理部门：</w:t>
      </w:r>
    </w:p>
    <w:p w14:paraId="33C840C0">
      <w:pPr>
        <w:pStyle w:val="24"/>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（1）供应商直接或者间接从采购人或者采购代理机构处获得其他供应商的相关信息并修改其投标文件或者响应文件；</w:t>
      </w:r>
    </w:p>
    <w:p w14:paraId="2468D447">
      <w:pPr>
        <w:pStyle w:val="24"/>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（2）供应商按照采购人或者采购代理机构的授意撤换、修改投标文件或者响应文件；</w:t>
      </w:r>
    </w:p>
    <w:p w14:paraId="64A4690E">
      <w:pPr>
        <w:pStyle w:val="24"/>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（3）供应商之间协商报价、技术方案等投标文件或者响应文件的实质性内容；</w:t>
      </w:r>
    </w:p>
    <w:p w14:paraId="125F1FF2">
      <w:pPr>
        <w:pStyle w:val="24"/>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（4）属于同一集团、协会、商会等组织成员的供应商按照该组织要求协同参加政府采购活动；</w:t>
      </w:r>
    </w:p>
    <w:p w14:paraId="665942EE">
      <w:pPr>
        <w:pStyle w:val="24"/>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09699143">
      <w:pPr>
        <w:pStyle w:val="24"/>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（6）供应商之间商定部分供应商放弃参加政府采购活动或者放弃中标；</w:t>
      </w:r>
    </w:p>
    <w:p w14:paraId="31F660ED">
      <w:pPr>
        <w:pStyle w:val="24"/>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（7）供应商与采购人或者采购代理机构之间、供应商相互之间，为谋求特定供应商中标或者排斥其他供应商的其他串通行为。</w:t>
      </w:r>
    </w:p>
    <w:p w14:paraId="53F136AB">
      <w:pPr>
        <w:pStyle w:val="24"/>
        <w:snapToGrid w:val="0"/>
        <w:spacing w:line="360" w:lineRule="auto"/>
        <w:ind w:left="2" w:leftChars="1" w:firstLine="422" w:firstLineChars="200"/>
        <w:rPr>
          <w:rFonts w:hAnsi="宋体" w:cs="宋体"/>
          <w:b/>
          <w:color w:val="auto"/>
          <w:kern w:val="2"/>
          <w:sz w:val="21"/>
          <w:highlight w:val="none"/>
        </w:rPr>
      </w:pPr>
    </w:p>
    <w:p w14:paraId="67CB1E67">
      <w:pPr>
        <w:pStyle w:val="5"/>
        <w:keepNext w:val="0"/>
        <w:keepLines w:val="0"/>
        <w:jc w:val="center"/>
        <w:rPr>
          <w:rFonts w:ascii="宋体" w:hAnsi="宋体" w:cs="宋体"/>
          <w:color w:val="auto"/>
          <w:highlight w:val="none"/>
        </w:rPr>
      </w:pPr>
      <w:bookmarkStart w:id="94" w:name="_Toc254970675"/>
      <w:bookmarkStart w:id="95" w:name="_Toc254970534"/>
      <w:r>
        <w:rPr>
          <w:rFonts w:hint="eastAsia" w:ascii="宋体" w:hAnsi="宋体" w:cs="宋体"/>
          <w:color w:val="auto"/>
          <w:highlight w:val="none"/>
        </w:rPr>
        <w:t>二、招标文件</w:t>
      </w:r>
      <w:bookmarkEnd w:id="94"/>
      <w:bookmarkEnd w:id="95"/>
    </w:p>
    <w:p w14:paraId="765A3EEA">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10.招标文件的组成</w:t>
      </w:r>
    </w:p>
    <w:p w14:paraId="7F2C8D9E">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（1）招标公告；</w:t>
      </w:r>
    </w:p>
    <w:p w14:paraId="6B41D4EA">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 xml:space="preserve">（2）采购需求； </w:t>
      </w:r>
    </w:p>
    <w:p w14:paraId="57921236">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（3）投标人须知；</w:t>
      </w:r>
    </w:p>
    <w:p w14:paraId="19D18F8A">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（4）评标方法及评标标准；</w:t>
      </w:r>
    </w:p>
    <w:p w14:paraId="177C6685">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（5）拟签订的合同文本；</w:t>
      </w:r>
    </w:p>
    <w:p w14:paraId="1A75B770">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（6）投标文件格式。</w:t>
      </w:r>
    </w:p>
    <w:p w14:paraId="310B033A">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0E87A31D">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04893740">
      <w:pPr>
        <w:pStyle w:val="24"/>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1F195011">
      <w:pPr>
        <w:pStyle w:val="24"/>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11.2</w:t>
      </w:r>
      <w:bookmarkStart w:id="96" w:name="_Hlk53134511"/>
      <w:r>
        <w:rPr>
          <w:rFonts w:hint="eastAsia" w:hAnsi="宋体" w:cs="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96"/>
    <w:p w14:paraId="29217066">
      <w:pPr>
        <w:pStyle w:val="5"/>
        <w:keepNext w:val="0"/>
        <w:keepLines w:val="0"/>
        <w:jc w:val="center"/>
        <w:rPr>
          <w:rFonts w:ascii="宋体" w:hAnsi="宋体" w:cs="宋体"/>
          <w:color w:val="auto"/>
          <w:highlight w:val="none"/>
        </w:rPr>
      </w:pPr>
      <w:bookmarkStart w:id="97" w:name="_Toc254970676"/>
      <w:bookmarkStart w:id="98" w:name="_Toc254970535"/>
      <w:r>
        <w:rPr>
          <w:rFonts w:hint="eastAsia" w:ascii="宋体" w:hAnsi="宋体" w:cs="宋体"/>
          <w:color w:val="auto"/>
          <w:highlight w:val="none"/>
        </w:rPr>
        <w:t>三、投标文件的编制</w:t>
      </w:r>
      <w:bookmarkEnd w:id="97"/>
      <w:bookmarkEnd w:id="98"/>
    </w:p>
    <w:p w14:paraId="02E1B2D4">
      <w:pPr>
        <w:pStyle w:val="6"/>
        <w:keepNext w:val="0"/>
        <w:keepLines w:val="0"/>
        <w:spacing w:before="0" w:after="0" w:line="360" w:lineRule="auto"/>
        <w:ind w:left="420" w:leftChars="200"/>
        <w:rPr>
          <w:rFonts w:ascii="宋体" w:hAnsi="宋体" w:cs="宋体"/>
          <w:color w:val="auto"/>
          <w:sz w:val="24"/>
          <w:highlight w:val="none"/>
        </w:rPr>
      </w:pPr>
      <w:bookmarkStart w:id="99" w:name="_Toc254970677"/>
      <w:bookmarkStart w:id="100" w:name="_Toc254970536"/>
      <w:r>
        <w:rPr>
          <w:rFonts w:hint="eastAsia" w:ascii="宋体" w:hAnsi="宋体" w:cs="宋体"/>
          <w:color w:val="auto"/>
          <w:sz w:val="24"/>
          <w:highlight w:val="none"/>
        </w:rPr>
        <w:t>12.投标文件的编制原则</w:t>
      </w:r>
    </w:p>
    <w:p w14:paraId="27962437">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45F82A79">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99"/>
      <w:bookmarkEnd w:id="100"/>
    </w:p>
    <w:p w14:paraId="5C82424A">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投标文件由报价文件、资格证明文件、商务文件、技术文件四部分组成。</w:t>
      </w:r>
    </w:p>
    <w:p w14:paraId="0C360506">
      <w:pPr>
        <w:pStyle w:val="6"/>
        <w:keepNext w:val="0"/>
        <w:keepLines w:val="0"/>
        <w:spacing w:before="0" w:after="0" w:line="360" w:lineRule="auto"/>
        <w:ind w:left="420" w:leftChars="200"/>
        <w:rPr>
          <w:rFonts w:ascii="宋体" w:hAnsi="宋体" w:cs="宋体"/>
          <w:b w:val="0"/>
          <w:color w:val="auto"/>
          <w:sz w:val="21"/>
          <w:szCs w:val="21"/>
          <w:highlight w:val="none"/>
        </w:rPr>
      </w:pPr>
      <w:bookmarkStart w:id="101" w:name="_13.1报价文件:_具体材料见“投标人须知前附表”。"/>
      <w:bookmarkEnd w:id="101"/>
      <w:r>
        <w:rPr>
          <w:rFonts w:hint="eastAsia" w:ascii="宋体" w:hAnsi="宋体" w:cs="宋体"/>
          <w:b w:val="0"/>
          <w:color w:val="auto"/>
          <w:sz w:val="21"/>
          <w:szCs w:val="21"/>
          <w:highlight w:val="none"/>
        </w:rPr>
        <w:t>（1）报价文件：具体材料见“投标人须知前附表”。</w:t>
      </w:r>
    </w:p>
    <w:p w14:paraId="0F6B7F7D">
      <w:pPr>
        <w:pStyle w:val="6"/>
        <w:keepNext w:val="0"/>
        <w:keepLines w:val="0"/>
        <w:spacing w:before="0" w:after="0" w:line="360" w:lineRule="auto"/>
        <w:ind w:left="420" w:leftChars="200"/>
        <w:rPr>
          <w:rFonts w:ascii="宋体" w:hAnsi="宋体" w:cs="宋体"/>
          <w:b w:val="0"/>
          <w:color w:val="auto"/>
          <w:sz w:val="21"/>
          <w:szCs w:val="21"/>
          <w:highlight w:val="none"/>
        </w:rPr>
      </w:pPr>
      <w:bookmarkStart w:id="102" w:name="_13.2资格证明文件：具体材料见“投标人须知前附表”。"/>
      <w:bookmarkEnd w:id="102"/>
      <w:r>
        <w:rPr>
          <w:rFonts w:hint="eastAsia" w:ascii="宋体" w:hAnsi="宋体" w:cs="宋体"/>
          <w:b w:val="0"/>
          <w:color w:val="auto"/>
          <w:sz w:val="21"/>
          <w:szCs w:val="21"/>
          <w:highlight w:val="none"/>
        </w:rPr>
        <w:t>（2）资格证明文件：具体材料见“投标人须知前附表”。</w:t>
      </w:r>
    </w:p>
    <w:p w14:paraId="2A069CC1">
      <w:pPr>
        <w:pStyle w:val="6"/>
        <w:keepNext w:val="0"/>
        <w:keepLines w:val="0"/>
        <w:spacing w:before="0" w:after="0" w:line="360" w:lineRule="auto"/>
        <w:ind w:left="420" w:leftChars="200"/>
        <w:rPr>
          <w:rFonts w:ascii="宋体" w:hAnsi="宋体" w:cs="宋体"/>
          <w:b w:val="0"/>
          <w:color w:val="auto"/>
          <w:sz w:val="21"/>
          <w:szCs w:val="21"/>
          <w:highlight w:val="none"/>
        </w:rPr>
      </w:pPr>
      <w:bookmarkStart w:id="103" w:name="_13.3商务文件:_具体材料见“投标人须知前附表”。"/>
      <w:bookmarkEnd w:id="103"/>
      <w:r>
        <w:rPr>
          <w:rFonts w:hint="eastAsia" w:ascii="宋体" w:hAnsi="宋体" w:cs="宋体"/>
          <w:b w:val="0"/>
          <w:color w:val="auto"/>
          <w:sz w:val="21"/>
          <w:szCs w:val="21"/>
          <w:highlight w:val="none"/>
        </w:rPr>
        <w:t>（3）商务文件：具体材料见“投标人须知前附表”。</w:t>
      </w:r>
    </w:p>
    <w:p w14:paraId="5AB85062">
      <w:pPr>
        <w:pStyle w:val="6"/>
        <w:keepNext w:val="0"/>
        <w:keepLines w:val="0"/>
        <w:spacing w:before="0" w:after="0" w:line="360" w:lineRule="auto"/>
        <w:ind w:left="420" w:leftChars="200"/>
        <w:rPr>
          <w:rFonts w:ascii="宋体" w:hAnsi="宋体" w:cs="宋体"/>
          <w:b w:val="0"/>
          <w:color w:val="auto"/>
          <w:sz w:val="21"/>
          <w:szCs w:val="21"/>
          <w:highlight w:val="none"/>
        </w:rPr>
      </w:pPr>
      <w:bookmarkStart w:id="104" w:name="_13.4技术文件：具体材料见“投标人须知前附表”。"/>
      <w:bookmarkEnd w:id="104"/>
      <w:r>
        <w:rPr>
          <w:rFonts w:hint="eastAsia" w:ascii="宋体" w:hAnsi="宋体" w:cs="宋体"/>
          <w:b w:val="0"/>
          <w:color w:val="auto"/>
          <w:sz w:val="21"/>
          <w:szCs w:val="21"/>
          <w:highlight w:val="none"/>
        </w:rPr>
        <w:t>（4）技术文件：具体材料见“投标人须知前附表”。</w:t>
      </w:r>
    </w:p>
    <w:p w14:paraId="6BF0A940">
      <w:pPr>
        <w:pStyle w:val="6"/>
        <w:keepNext w:val="0"/>
        <w:keepLines w:val="0"/>
        <w:spacing w:before="0" w:after="0" w:line="360" w:lineRule="auto"/>
        <w:ind w:left="420" w:leftChars="200"/>
        <w:rPr>
          <w:rFonts w:ascii="宋体" w:hAnsi="宋体" w:cs="宋体"/>
          <w:color w:val="auto"/>
          <w:sz w:val="24"/>
          <w:highlight w:val="none"/>
        </w:rPr>
      </w:pPr>
      <w:bookmarkStart w:id="105" w:name="_13.5投标文件电子版：具体材料见“投标人须知前附表”。"/>
      <w:bookmarkEnd w:id="105"/>
      <w:bookmarkStart w:id="106" w:name="_Toc254970537"/>
      <w:bookmarkStart w:id="107" w:name="_Toc254970678"/>
      <w:r>
        <w:rPr>
          <w:rFonts w:hint="eastAsia" w:ascii="宋体" w:hAnsi="宋体" w:cs="宋体"/>
          <w:color w:val="auto"/>
          <w:sz w:val="24"/>
          <w:highlight w:val="none"/>
        </w:rPr>
        <w:t>14.投标文件的语言及计量</w:t>
      </w:r>
      <w:bookmarkEnd w:id="106"/>
      <w:bookmarkEnd w:id="107"/>
    </w:p>
    <w:p w14:paraId="0A99DA70">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14.1语言文字</w:t>
      </w:r>
    </w:p>
    <w:p w14:paraId="4B5DBA9A">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5CC7D76">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14.2投标计量单位</w:t>
      </w:r>
    </w:p>
    <w:p w14:paraId="70F5F7B3">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color w:val="auto"/>
          <w:sz w:val="21"/>
          <w:szCs w:val="21"/>
          <w:highlight w:val="none"/>
        </w:rPr>
        <w:t>否则视同未响应。</w:t>
      </w:r>
    </w:p>
    <w:p w14:paraId="272C7415">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15.投标的风险</w:t>
      </w:r>
    </w:p>
    <w:p w14:paraId="6F6E0C63">
      <w:pPr>
        <w:pStyle w:val="24"/>
        <w:snapToGrid w:val="0"/>
        <w:spacing w:line="360" w:lineRule="auto"/>
        <w:ind w:firstLine="420" w:firstLineChars="200"/>
        <w:jc w:val="left"/>
        <w:rPr>
          <w:rFonts w:hAnsi="宋体" w:cs="宋体"/>
          <w:color w:val="auto"/>
          <w:sz w:val="21"/>
          <w:highlight w:val="none"/>
        </w:rPr>
      </w:pPr>
      <w:r>
        <w:rPr>
          <w:rFonts w:hint="eastAsia" w:hAnsi="宋体" w:cs="宋体"/>
          <w:color w:val="auto"/>
          <w:sz w:val="21"/>
          <w:highlight w:val="none"/>
        </w:rPr>
        <w:t>投标人没有按照招标文件要求提供全部资料，或者投标人没有对招标文件作出实质性响应是投标人的风险，并可能导致其投标被拒绝。</w:t>
      </w:r>
    </w:p>
    <w:p w14:paraId="6BDE2C18">
      <w:pPr>
        <w:pStyle w:val="6"/>
        <w:keepNext w:val="0"/>
        <w:keepLines w:val="0"/>
        <w:spacing w:before="0" w:after="0" w:line="360" w:lineRule="auto"/>
        <w:ind w:left="420" w:leftChars="200"/>
        <w:rPr>
          <w:rFonts w:ascii="宋体" w:hAnsi="宋体" w:cs="宋体"/>
          <w:color w:val="auto"/>
          <w:sz w:val="24"/>
          <w:highlight w:val="none"/>
        </w:rPr>
      </w:pPr>
      <w:bookmarkStart w:id="108" w:name="_Toc254970679"/>
      <w:bookmarkStart w:id="109" w:name="_Toc254970538"/>
      <w:r>
        <w:rPr>
          <w:rFonts w:hint="eastAsia" w:ascii="宋体" w:hAnsi="宋体" w:cs="宋体"/>
          <w:color w:val="auto"/>
          <w:sz w:val="24"/>
          <w:highlight w:val="none"/>
        </w:rPr>
        <w:t>16.投标报价</w:t>
      </w:r>
      <w:bookmarkEnd w:id="108"/>
      <w:bookmarkEnd w:id="109"/>
    </w:p>
    <w:p w14:paraId="454E97EB">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16.1投标报价应按“第六章　投标文件格式”中“开标一览表”格式填写。</w:t>
      </w:r>
    </w:p>
    <w:p w14:paraId="7326EE4E">
      <w:pPr>
        <w:pStyle w:val="6"/>
        <w:keepNext w:val="0"/>
        <w:keepLines w:val="0"/>
        <w:spacing w:before="0" w:after="0" w:line="360" w:lineRule="auto"/>
        <w:ind w:left="420" w:leftChars="200"/>
        <w:rPr>
          <w:rFonts w:ascii="宋体" w:hAnsi="宋体" w:cs="宋体"/>
          <w:b w:val="0"/>
          <w:color w:val="auto"/>
          <w:sz w:val="21"/>
          <w:szCs w:val="21"/>
          <w:highlight w:val="none"/>
        </w:rPr>
      </w:pPr>
      <w:bookmarkStart w:id="110" w:name="_16.2投标报价具体定义见投标人须知前附表。"/>
      <w:bookmarkEnd w:id="110"/>
      <w:r>
        <w:rPr>
          <w:rFonts w:hint="eastAsia" w:ascii="宋体" w:hAnsi="宋体" w:cs="宋体"/>
          <w:b w:val="0"/>
          <w:color w:val="auto"/>
          <w:sz w:val="21"/>
          <w:szCs w:val="21"/>
          <w:highlight w:val="none"/>
        </w:rPr>
        <w:t>16.2投标报价具体包括内容详见“投标人须知前附表”。</w:t>
      </w:r>
    </w:p>
    <w:p w14:paraId="379121AB">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16.3投标人必须就所投全部内容分别作完整唯一总价报价，不得存在漏项报价；投标人必须就所投的单项内容作唯一报价。</w:t>
      </w:r>
    </w:p>
    <w:p w14:paraId="55C5765C">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17.投标有效期</w:t>
      </w:r>
    </w:p>
    <w:p w14:paraId="135A8E14">
      <w:pPr>
        <w:pStyle w:val="6"/>
        <w:keepNext w:val="0"/>
        <w:keepLines w:val="0"/>
        <w:spacing w:before="0" w:after="0" w:line="360" w:lineRule="auto"/>
        <w:ind w:firstLine="420" w:firstLineChars="200"/>
        <w:rPr>
          <w:rFonts w:ascii="宋体" w:hAnsi="宋体" w:cs="宋体"/>
          <w:b w:val="0"/>
          <w:color w:val="auto"/>
          <w:sz w:val="21"/>
          <w:szCs w:val="21"/>
          <w:highlight w:val="none"/>
        </w:rPr>
      </w:pPr>
      <w:bookmarkStart w:id="111" w:name="_17.1投标有效期应按“投标人须知中的前附表”规定的期限。"/>
      <w:bookmarkEnd w:id="111"/>
      <w:r>
        <w:rPr>
          <w:rFonts w:hint="eastAsia" w:ascii="宋体" w:hAnsi="宋体" w:cs="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140942E6">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17.2</w:t>
      </w:r>
      <w:bookmarkStart w:id="112" w:name="_Toc254970681"/>
      <w:bookmarkStart w:id="113" w:name="_Toc254970540"/>
      <w:r>
        <w:rPr>
          <w:rFonts w:hint="eastAsia" w:ascii="宋体" w:hAnsi="宋体" w:cs="宋体"/>
          <w:b w:val="0"/>
          <w:color w:val="auto"/>
          <w:sz w:val="21"/>
          <w:szCs w:val="21"/>
          <w:highlight w:val="none"/>
        </w:rPr>
        <w:t xml:space="preserve"> 投标有效期应按招标文件规定的期限作出承诺，具体详见“投标人须知前附表”。</w:t>
      </w:r>
      <w:r>
        <w:rPr>
          <w:rFonts w:hint="eastAsia" w:ascii="宋体" w:hAnsi="宋体" w:cs="宋体"/>
          <w:color w:val="auto"/>
          <w:sz w:val="21"/>
          <w:szCs w:val="21"/>
          <w:highlight w:val="none"/>
        </w:rPr>
        <w:t>承诺的投标有效期低于招标文件规定期限的，按无效投标处理</w:t>
      </w:r>
      <w:r>
        <w:rPr>
          <w:rFonts w:hint="eastAsia" w:ascii="宋体" w:hAnsi="宋体" w:cs="宋体"/>
          <w:b w:val="0"/>
          <w:color w:val="auto"/>
          <w:sz w:val="21"/>
          <w:szCs w:val="21"/>
          <w:highlight w:val="none"/>
        </w:rPr>
        <w:t>。</w:t>
      </w:r>
    </w:p>
    <w:p w14:paraId="42583CC8">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17.3投标人的投标文件在投标有效期内均保持有效。</w:t>
      </w:r>
      <w:bookmarkEnd w:id="112"/>
      <w:bookmarkEnd w:id="113"/>
    </w:p>
    <w:p w14:paraId="4E20AC95">
      <w:pPr>
        <w:pStyle w:val="6"/>
        <w:keepNext w:val="0"/>
        <w:keepLines w:val="0"/>
        <w:spacing w:before="0" w:after="0" w:line="360" w:lineRule="auto"/>
        <w:ind w:left="420" w:leftChars="200"/>
        <w:rPr>
          <w:rFonts w:ascii="宋体" w:hAnsi="宋体" w:cs="宋体"/>
          <w:color w:val="auto"/>
          <w:sz w:val="24"/>
          <w:highlight w:val="none"/>
        </w:rPr>
      </w:pPr>
      <w:bookmarkStart w:id="114" w:name="_18.投标保证金"/>
      <w:bookmarkEnd w:id="114"/>
      <w:bookmarkStart w:id="115" w:name="_Toc254970541"/>
      <w:bookmarkStart w:id="116" w:name="_Toc254970682"/>
      <w:r>
        <w:rPr>
          <w:rFonts w:hint="eastAsia" w:ascii="宋体" w:hAnsi="宋体" w:cs="宋体"/>
          <w:color w:val="auto"/>
          <w:sz w:val="24"/>
          <w:highlight w:val="none"/>
        </w:rPr>
        <w:t>18.投标保证金</w:t>
      </w:r>
      <w:bookmarkEnd w:id="115"/>
      <w:bookmarkEnd w:id="116"/>
    </w:p>
    <w:p w14:paraId="5689A77F">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18.1投标人须按“投标人须知前附表” 的规定提交投标保证金。</w:t>
      </w:r>
    </w:p>
    <w:p w14:paraId="79EB8508">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18.2投标保证金的退还</w:t>
      </w:r>
    </w:p>
    <w:p w14:paraId="5B5B7233">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未中标人的投标保证金自中标通知书发出之日起4个工作日内退还；中标人的投标保证金自政府采购合同签订之日起4个工作日内退还。 </w:t>
      </w:r>
    </w:p>
    <w:p w14:paraId="5E38F6C0">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18.3除逾期退还投标保证金和终止招标的情形以外，投标保证金不计息。</w:t>
      </w:r>
    </w:p>
    <w:p w14:paraId="4A5F16FD">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18.4投标人有下列情形之一的，投标保证金将不予退还： </w:t>
      </w:r>
    </w:p>
    <w:p w14:paraId="3D01CFB0">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09895C5F">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75A95C49">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7D464A10">
      <w:pPr>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14:paraId="0C94373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（5）投标人出现本章第9.2、9.3情形的；</w:t>
      </w:r>
    </w:p>
    <w:p w14:paraId="2D17B02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00CE4461">
      <w:pPr>
        <w:pStyle w:val="6"/>
        <w:keepNext w:val="0"/>
        <w:keepLines w:val="0"/>
        <w:spacing w:before="0" w:after="0" w:line="360" w:lineRule="auto"/>
        <w:ind w:left="420" w:leftChars="200"/>
        <w:rPr>
          <w:rFonts w:ascii="宋体" w:hAnsi="宋体" w:cs="宋体"/>
          <w:color w:val="auto"/>
          <w:sz w:val="24"/>
          <w:highlight w:val="none"/>
        </w:rPr>
      </w:pPr>
      <w:bookmarkStart w:id="117" w:name="_Toc254970683"/>
      <w:bookmarkStart w:id="118" w:name="_Toc254970542"/>
      <w:r>
        <w:rPr>
          <w:rFonts w:hint="eastAsia" w:ascii="宋体" w:hAnsi="宋体" w:cs="宋体"/>
          <w:color w:val="auto"/>
          <w:sz w:val="24"/>
          <w:highlight w:val="none"/>
        </w:rPr>
        <w:t>19.投标文件的</w:t>
      </w:r>
      <w:bookmarkEnd w:id="117"/>
      <w:bookmarkEnd w:id="118"/>
      <w:r>
        <w:rPr>
          <w:rFonts w:hint="eastAsia" w:ascii="宋体" w:hAnsi="宋体" w:cs="宋体"/>
          <w:color w:val="auto"/>
          <w:sz w:val="24"/>
          <w:highlight w:val="none"/>
        </w:rPr>
        <w:t>编制</w:t>
      </w:r>
    </w:p>
    <w:p w14:paraId="04220027">
      <w:pPr>
        <w:pStyle w:val="6"/>
        <w:keepNext w:val="0"/>
        <w:keepLines w:val="0"/>
        <w:numPr>
          <w:ilvl w:val="4"/>
          <w:numId w:val="3"/>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276C9384">
      <w:pPr>
        <w:pStyle w:val="6"/>
        <w:keepNext w:val="0"/>
        <w:keepLines w:val="0"/>
        <w:numPr>
          <w:ilvl w:val="4"/>
          <w:numId w:val="3"/>
        </w:numPr>
        <w:spacing w:before="0" w:after="0" w:line="360" w:lineRule="auto"/>
        <w:ind w:firstLine="315" w:firstLineChars="150"/>
        <w:rPr>
          <w:rFonts w:ascii="宋体" w:hAnsi="宋体" w:cs="宋体"/>
          <w:b w:val="0"/>
          <w:color w:val="auto"/>
          <w:sz w:val="21"/>
          <w:szCs w:val="21"/>
          <w:highlight w:val="none"/>
        </w:rPr>
      </w:pPr>
      <w:bookmarkStart w:id="119" w:name="_19.2投标文件应按报价文件、资格证明文件、商务文件、技术文件分别编制"/>
      <w:bookmarkEnd w:id="119"/>
      <w:r>
        <w:rPr>
          <w:rFonts w:hint="eastAsia" w:ascii="宋体" w:hAnsi="宋体" w:cs="宋体"/>
          <w:b w:val="0"/>
          <w:color w:val="auto"/>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19.2为确保网上操作合法、有效和安全，投标人应当在投标截止时间前完成在广西政府采购云平台的身份认证，确保在电子投标过程中能够对相关数据电文进行加密和使用电子签章。</w:t>
      </w:r>
    </w:p>
    <w:p w14:paraId="0B63E889">
      <w:pPr>
        <w:pStyle w:val="6"/>
        <w:keepNext w:val="0"/>
        <w:keepLines w:val="0"/>
        <w:numPr>
          <w:ilvl w:val="4"/>
          <w:numId w:val="3"/>
        </w:numPr>
        <w:spacing w:before="0" w:after="0" w:line="360" w:lineRule="auto"/>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cs="宋体"/>
          <w:bCs/>
          <w:color w:val="auto"/>
          <w:sz w:val="21"/>
          <w:szCs w:val="21"/>
          <w:highlight w:val="none"/>
        </w:rPr>
        <w:t>否则按无效投标处理</w:t>
      </w:r>
      <w:r>
        <w:rPr>
          <w:rFonts w:hint="eastAsia" w:ascii="宋体" w:hAnsi="宋体" w:cs="宋体"/>
          <w:b w:val="0"/>
          <w:color w:val="auto"/>
          <w:sz w:val="21"/>
          <w:szCs w:val="21"/>
          <w:highlight w:val="none"/>
        </w:rPr>
        <w:t>。</w:t>
      </w:r>
    </w:p>
    <w:p w14:paraId="12DC7F17">
      <w:pPr>
        <w:pStyle w:val="6"/>
        <w:keepNext w:val="0"/>
        <w:keepLines w:val="0"/>
        <w:numPr>
          <w:ilvl w:val="4"/>
          <w:numId w:val="3"/>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s="宋体"/>
          <w:color w:val="auto"/>
          <w:sz w:val="21"/>
          <w:szCs w:val="21"/>
          <w:highlight w:val="none"/>
        </w:rPr>
        <w:t>否则按无效投标处理</w:t>
      </w:r>
      <w:r>
        <w:rPr>
          <w:rFonts w:hint="eastAsia" w:ascii="宋体" w:hAnsi="宋体" w:cs="宋体"/>
          <w:b w:val="0"/>
          <w:color w:val="auto"/>
          <w:sz w:val="21"/>
          <w:szCs w:val="21"/>
          <w:highlight w:val="none"/>
        </w:rPr>
        <w:t>。</w:t>
      </w:r>
    </w:p>
    <w:p w14:paraId="300450BD">
      <w:pPr>
        <w:pStyle w:val="6"/>
        <w:keepNext w:val="0"/>
        <w:keepLines w:val="0"/>
        <w:numPr>
          <w:ilvl w:val="4"/>
          <w:numId w:val="3"/>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309A27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20.电子备份投标文件</w:t>
      </w:r>
    </w:p>
    <w:p w14:paraId="24E6A094">
      <w:pPr>
        <w:spacing w:line="360" w:lineRule="auto"/>
        <w:ind w:firstLine="420" w:firstLineChars="200"/>
        <w:rPr>
          <w:rFonts w:ascii="宋体" w:hAnsi="宋体" w:cs="宋体"/>
          <w:color w:val="auto"/>
          <w:sz w:val="24"/>
          <w:highlight w:val="none"/>
        </w:rPr>
      </w:pPr>
      <w:r>
        <w:rPr>
          <w:rFonts w:hint="eastAsia" w:ascii="宋体" w:hAnsi="宋体" w:cs="宋体"/>
          <w:color w:val="auto"/>
          <w:highlight w:val="none"/>
        </w:rPr>
        <w:t>电子备份投标文件是指通过在线编制生成且后缀名为“bfbs”的文件，是否接受电子备份投标文件</w:t>
      </w:r>
      <w:r>
        <w:rPr>
          <w:rFonts w:hint="eastAsia" w:ascii="宋体" w:hAnsi="宋体" w:cs="宋体"/>
          <w:bCs/>
          <w:color w:val="auto"/>
          <w:szCs w:val="21"/>
          <w:highlight w:val="none"/>
        </w:rPr>
        <w:t>详见“投标人须知前附表”。</w:t>
      </w:r>
    </w:p>
    <w:p w14:paraId="3EAB1D27">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21.投标文件的提交</w:t>
      </w:r>
    </w:p>
    <w:p w14:paraId="458A3905">
      <w:pPr>
        <w:spacing w:line="360" w:lineRule="auto"/>
        <w:ind w:firstLine="420" w:firstLineChars="200"/>
        <w:rPr>
          <w:rFonts w:ascii="宋体" w:hAnsi="宋体" w:cs="宋体"/>
          <w:b/>
          <w:color w:val="auto"/>
          <w:highlight w:val="none"/>
        </w:rPr>
      </w:pPr>
      <w:r>
        <w:rPr>
          <w:rFonts w:hint="eastAsia" w:ascii="宋体" w:hAnsi="宋体" w:cs="宋体"/>
          <w:bCs/>
          <w:color w:val="auto"/>
          <w:szCs w:val="21"/>
          <w:highlight w:val="none"/>
        </w:rPr>
        <w:t>21.1投标人必须在“投标人须知前附表”规定的</w:t>
      </w:r>
      <w:r>
        <w:rPr>
          <w:rFonts w:hint="eastAsia" w:ascii="宋体" w:hAnsi="宋体" w:cs="宋体"/>
          <w:color w:val="auto"/>
          <w:szCs w:val="21"/>
          <w:highlight w:val="none"/>
        </w:rPr>
        <w:t>投标文件提交截止时间前将</w:t>
      </w:r>
      <w:r>
        <w:rPr>
          <w:rFonts w:hint="eastAsia" w:ascii="宋体" w:hAnsi="宋体" w:cs="宋体"/>
          <w:bCs/>
          <w:color w:val="auto"/>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w:t>
      </w:r>
    </w:p>
    <w:p w14:paraId="62BA60DC">
      <w:pPr>
        <w:spacing w:line="360" w:lineRule="auto"/>
        <w:ind w:firstLine="422" w:firstLineChars="200"/>
        <w:rPr>
          <w:rFonts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21.2未在规定时间内提交或者未按照招标文件要求加密的电子投标文件，“广西政府采购云平台”将拒收。</w:t>
      </w:r>
    </w:p>
    <w:p w14:paraId="2322D547">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22. 投标文件的补充、修改、撤回与退回</w:t>
      </w:r>
    </w:p>
    <w:p w14:paraId="0A5CDA37">
      <w:pPr>
        <w:snapToGrid w:val="0"/>
        <w:spacing w:line="360" w:lineRule="auto"/>
        <w:ind w:firstLine="420"/>
        <w:jc w:val="left"/>
        <w:rPr>
          <w:rFonts w:ascii="宋体" w:hAnsi="宋体" w:cs="宋体"/>
          <w:color w:val="auto"/>
          <w:szCs w:val="21"/>
          <w:highlight w:val="none"/>
        </w:rPr>
      </w:pPr>
      <w:bookmarkStart w:id="120" w:name="_Toc254970684"/>
      <w:bookmarkStart w:id="121" w:name="_Toc254970543"/>
      <w:r>
        <w:rPr>
          <w:rFonts w:hint="eastAsia" w:ascii="宋体" w:hAnsi="宋体" w:cs="宋体"/>
          <w:color w:val="auto"/>
          <w:szCs w:val="21"/>
          <w:highlight w:val="none"/>
        </w:rPr>
        <w:t>22.1</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将予以拒收。</w:t>
      </w:r>
      <w:r>
        <w:rPr>
          <w:rFonts w:hint="eastAsia" w:ascii="宋体" w:hAnsi="宋体" w:cs="宋体"/>
          <w:color w:val="auto"/>
          <w:szCs w:val="21"/>
          <w:highlight w:val="none"/>
        </w:rPr>
        <w:t>（补充、修改或者撤回方式可登录“广西政府采购云平台”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进入“服务中心”中查看 “电子投标文件制作与投送教程”）</w:t>
      </w:r>
    </w:p>
    <w:p w14:paraId="272C2628">
      <w:pPr>
        <w:pStyle w:val="112"/>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63C08C85">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bookmarkEnd w:id="120"/>
    <w:bookmarkEnd w:id="121"/>
    <w:p w14:paraId="6CDBA8CC">
      <w:pPr>
        <w:spacing w:line="360" w:lineRule="auto"/>
        <w:ind w:firstLine="420" w:firstLineChars="200"/>
        <w:rPr>
          <w:rFonts w:ascii="宋体" w:hAnsi="宋体" w:cs="宋体"/>
          <w:color w:val="auto"/>
          <w:szCs w:val="21"/>
          <w:highlight w:val="none"/>
        </w:rPr>
      </w:pPr>
    </w:p>
    <w:p w14:paraId="41E79C2F">
      <w:pPr>
        <w:pStyle w:val="5"/>
        <w:keepNext w:val="0"/>
        <w:keepLines w:val="0"/>
        <w:jc w:val="center"/>
        <w:rPr>
          <w:rFonts w:ascii="宋体" w:hAnsi="宋体" w:cs="宋体"/>
          <w:color w:val="auto"/>
          <w:highlight w:val="none"/>
        </w:rPr>
      </w:pPr>
      <w:bookmarkStart w:id="122" w:name="_Toc254970685"/>
      <w:bookmarkStart w:id="123" w:name="_Toc254970544"/>
      <w:r>
        <w:rPr>
          <w:rFonts w:hint="eastAsia" w:ascii="宋体" w:hAnsi="宋体" w:cs="宋体"/>
          <w:color w:val="auto"/>
          <w:highlight w:val="none"/>
        </w:rPr>
        <w:t>四、开标</w:t>
      </w:r>
      <w:bookmarkEnd w:id="122"/>
      <w:bookmarkEnd w:id="123"/>
    </w:p>
    <w:p w14:paraId="6D5F9D80">
      <w:pPr>
        <w:pStyle w:val="6"/>
        <w:keepNext w:val="0"/>
        <w:keepLines w:val="0"/>
        <w:spacing w:before="0" w:after="0" w:line="360" w:lineRule="auto"/>
        <w:ind w:left="420" w:leftChars="200"/>
        <w:rPr>
          <w:rFonts w:ascii="宋体" w:hAnsi="宋体" w:cs="宋体"/>
          <w:color w:val="auto"/>
          <w:sz w:val="24"/>
          <w:highlight w:val="none"/>
        </w:rPr>
      </w:pPr>
      <w:bookmarkStart w:id="124" w:name="_23.开标时间和地点"/>
      <w:bookmarkEnd w:id="124"/>
      <w:r>
        <w:rPr>
          <w:rFonts w:hint="eastAsia" w:ascii="宋体" w:hAnsi="宋体" w:cs="宋体"/>
          <w:color w:val="auto"/>
          <w:sz w:val="24"/>
          <w:highlight w:val="none"/>
        </w:rPr>
        <w:t>23.开标时间和地点</w:t>
      </w:r>
    </w:p>
    <w:p w14:paraId="082A1CF5">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开标时间及地点详见“投标人须知前附表”</w:t>
      </w:r>
    </w:p>
    <w:p w14:paraId="52A59461">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24.开标程序</w:t>
      </w:r>
    </w:p>
    <w:p w14:paraId="353A41FA">
      <w:pPr>
        <w:pStyle w:val="7"/>
        <w:spacing w:line="360" w:lineRule="auto"/>
        <w:rPr>
          <w:rFonts w:ascii="宋体" w:hAnsi="宋体" w:cs="宋体"/>
          <w:color w:val="auto"/>
          <w:highlight w:val="none"/>
        </w:rPr>
      </w:pPr>
      <w:r>
        <w:rPr>
          <w:rFonts w:hint="eastAsia" w:ascii="宋体" w:hAnsi="宋体" w:cs="宋体"/>
          <w:color w:val="auto"/>
          <w:highlight w:val="none"/>
        </w:rPr>
        <w:t>24.1提交投标文件截止时间止，投标人不足3家的，不得开标。</w:t>
      </w:r>
    </w:p>
    <w:p w14:paraId="1701ED83">
      <w:pPr>
        <w:pStyle w:val="7"/>
        <w:spacing w:line="360" w:lineRule="auto"/>
        <w:rPr>
          <w:rFonts w:ascii="宋体" w:hAnsi="宋体" w:cs="宋体"/>
          <w:color w:val="auto"/>
          <w:highlight w:val="none"/>
        </w:rPr>
      </w:pPr>
      <w:r>
        <w:rPr>
          <w:rFonts w:hint="eastAsia" w:ascii="宋体" w:hAnsi="宋体" w:cs="宋体"/>
          <w:color w:val="auto"/>
          <w:highlight w:val="none"/>
        </w:rPr>
        <w:t>24.2采购代理机构将按照招标文件规定的时间通过</w:t>
      </w:r>
      <w:r>
        <w:rPr>
          <w:rFonts w:hint="eastAsia" w:ascii="宋体" w:hAnsi="宋体" w:cs="宋体"/>
          <w:color w:val="auto"/>
          <w:szCs w:val="21"/>
          <w:highlight w:val="none"/>
        </w:rPr>
        <w:t>“广西政府采购云平台”</w:t>
      </w:r>
      <w:r>
        <w:rPr>
          <w:rFonts w:hint="eastAsia" w:ascii="宋体" w:hAnsi="宋体" w:cs="宋体"/>
          <w:color w:val="auto"/>
          <w:highlight w:val="none"/>
        </w:rPr>
        <w:t>组织线上开标活动，所有供应商均应当准时在线参加，投标人因未在线参加开标而导致投标文件无法按时解密等一切后果由投标人自己承担。</w:t>
      </w:r>
    </w:p>
    <w:p w14:paraId="40017E53">
      <w:pPr>
        <w:pStyle w:val="7"/>
        <w:spacing w:line="360" w:lineRule="auto"/>
        <w:rPr>
          <w:rFonts w:ascii="宋体" w:hAnsi="宋体" w:cs="宋体"/>
          <w:color w:val="auto"/>
          <w:highlight w:val="none"/>
        </w:rPr>
      </w:pPr>
      <w:r>
        <w:rPr>
          <w:rFonts w:hint="eastAsia" w:ascii="宋体" w:hAnsi="宋体" w:cs="宋体"/>
          <w:color w:val="auto"/>
          <w:highlight w:val="none"/>
        </w:rPr>
        <w:t>24.3开标程序</w:t>
      </w:r>
    </w:p>
    <w:p w14:paraId="145817C9">
      <w:pPr>
        <w:pStyle w:val="7"/>
        <w:spacing w:line="360" w:lineRule="auto"/>
        <w:rPr>
          <w:rFonts w:ascii="宋体" w:hAnsi="宋体" w:cs="宋体"/>
          <w:color w:val="auto"/>
          <w:highlight w:val="none"/>
        </w:rPr>
      </w:pPr>
      <w:r>
        <w:rPr>
          <w:rFonts w:hint="eastAsia" w:ascii="宋体" w:hAnsi="宋体" w:cs="宋体"/>
          <w:color w:val="auto"/>
          <w:highlight w:val="none"/>
        </w:rPr>
        <w:t>（1）解密电子投标文件。</w:t>
      </w:r>
      <w:r>
        <w:rPr>
          <w:rFonts w:hint="eastAsia" w:ascii="宋体" w:hAnsi="宋体" w:cs="宋体"/>
          <w:color w:val="auto"/>
          <w:szCs w:val="21"/>
          <w:highlight w:val="none"/>
        </w:rPr>
        <w:t>“广西政府采购云平台”</w:t>
      </w:r>
      <w:r>
        <w:rPr>
          <w:rFonts w:hint="eastAsia" w:ascii="宋体" w:hAnsi="宋体" w:cs="宋体"/>
          <w:color w:val="auto"/>
          <w:highlight w:val="none"/>
        </w:rPr>
        <w:t>按开标时间自动提取所有投标文件。采购代理机构依托</w:t>
      </w:r>
      <w:r>
        <w:rPr>
          <w:rFonts w:hint="eastAsia" w:ascii="宋体" w:hAnsi="宋体" w:cs="宋体"/>
          <w:color w:val="auto"/>
          <w:szCs w:val="21"/>
          <w:highlight w:val="none"/>
        </w:rPr>
        <w:t>“广西政府采购云平台”</w:t>
      </w:r>
      <w:r>
        <w:rPr>
          <w:rFonts w:hint="eastAsia" w:ascii="宋体" w:hAnsi="宋体" w:cs="宋体"/>
          <w:color w:val="auto"/>
          <w:highlight w:val="none"/>
        </w:rPr>
        <w:t>向各投标人发出电子加密投标文件【开始解密】通知，由投标人按</w:t>
      </w:r>
      <w:r>
        <w:rPr>
          <w:rFonts w:hint="eastAsia" w:ascii="宋体" w:hAnsi="宋体" w:cs="宋体"/>
          <w:bCs/>
          <w:color w:val="auto"/>
          <w:szCs w:val="21"/>
          <w:highlight w:val="none"/>
        </w:rPr>
        <w:t>“投标人须知前附表”</w:t>
      </w:r>
      <w:r>
        <w:rPr>
          <w:rFonts w:hint="eastAsia" w:ascii="宋体" w:hAnsi="宋体" w:cs="宋体"/>
          <w:color w:val="auto"/>
          <w:highlight w:val="none"/>
        </w:rPr>
        <w:t>规定的时间内自行进行投标文件解密。投标人的法定代表人或其委托代理人须凭加密时所用的CA锁准时登录到</w:t>
      </w:r>
      <w:r>
        <w:rPr>
          <w:rFonts w:hint="eastAsia" w:ascii="宋体" w:hAnsi="宋体" w:cs="宋体"/>
          <w:color w:val="auto"/>
          <w:szCs w:val="21"/>
          <w:highlight w:val="none"/>
        </w:rPr>
        <w:t>“广西政府采购云平台”</w:t>
      </w:r>
      <w:r>
        <w:rPr>
          <w:rFonts w:hint="eastAsia" w:ascii="宋体" w:hAnsi="宋体" w:cs="宋体"/>
          <w:color w:val="auto"/>
          <w:highlight w:val="none"/>
        </w:rPr>
        <w:t>电子开标大厅签到并对电子投标文件解密。</w:t>
      </w:r>
      <w:r>
        <w:rPr>
          <w:rFonts w:hint="eastAsia" w:ascii="宋体" w:hAnsi="宋体" w:cs="宋体"/>
          <w:b/>
          <w:color w:val="auto"/>
          <w:highlight w:val="none"/>
        </w:rPr>
        <w:t>投标人未在规定的时间内解密投标文件或者解密失败的，</w:t>
      </w:r>
      <w:r>
        <w:rPr>
          <w:rFonts w:hint="eastAsia" w:ascii="宋体" w:hAnsi="宋体" w:cs="宋体"/>
          <w:b/>
          <w:color w:val="auto"/>
          <w:szCs w:val="21"/>
          <w:highlight w:val="none"/>
        </w:rPr>
        <w:t>投标人的投标文件作无效处理。</w:t>
      </w:r>
    </w:p>
    <w:p w14:paraId="12954780">
      <w:pPr>
        <w:pStyle w:val="7"/>
        <w:spacing w:line="360" w:lineRule="auto"/>
        <w:rPr>
          <w:rFonts w:ascii="宋体" w:hAnsi="宋体" w:cs="宋体"/>
          <w:color w:val="auto"/>
          <w:highlight w:val="none"/>
        </w:rPr>
      </w:pPr>
      <w:r>
        <w:rPr>
          <w:rFonts w:hint="eastAsia" w:ascii="宋体" w:hAnsi="宋体" w:cs="宋体"/>
          <w:color w:val="auto"/>
          <w:highlight w:val="none"/>
        </w:rPr>
        <w:t>（2）电子唱标。投标文件解密结束，宣布的内容均在</w:t>
      </w:r>
      <w:r>
        <w:rPr>
          <w:rFonts w:hint="eastAsia" w:ascii="宋体" w:hAnsi="宋体" w:cs="宋体"/>
          <w:color w:val="auto"/>
          <w:szCs w:val="21"/>
          <w:highlight w:val="none"/>
        </w:rPr>
        <w:t>“广西政府采购云平台”</w:t>
      </w:r>
      <w:r>
        <w:rPr>
          <w:rFonts w:hint="eastAsia" w:ascii="宋体" w:hAnsi="宋体" w:cs="宋体"/>
          <w:color w:val="auto"/>
          <w:highlight w:val="none"/>
        </w:rPr>
        <w:t>远程开标大厅展示，具体详见</w:t>
      </w:r>
      <w:r>
        <w:rPr>
          <w:rFonts w:hint="eastAsia" w:ascii="宋体" w:hAnsi="宋体" w:cs="宋体"/>
          <w:bCs/>
          <w:color w:val="auto"/>
          <w:highlight w:val="none"/>
        </w:rPr>
        <w:t>“投标人须知前附表”</w:t>
      </w:r>
      <w:r>
        <w:rPr>
          <w:rFonts w:hint="eastAsia" w:ascii="宋体" w:hAnsi="宋体" w:cs="宋体"/>
          <w:color w:val="auto"/>
          <w:highlight w:val="none"/>
        </w:rPr>
        <w:t>；</w:t>
      </w:r>
    </w:p>
    <w:p w14:paraId="03E4A5F0">
      <w:pPr>
        <w:pStyle w:val="7"/>
        <w:spacing w:line="360" w:lineRule="auto"/>
        <w:rPr>
          <w:rFonts w:ascii="宋体" w:hAnsi="宋体" w:cs="宋体"/>
          <w:color w:val="auto"/>
          <w:szCs w:val="21"/>
          <w:highlight w:val="none"/>
        </w:rPr>
      </w:pPr>
      <w:r>
        <w:rPr>
          <w:rFonts w:hint="eastAsia" w:ascii="宋体" w:hAnsi="宋体" w:cs="宋体"/>
          <w:color w:val="auto"/>
          <w:highlight w:val="none"/>
        </w:rPr>
        <w:t>（3）开标过程由采购代理机构如实记录，并电子留痕，由参加电子开标的各投标人代表对电子开标记录在开标记录公布后15分钟内进行当</w:t>
      </w:r>
      <w:r>
        <w:rPr>
          <w:rFonts w:hint="eastAsia" w:ascii="宋体" w:hAnsi="宋体" w:cs="宋体"/>
          <w:color w:val="auto"/>
          <w:szCs w:val="21"/>
          <w:highlight w:val="none"/>
        </w:rPr>
        <w:t>场校核及勘误，并线上确认是否有异议，未确认的视同认可开标结果。</w:t>
      </w:r>
    </w:p>
    <w:p w14:paraId="75BE90A5">
      <w:pPr>
        <w:pStyle w:val="7"/>
        <w:spacing w:line="360" w:lineRule="auto"/>
        <w:rPr>
          <w:rFonts w:ascii="宋体" w:hAnsi="宋体" w:cs="宋体"/>
          <w:color w:val="auto"/>
          <w:szCs w:val="21"/>
          <w:highlight w:val="none"/>
        </w:rPr>
      </w:pPr>
      <w:r>
        <w:rPr>
          <w:rFonts w:hint="eastAsia" w:ascii="宋体" w:hAnsi="宋体" w:cs="宋体"/>
          <w:color w:val="auto"/>
          <w:szCs w:val="21"/>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2AC00D71">
      <w:pPr>
        <w:pStyle w:val="7"/>
        <w:spacing w:line="360" w:lineRule="auto"/>
        <w:rPr>
          <w:rFonts w:ascii="宋体" w:hAnsi="宋体" w:cs="宋体"/>
          <w:color w:val="auto"/>
          <w:szCs w:val="21"/>
          <w:highlight w:val="none"/>
        </w:rPr>
      </w:pPr>
      <w:r>
        <w:rPr>
          <w:rFonts w:hint="eastAsia" w:ascii="宋体" w:hAnsi="宋体" w:cs="宋体"/>
          <w:color w:val="auto"/>
          <w:szCs w:val="21"/>
          <w:highlight w:val="none"/>
        </w:rPr>
        <w:t>（5）开标结束。</w:t>
      </w:r>
    </w:p>
    <w:p w14:paraId="24D07980">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1"/>
          <w:highlight w:val="none"/>
        </w:rPr>
        <w:t>特别说明：如遇“广西政府采购云平台”电子化开标或评审程序调整的，按调整后执行。</w:t>
      </w:r>
    </w:p>
    <w:p w14:paraId="6CD1E7FB">
      <w:pPr>
        <w:pStyle w:val="7"/>
        <w:spacing w:line="360" w:lineRule="auto"/>
        <w:rPr>
          <w:rFonts w:ascii="宋体" w:hAnsi="宋体" w:cs="宋体"/>
          <w:color w:val="auto"/>
          <w:highlight w:val="none"/>
        </w:rPr>
      </w:pPr>
    </w:p>
    <w:p w14:paraId="4BBD8923">
      <w:pPr>
        <w:pStyle w:val="24"/>
        <w:snapToGrid w:val="0"/>
        <w:spacing w:line="360" w:lineRule="auto"/>
        <w:ind w:left="689" w:leftChars="228" w:hanging="210" w:hangingChars="100"/>
        <w:rPr>
          <w:rFonts w:hAnsi="宋体" w:cs="宋体"/>
          <w:color w:val="auto"/>
          <w:sz w:val="21"/>
          <w:highlight w:val="none"/>
        </w:rPr>
      </w:pPr>
    </w:p>
    <w:p w14:paraId="4142CE6B">
      <w:pPr>
        <w:pStyle w:val="5"/>
        <w:keepNext w:val="0"/>
        <w:keepLines w:val="0"/>
        <w:jc w:val="center"/>
        <w:rPr>
          <w:rFonts w:ascii="宋体" w:hAnsi="宋体" w:cs="宋体"/>
          <w:color w:val="auto"/>
          <w:highlight w:val="none"/>
        </w:rPr>
      </w:pPr>
      <w:r>
        <w:rPr>
          <w:rFonts w:hint="eastAsia" w:ascii="宋体" w:hAnsi="宋体" w:cs="宋体"/>
          <w:color w:val="auto"/>
          <w:highlight w:val="none"/>
        </w:rPr>
        <w:t>五、资格审查</w:t>
      </w:r>
    </w:p>
    <w:p w14:paraId="3AF5BC62">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25.资格审查</w:t>
      </w:r>
    </w:p>
    <w:p w14:paraId="0048C975">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25.1开标结束后，采购人或者采购代理机构通过电子开评标系统依据招标文件对电子投标文件进行线上资格审查。</w:t>
      </w:r>
    </w:p>
    <w:p w14:paraId="0365366B">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5CE56117">
      <w:pPr>
        <w:pStyle w:val="6"/>
        <w:keepNext w:val="0"/>
        <w:keepLines w:val="0"/>
        <w:numPr>
          <w:ilvl w:val="0"/>
          <w:numId w:val="0"/>
        </w:numPr>
        <w:spacing w:before="0" w:after="0" w:line="360" w:lineRule="auto"/>
        <w:ind w:firstLine="422" w:firstLineChars="200"/>
        <w:rPr>
          <w:rFonts w:ascii="宋体" w:hAnsi="宋体" w:cs="宋体"/>
          <w:color w:val="auto"/>
          <w:sz w:val="21"/>
          <w:szCs w:val="21"/>
          <w:highlight w:val="none"/>
        </w:rPr>
      </w:pPr>
      <w:bookmarkStart w:id="125" w:name="_25.3_投标人有下列情形之一的，资格审查不通过而导致其投标无效："/>
      <w:bookmarkEnd w:id="125"/>
      <w:r>
        <w:rPr>
          <w:rFonts w:hint="eastAsia" w:ascii="宋体" w:hAnsi="宋体" w:cs="宋体"/>
          <w:color w:val="auto"/>
          <w:sz w:val="21"/>
          <w:szCs w:val="21"/>
          <w:highlight w:val="none"/>
        </w:rPr>
        <w:t>25.3 投标人有下列情形之一的，资格审查不通过，作无效投标处理：</w:t>
      </w:r>
    </w:p>
    <w:p w14:paraId="66CA9CBC">
      <w:pPr>
        <w:pStyle w:val="24"/>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（1）不具备招标文件中规定的资格要求的；</w:t>
      </w:r>
    </w:p>
    <w:p w14:paraId="05EBC925">
      <w:pPr>
        <w:pStyle w:val="24"/>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419032AF">
      <w:pPr>
        <w:pStyle w:val="24"/>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53F53DC9">
      <w:pPr>
        <w:pStyle w:val="24"/>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（4）投标文件中的资格证明文件缺少任一项“投标人须知前附表”资格证明文件规定“必须提供”的文件资料的；</w:t>
      </w:r>
    </w:p>
    <w:p w14:paraId="02503C8A">
      <w:pPr>
        <w:pStyle w:val="24"/>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（5）投标文件中的资格证明文件出现任一项不符合“投标人须知前附表”资格证明文件规定“必须提供”的文件资料要求或者无效的。</w:t>
      </w:r>
    </w:p>
    <w:p w14:paraId="5B2F188D">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color w:val="auto"/>
          <w:sz w:val="21"/>
          <w:szCs w:val="21"/>
          <w:highlight w:val="none"/>
        </w:rPr>
        <w:t>25.4合格投标人不足3家的，不得评标。</w:t>
      </w:r>
    </w:p>
    <w:p w14:paraId="38CDCFB0">
      <w:pPr>
        <w:pStyle w:val="24"/>
        <w:snapToGrid w:val="0"/>
        <w:spacing w:line="360" w:lineRule="auto"/>
        <w:ind w:left="689" w:leftChars="228" w:hanging="210" w:hangingChars="100"/>
        <w:rPr>
          <w:rFonts w:hAnsi="宋体" w:cs="宋体"/>
          <w:color w:val="auto"/>
          <w:sz w:val="21"/>
          <w:highlight w:val="none"/>
        </w:rPr>
      </w:pPr>
    </w:p>
    <w:p w14:paraId="4AA56416">
      <w:pPr>
        <w:pStyle w:val="5"/>
        <w:keepNext w:val="0"/>
        <w:keepLines w:val="0"/>
        <w:jc w:val="center"/>
        <w:rPr>
          <w:rFonts w:ascii="宋体" w:hAnsi="宋体" w:cs="宋体"/>
          <w:color w:val="auto"/>
          <w:highlight w:val="none"/>
        </w:rPr>
      </w:pPr>
      <w:r>
        <w:rPr>
          <w:rFonts w:hint="eastAsia" w:ascii="宋体" w:hAnsi="宋体" w:cs="宋体"/>
          <w:color w:val="auto"/>
          <w:highlight w:val="none"/>
        </w:rPr>
        <w:t>六、评标</w:t>
      </w:r>
    </w:p>
    <w:p w14:paraId="45FD6EF7">
      <w:pPr>
        <w:pStyle w:val="6"/>
        <w:keepNext w:val="0"/>
        <w:keepLines w:val="0"/>
        <w:spacing w:before="0" w:after="0" w:line="360" w:lineRule="auto"/>
        <w:ind w:left="420" w:leftChars="200"/>
        <w:rPr>
          <w:rFonts w:ascii="宋体" w:hAnsi="宋体" w:cs="宋体"/>
          <w:color w:val="auto"/>
          <w:sz w:val="24"/>
          <w:highlight w:val="none"/>
        </w:rPr>
      </w:pPr>
      <w:bookmarkStart w:id="126" w:name="_26.组建评标委员会"/>
      <w:bookmarkEnd w:id="126"/>
      <w:r>
        <w:rPr>
          <w:rFonts w:hint="eastAsia" w:ascii="宋体" w:hAnsi="宋体" w:cs="宋体"/>
          <w:color w:val="auto"/>
          <w:sz w:val="24"/>
          <w:highlight w:val="none"/>
        </w:rPr>
        <w:t>26.组建评标委员会</w:t>
      </w:r>
    </w:p>
    <w:p w14:paraId="2696E4CE">
      <w:pPr>
        <w:pStyle w:val="24"/>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26.1评标委员会由采购人代表和评审专家组成，具体人数详见“投标人须知前附表”，其中评审专家不得少于成员总数的三分之二。</w:t>
      </w:r>
    </w:p>
    <w:p w14:paraId="05D47BF8">
      <w:pPr>
        <w:pStyle w:val="24"/>
        <w:snapToGrid w:val="0"/>
        <w:spacing w:line="360" w:lineRule="auto"/>
        <w:ind w:left="2" w:leftChars="1" w:firstLine="420" w:firstLineChars="200"/>
        <w:rPr>
          <w:rFonts w:hAnsi="宋体" w:cs="宋体"/>
          <w:color w:val="auto"/>
          <w:sz w:val="21"/>
          <w:highlight w:val="none"/>
        </w:rPr>
      </w:pPr>
      <w:r>
        <w:rPr>
          <w:rFonts w:hint="eastAsia" w:hAnsi="宋体" w:cs="宋体"/>
          <w:color w:val="auto"/>
          <w:sz w:val="21"/>
          <w:highlight w:val="none"/>
        </w:rPr>
        <w:t>26.2参加过采购项目前期咨询论证的专家，不得参加该采购项目的评审活动。</w:t>
      </w:r>
    </w:p>
    <w:p w14:paraId="43A4975C">
      <w:pPr>
        <w:pStyle w:val="24"/>
        <w:snapToGrid w:val="0"/>
        <w:spacing w:line="360" w:lineRule="auto"/>
        <w:ind w:left="2" w:leftChars="1" w:firstLine="420" w:firstLineChars="200"/>
        <w:rPr>
          <w:rFonts w:hAnsi="宋体" w:cs="宋体"/>
          <w:color w:val="auto"/>
          <w:sz w:val="21"/>
          <w:highlight w:val="none"/>
        </w:rPr>
      </w:pPr>
      <w:r>
        <w:rPr>
          <w:rFonts w:hint="eastAsia" w:hAnsi="宋体" w:cs="宋体"/>
          <w:color w:val="auto"/>
          <w:sz w:val="21"/>
          <w:highlight w:val="none"/>
        </w:rPr>
        <w:t>26.3采购代理机构应当基于</w:t>
      </w:r>
      <w:r>
        <w:rPr>
          <w:rFonts w:hint="eastAsia" w:hAnsi="宋体" w:cs="宋体"/>
          <w:color w:val="auto"/>
          <w:highlight w:val="none"/>
        </w:rPr>
        <w:t>“广西政府采购云平台”</w:t>
      </w:r>
      <w:r>
        <w:rPr>
          <w:rFonts w:hint="eastAsia" w:hAnsi="宋体" w:cs="宋体"/>
          <w:color w:val="auto"/>
          <w:sz w:val="21"/>
          <w:highlight w:val="none"/>
        </w:rPr>
        <w:t>抽（选）取评审专家。</w:t>
      </w:r>
    </w:p>
    <w:p w14:paraId="1C4F7C17">
      <w:pPr>
        <w:pStyle w:val="24"/>
        <w:snapToGrid w:val="0"/>
        <w:spacing w:line="360" w:lineRule="auto"/>
        <w:ind w:left="2" w:leftChars="1" w:firstLine="420" w:firstLineChars="200"/>
        <w:rPr>
          <w:rFonts w:hAnsi="宋体" w:cs="宋体"/>
          <w:color w:val="auto"/>
          <w:sz w:val="21"/>
          <w:highlight w:val="none"/>
        </w:rPr>
      </w:pPr>
    </w:p>
    <w:p w14:paraId="305845C3">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27.评标的依据</w:t>
      </w:r>
    </w:p>
    <w:p w14:paraId="457927A6">
      <w:pPr>
        <w:pStyle w:val="24"/>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评标委员会以“第四章 评标方法和评标标准”为依据对投标文件进行评审，没有规定的方法、评审因素和标准，不作为评标依据。</w:t>
      </w:r>
    </w:p>
    <w:p w14:paraId="53F2F507">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28.评标原则</w:t>
      </w:r>
    </w:p>
    <w:p w14:paraId="2AAEF2B3">
      <w:pPr>
        <w:pStyle w:val="24"/>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4A178C0">
      <w:pPr>
        <w:pStyle w:val="24"/>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28.2</w:t>
      </w:r>
      <w:bookmarkStart w:id="127" w:name="_28.3评标方法。本项目将按须知前附表规定的评标办法进行评标，具体评标"/>
      <w:bookmarkEnd w:id="127"/>
      <w:r>
        <w:rPr>
          <w:rFonts w:hint="eastAsia" w:hAnsi="宋体" w:cs="宋体"/>
          <w:color w:val="auto"/>
          <w:sz w:val="21"/>
          <w:highlight w:val="none"/>
        </w:rPr>
        <w:t>评委表决。评标委员会成员对需要共同认定的事项存在争议的，应当按照少数服从多数的原则作出结论。</w:t>
      </w:r>
    </w:p>
    <w:p w14:paraId="11A20850">
      <w:pPr>
        <w:pStyle w:val="24"/>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0259F23">
      <w:pPr>
        <w:pStyle w:val="24"/>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28.4评标过程的监控。本项目电子评标过程实行网上留痕、全程录音、录像监控，</w:t>
      </w:r>
      <w:r>
        <w:rPr>
          <w:rFonts w:hint="eastAsia" w:hAnsi="宋体" w:cs="宋体"/>
          <w:b/>
          <w:color w:val="auto"/>
          <w:sz w:val="21"/>
          <w:highlight w:val="none"/>
        </w:rPr>
        <w:t>投标人在评标过程中所进行的试图影响评标结果的不公正活动，可能导致其投标按无效处理。</w:t>
      </w:r>
    </w:p>
    <w:p w14:paraId="0E56AC6D">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29.评标方法及中标候选人推荐</w:t>
      </w:r>
    </w:p>
    <w:p w14:paraId="2E21999B">
      <w:pPr>
        <w:pStyle w:val="24"/>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29.1本项目的评标方法详见“投标人须知前附表”。</w:t>
      </w:r>
    </w:p>
    <w:p w14:paraId="5A0E9823">
      <w:pPr>
        <w:pStyle w:val="24"/>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29.2 商务/技术要求允许负偏离的条款数详见“投标人须知前附表”。</w:t>
      </w:r>
    </w:p>
    <w:p w14:paraId="7CEF65D5">
      <w:pPr>
        <w:pStyle w:val="24"/>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29.3中标候选人推荐数量详见“投标人须知前附表”。</w:t>
      </w:r>
    </w:p>
    <w:p w14:paraId="072284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 电子交易活动的中止。采购过程中出现以下情形，导致电子交易平台无法正常运行，或者无法保证电子交易的公平、公正和安全时，采购代理机构可以中止电子交易活动：</w:t>
      </w:r>
    </w:p>
    <w:p w14:paraId="52431B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（1）电子交易平台发生故障而无法登录访问的； </w:t>
      </w:r>
    </w:p>
    <w:p w14:paraId="738177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48D9F5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6CA0AA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（4）病毒发作导致不能进行正常操作的； </w:t>
      </w:r>
    </w:p>
    <w:p w14:paraId="6AB500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（5）其他无法保证电子交易的公平、公正和安全的情况。</w:t>
      </w:r>
    </w:p>
    <w:p w14:paraId="3CE460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2066FCD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29.5出现下列情形之一的，应予废标：</w:t>
      </w:r>
    </w:p>
    <w:p w14:paraId="29FE023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（1）符合专业条件的供应商或者对招标文件作实质响应的供应商不足三家的；</w:t>
      </w:r>
    </w:p>
    <w:p w14:paraId="10A8EB5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3B58B11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（3）投标人的报价均超过了采购预算，采购人不能支付的；</w:t>
      </w:r>
    </w:p>
    <w:p w14:paraId="548E5BF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（4）因重大变故，采购任务取消的。</w:t>
      </w:r>
    </w:p>
    <w:p w14:paraId="746B6E7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废标后，采购人应当将废标理由通知所有投标人。</w:t>
      </w:r>
    </w:p>
    <w:p w14:paraId="587ACE75">
      <w:pPr>
        <w:pStyle w:val="5"/>
        <w:keepNext w:val="0"/>
        <w:keepLines w:val="0"/>
        <w:jc w:val="center"/>
        <w:rPr>
          <w:rFonts w:ascii="宋体" w:hAnsi="宋体" w:cs="宋体"/>
          <w:color w:val="auto"/>
          <w:highlight w:val="none"/>
        </w:rPr>
      </w:pPr>
      <w:bookmarkStart w:id="128" w:name="_Toc254970687"/>
      <w:bookmarkStart w:id="129" w:name="_Toc254970546"/>
      <w:r>
        <w:rPr>
          <w:rFonts w:hint="eastAsia" w:ascii="宋体" w:hAnsi="宋体" w:cs="宋体"/>
          <w:color w:val="auto"/>
          <w:highlight w:val="none"/>
        </w:rPr>
        <w:t>七、</w:t>
      </w:r>
      <w:bookmarkEnd w:id="128"/>
      <w:bookmarkEnd w:id="129"/>
      <w:r>
        <w:rPr>
          <w:rFonts w:hint="eastAsia" w:ascii="宋体" w:hAnsi="宋体" w:cs="宋体"/>
          <w:color w:val="auto"/>
          <w:highlight w:val="none"/>
        </w:rPr>
        <w:t>中标和合同</w:t>
      </w:r>
    </w:p>
    <w:p w14:paraId="7A4F53EA">
      <w:pPr>
        <w:pStyle w:val="6"/>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30.确定中标人</w:t>
      </w:r>
    </w:p>
    <w:p w14:paraId="50532A0C">
      <w:pPr>
        <w:pStyle w:val="6"/>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2180F9E2">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30.2采购人在收到评标报告5个工作日内未按评标报告推荐的中标候选人顺序确定中标人，又不能说明合法理由的，视同按评标报告推荐的顺序确定排名第一的中标候选人为中标人。</w:t>
      </w:r>
    </w:p>
    <w:p w14:paraId="6BFF1FAD">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30.3出现下列情形之一的，应予废标：</w:t>
      </w:r>
    </w:p>
    <w:p w14:paraId="356F221D">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（1）符合专业条件的供应商或者对招标文件作实质响应的供应商不足三家的；</w:t>
      </w:r>
    </w:p>
    <w:p w14:paraId="037C8C87">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5C27D049">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（3）投标人的报价均超过了采购预算，采购人不能支付的；</w:t>
      </w:r>
    </w:p>
    <w:p w14:paraId="7E6E7807">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（4）因重大变故，采购任务取消的。</w:t>
      </w:r>
    </w:p>
    <w:p w14:paraId="6EFF99E1">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废标后，采购人应当将废标理由通知所有投标人。</w:t>
      </w:r>
    </w:p>
    <w:p w14:paraId="5EBF37F6">
      <w:pPr>
        <w:pStyle w:val="6"/>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31.结果公告</w:t>
      </w:r>
    </w:p>
    <w:p w14:paraId="68D2AF82">
      <w:pPr>
        <w:pStyle w:val="6"/>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75A3F194">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2D77B56D">
      <w:pPr>
        <w:pStyle w:val="6"/>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31.2中标人享受《政府采购促进中小企业发展管理办法》（财库〔2020〕46号）规定的中小企业扶持政策的，采购人、采购代理机构应当随中标结果公开中标人的《中小企业声明函》。</w:t>
      </w:r>
    </w:p>
    <w:p w14:paraId="2885B811">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1.3</w:t>
      </w:r>
      <w:r>
        <w:rPr>
          <w:rFonts w:hint="eastAsia" w:ascii="宋体" w:hAnsi="宋体"/>
          <w:b w:val="0"/>
          <w:color w:val="auto"/>
          <w:sz w:val="21"/>
          <w:szCs w:val="21"/>
          <w:highlight w:val="none"/>
        </w:rPr>
        <w:t>采购人、采购代理机构应当随中标结果公开中标供应商的《关于符合本国产品标准的声明函》或有关证明文件。</w:t>
      </w:r>
    </w:p>
    <w:p w14:paraId="6477D769">
      <w:pPr>
        <w:pStyle w:val="6"/>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32.发出中标通知书</w:t>
      </w:r>
    </w:p>
    <w:p w14:paraId="648FB58D">
      <w:pPr>
        <w:pStyle w:val="6"/>
        <w:keepNext w:val="0"/>
        <w:keepLines w:val="0"/>
        <w:spacing w:before="0" w:after="0" w:line="38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7834DD54">
      <w:pPr>
        <w:pStyle w:val="6"/>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33. 无义务解释未中标原因</w:t>
      </w:r>
    </w:p>
    <w:p w14:paraId="1F1BCA11">
      <w:pPr>
        <w:pStyle w:val="6"/>
        <w:keepNext w:val="0"/>
        <w:keepLines w:val="0"/>
        <w:spacing w:before="0" w:after="0" w:line="38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采购代理机构无义务向未中标的投标人解释未中标原因。</w:t>
      </w:r>
    </w:p>
    <w:p w14:paraId="0823AD0B">
      <w:pPr>
        <w:pStyle w:val="6"/>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34.合同授予标准</w:t>
      </w:r>
    </w:p>
    <w:p w14:paraId="5BB241AE">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w:t>
      </w:r>
    </w:p>
    <w:p w14:paraId="608EA360">
      <w:pPr>
        <w:pStyle w:val="6"/>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35.履约保证金</w:t>
      </w:r>
    </w:p>
    <w:p w14:paraId="5B1E7AAE">
      <w:pPr>
        <w:pStyle w:val="6"/>
        <w:keepNext w:val="0"/>
        <w:keepLines w:val="0"/>
        <w:spacing w:before="0" w:after="0" w:line="380" w:lineRule="exact"/>
        <w:ind w:firstLine="315" w:firstLineChars="150"/>
        <w:rPr>
          <w:rFonts w:ascii="宋体" w:hAnsi="宋体" w:cs="宋体"/>
          <w:b w:val="0"/>
          <w:color w:val="auto"/>
          <w:sz w:val="21"/>
          <w:szCs w:val="21"/>
          <w:highlight w:val="none"/>
        </w:rPr>
      </w:pPr>
      <w:bookmarkStart w:id="130" w:name="_39.1中标人须于签订合同前按本须知前附表规定的金额转账或电汇到指定账"/>
      <w:bookmarkEnd w:id="130"/>
      <w:r>
        <w:rPr>
          <w:rFonts w:hint="eastAsia" w:ascii="宋体" w:hAnsi="宋体" w:cs="宋体"/>
          <w:b w:val="0"/>
          <w:color w:val="auto"/>
          <w:sz w:val="21"/>
          <w:szCs w:val="21"/>
          <w:highlight w:val="none"/>
        </w:rPr>
        <w:t>35.1 履约保证金的金额、提交方式、退付的时间和条件详见 “投标人须知前附表”。中标人未按规定提交履约保证金的，视为拒绝与采购人签订合同。</w:t>
      </w:r>
    </w:p>
    <w:p w14:paraId="3B555920">
      <w:pPr>
        <w:pStyle w:val="6"/>
        <w:keepNext w:val="0"/>
        <w:keepLines w:val="0"/>
        <w:spacing w:before="0" w:after="0" w:line="380" w:lineRule="exact"/>
        <w:ind w:firstLine="315" w:firstLineChars="150"/>
        <w:rPr>
          <w:rFonts w:ascii="宋体" w:hAnsi="宋体" w:cs="宋体"/>
          <w:color w:val="auto"/>
          <w:sz w:val="21"/>
          <w:szCs w:val="21"/>
          <w:highlight w:val="none"/>
        </w:rPr>
      </w:pPr>
      <w:r>
        <w:rPr>
          <w:rFonts w:hint="eastAsia" w:ascii="宋体" w:hAnsi="宋体" w:cs="宋体"/>
          <w:b w:val="0"/>
          <w:bCs/>
          <w:color w:val="auto"/>
          <w:sz w:val="21"/>
          <w:szCs w:val="21"/>
          <w:highlight w:val="none"/>
        </w:rPr>
        <w:t>35.2在履约保证金退还日期前，若中标人的开户名称、开户银行、账号有变动的，请以书面形式通知履约保证金收取单位，否则由此产生的后果由中标人自行承担。</w:t>
      </w:r>
    </w:p>
    <w:p w14:paraId="5448FA63">
      <w:pPr>
        <w:pStyle w:val="6"/>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36.签订合同</w:t>
      </w:r>
    </w:p>
    <w:p w14:paraId="0EBA9909">
      <w:pPr>
        <w:pStyle w:val="6"/>
        <w:keepNext w:val="0"/>
        <w:keepLines w:val="0"/>
        <w:spacing w:before="0" w:after="0" w:line="380" w:lineRule="exact"/>
        <w:ind w:firstLine="316" w:firstLineChars="150"/>
        <w:rPr>
          <w:rFonts w:ascii="宋体" w:hAnsi="宋体" w:cs="宋体"/>
          <w:b w:val="0"/>
          <w:color w:val="auto"/>
          <w:sz w:val="21"/>
          <w:szCs w:val="21"/>
          <w:highlight w:val="none"/>
        </w:rPr>
      </w:pPr>
      <w:bookmarkStart w:id="131" w:name="_40.1投标人接到中标通知书后，按须知前附表规定向采购人出示相关资格证"/>
      <w:bookmarkEnd w:id="131"/>
      <w:r>
        <w:rPr>
          <w:rFonts w:hint="eastAsia" w:ascii="宋体" w:hAnsi="宋体" w:cs="宋体"/>
          <w:color w:val="auto"/>
          <w:sz w:val="21"/>
          <w:szCs w:val="21"/>
          <w:highlight w:val="none"/>
        </w:rPr>
        <w:t>36.1签订电子采购合同：中标人领取电子中标通知书后，</w:t>
      </w:r>
      <w:r>
        <w:rPr>
          <w:rFonts w:hint="eastAsia" w:ascii="宋体" w:hAnsi="宋体" w:cs="宋体"/>
          <w:color w:val="auto"/>
          <w:kern w:val="0"/>
          <w:sz w:val="21"/>
          <w:szCs w:val="21"/>
          <w:highlight w:val="none"/>
        </w:rPr>
        <w:t>在</w:t>
      </w:r>
      <w:r>
        <w:rPr>
          <w:rFonts w:hint="eastAsia" w:ascii="宋体" w:hAnsi="宋体" w:cs="宋体"/>
          <w:color w:val="auto"/>
          <w:kern w:val="0"/>
          <w:sz w:val="21"/>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278DA56B">
      <w:pPr>
        <w:pStyle w:val="6"/>
        <w:keepNext w:val="0"/>
        <w:keepLines w:val="0"/>
        <w:spacing w:before="0" w:after="0" w:line="38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线下签订纸质合同：投标人领取中标通知书后，按“投标人须知前附表”规定向采购人出示相关证明材料，经采购人核验合格后方可签订合同。</w:t>
      </w:r>
    </w:p>
    <w:p w14:paraId="000FC7BA">
      <w:pPr>
        <w:pStyle w:val="6"/>
        <w:keepNext w:val="0"/>
        <w:keepLines w:val="0"/>
        <w:numPr>
          <w:ilvl w:val="0"/>
          <w:numId w:val="0"/>
        </w:numPr>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36.2签订合同时间：按中标通知书规定的时间与采购人签订合同。</w:t>
      </w:r>
    </w:p>
    <w:p w14:paraId="786DD37A">
      <w:pPr>
        <w:pStyle w:val="6"/>
        <w:keepNext w:val="0"/>
        <w:keepLines w:val="0"/>
        <w:spacing w:before="0" w:after="0" w:line="38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36.3中标人拒绝签订政府采购合同（包括但不限于放弃中标、因不可抗力不能履行合同而放弃签订合同），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2856F645">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B327B6D">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36.5采购人或中标人不得单方面向合同另一方提出任何招标文件没有约定的条件或不合理的要求，作为签订合同的条件；也不得协商另行订立背离招标文件和合同实质性内容的协议。</w:t>
      </w:r>
    </w:p>
    <w:p w14:paraId="4AB5CD94">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36.6如签订合同并生效后，供应商无故拒绝或延期，除按照合同条款处理外，将承担相应的法律责任。</w:t>
      </w:r>
    </w:p>
    <w:p w14:paraId="3B9C7D75">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36.7政府采购合同履行中，采购人需追加与合同标的相同的货物、工程或者服务的，在不改变合同其他条款的前提下，可以与供应商协商签订补充合同。</w:t>
      </w:r>
    </w:p>
    <w:p w14:paraId="7D85D169">
      <w:pPr>
        <w:pStyle w:val="6"/>
        <w:keepNext w:val="0"/>
        <w:keepLines w:val="0"/>
        <w:spacing w:before="0" w:after="0" w:line="380" w:lineRule="exact"/>
        <w:ind w:left="420" w:leftChars="200"/>
        <w:rPr>
          <w:rFonts w:ascii="宋体" w:hAnsi="宋体" w:cs="宋体"/>
          <w:color w:val="auto"/>
          <w:sz w:val="24"/>
          <w:highlight w:val="none"/>
        </w:rPr>
      </w:pPr>
      <w:bookmarkStart w:id="132" w:name="_41.政府采购合同公告"/>
      <w:bookmarkEnd w:id="132"/>
      <w:r>
        <w:rPr>
          <w:rFonts w:hint="eastAsia" w:ascii="宋体" w:hAnsi="宋体" w:cs="宋体"/>
          <w:color w:val="auto"/>
          <w:sz w:val="24"/>
          <w:highlight w:val="none"/>
        </w:rPr>
        <w:t>37.政府采购合同公告</w:t>
      </w:r>
    </w:p>
    <w:p w14:paraId="11BF962B">
      <w:pPr>
        <w:pStyle w:val="24"/>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7DF0AE2F">
      <w:pPr>
        <w:pStyle w:val="6"/>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38. 询问、质疑和投诉</w:t>
      </w:r>
    </w:p>
    <w:p w14:paraId="1557349E">
      <w:pPr>
        <w:pStyle w:val="7"/>
        <w:spacing w:line="340" w:lineRule="exact"/>
        <w:rPr>
          <w:rFonts w:ascii="宋体" w:hAnsi="宋体" w:cs="宋体"/>
          <w:color w:val="auto"/>
          <w:szCs w:val="21"/>
          <w:highlight w:val="none"/>
        </w:rPr>
      </w:pPr>
      <w:r>
        <w:rPr>
          <w:rFonts w:hint="eastAsia" w:ascii="宋体" w:hAnsi="宋体" w:cs="宋体"/>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4D8A4878">
      <w:pPr>
        <w:pStyle w:val="6"/>
        <w:keepNext w:val="0"/>
        <w:keepLines w:val="0"/>
        <w:spacing w:before="0" w:after="0" w:line="34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4D0B10D7">
      <w:pPr>
        <w:pStyle w:val="24"/>
        <w:snapToGrid w:val="0"/>
        <w:spacing w:line="340" w:lineRule="exact"/>
        <w:ind w:firstLine="420" w:firstLineChars="200"/>
        <w:rPr>
          <w:rFonts w:hAnsi="宋体" w:cs="宋体"/>
          <w:color w:val="auto"/>
          <w:sz w:val="21"/>
          <w:highlight w:val="none"/>
        </w:rPr>
      </w:pPr>
      <w:r>
        <w:rPr>
          <w:rFonts w:hint="eastAsia" w:hAnsi="宋体" w:cs="宋体"/>
          <w:color w:val="auto"/>
          <w:sz w:val="21"/>
          <w:highlight w:val="none"/>
        </w:rPr>
        <w:t>（1）对可以质疑的招标文件提出质疑的，为收到招标文件之日或者招标文件公告期限届满之日；</w:t>
      </w:r>
    </w:p>
    <w:p w14:paraId="3C91DB80">
      <w:pPr>
        <w:pStyle w:val="24"/>
        <w:snapToGrid w:val="0"/>
        <w:spacing w:line="340" w:lineRule="exact"/>
        <w:ind w:firstLine="420" w:firstLineChars="200"/>
        <w:rPr>
          <w:rFonts w:hAnsi="宋体" w:cs="宋体"/>
          <w:color w:val="auto"/>
          <w:sz w:val="21"/>
          <w:highlight w:val="none"/>
        </w:rPr>
      </w:pPr>
      <w:r>
        <w:rPr>
          <w:rFonts w:hint="eastAsia" w:hAnsi="宋体" w:cs="宋体"/>
          <w:color w:val="auto"/>
          <w:sz w:val="21"/>
          <w:highlight w:val="none"/>
        </w:rPr>
        <w:t>（2）对采购过程提出质疑的，为各采购程序环节结束之日；</w:t>
      </w:r>
    </w:p>
    <w:p w14:paraId="429E9DB5">
      <w:pPr>
        <w:pStyle w:val="24"/>
        <w:snapToGrid w:val="0"/>
        <w:spacing w:line="340" w:lineRule="exact"/>
        <w:ind w:firstLine="420" w:firstLineChars="200"/>
        <w:rPr>
          <w:rFonts w:hAnsi="宋体" w:cs="宋体"/>
          <w:bCs/>
          <w:color w:val="auto"/>
          <w:sz w:val="21"/>
          <w:highlight w:val="none"/>
        </w:rPr>
      </w:pPr>
      <w:r>
        <w:rPr>
          <w:rFonts w:hint="eastAsia" w:hAnsi="宋体" w:cs="宋体"/>
          <w:color w:val="auto"/>
          <w:sz w:val="21"/>
          <w:highlight w:val="none"/>
        </w:rPr>
        <w:t>（3）对中标结果提出质疑的，为中标结果公告期限届满之日。</w:t>
      </w:r>
    </w:p>
    <w:p w14:paraId="5A150B49">
      <w:pPr>
        <w:pStyle w:val="6"/>
        <w:keepNext w:val="0"/>
        <w:keepLines w:val="0"/>
        <w:spacing w:before="0" w:after="0" w:line="34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38.3</w:t>
      </w:r>
      <w:r>
        <w:rPr>
          <w:rFonts w:hint="eastAsia" w:ascii="宋体" w:hAnsi="宋体" w:cs="宋体"/>
          <w:b w:val="0"/>
          <w:bCs/>
          <w:color w:val="auto"/>
          <w:sz w:val="21"/>
          <w:highlight w:val="none"/>
        </w:rPr>
        <w:t>供应商提出质疑应当提交质疑函和必要的证明材料，针对同一采购程序环节的质疑必须在法定质疑期内一次性提出。质疑函应当包括下列内容（质疑函格式后附）：</w:t>
      </w:r>
    </w:p>
    <w:p w14:paraId="745EC3E3">
      <w:pPr>
        <w:pStyle w:val="24"/>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（1）供应商的姓名或者名称、地址、邮编、联系人及联系电话；</w:t>
      </w:r>
    </w:p>
    <w:p w14:paraId="728DC988">
      <w:pPr>
        <w:pStyle w:val="24"/>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（2）质疑项目的名称、编号；</w:t>
      </w:r>
    </w:p>
    <w:p w14:paraId="4479602A">
      <w:pPr>
        <w:pStyle w:val="24"/>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（3）具体、明确的质疑事项和与质疑事项相关的请求；</w:t>
      </w:r>
    </w:p>
    <w:p w14:paraId="7F6B0B8A">
      <w:pPr>
        <w:pStyle w:val="24"/>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（4）事实依据；</w:t>
      </w:r>
    </w:p>
    <w:p w14:paraId="48A696A2">
      <w:pPr>
        <w:pStyle w:val="24"/>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（5）必要的法律依据；</w:t>
      </w:r>
    </w:p>
    <w:p w14:paraId="39ED951A">
      <w:pPr>
        <w:pStyle w:val="24"/>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（6）提出质疑的日期。</w:t>
      </w:r>
    </w:p>
    <w:p w14:paraId="6A7DCE86">
      <w:pPr>
        <w:pStyle w:val="24"/>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供应商为自然人的，应当由本人签字；供应商为法人或者其他组织的，应当由法定代表人、主要负责人，或者其委托代理人签字或者盖章，并加盖公章。</w:t>
      </w:r>
    </w:p>
    <w:p w14:paraId="7768E0D7">
      <w:pPr>
        <w:pStyle w:val="6"/>
        <w:keepNext w:val="0"/>
        <w:keepLines w:val="0"/>
        <w:snapToGrid w:val="0"/>
        <w:spacing w:before="0" w:after="0" w:line="340" w:lineRule="exact"/>
        <w:ind w:firstLine="420" w:firstLineChars="200"/>
        <w:rPr>
          <w:rFonts w:ascii="宋体" w:hAnsi="宋体" w:cs="宋体"/>
          <w:b w:val="0"/>
          <w:bCs/>
          <w:color w:val="auto"/>
          <w:sz w:val="21"/>
          <w:szCs w:val="21"/>
          <w:highlight w:val="none"/>
        </w:rPr>
      </w:pPr>
      <w:r>
        <w:rPr>
          <w:rFonts w:hint="eastAsia" w:ascii="宋体" w:hAnsi="宋体" w:cs="宋体"/>
          <w:b w:val="0"/>
          <w:color w:val="auto"/>
          <w:sz w:val="21"/>
          <w:szCs w:val="21"/>
          <w:highlight w:val="none"/>
        </w:rPr>
        <w:t>3</w:t>
      </w:r>
      <w:r>
        <w:rPr>
          <w:rFonts w:hint="eastAsia" w:ascii="宋体" w:hAnsi="宋体" w:cs="宋体"/>
          <w:b w:val="0"/>
          <w:bCs/>
          <w:color w:val="auto"/>
          <w:sz w:val="21"/>
          <w:szCs w:val="21"/>
          <w:highlight w:val="none"/>
        </w:rPr>
        <w:t>8.4采购人、采购代理机构认为供应商质疑不成立，或者成立但未对中标结果构成影响的，继续开展采购活动；认为供应商质疑成立且影响或者可能影响中标结果的，按照下列情况处理：</w:t>
      </w:r>
    </w:p>
    <w:p w14:paraId="0D86831B">
      <w:pPr>
        <w:pStyle w:val="24"/>
        <w:snapToGrid w:val="0"/>
        <w:spacing w:line="340" w:lineRule="exact"/>
        <w:rPr>
          <w:rFonts w:hAnsi="宋体" w:cs="宋体"/>
          <w:bCs/>
          <w:color w:val="auto"/>
          <w:sz w:val="21"/>
          <w:highlight w:val="none"/>
        </w:rPr>
      </w:pPr>
      <w:r>
        <w:rPr>
          <w:rFonts w:hint="eastAsia" w:hAnsi="宋体" w:cs="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7C6064F8">
      <w:pPr>
        <w:pStyle w:val="24"/>
        <w:snapToGrid w:val="0"/>
        <w:spacing w:line="340" w:lineRule="exact"/>
        <w:rPr>
          <w:rFonts w:hAnsi="宋体" w:cs="宋体"/>
          <w:bCs/>
          <w:color w:val="auto"/>
          <w:sz w:val="21"/>
          <w:highlight w:val="none"/>
        </w:rPr>
      </w:pPr>
      <w:r>
        <w:rPr>
          <w:rFonts w:hint="eastAsia" w:hAnsi="宋体" w:cs="宋体"/>
          <w:bCs/>
          <w:color w:val="auto"/>
          <w:sz w:val="21"/>
          <w:highlight w:val="none"/>
        </w:rPr>
        <w:t>　　（二）对采购过程、中标结果提出的质疑，合格供应商符合法定数量时，可以从合格的中标候选人中另行确定中标人的，应当依法另行确定中标人；否则应当重新开展采购活动。</w:t>
      </w:r>
    </w:p>
    <w:p w14:paraId="190E66D9">
      <w:pPr>
        <w:pStyle w:val="24"/>
        <w:snapToGrid w:val="0"/>
        <w:spacing w:line="340" w:lineRule="exact"/>
        <w:ind w:firstLine="420"/>
        <w:rPr>
          <w:rFonts w:hAnsi="宋体" w:cs="宋体"/>
          <w:bCs/>
          <w:color w:val="auto"/>
          <w:sz w:val="21"/>
          <w:highlight w:val="none"/>
        </w:rPr>
      </w:pPr>
      <w:r>
        <w:rPr>
          <w:rFonts w:hint="eastAsia" w:hAnsi="宋体" w:cs="宋体"/>
          <w:bCs/>
          <w:color w:val="auto"/>
          <w:sz w:val="21"/>
          <w:highlight w:val="none"/>
        </w:rPr>
        <w:t>质疑答复导致中标结果改变的，采购人或者采购代理机构应当将有关情况书面报告本级财政部门。</w:t>
      </w:r>
    </w:p>
    <w:p w14:paraId="588C43E9">
      <w:pPr>
        <w:pStyle w:val="24"/>
        <w:snapToGrid w:val="0"/>
        <w:spacing w:line="340" w:lineRule="exact"/>
        <w:ind w:firstLine="420" w:firstLineChars="200"/>
        <w:rPr>
          <w:rFonts w:hAnsi="宋体" w:cs="宋体"/>
          <w:color w:val="auto"/>
          <w:sz w:val="21"/>
          <w:highlight w:val="none"/>
        </w:rPr>
      </w:pPr>
      <w:r>
        <w:rPr>
          <w:rFonts w:hint="eastAsia" w:hAnsi="宋体" w:cs="宋体"/>
          <w:color w:val="auto"/>
          <w:sz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8161A83">
      <w:pPr>
        <w:pStyle w:val="5"/>
        <w:keepNext w:val="0"/>
        <w:keepLines w:val="0"/>
        <w:spacing w:line="340" w:lineRule="exact"/>
        <w:jc w:val="center"/>
        <w:rPr>
          <w:rFonts w:ascii="宋体" w:hAnsi="宋体" w:cs="宋体"/>
          <w:color w:val="auto"/>
          <w:highlight w:val="none"/>
        </w:rPr>
      </w:pPr>
      <w:r>
        <w:rPr>
          <w:rFonts w:hint="eastAsia" w:ascii="宋体" w:hAnsi="宋体" w:cs="宋体"/>
          <w:color w:val="auto"/>
          <w:highlight w:val="none"/>
        </w:rPr>
        <w:t>八、其他事项</w:t>
      </w:r>
    </w:p>
    <w:p w14:paraId="2303D767">
      <w:pPr>
        <w:pStyle w:val="6"/>
        <w:keepNext w:val="0"/>
        <w:keepLines w:val="0"/>
        <w:spacing w:before="0" w:after="0" w:line="340" w:lineRule="exact"/>
        <w:ind w:left="420" w:leftChars="200"/>
        <w:rPr>
          <w:rFonts w:ascii="宋体" w:hAnsi="宋体" w:cs="宋体"/>
          <w:color w:val="auto"/>
          <w:sz w:val="24"/>
          <w:highlight w:val="none"/>
        </w:rPr>
      </w:pPr>
      <w:bookmarkStart w:id="133" w:name="_42.代理服务费"/>
      <w:bookmarkEnd w:id="133"/>
      <w:r>
        <w:rPr>
          <w:rFonts w:hint="eastAsia" w:ascii="宋体" w:hAnsi="宋体" w:cs="宋体"/>
          <w:color w:val="auto"/>
          <w:sz w:val="24"/>
          <w:highlight w:val="none"/>
        </w:rPr>
        <w:t>39.采购代理服务费</w:t>
      </w:r>
    </w:p>
    <w:p w14:paraId="656B4CA7">
      <w:pPr>
        <w:pStyle w:val="6"/>
        <w:keepNext w:val="0"/>
        <w:keepLines w:val="0"/>
        <w:spacing w:before="0" w:after="0" w:line="34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采购代理服务收取标准及缴费账户详见“投标人须知前附表”，投标人为联合体的，可以由联合体中的一方或者多方共同交纳代理服务费。</w:t>
      </w:r>
    </w:p>
    <w:p w14:paraId="60689262">
      <w:pPr>
        <w:pStyle w:val="6"/>
        <w:keepNext w:val="0"/>
        <w:keepLines w:val="0"/>
        <w:spacing w:before="0" w:after="0" w:line="340" w:lineRule="exact"/>
        <w:ind w:left="420" w:leftChars="200"/>
        <w:rPr>
          <w:rFonts w:ascii="宋体" w:hAnsi="宋体" w:cs="宋体"/>
          <w:color w:val="auto"/>
          <w:sz w:val="24"/>
          <w:highlight w:val="none"/>
        </w:rPr>
      </w:pPr>
      <w:r>
        <w:rPr>
          <w:rFonts w:hint="eastAsia" w:ascii="宋体" w:hAnsi="宋体" w:cs="宋体"/>
          <w:color w:val="auto"/>
          <w:sz w:val="24"/>
          <w:highlight w:val="none"/>
        </w:rPr>
        <w:t>40. 需要补充的其他内容</w:t>
      </w:r>
    </w:p>
    <w:p w14:paraId="26C4B323">
      <w:pPr>
        <w:pStyle w:val="24"/>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40.1本招标文件解释规则详见“投标人须知前附表”。</w:t>
      </w:r>
    </w:p>
    <w:p w14:paraId="63191104">
      <w:pPr>
        <w:pStyle w:val="24"/>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40.2 其他事项详见“投标人须知前附表”。</w:t>
      </w:r>
    </w:p>
    <w:p w14:paraId="53AEB559">
      <w:pPr>
        <w:pStyle w:val="24"/>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40.3</w:t>
      </w:r>
      <w:bookmarkStart w:id="134"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706FEA93">
      <w:pPr>
        <w:pStyle w:val="24"/>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1087020A">
      <w:pPr>
        <w:pStyle w:val="24"/>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2665FE32">
      <w:pPr>
        <w:pStyle w:val="24"/>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1D57F5C">
      <w:pPr>
        <w:pStyle w:val="24"/>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6683B2ED">
      <w:pPr>
        <w:pStyle w:val="24"/>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34"/>
    </w:p>
    <w:p w14:paraId="65742B60">
      <w:pPr>
        <w:pStyle w:val="6"/>
        <w:keepNext w:val="0"/>
        <w:keepLines w:val="0"/>
        <w:spacing w:before="0" w:after="0" w:line="400" w:lineRule="exact"/>
        <w:ind w:left="420" w:leftChars="200"/>
        <w:rPr>
          <w:rFonts w:ascii="宋体" w:hAnsi="宋体" w:cs="宋体"/>
          <w:color w:val="auto"/>
          <w:sz w:val="24"/>
          <w:highlight w:val="none"/>
        </w:rPr>
      </w:pPr>
      <w:r>
        <w:rPr>
          <w:rFonts w:hint="eastAsia" w:ascii="宋体" w:hAnsi="宋体" w:cs="宋体"/>
          <w:color w:val="auto"/>
          <w:sz w:val="24"/>
          <w:highlight w:val="none"/>
        </w:rPr>
        <w:t>41.广西线上“政采贷”政策详见附表2。</w:t>
      </w:r>
    </w:p>
    <w:p w14:paraId="34B0F6B0">
      <w:pPr>
        <w:widowControl/>
        <w:jc w:val="left"/>
        <w:rPr>
          <w:rFonts w:ascii="宋体" w:hAnsi="宋体" w:cs="宋体"/>
          <w:b/>
          <w:bCs/>
          <w:color w:val="auto"/>
          <w:sz w:val="24"/>
          <w:highlight w:val="none"/>
        </w:rPr>
      </w:pPr>
      <w:r>
        <w:rPr>
          <w:rFonts w:hint="eastAsia" w:ascii="宋体" w:hAnsi="宋体" w:cs="宋体"/>
          <w:b/>
          <w:bCs/>
          <w:color w:val="auto"/>
          <w:sz w:val="24"/>
          <w:highlight w:val="none"/>
        </w:rPr>
        <w:br w:type="page"/>
      </w:r>
    </w:p>
    <w:p w14:paraId="03F49E99">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附表1：</w:t>
      </w:r>
    </w:p>
    <w:p w14:paraId="5A751332">
      <w:pPr>
        <w:spacing w:line="360" w:lineRule="auto"/>
        <w:ind w:left="25" w:leftChars="12" w:firstLine="472" w:firstLineChars="147"/>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586E472B">
      <w:pPr>
        <w:spacing w:after="120"/>
        <w:rPr>
          <w:rFonts w:ascii="宋体" w:hAnsi="宋体" w:cs="宋体"/>
          <w:color w:val="auto"/>
          <w:highlight w:val="none"/>
        </w:rPr>
      </w:pPr>
    </w:p>
    <w:p w14:paraId="19AD2CF1">
      <w:pPr>
        <w:widowControl/>
        <w:shd w:val="clear" w:color="auto" w:fill="FFFFFF"/>
        <w:snapToGrid w:val="0"/>
        <w:spacing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政府采购项目中标人（</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提供的货物（或者工程、服务）进行了验收，验收情况如下：</w:t>
      </w:r>
    </w:p>
    <w:tbl>
      <w:tblPr>
        <w:tblStyle w:val="47"/>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78CAD8BB">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23A1D7BE">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12DE64B9">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1EBED24A">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18E981BC">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5122D041">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3F9C27FA">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64B67DE8">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48091030">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金额</w:t>
            </w:r>
          </w:p>
        </w:tc>
      </w:tr>
      <w:tr w14:paraId="0CC90FA6">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199613FD">
            <w:pPr>
              <w:widowControl/>
              <w:spacing w:before="10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2D897FBE">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0EF663A9">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1D59F063">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1E67BCF7">
            <w:pPr>
              <w:widowControl/>
              <w:spacing w:before="100" w:beforeAutospacing="1" w:after="100" w:afterAutospacing="1" w:line="240" w:lineRule="atLeast"/>
              <w:jc w:val="center"/>
              <w:rPr>
                <w:rFonts w:ascii="宋体" w:hAnsi="宋体" w:cs="宋体"/>
                <w:color w:val="auto"/>
                <w:kern w:val="0"/>
                <w:szCs w:val="21"/>
                <w:highlight w:val="none"/>
              </w:rPr>
            </w:pPr>
          </w:p>
        </w:tc>
      </w:tr>
      <w:tr w14:paraId="740D020F">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186A0476">
            <w:pPr>
              <w:widowControl/>
              <w:spacing w:before="10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3639DC57">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64C6B54B">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3625E739">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67243B8A">
            <w:pPr>
              <w:widowControl/>
              <w:spacing w:before="100" w:beforeAutospacing="1" w:after="100" w:afterAutospacing="1" w:line="240" w:lineRule="atLeast"/>
              <w:jc w:val="center"/>
              <w:rPr>
                <w:rFonts w:ascii="宋体" w:hAnsi="宋体" w:cs="宋体"/>
                <w:color w:val="auto"/>
                <w:kern w:val="0"/>
                <w:szCs w:val="21"/>
                <w:highlight w:val="none"/>
              </w:rPr>
            </w:pPr>
          </w:p>
        </w:tc>
      </w:tr>
      <w:tr w14:paraId="7B71755F">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3214ECFD">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合计</w:t>
            </w:r>
          </w:p>
        </w:tc>
        <w:tc>
          <w:tcPr>
            <w:tcW w:w="863" w:type="dxa"/>
            <w:gridSpan w:val="2"/>
            <w:tcBorders>
              <w:top w:val="nil"/>
              <w:left w:val="nil"/>
              <w:bottom w:val="single" w:color="auto" w:sz="8" w:space="0"/>
              <w:right w:val="single" w:color="auto" w:sz="8" w:space="0"/>
            </w:tcBorders>
            <w:vAlign w:val="center"/>
          </w:tcPr>
          <w:p w14:paraId="67D48358">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5EBFB436">
            <w:pPr>
              <w:widowControl/>
              <w:spacing w:before="100" w:beforeAutospacing="1" w:after="100" w:afterAutospacing="1" w:line="240" w:lineRule="atLeast"/>
              <w:jc w:val="center"/>
              <w:rPr>
                <w:rFonts w:ascii="宋体" w:hAnsi="宋体" w:cs="宋体"/>
                <w:color w:val="auto"/>
                <w:kern w:val="0"/>
                <w:szCs w:val="21"/>
                <w:highlight w:val="none"/>
              </w:rPr>
            </w:pPr>
          </w:p>
        </w:tc>
      </w:tr>
      <w:tr w14:paraId="7A5F3C28">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4AB0C415">
            <w:pPr>
              <w:widowControl/>
              <w:snapToGrid w:val="0"/>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合计大写金额：仟佰拾万仟佰拾元</w:t>
            </w:r>
          </w:p>
        </w:tc>
      </w:tr>
      <w:tr w14:paraId="59C9ACA6">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3293C544">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6A03898F">
            <w:pPr>
              <w:widowControl/>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24C11435">
            <w:pPr>
              <w:widowControl/>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1E310641">
            <w:pPr>
              <w:widowControl/>
              <w:spacing w:before="100" w:beforeAutospacing="1" w:after="100" w:afterAutospacing="1" w:line="240" w:lineRule="atLeast"/>
              <w:jc w:val="center"/>
              <w:rPr>
                <w:rFonts w:ascii="宋体" w:hAnsi="宋体" w:cs="宋体"/>
                <w:color w:val="auto"/>
                <w:kern w:val="0"/>
                <w:szCs w:val="21"/>
                <w:highlight w:val="none"/>
              </w:rPr>
            </w:pPr>
          </w:p>
        </w:tc>
      </w:tr>
      <w:tr w14:paraId="36C86F5D">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28F14F9F">
            <w:pPr>
              <w:widowControl/>
              <w:spacing w:before="100" w:beforeAutospacing="1" w:after="100" w:afterAutospacing="1" w:line="240" w:lineRule="atLeast"/>
              <w:jc w:val="center"/>
              <w:rPr>
                <w:rFonts w:ascii="宋体" w:hAnsi="宋体" w:cs="宋体"/>
                <w:color w:val="auto"/>
                <w:kern w:val="0"/>
                <w:szCs w:val="21"/>
                <w:highlight w:val="none"/>
              </w:rPr>
            </w:pPr>
          </w:p>
        </w:tc>
        <w:tc>
          <w:tcPr>
            <w:tcW w:w="2421" w:type="dxa"/>
            <w:gridSpan w:val="2"/>
            <w:tcBorders>
              <w:top w:val="nil"/>
              <w:left w:val="nil"/>
              <w:bottom w:val="single" w:color="auto" w:sz="8" w:space="0"/>
              <w:right w:val="single" w:color="auto" w:sz="8" w:space="0"/>
            </w:tcBorders>
            <w:vAlign w:val="center"/>
          </w:tcPr>
          <w:p w14:paraId="4C884F24">
            <w:pPr>
              <w:widowControl/>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245103C1">
            <w:pPr>
              <w:widowControl/>
              <w:spacing w:before="100" w:beforeAutospacing="1" w:after="100" w:afterAutospacing="1" w:line="240" w:lineRule="atLeast"/>
              <w:jc w:val="center"/>
              <w:rPr>
                <w:rFonts w:ascii="宋体" w:hAnsi="宋体" w:cs="宋体"/>
                <w:color w:val="auto"/>
                <w:kern w:val="0"/>
                <w:szCs w:val="21"/>
                <w:highlight w:val="none"/>
              </w:rPr>
            </w:pPr>
          </w:p>
        </w:tc>
        <w:tc>
          <w:tcPr>
            <w:tcW w:w="2113" w:type="dxa"/>
            <w:gridSpan w:val="2"/>
            <w:tcBorders>
              <w:top w:val="nil"/>
              <w:left w:val="nil"/>
              <w:bottom w:val="single" w:color="auto" w:sz="8" w:space="0"/>
              <w:right w:val="single" w:color="auto" w:sz="8" w:space="0"/>
            </w:tcBorders>
            <w:vAlign w:val="center"/>
          </w:tcPr>
          <w:p w14:paraId="5309B743">
            <w:pPr>
              <w:widowControl/>
              <w:spacing w:before="100" w:beforeAutospacing="1" w:after="100" w:afterAutospacing="1" w:line="240" w:lineRule="atLeast"/>
              <w:jc w:val="center"/>
              <w:rPr>
                <w:rFonts w:ascii="宋体" w:hAnsi="宋体" w:cs="宋体"/>
                <w:color w:val="auto"/>
                <w:kern w:val="0"/>
                <w:szCs w:val="21"/>
                <w:highlight w:val="none"/>
              </w:rPr>
            </w:pPr>
          </w:p>
        </w:tc>
      </w:tr>
      <w:tr w14:paraId="55C0B34C">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2651D73">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3C279660">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招标文件、投标文件及验收方案等进行验收；并核对中标人在安装调试等方面是否违反合同约定或者服务规范要求、提供的质量保证证明材料是否齐全、应有的配件及附件是否达到合同约定等。可附件)</w:t>
            </w:r>
          </w:p>
        </w:tc>
      </w:tr>
      <w:tr w14:paraId="4721D51A">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CAB3CF4">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304E4E62">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7FD0F7E6">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77F91591">
            <w:pPr>
              <w:widowControl/>
              <w:jc w:val="left"/>
              <w:rPr>
                <w:rFonts w:ascii="宋体" w:hAnsi="宋体"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14:paraId="29BD54B0">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5F66A4E6">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签字：</w:t>
            </w:r>
          </w:p>
        </w:tc>
      </w:tr>
      <w:tr w14:paraId="6F7F653E">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EC3256C">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07D35D9B">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55BE088">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监督人员或者其他相关人员签字：</w:t>
            </w:r>
          </w:p>
          <w:p w14:paraId="30C16F30">
            <w:pPr>
              <w:widowControl/>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或者受邀机构的意见（盖章）：</w:t>
            </w:r>
          </w:p>
        </w:tc>
      </w:tr>
      <w:tr w14:paraId="1751BDED">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52BABCA1">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中标人负责人签字或者盖章：</w:t>
            </w:r>
          </w:p>
          <w:p w14:paraId="60E3449A">
            <w:pPr>
              <w:widowControl/>
              <w:spacing w:before="100" w:beforeAutospacing="1" w:after="100" w:afterAutospacing="1" w:line="320" w:lineRule="atLeast"/>
              <w:jc w:val="left"/>
              <w:rPr>
                <w:rFonts w:ascii="宋体" w:hAnsi="宋体" w:cs="宋体"/>
                <w:color w:val="auto"/>
                <w:kern w:val="0"/>
                <w:szCs w:val="21"/>
                <w:highlight w:val="none"/>
              </w:rPr>
            </w:pPr>
          </w:p>
          <w:p w14:paraId="09CBB92A">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4293" w:type="dxa"/>
            <w:gridSpan w:val="4"/>
            <w:tcBorders>
              <w:top w:val="nil"/>
              <w:left w:val="nil"/>
              <w:bottom w:val="single" w:color="auto" w:sz="8" w:space="0"/>
              <w:right w:val="single" w:color="auto" w:sz="8" w:space="0"/>
            </w:tcBorders>
            <w:vAlign w:val="center"/>
          </w:tcPr>
          <w:p w14:paraId="678B4557">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采购人或者受托机构的意见（盖章）：</w:t>
            </w:r>
          </w:p>
          <w:p w14:paraId="64F00693">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p>
          <w:p w14:paraId="67392BC9">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35EFE2E6">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br w:type="page"/>
      </w:r>
    </w:p>
    <w:p w14:paraId="4EE05511">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附表2：</w:t>
      </w:r>
    </w:p>
    <w:p w14:paraId="0F2C39E8">
      <w:pPr>
        <w:rPr>
          <w:rFonts w:ascii="宋体" w:hAnsi="宋体" w:cs="宋体"/>
          <w:b/>
          <w:color w:val="auto"/>
          <w:sz w:val="24"/>
          <w:highlight w:val="none"/>
        </w:rPr>
      </w:pPr>
      <w:r>
        <w:rPr>
          <w:rFonts w:hint="eastAsia" w:ascii="宋体" w:hAnsi="宋体" w:cs="宋体"/>
          <w:b/>
          <w:color w:val="auto"/>
          <w:kern w:val="0"/>
          <w:sz w:val="24"/>
          <w:szCs w:val="21"/>
          <w:highlight w:val="none"/>
        </w:rPr>
        <w:drawing>
          <wp:inline distT="0" distB="0" distL="0" distR="0">
            <wp:extent cx="5287010" cy="5821045"/>
            <wp:effectExtent l="19050" t="0" r="8890" b="0"/>
            <wp:docPr id="2" name="图片 2" descr="C:\Users\Administrator\AppData\Roaming\Tencent\Users\84332323\QQ\WinTemp\RichOle\IBTSMDNQID2EUB%25252525252525252525257b1%25252525252525252525255d6~P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AppData\Roaming\Tencent\Users\84332323\QQ\WinTemp\RichOle\IBTSMDNQID2EUB%25252525252525252525257b1%25252525252525252525255d6~PD(5.png"/>
                    <pic:cNvPicPr>
                      <a:picLocks noChangeAspect="1" noChangeArrowheads="1"/>
                    </pic:cNvPicPr>
                  </pic:nvPicPr>
                  <pic:blipFill>
                    <a:blip r:embed="rId20" r:link="rId21" cstate="print"/>
                    <a:srcRect/>
                    <a:stretch>
                      <a:fillRect/>
                    </a:stretch>
                  </pic:blipFill>
                  <pic:spPr>
                    <a:xfrm>
                      <a:off x="0" y="0"/>
                      <a:ext cx="5287010" cy="5821045"/>
                    </a:xfrm>
                    <a:prstGeom prst="rect">
                      <a:avLst/>
                    </a:prstGeom>
                    <a:noFill/>
                    <a:ln w="9525">
                      <a:noFill/>
                      <a:miter lim="800000"/>
                      <a:headEnd/>
                      <a:tailEnd/>
                    </a:ln>
                  </pic:spPr>
                </pic:pic>
              </a:graphicData>
            </a:graphic>
          </wp:inline>
        </w:drawing>
      </w:r>
    </w:p>
    <w:p w14:paraId="2EB62CC2">
      <w:pPr>
        <w:rPr>
          <w:rFonts w:ascii="宋体" w:hAnsi="宋体" w:cs="宋体"/>
          <w:b/>
          <w:color w:val="auto"/>
          <w:sz w:val="24"/>
          <w:highlight w:val="none"/>
        </w:rPr>
      </w:pPr>
    </w:p>
    <w:p w14:paraId="1DDFE027">
      <w:pPr>
        <w:pStyle w:val="24"/>
        <w:spacing w:before="120" w:after="120" w:line="400" w:lineRule="exact"/>
        <w:ind w:firstLine="420" w:firstLineChars="200"/>
        <w:contextualSpacing/>
        <w:rPr>
          <w:rFonts w:hAnsi="宋体" w:cs="宋体"/>
          <w:color w:val="auto"/>
          <w:sz w:val="21"/>
          <w:highlight w:val="none"/>
        </w:rPr>
      </w:pPr>
    </w:p>
    <w:p w14:paraId="30A6EB32">
      <w:pPr>
        <w:widowControl/>
        <w:jc w:val="left"/>
        <w:rPr>
          <w:rFonts w:ascii="宋体" w:hAnsi="宋体" w:cs="宋体"/>
          <w:color w:val="auto"/>
          <w:kern w:val="0"/>
          <w:szCs w:val="21"/>
          <w:highlight w:val="none"/>
        </w:rPr>
      </w:pPr>
      <w:r>
        <w:rPr>
          <w:rFonts w:hint="eastAsia" w:ascii="宋体" w:hAnsi="宋体" w:cs="宋体"/>
          <w:color w:val="auto"/>
          <w:highlight w:val="none"/>
        </w:rPr>
        <w:br w:type="page"/>
      </w:r>
    </w:p>
    <w:p w14:paraId="0E99AB64">
      <w:pPr>
        <w:pStyle w:val="24"/>
        <w:spacing w:before="120" w:after="120" w:line="400" w:lineRule="exact"/>
        <w:ind w:firstLine="420" w:firstLineChars="200"/>
        <w:contextualSpacing/>
        <w:rPr>
          <w:rFonts w:hAnsi="宋体" w:cs="宋体"/>
          <w:color w:val="auto"/>
          <w:sz w:val="21"/>
          <w:highlight w:val="none"/>
        </w:rPr>
      </w:pPr>
    </w:p>
    <w:p w14:paraId="3850E715">
      <w:pPr>
        <w:pStyle w:val="2"/>
        <w:ind w:left="479" w:leftChars="114" w:hanging="240" w:hangingChars="100"/>
        <w:rPr>
          <w:rFonts w:ascii="宋体" w:hAnsi="宋体" w:cs="宋体"/>
          <w:color w:val="auto"/>
          <w:highlight w:val="none"/>
        </w:rPr>
      </w:pPr>
    </w:p>
    <w:p w14:paraId="12BDDC9C">
      <w:pPr>
        <w:pStyle w:val="24"/>
        <w:snapToGrid w:val="0"/>
        <w:spacing w:before="120" w:after="120"/>
        <w:rPr>
          <w:rFonts w:hAnsi="宋体" w:cs="宋体"/>
          <w:color w:val="auto"/>
          <w:highlight w:val="none"/>
        </w:rPr>
      </w:pPr>
    </w:p>
    <w:p w14:paraId="18C50732">
      <w:pPr>
        <w:pStyle w:val="24"/>
        <w:snapToGrid w:val="0"/>
        <w:spacing w:before="120" w:after="120"/>
        <w:rPr>
          <w:rFonts w:hAnsi="宋体" w:cs="宋体"/>
          <w:color w:val="auto"/>
          <w:highlight w:val="none"/>
        </w:rPr>
      </w:pPr>
    </w:p>
    <w:p w14:paraId="59B1B752">
      <w:pPr>
        <w:pStyle w:val="24"/>
        <w:snapToGrid w:val="0"/>
        <w:spacing w:before="120" w:after="120"/>
        <w:rPr>
          <w:rFonts w:hAnsi="宋体" w:cs="宋体"/>
          <w:color w:val="auto"/>
          <w:highlight w:val="none"/>
        </w:rPr>
      </w:pPr>
    </w:p>
    <w:p w14:paraId="11D29A6F">
      <w:pPr>
        <w:pStyle w:val="24"/>
        <w:snapToGrid w:val="0"/>
        <w:spacing w:before="120" w:after="120"/>
        <w:rPr>
          <w:rFonts w:hAnsi="宋体" w:cs="宋体"/>
          <w:color w:val="auto"/>
          <w:highlight w:val="none"/>
        </w:rPr>
      </w:pPr>
    </w:p>
    <w:p w14:paraId="577B5F67">
      <w:pPr>
        <w:pStyle w:val="24"/>
        <w:snapToGrid w:val="0"/>
        <w:spacing w:before="120" w:after="120"/>
        <w:rPr>
          <w:rFonts w:hAnsi="宋体" w:cs="宋体"/>
          <w:color w:val="auto"/>
          <w:highlight w:val="none"/>
        </w:rPr>
      </w:pPr>
    </w:p>
    <w:p w14:paraId="3307CC68">
      <w:pPr>
        <w:pStyle w:val="24"/>
        <w:snapToGrid w:val="0"/>
        <w:spacing w:before="120" w:after="120"/>
        <w:rPr>
          <w:rFonts w:hAnsi="宋体" w:cs="宋体"/>
          <w:color w:val="auto"/>
          <w:highlight w:val="none"/>
        </w:rPr>
      </w:pPr>
    </w:p>
    <w:p w14:paraId="4D399164">
      <w:pPr>
        <w:pStyle w:val="24"/>
        <w:snapToGrid w:val="0"/>
        <w:spacing w:before="120" w:after="120"/>
        <w:rPr>
          <w:rFonts w:hAnsi="宋体" w:cs="宋体"/>
          <w:color w:val="auto"/>
          <w:highlight w:val="none"/>
        </w:rPr>
      </w:pPr>
    </w:p>
    <w:p w14:paraId="348B7A7A">
      <w:pPr>
        <w:pStyle w:val="3"/>
        <w:jc w:val="center"/>
        <w:rPr>
          <w:rFonts w:ascii="宋体" w:hAnsi="宋体" w:cs="宋体"/>
          <w:color w:val="auto"/>
          <w:highlight w:val="none"/>
        </w:rPr>
      </w:pPr>
      <w:bookmarkStart w:id="135" w:name="_Toc330456896"/>
      <w:bookmarkStart w:id="136" w:name="_Toc74320803"/>
      <w:bookmarkStart w:id="137" w:name="_Toc254970689"/>
      <w:bookmarkStart w:id="138" w:name="_Toc254970548"/>
    </w:p>
    <w:p w14:paraId="65E6694B">
      <w:pPr>
        <w:rPr>
          <w:rFonts w:ascii="宋体" w:hAnsi="宋体" w:cs="宋体"/>
          <w:color w:val="auto"/>
          <w:highlight w:val="none"/>
        </w:rPr>
      </w:pPr>
    </w:p>
    <w:p w14:paraId="53624D51">
      <w:pPr>
        <w:pStyle w:val="3"/>
        <w:jc w:val="center"/>
        <w:rPr>
          <w:rFonts w:ascii="宋体" w:hAnsi="宋体" w:cs="宋体"/>
          <w:color w:val="auto"/>
          <w:highlight w:val="none"/>
        </w:rPr>
      </w:pPr>
      <w:bookmarkStart w:id="139" w:name="_Toc18422"/>
      <w:r>
        <w:rPr>
          <w:rFonts w:hint="eastAsia" w:ascii="宋体" w:hAnsi="宋体" w:cs="宋体"/>
          <w:color w:val="auto"/>
          <w:highlight w:val="none"/>
        </w:rPr>
        <w:t>第四章 评标方法及评标标准</w:t>
      </w:r>
      <w:bookmarkEnd w:id="135"/>
      <w:bookmarkEnd w:id="136"/>
      <w:bookmarkEnd w:id="137"/>
      <w:bookmarkEnd w:id="138"/>
      <w:bookmarkEnd w:id="139"/>
    </w:p>
    <w:p w14:paraId="7D3D0BEA">
      <w:pPr>
        <w:pStyle w:val="24"/>
        <w:spacing w:before="120" w:after="120"/>
        <w:outlineLvl w:val="0"/>
        <w:rPr>
          <w:rFonts w:hAnsi="宋体" w:cs="宋体"/>
          <w:b/>
          <w:color w:val="auto"/>
          <w:highlight w:val="none"/>
        </w:rPr>
      </w:pPr>
      <w:bookmarkStart w:id="140" w:name="_Toc254970690"/>
      <w:bookmarkStart w:id="141" w:name="_Toc254970549"/>
    </w:p>
    <w:bookmarkEnd w:id="140"/>
    <w:bookmarkEnd w:id="141"/>
    <w:p w14:paraId="29FF1B00">
      <w:pPr>
        <w:pStyle w:val="24"/>
        <w:spacing w:before="120" w:after="120"/>
        <w:outlineLvl w:val="0"/>
        <w:rPr>
          <w:rFonts w:hAnsi="宋体" w:cs="宋体"/>
          <w:bCs/>
          <w:color w:val="auto"/>
          <w:sz w:val="32"/>
          <w:szCs w:val="32"/>
          <w:highlight w:val="none"/>
        </w:rPr>
      </w:pPr>
    </w:p>
    <w:p w14:paraId="3ABBA6BE">
      <w:pPr>
        <w:pStyle w:val="24"/>
        <w:spacing w:before="120" w:after="120"/>
        <w:outlineLvl w:val="0"/>
        <w:rPr>
          <w:rFonts w:hAnsi="宋体" w:cs="宋体"/>
          <w:bCs/>
          <w:color w:val="auto"/>
          <w:sz w:val="32"/>
          <w:szCs w:val="32"/>
          <w:highlight w:val="none"/>
        </w:rPr>
      </w:pPr>
    </w:p>
    <w:p w14:paraId="4BF89566">
      <w:pPr>
        <w:pStyle w:val="24"/>
        <w:spacing w:before="120" w:after="120"/>
        <w:outlineLvl w:val="0"/>
        <w:rPr>
          <w:rFonts w:hAnsi="宋体" w:cs="宋体"/>
          <w:bCs/>
          <w:color w:val="auto"/>
          <w:sz w:val="32"/>
          <w:szCs w:val="32"/>
          <w:highlight w:val="none"/>
        </w:rPr>
      </w:pPr>
    </w:p>
    <w:p w14:paraId="1A8843BF">
      <w:pPr>
        <w:pStyle w:val="24"/>
        <w:spacing w:before="120" w:after="120"/>
        <w:outlineLvl w:val="0"/>
        <w:rPr>
          <w:rFonts w:hAnsi="宋体" w:cs="宋体"/>
          <w:bCs/>
          <w:color w:val="auto"/>
          <w:sz w:val="32"/>
          <w:szCs w:val="32"/>
          <w:highlight w:val="none"/>
        </w:rPr>
      </w:pPr>
    </w:p>
    <w:p w14:paraId="789BBA1E">
      <w:pPr>
        <w:pStyle w:val="24"/>
        <w:spacing w:before="120" w:after="120"/>
        <w:outlineLvl w:val="0"/>
        <w:rPr>
          <w:rFonts w:hAnsi="宋体" w:cs="宋体"/>
          <w:bCs/>
          <w:color w:val="auto"/>
          <w:sz w:val="32"/>
          <w:szCs w:val="32"/>
          <w:highlight w:val="none"/>
        </w:rPr>
      </w:pPr>
    </w:p>
    <w:p w14:paraId="094018E6">
      <w:pPr>
        <w:widowControl/>
        <w:jc w:val="left"/>
        <w:rPr>
          <w:rFonts w:ascii="宋体" w:hAnsi="宋体" w:cs="宋体"/>
          <w:b/>
          <w:bCs/>
          <w:color w:val="auto"/>
          <w:kern w:val="0"/>
          <w:sz w:val="30"/>
          <w:szCs w:val="30"/>
          <w:highlight w:val="none"/>
        </w:rPr>
      </w:pPr>
      <w:r>
        <w:rPr>
          <w:rFonts w:hint="eastAsia" w:ascii="宋体" w:hAnsi="宋体" w:cs="宋体"/>
          <w:color w:val="auto"/>
          <w:sz w:val="30"/>
          <w:szCs w:val="30"/>
          <w:highlight w:val="none"/>
        </w:rPr>
        <w:br w:type="page"/>
      </w:r>
    </w:p>
    <w:p w14:paraId="7B07D6BD">
      <w:pPr>
        <w:pStyle w:val="5"/>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一、评标方法</w:t>
      </w:r>
    </w:p>
    <w:p w14:paraId="76C610C9">
      <w:pPr>
        <w:pStyle w:val="24"/>
        <w:spacing w:line="360" w:lineRule="auto"/>
        <w:ind w:firstLine="420"/>
        <w:rPr>
          <w:rFonts w:hAnsi="宋体" w:cs="宋体"/>
          <w:color w:val="auto"/>
          <w:sz w:val="21"/>
          <w:highlight w:val="none"/>
        </w:rPr>
      </w:pPr>
      <w:r>
        <w:rPr>
          <w:rFonts w:hint="eastAsia" w:hAnsi="宋体" w:cs="宋体"/>
          <w:color w:val="auto"/>
          <w:sz w:val="21"/>
          <w:highlight w:val="none"/>
        </w:rPr>
        <w:t>综合评分法，是指投标文件满足招标文件全部实质性要求，且按照评审因素的量化指标评审得分最高的投标人为中标候选人的评标方法。</w:t>
      </w:r>
    </w:p>
    <w:p w14:paraId="277EE03D">
      <w:pPr>
        <w:pStyle w:val="24"/>
        <w:spacing w:line="360" w:lineRule="auto"/>
        <w:ind w:firstLine="420"/>
        <w:rPr>
          <w:rFonts w:hAnsi="宋体" w:cs="宋体"/>
          <w:color w:val="auto"/>
          <w:sz w:val="21"/>
          <w:highlight w:val="none"/>
        </w:rPr>
      </w:pPr>
      <w:r>
        <w:rPr>
          <w:rFonts w:hint="eastAsia" w:hAnsi="宋体" w:cs="宋体"/>
          <w:color w:val="auto"/>
          <w:sz w:val="21"/>
          <w:highlight w:val="none"/>
        </w:rPr>
        <w:t>最低评标价法，是指投标文件满足招标文件全部实质性要求，且投标报价最低的投标人为中标候选人的评标方法。</w:t>
      </w:r>
    </w:p>
    <w:p w14:paraId="496D4952">
      <w:pPr>
        <w:pStyle w:val="5"/>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二、评标程序</w:t>
      </w:r>
    </w:p>
    <w:p w14:paraId="00A29B5F">
      <w:pPr>
        <w:pStyle w:val="6"/>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1.符合性审查</w:t>
      </w:r>
    </w:p>
    <w:p w14:paraId="792F310C">
      <w:pPr>
        <w:pStyle w:val="24"/>
        <w:snapToGrid w:val="0"/>
        <w:spacing w:line="380" w:lineRule="exact"/>
        <w:ind w:left="1" w:firstLine="420"/>
        <w:rPr>
          <w:rFonts w:hAnsi="宋体" w:cs="宋体"/>
          <w:b/>
          <w:color w:val="auto"/>
          <w:kern w:val="2"/>
          <w:sz w:val="21"/>
          <w:highlight w:val="none"/>
        </w:rPr>
      </w:pPr>
      <w:r>
        <w:rPr>
          <w:rFonts w:hint="eastAsia" w:hAnsi="宋体" w:cs="宋体"/>
          <w:b/>
          <w:color w:val="auto"/>
          <w:kern w:val="2"/>
          <w:sz w:val="21"/>
          <w:highlight w:val="none"/>
        </w:rPr>
        <w:t>评标委员会应当对符合资格的投标人的投标文件进行投标报价、商务、技术等实质性内容符合性审查，以确定其是否满足招标文件的实质性要求。</w:t>
      </w:r>
    </w:p>
    <w:p w14:paraId="227999A4">
      <w:pPr>
        <w:pStyle w:val="6"/>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2.符合性审查不通过而导致投标无效的情形</w:t>
      </w:r>
    </w:p>
    <w:p w14:paraId="2E07E665">
      <w:p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投标人的投标文件中存在对招标文件的任何实质性要求和条件的负偏离，将被视为投标无效。</w:t>
      </w:r>
    </w:p>
    <w:p w14:paraId="001E84EA">
      <w:pPr>
        <w:pStyle w:val="6"/>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2.1在报价评审时，如发现下列情形之一的，将被视为投标无效：</w:t>
      </w:r>
    </w:p>
    <w:p w14:paraId="2DDDBEC7">
      <w:pPr>
        <w:pStyle w:val="7"/>
        <w:numPr>
          <w:ilvl w:val="0"/>
          <w:numId w:val="4"/>
        </w:numPr>
        <w:spacing w:line="380" w:lineRule="exact"/>
        <w:ind w:firstLine="422"/>
        <w:rPr>
          <w:rFonts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未提供“投标人须知前附表”第13条“报价文件”规定中“必须提供”的文件资料的；</w:t>
      </w:r>
    </w:p>
    <w:p w14:paraId="2EECB3DC">
      <w:pPr>
        <w:pStyle w:val="7"/>
        <w:numPr>
          <w:ilvl w:val="0"/>
          <w:numId w:val="4"/>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未采用人民币报价或者未按照招标文件标明的币种报价的；</w:t>
      </w:r>
    </w:p>
    <w:p w14:paraId="49BCBF6F">
      <w:pPr>
        <w:pStyle w:val="7"/>
        <w:numPr>
          <w:ilvl w:val="0"/>
          <w:numId w:val="4"/>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所投报价超出招标文件规定的相应最高限价，或者采购预算金额的；</w:t>
      </w:r>
    </w:p>
    <w:p w14:paraId="6908EE39">
      <w:pPr>
        <w:pStyle w:val="7"/>
        <w:numPr>
          <w:ilvl w:val="0"/>
          <w:numId w:val="4"/>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投标人未就本项目所有内容进行报价或者存在漏项报价；投标人未就所投单项内容作唯一报价；投标人未就所投全部内容作完整唯一总价报价；存在有选择、有条件报价的（招标文件允许有备选方案或者其他约定的除外）；</w:t>
      </w:r>
    </w:p>
    <w:p w14:paraId="16A7E5F0">
      <w:pPr>
        <w:pStyle w:val="7"/>
        <w:numPr>
          <w:ilvl w:val="0"/>
          <w:numId w:val="4"/>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修正后的报价，投标人不确认的；</w:t>
      </w:r>
    </w:p>
    <w:p w14:paraId="422CEAE0">
      <w:pPr>
        <w:pStyle w:val="7"/>
        <w:numPr>
          <w:ilvl w:val="0"/>
          <w:numId w:val="4"/>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投标人属于本章第5.1条（2）项或者第5.2条（2）项情形的；</w:t>
      </w:r>
    </w:p>
    <w:p w14:paraId="503B602D">
      <w:pPr>
        <w:pStyle w:val="7"/>
        <w:numPr>
          <w:ilvl w:val="0"/>
          <w:numId w:val="4"/>
        </w:numPr>
        <w:spacing w:line="380" w:lineRule="exact"/>
        <w:ind w:firstLine="422"/>
        <w:rPr>
          <w:rFonts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响应的标的数量及单位与招标文件要求实质性不一致的。</w:t>
      </w:r>
    </w:p>
    <w:p w14:paraId="10E57F29">
      <w:pPr>
        <w:pStyle w:val="6"/>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2.2在商务评审时，如发现下列情形之一的，将被视为投标无效：</w:t>
      </w:r>
    </w:p>
    <w:p w14:paraId="4F4BEF15">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投标文件未按招标文件要求签署、盖章的；</w:t>
      </w:r>
    </w:p>
    <w:p w14:paraId="2F1FD265">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委托代理人未能出具有效身份证或者出具的身份证与授权委托书中的信息不符的；</w:t>
      </w:r>
    </w:p>
    <w:p w14:paraId="72D73764">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为无效投标保证金的或者未按照招标文件的规定提交投标保证金的；</w:t>
      </w:r>
    </w:p>
    <w:p w14:paraId="4574FB34">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投标文件未提供“投标人须知前附表”第13条“商务文件”规定中“必须提供”或者“委托时必须提供”的文件资料的；</w:t>
      </w:r>
    </w:p>
    <w:p w14:paraId="33D5C7BE">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商务要求评审允许负偏离的条款数超过“投标人须知前附表”规定项数的；</w:t>
      </w:r>
    </w:p>
    <w:p w14:paraId="2B5C934D">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投标文件的实质性内容未使用中文表述、使用计量单位不符合招标文件要求的；</w:t>
      </w:r>
    </w:p>
    <w:p w14:paraId="198BAB32">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投标文件中的文件资料因填写不齐全或者内容虚假或者出现其他情形而导致被评标委员会认定无效的；</w:t>
      </w:r>
    </w:p>
    <w:p w14:paraId="1E3355D0">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投标文件含有采购人不能接受的附加条件的；</w:t>
      </w:r>
    </w:p>
    <w:p w14:paraId="326FCC54">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属于投标人须知正文第9.2条情形的；</w:t>
      </w:r>
    </w:p>
    <w:p w14:paraId="05FE7C19">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招标文件明确不允许分包，投标文件拟分包的；</w:t>
      </w:r>
    </w:p>
    <w:p w14:paraId="0EEB8CCC">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未响应招标文件实质性要求的；</w:t>
      </w:r>
    </w:p>
    <w:p w14:paraId="7D852D0C">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投标文件中承诺的投标有效期低于招标文件要求的期限的；</w:t>
      </w:r>
    </w:p>
    <w:p w14:paraId="791E1560">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法律、法规和招标文件规定的其他无效情形。</w:t>
      </w:r>
    </w:p>
    <w:p w14:paraId="1226F2FF">
      <w:pPr>
        <w:pStyle w:val="6"/>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2.3在技术评审时，如发现下列情形之一的，将被视为投标无效：</w:t>
      </w:r>
    </w:p>
    <w:p w14:paraId="7B44E27F">
      <w:pPr>
        <w:pStyle w:val="19"/>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（1）技术要求评审允许负偏离的条款数超过“投标人须知前附表”规定项数的；</w:t>
      </w:r>
    </w:p>
    <w:p w14:paraId="1CB21561">
      <w:pPr>
        <w:pStyle w:val="19"/>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（2）投标文件未提供“投标人须知前附表”第13条“技术文件”规定中“必须提供”的文件资料的；</w:t>
      </w:r>
    </w:p>
    <w:p w14:paraId="76EAEBCC">
      <w:pPr>
        <w:pStyle w:val="19"/>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（3）虚假投标，或者出现其他情形而导致被评标委员会认定无效的；</w:t>
      </w:r>
    </w:p>
    <w:p w14:paraId="2D64EED7">
      <w:pPr>
        <w:pStyle w:val="19"/>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（4）</w:t>
      </w:r>
      <w:bookmarkStart w:id="142" w:name="_Hlk71706244"/>
      <w:r>
        <w:rPr>
          <w:rFonts w:hint="eastAsia" w:ascii="宋体" w:hAnsi="宋体" w:eastAsia="宋体" w:cs="宋体"/>
          <w:b/>
          <w:color w:val="auto"/>
          <w:kern w:val="2"/>
          <w:sz w:val="21"/>
          <w:szCs w:val="21"/>
          <w:highlight w:val="none"/>
        </w:rPr>
        <w:t>招标文件未载明允许提供备选（替代）投标方案或明确不允许提供备选（替代）投标方案时，投标人提供了备选（替代）投标方案的；</w:t>
      </w:r>
      <w:bookmarkEnd w:id="142"/>
    </w:p>
    <w:p w14:paraId="142B8028">
      <w:pPr>
        <w:pStyle w:val="19"/>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（5）未响应招标文件实质性要求的。</w:t>
      </w:r>
    </w:p>
    <w:p w14:paraId="63E02E09">
      <w:pPr>
        <w:pStyle w:val="6"/>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3.澄清补正</w:t>
      </w:r>
    </w:p>
    <w:p w14:paraId="2A52EF41">
      <w:pPr>
        <w:spacing w:line="38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4AB15E3D">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11792AE5">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未按评标委员会的要求作出明确澄清、说明或者更正的投标人的投标文件将按照有利于采购人的原则由评标委员会进行判定。</w:t>
      </w:r>
    </w:p>
    <w:p w14:paraId="706F59C5">
      <w:pPr>
        <w:pStyle w:val="6"/>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4.投标文件修正</w:t>
      </w:r>
    </w:p>
    <w:p w14:paraId="7AD3DED0">
      <w:pPr>
        <w:pStyle w:val="6"/>
        <w:keepNext w:val="0"/>
        <w:keepLines w:val="0"/>
        <w:spacing w:before="0" w:after="0" w:line="38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4.1投标文件报价出现前后不一致的，按照下列规定修正： </w:t>
      </w:r>
    </w:p>
    <w:p w14:paraId="2D17C255">
      <w:pPr>
        <w:pStyle w:val="24"/>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（1）投标文件中开标一览表（报价表）内容与投标文件中相应内容不一致的，以开标一览表（报价表）为准；</w:t>
      </w:r>
    </w:p>
    <w:p w14:paraId="0386F898">
      <w:pPr>
        <w:pStyle w:val="24"/>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（2）大写金额和小写金额不一致的，以大写金额为准；</w:t>
      </w:r>
    </w:p>
    <w:p w14:paraId="6BFB9E28">
      <w:pPr>
        <w:pStyle w:val="24"/>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（3）单价金额小数点或者百分比有明显错位的，以开标一览表的总价为准，并修改单价；</w:t>
      </w:r>
    </w:p>
    <w:p w14:paraId="2EEF548D">
      <w:pPr>
        <w:pStyle w:val="24"/>
        <w:snapToGrid w:val="0"/>
        <w:spacing w:line="360" w:lineRule="exact"/>
        <w:ind w:firstLine="420" w:firstLineChars="200"/>
        <w:rPr>
          <w:rFonts w:hAnsi="宋体" w:cs="宋体"/>
          <w:color w:val="auto"/>
          <w:sz w:val="21"/>
          <w:highlight w:val="none"/>
        </w:rPr>
      </w:pPr>
      <w:r>
        <w:rPr>
          <w:rFonts w:hint="eastAsia" w:hAnsi="宋体" w:cs="宋体"/>
          <w:color w:val="auto"/>
          <w:sz w:val="21"/>
          <w:highlight w:val="none"/>
        </w:rPr>
        <w:t>（4）总价金额与按单价汇总金额不一致的，以单价金额计算结果为准。</w:t>
      </w:r>
    </w:p>
    <w:p w14:paraId="2E8B6DFB">
      <w:pPr>
        <w:pStyle w:val="24"/>
        <w:snapToGrid w:val="0"/>
        <w:spacing w:line="360" w:lineRule="exact"/>
        <w:ind w:firstLine="420" w:firstLineChars="200"/>
        <w:rPr>
          <w:rFonts w:hAnsi="宋体" w:cs="宋体"/>
          <w:color w:val="auto"/>
          <w:sz w:val="21"/>
          <w:highlight w:val="none"/>
        </w:rPr>
      </w:pPr>
      <w:r>
        <w:rPr>
          <w:rFonts w:hint="eastAsia" w:hAnsi="宋体" w:cs="宋体"/>
          <w:color w:val="auto"/>
          <w:sz w:val="21"/>
          <w:highlight w:val="none"/>
        </w:rPr>
        <w:t>同时出现两种以上不一致的，按照以上（1）-（4）规定的顺序修正。修正后的报价经投标人确认后产生约束力，投标人不确认的，</w:t>
      </w:r>
      <w:r>
        <w:rPr>
          <w:rFonts w:hint="eastAsia" w:hAnsi="宋体" w:cs="宋体"/>
          <w:b/>
          <w:color w:val="auto"/>
          <w:kern w:val="2"/>
          <w:sz w:val="21"/>
          <w:highlight w:val="none"/>
        </w:rPr>
        <w:t>其投标无效</w:t>
      </w:r>
      <w:r>
        <w:rPr>
          <w:rFonts w:hint="eastAsia" w:hAnsi="宋体" w:cs="宋体"/>
          <w:color w:val="auto"/>
          <w:sz w:val="21"/>
          <w:highlight w:val="none"/>
        </w:rPr>
        <w:t>。</w:t>
      </w:r>
    </w:p>
    <w:p w14:paraId="3606F7F9">
      <w:pPr>
        <w:pStyle w:val="6"/>
        <w:keepNext w:val="0"/>
        <w:keepLines w:val="0"/>
        <w:spacing w:before="0" w:after="0" w:line="36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4.2经投标人确认修正后的报价若超过采购预算金额或者最高限价，</w:t>
      </w:r>
      <w:r>
        <w:rPr>
          <w:rFonts w:hint="eastAsia" w:ascii="宋体" w:hAnsi="宋体" w:cs="宋体"/>
          <w:color w:val="auto"/>
          <w:sz w:val="21"/>
          <w:szCs w:val="21"/>
          <w:highlight w:val="none"/>
        </w:rPr>
        <w:t>投标人的投标文件作无效投标处理</w:t>
      </w:r>
      <w:r>
        <w:rPr>
          <w:rFonts w:hint="eastAsia" w:ascii="宋体" w:hAnsi="宋体" w:cs="宋体"/>
          <w:b w:val="0"/>
          <w:color w:val="auto"/>
          <w:sz w:val="21"/>
          <w:szCs w:val="21"/>
          <w:highlight w:val="none"/>
        </w:rPr>
        <w:t>。</w:t>
      </w:r>
    </w:p>
    <w:p w14:paraId="4463D15D">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4463C8AF">
      <w:pPr>
        <w:pStyle w:val="6"/>
        <w:keepNext w:val="0"/>
        <w:keepLines w:val="0"/>
        <w:spacing w:before="0" w:after="0" w:line="36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5.比较与评价</w:t>
      </w:r>
    </w:p>
    <w:p w14:paraId="4316AAA1">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5.1采用综合评分法的</w:t>
      </w:r>
    </w:p>
    <w:p w14:paraId="579CC026">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（1）评标委员会按照招标文件中规定的评标方法及评标标准，对符合性审查合格的投标文件进行商务和技术评估，综合比较与评价。</w:t>
      </w:r>
    </w:p>
    <w:p w14:paraId="33844D98">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（2）评标委员会独立对每个投标人的投标文件进行评价，并汇总每个投标人的得分。</w:t>
      </w:r>
    </w:p>
    <w:p w14:paraId="75A1873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1）评标委员会在评审中发现下列情形之一的，应当启动异常低价投标审查程序：</w:t>
      </w:r>
    </w:p>
    <w:p w14:paraId="50CE839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①投标报价低于全部通过符合性审查供应商投标报价平均值</w:t>
      </w:r>
      <w:r>
        <w:rPr>
          <w:rFonts w:ascii="宋体" w:hAnsi="宋体"/>
          <w:color w:val="auto"/>
          <w:szCs w:val="21"/>
          <w:highlight w:val="none"/>
          <w:u w:val="single"/>
        </w:rPr>
        <w:t xml:space="preserve"> </w:t>
      </w:r>
      <w:r>
        <w:rPr>
          <w:rFonts w:hint="eastAsia" w:ascii="宋体" w:hAnsi="宋体"/>
          <w:color w:val="auto"/>
          <w:szCs w:val="21"/>
          <w:highlight w:val="none"/>
          <w:u w:val="single"/>
        </w:rPr>
        <w:t>65%</w:t>
      </w:r>
      <w:r>
        <w:rPr>
          <w:rFonts w:ascii="宋体" w:hAnsi="宋体"/>
          <w:color w:val="auto"/>
          <w:szCs w:val="21"/>
          <w:highlight w:val="none"/>
          <w:u w:val="single"/>
        </w:rPr>
        <w:t xml:space="preserve"> </w:t>
      </w:r>
      <w:r>
        <w:rPr>
          <w:rFonts w:hint="eastAsia" w:ascii="宋体" w:hAnsi="宋体"/>
          <w:color w:val="auto"/>
          <w:szCs w:val="21"/>
          <w:highlight w:val="none"/>
        </w:rPr>
        <w:t>的，即投标报价＜全部通过符合性审查供应商投标报价平均值×</w:t>
      </w:r>
      <w:r>
        <w:rPr>
          <w:rFonts w:ascii="宋体" w:hAnsi="宋体"/>
          <w:color w:val="auto"/>
          <w:szCs w:val="21"/>
          <w:highlight w:val="none"/>
          <w:u w:val="single"/>
        </w:rPr>
        <w:t xml:space="preserve"> </w:t>
      </w:r>
      <w:r>
        <w:rPr>
          <w:rFonts w:hint="eastAsia" w:ascii="宋体" w:hAnsi="宋体"/>
          <w:color w:val="auto"/>
          <w:szCs w:val="21"/>
          <w:highlight w:val="none"/>
          <w:u w:val="single"/>
        </w:rPr>
        <w:t>65%</w:t>
      </w:r>
      <w:r>
        <w:rPr>
          <w:rFonts w:ascii="宋体" w:hAnsi="宋体"/>
          <w:color w:val="auto"/>
          <w:szCs w:val="21"/>
          <w:highlight w:val="none"/>
          <w:u w:val="single"/>
        </w:rPr>
        <w:t xml:space="preserve">  </w:t>
      </w:r>
      <w:r>
        <w:rPr>
          <w:rFonts w:hint="eastAsia" w:ascii="宋体" w:hAnsi="宋体"/>
          <w:color w:val="auto"/>
          <w:szCs w:val="21"/>
          <w:highlight w:val="none"/>
        </w:rPr>
        <w:t>；</w:t>
      </w:r>
    </w:p>
    <w:p w14:paraId="1D9AC32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②投标报价低于通过符合性审查的次低报价供应商投标报价</w:t>
      </w:r>
      <w:r>
        <w:rPr>
          <w:rFonts w:ascii="宋体" w:hAnsi="宋体"/>
          <w:color w:val="auto"/>
          <w:szCs w:val="21"/>
          <w:highlight w:val="none"/>
          <w:u w:val="single"/>
        </w:rPr>
        <w:t xml:space="preserve"> </w:t>
      </w:r>
      <w:r>
        <w:rPr>
          <w:rFonts w:hint="eastAsia" w:ascii="宋体" w:hAnsi="宋体"/>
          <w:color w:val="auto"/>
          <w:szCs w:val="21"/>
          <w:highlight w:val="none"/>
          <w:u w:val="single"/>
        </w:rPr>
        <w:t>65%</w:t>
      </w:r>
      <w:r>
        <w:rPr>
          <w:rFonts w:ascii="宋体" w:hAnsi="宋体"/>
          <w:color w:val="auto"/>
          <w:szCs w:val="21"/>
          <w:highlight w:val="none"/>
          <w:u w:val="single"/>
        </w:rPr>
        <w:t xml:space="preserve">  </w:t>
      </w:r>
      <w:r>
        <w:rPr>
          <w:rFonts w:hint="eastAsia" w:ascii="宋体" w:hAnsi="宋体"/>
          <w:color w:val="auto"/>
          <w:szCs w:val="21"/>
          <w:highlight w:val="none"/>
        </w:rPr>
        <w:t>的，即投标报价＜通过符合性审查的次低报价供应商投标报价×</w:t>
      </w:r>
      <w:r>
        <w:rPr>
          <w:rFonts w:ascii="宋体" w:hAnsi="宋体"/>
          <w:color w:val="auto"/>
          <w:szCs w:val="21"/>
          <w:highlight w:val="none"/>
          <w:u w:val="single"/>
        </w:rPr>
        <w:t xml:space="preserve"> </w:t>
      </w:r>
      <w:r>
        <w:rPr>
          <w:rFonts w:hint="eastAsia" w:ascii="宋体" w:hAnsi="宋体"/>
          <w:color w:val="auto"/>
          <w:szCs w:val="21"/>
          <w:highlight w:val="none"/>
          <w:u w:val="single"/>
        </w:rPr>
        <w:t>65%</w:t>
      </w:r>
      <w:r>
        <w:rPr>
          <w:rFonts w:ascii="宋体" w:hAnsi="宋体"/>
          <w:color w:val="auto"/>
          <w:szCs w:val="21"/>
          <w:highlight w:val="none"/>
          <w:u w:val="single"/>
        </w:rPr>
        <w:t xml:space="preserve">  </w:t>
      </w:r>
      <w:r>
        <w:rPr>
          <w:rFonts w:hint="eastAsia" w:ascii="宋体" w:hAnsi="宋体"/>
          <w:color w:val="auto"/>
          <w:szCs w:val="21"/>
          <w:highlight w:val="none"/>
        </w:rPr>
        <w:t>；</w:t>
      </w:r>
    </w:p>
    <w:p w14:paraId="553E32D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③投标报价低于采购项目最高限价</w:t>
      </w:r>
      <w:r>
        <w:rPr>
          <w:rFonts w:ascii="宋体" w:hAnsi="宋体"/>
          <w:color w:val="auto"/>
          <w:szCs w:val="21"/>
          <w:highlight w:val="none"/>
          <w:u w:val="single"/>
        </w:rPr>
        <w:t xml:space="preserve"> </w:t>
      </w:r>
      <w:r>
        <w:rPr>
          <w:rFonts w:hint="eastAsia" w:ascii="宋体" w:hAnsi="宋体"/>
          <w:color w:val="auto"/>
          <w:szCs w:val="21"/>
          <w:highlight w:val="none"/>
          <w:u w:val="single"/>
        </w:rPr>
        <w:t>65%</w:t>
      </w:r>
      <w:r>
        <w:rPr>
          <w:rFonts w:ascii="宋体" w:hAnsi="宋体"/>
          <w:color w:val="auto"/>
          <w:szCs w:val="21"/>
          <w:highlight w:val="none"/>
          <w:u w:val="single"/>
        </w:rPr>
        <w:t xml:space="preserve">  </w:t>
      </w:r>
      <w:r>
        <w:rPr>
          <w:rFonts w:hint="eastAsia" w:ascii="宋体" w:hAnsi="宋体"/>
          <w:color w:val="auto"/>
          <w:szCs w:val="21"/>
          <w:highlight w:val="none"/>
        </w:rPr>
        <w:t>的，即投标报价＜采购项目最高限价×</w:t>
      </w:r>
      <w:r>
        <w:rPr>
          <w:rFonts w:ascii="宋体" w:hAnsi="宋体"/>
          <w:color w:val="auto"/>
          <w:szCs w:val="21"/>
          <w:highlight w:val="none"/>
          <w:u w:val="single"/>
        </w:rPr>
        <w:t xml:space="preserve"> </w:t>
      </w:r>
      <w:r>
        <w:rPr>
          <w:rFonts w:hint="eastAsia" w:ascii="宋体" w:hAnsi="宋体"/>
          <w:color w:val="auto"/>
          <w:szCs w:val="21"/>
          <w:highlight w:val="none"/>
          <w:u w:val="single"/>
        </w:rPr>
        <w:t>65%</w:t>
      </w:r>
      <w:r>
        <w:rPr>
          <w:rFonts w:ascii="宋体" w:hAnsi="宋体"/>
          <w:color w:val="auto"/>
          <w:szCs w:val="21"/>
          <w:highlight w:val="none"/>
          <w:u w:val="single"/>
        </w:rPr>
        <w:t xml:space="preserve">  </w:t>
      </w:r>
      <w:r>
        <w:rPr>
          <w:rFonts w:hint="eastAsia" w:ascii="宋体" w:hAnsi="宋体"/>
          <w:color w:val="auto"/>
          <w:szCs w:val="21"/>
          <w:highlight w:val="none"/>
        </w:rPr>
        <w:t>；</w:t>
      </w:r>
    </w:p>
    <w:p w14:paraId="4E325E3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④评标委员会基于专业判断，认为供应商报价过低，有可能影响产品质量或者不能诚信履约的其他情形。</w:t>
      </w:r>
    </w:p>
    <w:p w14:paraId="7D554F93">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评标委员会启动异常低价投标审查后，属于前述第①项至第④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4CDAB44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投标供应商不能提供书面说明、证明材料，或者提供的书面说明、证明材料不能证明其报价合理性的，评标委员会应当将其作为无效投标处理。</w:t>
      </w:r>
    </w:p>
    <w:p w14:paraId="7D4428E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3AE2A0A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异常低价投标审查的启动原因、审查意见和审查结果应当在评审报告中记录，并随供应商提供的相关书面说明及证明材料，以及评标委员会有关互联网浏览、查询历史一并归档。</w:t>
      </w:r>
    </w:p>
    <w:p w14:paraId="233911A3">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（3）评标委员会按照招标文件中规定的评标方法和标准计算各投标人的报价得分。在计算过程中，不得去掉最高报价或者最低报价。</w:t>
      </w:r>
    </w:p>
    <w:p w14:paraId="5F666930">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（4）各投标人的得分为所有评委的有效评分的算术平均数。</w:t>
      </w:r>
    </w:p>
    <w:p w14:paraId="76DE4182">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（5）评标委员会按照招标文件中的规定推荐中标候选人。</w:t>
      </w:r>
    </w:p>
    <w:p w14:paraId="478407B8">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F290279">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5.2采用</w:t>
      </w:r>
      <w:r>
        <w:rPr>
          <w:rFonts w:hint="eastAsia" w:ascii="宋体" w:hAnsi="宋体" w:cs="宋体"/>
          <w:color w:val="auto"/>
          <w:highlight w:val="none"/>
        </w:rPr>
        <w:t>最低评标价法</w:t>
      </w:r>
      <w:r>
        <w:rPr>
          <w:rFonts w:hint="eastAsia" w:ascii="宋体" w:hAnsi="宋体" w:cs="宋体"/>
          <w:color w:val="auto"/>
          <w:szCs w:val="21"/>
          <w:highlight w:val="none"/>
        </w:rPr>
        <w:t>的</w:t>
      </w:r>
    </w:p>
    <w:p w14:paraId="5350B39F">
      <w:pPr>
        <w:snapToGrid w:val="0"/>
        <w:spacing w:line="36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（1）评标委员会按照招标文件中规定的评标方法及评标标准，对符合性审查合格的投标文件报价进行比较。</w:t>
      </w:r>
    </w:p>
    <w:p w14:paraId="5A07C888">
      <w:pPr>
        <w:snapToGrid w:val="0"/>
        <w:spacing w:line="360" w:lineRule="exact"/>
        <w:ind w:firstLine="399" w:firstLineChars="202"/>
        <w:jc w:val="left"/>
        <w:rPr>
          <w:rFonts w:ascii="宋体" w:hAnsi="宋体" w:cs="宋体"/>
          <w:color w:val="auto"/>
          <w:spacing w:val="-6"/>
          <w:szCs w:val="21"/>
          <w:highlight w:val="none"/>
        </w:rPr>
      </w:pPr>
      <w:r>
        <w:rPr>
          <w:rFonts w:hint="eastAsia" w:ascii="宋体" w:hAnsi="宋体" w:cs="宋体"/>
          <w:color w:val="auto"/>
          <w:spacing w:val="-6"/>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pacing w:val="-6"/>
          <w:szCs w:val="21"/>
          <w:highlight w:val="none"/>
        </w:rPr>
        <w:t>投标人不能证明其报价合理性的，评标委员会将其作为无效投标处理</w:t>
      </w:r>
      <w:r>
        <w:rPr>
          <w:rFonts w:hint="eastAsia" w:ascii="宋体" w:hAnsi="宋体" w:cs="宋体"/>
          <w:color w:val="auto"/>
          <w:spacing w:val="-6"/>
          <w:szCs w:val="21"/>
          <w:highlight w:val="none"/>
        </w:rPr>
        <w:t>。</w:t>
      </w:r>
    </w:p>
    <w:p w14:paraId="77A4E737">
      <w:pPr>
        <w:snapToGrid w:val="0"/>
        <w:spacing w:line="36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（3）评标委员会按照招标文件中的规定推荐中标候选人。</w:t>
      </w:r>
    </w:p>
    <w:p w14:paraId="0C4712B5">
      <w:pPr>
        <w:snapToGrid w:val="0"/>
        <w:spacing w:line="36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1DA5689F">
      <w:pPr>
        <w:snapToGrid w:val="0"/>
        <w:spacing w:line="400" w:lineRule="exact"/>
        <w:ind w:firstLine="424" w:firstLineChars="202"/>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三、评标标准</w:t>
      </w:r>
    </w:p>
    <w:p w14:paraId="6DAB5E72">
      <w:pPr>
        <w:pStyle w:val="5"/>
        <w:keepNext w:val="0"/>
        <w:keepLines w:val="0"/>
        <w:spacing w:line="400" w:lineRule="exact"/>
        <w:jc w:val="center"/>
        <w:rPr>
          <w:rFonts w:ascii="宋体" w:hAnsi="宋体" w:cs="宋体"/>
          <w:color w:val="auto"/>
          <w:highlight w:val="none"/>
        </w:rPr>
      </w:pPr>
      <w:r>
        <w:rPr>
          <w:rFonts w:hint="eastAsia" w:ascii="宋体" w:hAnsi="宋体" w:cs="宋体"/>
          <w:color w:val="auto"/>
          <w:highlight w:val="none"/>
        </w:rPr>
        <w:t>综合评分法</w:t>
      </w:r>
    </w:p>
    <w:p w14:paraId="62532E94">
      <w:pPr>
        <w:spacing w:line="360" w:lineRule="exact"/>
        <w:ind w:firstLine="422" w:firstLineChars="200"/>
        <w:rPr>
          <w:rFonts w:hAnsi="宋体"/>
          <w:b/>
          <w:color w:val="auto"/>
          <w:szCs w:val="21"/>
          <w:highlight w:val="none"/>
        </w:rPr>
      </w:pPr>
      <w:r>
        <w:rPr>
          <w:rFonts w:hint="eastAsia" w:ascii="宋体" w:hAnsi="宋体"/>
          <w:b/>
          <w:color w:val="auto"/>
          <w:szCs w:val="21"/>
          <w:highlight w:val="none"/>
        </w:rPr>
        <w:t>（一）</w:t>
      </w:r>
      <w:r>
        <w:rPr>
          <w:rFonts w:hint="eastAsia" w:ascii="宋体" w:hAnsi="宋体" w:cs="宋体"/>
          <w:b/>
          <w:color w:val="auto"/>
          <w:szCs w:val="21"/>
          <w:highlight w:val="none"/>
        </w:rPr>
        <w:t>“正偏离”是指投标文件对招标文件“采购需求”中有关条款作出的响应优于该条款基本要求的情形，包括：①当某技术指标要求为≥或≤某指标时，则该指标为基本要求，投标响应值＞或＜该基本要求的，为正偏离；②除上述第①种情形外，经评委独立评审后认定该技术指标优于招标文件基本要求的其他情形。</w:t>
      </w:r>
    </w:p>
    <w:p w14:paraId="2C2EC4A6">
      <w:pPr>
        <w:pStyle w:val="24"/>
        <w:spacing w:line="400" w:lineRule="exact"/>
        <w:ind w:firstLine="422" w:firstLineChars="200"/>
        <w:rPr>
          <w:rFonts w:hAnsi="宋体" w:cs="宋体"/>
          <w:bCs/>
          <w:color w:val="auto"/>
          <w:sz w:val="21"/>
          <w:highlight w:val="none"/>
        </w:rPr>
      </w:pPr>
      <w:r>
        <w:rPr>
          <w:rFonts w:hint="eastAsia" w:hAnsi="宋体" w:cs="宋体"/>
          <w:b/>
          <w:color w:val="auto"/>
          <w:sz w:val="21"/>
          <w:highlight w:val="none"/>
        </w:rPr>
        <w:t>（二）“负偏离”是指投标文件对招标文件“采购需求”中有关条款作出的响应不满足条款要求，导致采购人要求不能得到满足的情形。</w:t>
      </w:r>
    </w:p>
    <w:p w14:paraId="193AE8D4">
      <w:pPr>
        <w:pStyle w:val="24"/>
        <w:spacing w:line="400" w:lineRule="exact"/>
        <w:rPr>
          <w:rFonts w:hAnsi="宋体" w:cs="宋体"/>
          <w:bCs/>
          <w:color w:val="auto"/>
          <w:sz w:val="21"/>
          <w:highlight w:val="none"/>
        </w:rPr>
      </w:pPr>
      <w:r>
        <w:rPr>
          <w:rFonts w:hint="eastAsia" w:hAnsi="宋体" w:cs="宋体"/>
          <w:bCs/>
          <w:color w:val="auto"/>
          <w:sz w:val="21"/>
          <w:highlight w:val="none"/>
        </w:rPr>
        <w:t>注：计分方法按四舍五入取至百分位</w:t>
      </w:r>
    </w:p>
    <w:tbl>
      <w:tblPr>
        <w:tblStyle w:val="47"/>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224"/>
        <w:gridCol w:w="1701"/>
        <w:gridCol w:w="6000"/>
      </w:tblGrid>
      <w:tr w14:paraId="67C5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gridSpan w:val="2"/>
            <w:tcBorders>
              <w:top w:val="single" w:color="auto" w:sz="4" w:space="0"/>
              <w:left w:val="single" w:color="auto" w:sz="4" w:space="0"/>
              <w:bottom w:val="single" w:color="auto" w:sz="4" w:space="0"/>
              <w:right w:val="single" w:color="auto" w:sz="4" w:space="0"/>
            </w:tcBorders>
            <w:vAlign w:val="center"/>
          </w:tcPr>
          <w:p w14:paraId="0402BC4D">
            <w:pPr>
              <w:adjustRightInd w:val="0"/>
              <w:spacing w:line="41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77FE7AAF">
            <w:pPr>
              <w:adjustRightInd w:val="0"/>
              <w:spacing w:line="410" w:lineRule="exact"/>
              <w:jc w:val="center"/>
              <w:textAlignment w:val="baseline"/>
              <w:rPr>
                <w:rFonts w:ascii="宋体" w:hAnsi="宋体" w:cs="宋体"/>
                <w:color w:val="auto"/>
                <w:szCs w:val="21"/>
                <w:highlight w:val="none"/>
              </w:rPr>
            </w:pPr>
            <w:r>
              <w:rPr>
                <w:rFonts w:hint="eastAsia" w:ascii="宋体" w:hAnsi="宋体" w:cs="宋体"/>
                <w:b/>
                <w:color w:val="auto"/>
                <w:szCs w:val="21"/>
                <w:highlight w:val="none"/>
              </w:rPr>
              <w:t>评审因素</w:t>
            </w:r>
          </w:p>
        </w:tc>
        <w:tc>
          <w:tcPr>
            <w:tcW w:w="6000" w:type="dxa"/>
            <w:tcBorders>
              <w:top w:val="single" w:color="auto" w:sz="4" w:space="0"/>
              <w:left w:val="single" w:color="auto" w:sz="4" w:space="0"/>
              <w:bottom w:val="single" w:color="auto" w:sz="4" w:space="0"/>
              <w:right w:val="single" w:color="auto" w:sz="4" w:space="0"/>
            </w:tcBorders>
            <w:vAlign w:val="center"/>
          </w:tcPr>
          <w:p w14:paraId="78B58BEC">
            <w:pPr>
              <w:adjustRightInd w:val="0"/>
              <w:spacing w:line="41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评标标准</w:t>
            </w:r>
          </w:p>
        </w:tc>
      </w:tr>
      <w:tr w14:paraId="24CE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2D99EAD9">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1</w:t>
            </w:r>
          </w:p>
        </w:tc>
        <w:tc>
          <w:tcPr>
            <w:tcW w:w="1224" w:type="dxa"/>
            <w:tcBorders>
              <w:top w:val="single" w:color="auto" w:sz="4" w:space="0"/>
              <w:left w:val="single" w:color="auto" w:sz="4" w:space="0"/>
              <w:bottom w:val="single" w:color="auto" w:sz="4" w:space="0"/>
              <w:right w:val="single" w:color="auto" w:sz="4" w:space="0"/>
            </w:tcBorders>
            <w:vAlign w:val="center"/>
          </w:tcPr>
          <w:p w14:paraId="04D358A8">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价格分</w:t>
            </w:r>
          </w:p>
          <w:p w14:paraId="3AFCE5FF">
            <w:pPr>
              <w:adjustRightInd w:val="0"/>
              <w:spacing w:line="360" w:lineRule="auto"/>
              <w:jc w:val="center"/>
              <w:textAlignment w:val="baseline"/>
              <w:rPr>
                <w:rFonts w:ascii="宋体" w:hAnsi="宋体" w:cs="宋体"/>
                <w:color w:val="auto"/>
                <w:szCs w:val="21"/>
                <w:highlight w:val="none"/>
              </w:rPr>
            </w:pPr>
            <w:r>
              <w:rPr>
                <w:rFonts w:hint="eastAsia" w:ascii="宋体" w:hAnsi="宋体" w:cs="宋体"/>
                <w:b/>
                <w:color w:val="auto"/>
                <w:szCs w:val="21"/>
                <w:highlight w:val="none"/>
              </w:rPr>
              <w:t>（30分）</w:t>
            </w:r>
          </w:p>
        </w:tc>
        <w:tc>
          <w:tcPr>
            <w:tcW w:w="1701" w:type="dxa"/>
            <w:tcBorders>
              <w:top w:val="single" w:color="auto" w:sz="4" w:space="0"/>
              <w:left w:val="single" w:color="auto" w:sz="4" w:space="0"/>
              <w:bottom w:val="single" w:color="auto" w:sz="4" w:space="0"/>
              <w:right w:val="single" w:color="auto" w:sz="4" w:space="0"/>
            </w:tcBorders>
            <w:vAlign w:val="center"/>
          </w:tcPr>
          <w:p w14:paraId="13102D9F">
            <w:pPr>
              <w:adjustRightInd w:val="0"/>
              <w:spacing w:line="40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投标报价（30分）</w:t>
            </w:r>
          </w:p>
        </w:tc>
        <w:tc>
          <w:tcPr>
            <w:tcW w:w="6000" w:type="dxa"/>
            <w:tcBorders>
              <w:top w:val="single" w:color="auto" w:sz="4" w:space="0"/>
              <w:left w:val="single" w:color="auto" w:sz="4" w:space="0"/>
              <w:bottom w:val="single" w:color="auto" w:sz="4" w:space="0"/>
              <w:right w:val="single" w:color="auto" w:sz="4" w:space="0"/>
            </w:tcBorders>
            <w:vAlign w:val="center"/>
          </w:tcPr>
          <w:p w14:paraId="6EB2F943">
            <w:pPr>
              <w:snapToGrid w:val="0"/>
              <w:spacing w:line="360" w:lineRule="auto"/>
              <w:rPr>
                <w:rFonts w:ascii="宋体" w:hAnsi="宋体"/>
                <w:bCs/>
                <w:color w:val="auto"/>
                <w:szCs w:val="21"/>
                <w:highlight w:val="none"/>
              </w:rPr>
            </w:pPr>
            <w:r>
              <w:rPr>
                <w:rFonts w:hint="eastAsia" w:ascii="宋体" w:hAnsi="宋体"/>
                <w:bCs/>
                <w:color w:val="auto"/>
                <w:szCs w:val="21"/>
                <w:highlight w:val="none"/>
              </w:rPr>
              <w:t>（1）评标报价为投标人的投标报价进行政策性扣除后的价格，评标报价只是作为评标时使用。最终中标人的中标金额等于投标报价。</w:t>
            </w:r>
          </w:p>
          <w:p w14:paraId="63116AA3">
            <w:pPr>
              <w:snapToGrid w:val="0"/>
              <w:spacing w:line="360" w:lineRule="auto"/>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2</w:t>
            </w:r>
            <w:r>
              <w:rPr>
                <w:rFonts w:hint="eastAsia" w:ascii="宋体" w:hAnsi="宋体"/>
                <w:bCs/>
                <w:color w:val="auto"/>
                <w:szCs w:val="21"/>
                <w:highlight w:val="none"/>
              </w:rPr>
              <w:t>）中小企业政策性扣除计算方法</w:t>
            </w:r>
          </w:p>
          <w:p w14:paraId="2E34CD40">
            <w:pPr>
              <w:snapToGrid w:val="0"/>
              <w:spacing w:line="360" w:lineRule="auto"/>
              <w:ind w:firstLine="443" w:firstLineChars="211"/>
              <w:rPr>
                <w:rFonts w:ascii="宋体" w:hAnsi="宋体"/>
                <w:color w:val="auto"/>
                <w:szCs w:val="21"/>
                <w:highlight w:val="none"/>
              </w:rPr>
            </w:pPr>
            <w:bookmarkStart w:id="143" w:name="_Hlk65858438"/>
            <w:r>
              <w:rPr>
                <w:rFonts w:hint="eastAsia" w:ascii="宋体" w:hAnsi="宋体"/>
                <w:bCs/>
                <w:color w:val="auto"/>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w:t>
            </w:r>
            <w:r>
              <w:rPr>
                <w:rFonts w:hint="eastAsia" w:ascii="宋体" w:hAnsi="宋体"/>
                <w:bCs/>
                <w:color w:val="auto"/>
                <w:szCs w:val="21"/>
                <w:highlight w:val="none"/>
                <w:u w:val="single"/>
              </w:rPr>
              <w:t xml:space="preserve"> 10%  </w:t>
            </w:r>
            <w:r>
              <w:rPr>
                <w:rFonts w:hint="eastAsia" w:ascii="宋体" w:hAnsi="宋体"/>
                <w:bCs/>
                <w:color w:val="auto"/>
                <w:szCs w:val="21"/>
                <w:highlight w:val="none"/>
              </w:rPr>
              <w:t>的扣除，扣除后的价格为评标报价，</w:t>
            </w:r>
            <w:r>
              <w:rPr>
                <w:rFonts w:hint="eastAsia" w:hAnsi="宋体" w:cs="Courier New"/>
                <w:bCs/>
                <w:color w:val="auto"/>
                <w:highlight w:val="none"/>
              </w:rPr>
              <w:t>即中小企业折扣=投标报价×</w:t>
            </w:r>
            <w:r>
              <w:rPr>
                <w:rFonts w:hAnsi="宋体" w:cs="Courier New"/>
                <w:bCs/>
                <w:color w:val="auto"/>
                <w:highlight w:val="none"/>
                <w:u w:val="single"/>
              </w:rPr>
              <w:t xml:space="preserve"> </w:t>
            </w:r>
            <w:r>
              <w:rPr>
                <w:rFonts w:hint="eastAsia" w:hAnsi="宋体" w:cs="Courier New"/>
                <w:bCs/>
                <w:color w:val="auto"/>
                <w:highlight w:val="none"/>
                <w:u w:val="single"/>
              </w:rPr>
              <w:t>10</w:t>
            </w:r>
            <w:r>
              <w:rPr>
                <w:rFonts w:hAnsi="宋体" w:cs="Courier New"/>
                <w:bCs/>
                <w:color w:val="auto"/>
                <w:highlight w:val="none"/>
                <w:u w:val="single"/>
              </w:rPr>
              <w:t xml:space="preserve"> </w:t>
            </w:r>
            <w:r>
              <w:rPr>
                <w:rFonts w:hint="eastAsia" w:hAnsi="宋体" w:cs="Courier New"/>
                <w:bCs/>
                <w:color w:val="auto"/>
                <w:highlight w:val="none"/>
              </w:rPr>
              <w:t>%</w:t>
            </w:r>
            <w:r>
              <w:rPr>
                <w:rFonts w:hint="eastAsia" w:ascii="宋体" w:hAnsi="宋体"/>
                <w:bCs/>
                <w:color w:val="auto"/>
                <w:szCs w:val="21"/>
                <w:highlight w:val="none"/>
              </w:rPr>
              <w:t>。</w:t>
            </w:r>
          </w:p>
          <w:bookmarkEnd w:id="143"/>
          <w:p w14:paraId="3AB2E884">
            <w:pPr>
              <w:snapToGrid w:val="0"/>
              <w:spacing w:line="360" w:lineRule="auto"/>
              <w:rPr>
                <w:rFonts w:ascii="宋体" w:hAnsi="宋体"/>
                <w:bCs/>
                <w:color w:val="auto"/>
                <w:szCs w:val="21"/>
                <w:highlight w:val="none"/>
              </w:rPr>
            </w:pPr>
            <w:r>
              <w:rPr>
                <w:rFonts w:hint="eastAsia" w:ascii="宋体" w:hAnsi="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olor w:val="auto"/>
                <w:szCs w:val="21"/>
                <w:highlight w:val="none"/>
              </w:rPr>
              <w:t>监狱企业参加政府采购活动时，应当提供由省级以上监狱管理局、戒毒管理局（含新疆生产建设兵团）出具的属于监狱企业的证明文件。</w:t>
            </w:r>
            <w:r>
              <w:rPr>
                <w:rFonts w:hint="eastAsia" w:ascii="宋体" w:hAnsi="宋体"/>
                <w:bCs/>
                <w:color w:val="auto"/>
                <w:szCs w:val="21"/>
                <w:highlight w:val="none"/>
              </w:rPr>
              <w:t>监狱企业属于小型、微型企业的，不重复享受政策。</w:t>
            </w:r>
          </w:p>
          <w:p w14:paraId="7C8EE8BD">
            <w:pPr>
              <w:snapToGrid w:val="0"/>
              <w:spacing w:line="360" w:lineRule="auto"/>
              <w:rPr>
                <w:rFonts w:ascii="宋体" w:hAnsi="宋体"/>
                <w:bCs/>
                <w:color w:val="auto"/>
                <w:szCs w:val="21"/>
                <w:highlight w:val="none"/>
              </w:rPr>
            </w:pPr>
            <w:r>
              <w:rPr>
                <w:rFonts w:hint="eastAsia" w:ascii="宋体" w:hAnsi="宋体"/>
                <w:color w:val="auto"/>
                <w:szCs w:val="21"/>
                <w:highlight w:val="none"/>
              </w:rPr>
              <w:t>（4）按照</w:t>
            </w:r>
            <w:r>
              <w:rPr>
                <w:rFonts w:hint="eastAsia" w:ascii="宋体" w:hAnsi="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auto"/>
                <w:szCs w:val="21"/>
                <w:highlight w:val="none"/>
              </w:rPr>
              <w:t>残疾人福利性单位参加政府采购活动时，应当提供该通知规定的《残疾人福利性单位声明函》，并对声明的真实性负责。</w:t>
            </w:r>
            <w:r>
              <w:rPr>
                <w:rFonts w:hint="eastAsia" w:ascii="宋体" w:hAnsi="宋体"/>
                <w:bCs/>
                <w:color w:val="auto"/>
                <w:szCs w:val="21"/>
                <w:highlight w:val="none"/>
              </w:rPr>
              <w:t>残疾人福利性单位属于小型、微型企业的，不重复享受政策。</w:t>
            </w:r>
          </w:p>
          <w:p w14:paraId="1183A43B">
            <w:pPr>
              <w:pStyle w:val="24"/>
              <w:spacing w:line="360" w:lineRule="auto"/>
              <w:rPr>
                <w:rFonts w:hAnsi="宋体"/>
                <w:color w:val="auto"/>
                <w:kern w:val="2"/>
                <w:sz w:val="21"/>
                <w:highlight w:val="none"/>
              </w:rPr>
            </w:pPr>
            <w:r>
              <w:rPr>
                <w:rFonts w:hint="eastAsia" w:hAnsi="宋体"/>
                <w:color w:val="auto"/>
                <w:kern w:val="2"/>
                <w:sz w:val="21"/>
                <w:highlight w:val="none"/>
              </w:rPr>
              <w:t>（</w:t>
            </w:r>
            <w:r>
              <w:rPr>
                <w:rFonts w:hAnsi="宋体"/>
                <w:color w:val="auto"/>
                <w:kern w:val="2"/>
                <w:sz w:val="21"/>
                <w:highlight w:val="none"/>
              </w:rPr>
              <w:t>5</w:t>
            </w:r>
            <w:r>
              <w:rPr>
                <w:rFonts w:hint="eastAsia" w:hAnsi="宋体"/>
                <w:color w:val="auto"/>
                <w:kern w:val="2"/>
                <w:sz w:val="21"/>
                <w:highlight w:val="none"/>
              </w:rPr>
              <w:t>）本国产品政策性扣除计算方法。</w:t>
            </w:r>
          </w:p>
          <w:p w14:paraId="024031CC">
            <w:pPr>
              <w:pStyle w:val="24"/>
              <w:spacing w:line="360" w:lineRule="auto"/>
              <w:ind w:firstLine="420" w:firstLineChars="200"/>
              <w:rPr>
                <w:rFonts w:hAnsi="宋体"/>
                <w:color w:val="auto"/>
                <w:kern w:val="2"/>
                <w:sz w:val="21"/>
                <w:highlight w:val="none"/>
              </w:rPr>
            </w:pPr>
            <w:r>
              <w:rPr>
                <w:rFonts w:hint="eastAsia" w:hAnsi="宋体"/>
                <w:color w:val="auto"/>
                <w:kern w:val="2"/>
                <w:sz w:val="21"/>
                <w:highlight w:val="none"/>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73C301B9">
            <w:pPr>
              <w:pStyle w:val="24"/>
              <w:spacing w:line="360" w:lineRule="auto"/>
              <w:ind w:firstLine="420" w:firstLineChars="200"/>
              <w:rPr>
                <w:rFonts w:hAnsi="宋体"/>
                <w:color w:val="auto"/>
                <w:kern w:val="2"/>
                <w:sz w:val="21"/>
                <w:highlight w:val="none"/>
              </w:rPr>
            </w:pPr>
            <w:r>
              <w:rPr>
                <w:rFonts w:hint="eastAsia" w:hAnsi="宋体"/>
                <w:color w:val="auto"/>
                <w:kern w:val="2"/>
                <w:sz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1B261344">
            <w:pPr>
              <w:pStyle w:val="24"/>
              <w:spacing w:line="360" w:lineRule="auto"/>
              <w:ind w:firstLine="420" w:firstLineChars="200"/>
              <w:rPr>
                <w:rFonts w:hAnsi="宋体"/>
                <w:color w:val="auto"/>
                <w:kern w:val="2"/>
                <w:sz w:val="21"/>
                <w:highlight w:val="none"/>
              </w:rPr>
            </w:pPr>
            <w:r>
              <w:rPr>
                <w:rFonts w:hint="eastAsia" w:hAnsi="宋体"/>
                <w:color w:val="auto"/>
                <w:kern w:val="2"/>
                <w:sz w:val="21"/>
                <w:highlight w:val="none"/>
              </w:rPr>
              <w:t>供应商在其投标文件中提供《关于符合本国产品标准的声明函》或财政部会同有关部门规定的有关证明文件，出具符合要求的《声明函》或有关证明文件的，该产品视为本国产品。</w:t>
            </w:r>
          </w:p>
          <w:p w14:paraId="1EBDE841">
            <w:pPr>
              <w:pStyle w:val="24"/>
              <w:spacing w:line="360" w:lineRule="auto"/>
              <w:ind w:firstLine="420" w:firstLineChars="200"/>
              <w:rPr>
                <w:rFonts w:hAnsi="宋体"/>
                <w:color w:val="auto"/>
                <w:kern w:val="2"/>
                <w:sz w:val="21"/>
                <w:highlight w:val="none"/>
              </w:rPr>
            </w:pPr>
            <w:r>
              <w:rPr>
                <w:rFonts w:hint="eastAsia" w:hAnsi="宋体"/>
                <w:color w:val="auto"/>
                <w:kern w:val="2"/>
                <w:sz w:val="21"/>
                <w:highlight w:val="none"/>
              </w:rPr>
              <w:t>如果所有参与竞争的供应商均可享受本国产品价格评审优惠，则统一不进行价格扣除。</w:t>
            </w:r>
          </w:p>
          <w:p w14:paraId="7683C334">
            <w:pPr>
              <w:pStyle w:val="24"/>
              <w:spacing w:line="360" w:lineRule="auto"/>
              <w:rPr>
                <w:rFonts w:hAnsi="宋体"/>
                <w:color w:val="auto"/>
                <w:kern w:val="2"/>
                <w:sz w:val="21"/>
                <w:highlight w:val="none"/>
              </w:rPr>
            </w:pPr>
            <w:r>
              <w:rPr>
                <w:rFonts w:hint="eastAsia" w:hAnsi="宋体"/>
                <w:color w:val="auto"/>
                <w:kern w:val="2"/>
                <w:sz w:val="21"/>
                <w:highlight w:val="none"/>
              </w:rPr>
              <w:t>（6）中小企业折扣与本国产品折扣进行叠加计算，用扣除后的价格参加评审。即评标报价=投标报价-中小企业折扣-本国产品折扣，除上述情况外，评标报价=投标报价。</w:t>
            </w:r>
          </w:p>
          <w:p w14:paraId="37E48792">
            <w:pPr>
              <w:snapToGrid w:val="0"/>
              <w:spacing w:line="360" w:lineRule="auto"/>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7</w:t>
            </w:r>
            <w:r>
              <w:rPr>
                <w:rFonts w:hint="eastAsia" w:ascii="宋体" w:hAnsi="宋体"/>
                <w:bCs/>
                <w:color w:val="auto"/>
                <w:szCs w:val="21"/>
                <w:highlight w:val="none"/>
              </w:rPr>
              <w:t>）满足招标文件要求且评标报价最低的评标报价为评标基准价，其价格分为满分。</w:t>
            </w:r>
          </w:p>
          <w:p w14:paraId="5531B23F">
            <w:pPr>
              <w:spacing w:line="360" w:lineRule="auto"/>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8</w:t>
            </w:r>
            <w:r>
              <w:rPr>
                <w:rFonts w:hint="eastAsia" w:ascii="宋体" w:hAnsi="宋体"/>
                <w:bCs/>
                <w:color w:val="auto"/>
                <w:szCs w:val="21"/>
                <w:highlight w:val="none"/>
              </w:rPr>
              <w:t xml:space="preserve">）价格分计算公式：        </w:t>
            </w:r>
          </w:p>
          <w:p w14:paraId="6E8FFC4A">
            <w:pPr>
              <w:pStyle w:val="24"/>
              <w:spacing w:line="400" w:lineRule="exact"/>
              <w:rPr>
                <w:rFonts w:hAnsi="宋体" w:cs="宋体"/>
                <w:color w:val="auto"/>
                <w:kern w:val="2"/>
                <w:sz w:val="21"/>
                <w:highlight w:val="none"/>
              </w:rPr>
            </w:pPr>
            <w:r>
              <w:rPr>
                <w:rFonts w:hint="eastAsia" w:hAnsi="宋体"/>
                <w:bCs/>
                <w:color w:val="auto"/>
                <w:sz w:val="21"/>
                <w:highlight w:val="none"/>
              </w:rPr>
              <w:t>价格分</w:t>
            </w:r>
            <w:r>
              <w:rPr>
                <w:rFonts w:hint="eastAsia" w:hAnsi="宋体" w:cs="Courier New"/>
                <w:bCs/>
                <w:color w:val="auto"/>
                <w:kern w:val="2"/>
                <w:sz w:val="21"/>
                <w:highlight w:val="none"/>
              </w:rPr>
              <w:t>=（评标基准价／评标报价）×</w:t>
            </w:r>
            <w:r>
              <w:rPr>
                <w:rFonts w:hint="eastAsia" w:hAnsi="宋体"/>
                <w:bCs/>
                <w:color w:val="auto"/>
                <w:sz w:val="21"/>
                <w:highlight w:val="none"/>
                <w:u w:val="single"/>
              </w:rPr>
              <w:t xml:space="preserve">30 </w:t>
            </w:r>
            <w:r>
              <w:rPr>
                <w:rFonts w:hint="eastAsia" w:hAnsi="宋体" w:cs="Courier New"/>
                <w:bCs/>
                <w:color w:val="auto"/>
                <w:kern w:val="2"/>
                <w:sz w:val="21"/>
                <w:highlight w:val="none"/>
              </w:rPr>
              <w:t>分</w:t>
            </w:r>
          </w:p>
        </w:tc>
      </w:tr>
      <w:tr w14:paraId="0DFC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25" w:type="dxa"/>
            <w:tcBorders>
              <w:top w:val="single" w:color="auto" w:sz="4" w:space="0"/>
              <w:left w:val="single" w:color="auto" w:sz="4" w:space="0"/>
              <w:right w:val="single" w:color="auto" w:sz="4" w:space="0"/>
            </w:tcBorders>
            <w:vAlign w:val="center"/>
          </w:tcPr>
          <w:p w14:paraId="2716CBF2">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2</w:t>
            </w:r>
          </w:p>
        </w:tc>
        <w:tc>
          <w:tcPr>
            <w:tcW w:w="1224" w:type="dxa"/>
            <w:tcBorders>
              <w:top w:val="single" w:color="auto" w:sz="4" w:space="0"/>
              <w:left w:val="single" w:color="auto" w:sz="4" w:space="0"/>
              <w:right w:val="single" w:color="auto" w:sz="4" w:space="0"/>
            </w:tcBorders>
            <w:vAlign w:val="center"/>
          </w:tcPr>
          <w:p w14:paraId="309AD796">
            <w:pPr>
              <w:adjustRightInd w:val="0"/>
              <w:spacing w:line="360" w:lineRule="auto"/>
              <w:ind w:left="-105" w:leftChars="-50" w:right="-105" w:rightChars="-50"/>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技术分</w:t>
            </w:r>
          </w:p>
          <w:p w14:paraId="3F4D52B5">
            <w:pPr>
              <w:adjustRightInd w:val="0"/>
              <w:spacing w:line="360" w:lineRule="auto"/>
              <w:ind w:left="-105" w:leftChars="-50" w:right="-105" w:rightChars="-50"/>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（25分）</w:t>
            </w:r>
          </w:p>
        </w:tc>
        <w:tc>
          <w:tcPr>
            <w:tcW w:w="1701" w:type="dxa"/>
            <w:tcBorders>
              <w:top w:val="single" w:color="auto" w:sz="4" w:space="0"/>
              <w:left w:val="single" w:color="auto" w:sz="4" w:space="0"/>
              <w:right w:val="single" w:color="auto" w:sz="4" w:space="0"/>
            </w:tcBorders>
            <w:vAlign w:val="center"/>
          </w:tcPr>
          <w:p w14:paraId="146AD2F5">
            <w:pPr>
              <w:adjustRightInd w:val="0"/>
              <w:spacing w:line="400" w:lineRule="exact"/>
              <w:ind w:left="-105" w:leftChars="-50" w:right="-105" w:rightChars="-50"/>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技术响应分</w:t>
            </w:r>
          </w:p>
          <w:p w14:paraId="612BB561">
            <w:pPr>
              <w:adjustRightInd w:val="0"/>
              <w:spacing w:line="400" w:lineRule="exact"/>
              <w:ind w:left="-105" w:leftChars="-50" w:right="-105" w:rightChars="-50"/>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（25分）</w:t>
            </w:r>
          </w:p>
        </w:tc>
        <w:tc>
          <w:tcPr>
            <w:tcW w:w="6000" w:type="dxa"/>
            <w:tcBorders>
              <w:top w:val="single" w:color="auto" w:sz="4" w:space="0"/>
              <w:left w:val="single" w:color="auto" w:sz="4" w:space="0"/>
              <w:right w:val="single" w:color="auto" w:sz="4" w:space="0"/>
            </w:tcBorders>
            <w:vAlign w:val="center"/>
          </w:tcPr>
          <w:p w14:paraId="64DA22CD">
            <w:pPr>
              <w:pStyle w:val="24"/>
              <w:spacing w:line="360" w:lineRule="exact"/>
              <w:ind w:firstLine="420" w:firstLineChars="200"/>
              <w:outlineLvl w:val="0"/>
              <w:rPr>
                <w:color w:val="auto"/>
                <w:sz w:val="21"/>
                <w:highlight w:val="none"/>
              </w:rPr>
            </w:pPr>
            <w:bookmarkStart w:id="144" w:name="_Toc10285"/>
            <w:r>
              <w:rPr>
                <w:rFonts w:hint="eastAsia"/>
                <w:color w:val="auto"/>
                <w:sz w:val="21"/>
                <w:highlight w:val="none"/>
              </w:rPr>
              <w:t>经评委独立评审，投标人投标文件满足招标文件全部实质性要求的，得基本分25分；投标人对“采购需求”的“技术要求”中未标注</w:t>
            </w:r>
            <w:r>
              <w:rPr>
                <w:rFonts w:hint="eastAsia" w:hAnsi="宋体" w:cs="宋体"/>
                <w:color w:val="auto"/>
                <w:highlight w:val="none"/>
              </w:rPr>
              <w:t>“▲”</w:t>
            </w:r>
            <w:r>
              <w:rPr>
                <w:rFonts w:hint="eastAsia"/>
                <w:color w:val="auto"/>
                <w:sz w:val="21"/>
                <w:highlight w:val="none"/>
              </w:rPr>
              <w:t>符号的技术参数发生负偏离的，每有一项扣基本分1分；本项累计最多扣25分。</w:t>
            </w:r>
            <w:bookmarkEnd w:id="144"/>
          </w:p>
          <w:p w14:paraId="1F760723">
            <w:pPr>
              <w:pStyle w:val="24"/>
              <w:spacing w:line="360" w:lineRule="exact"/>
              <w:outlineLvl w:val="0"/>
              <w:rPr>
                <w:b/>
                <w:color w:val="auto"/>
                <w:sz w:val="21"/>
                <w:highlight w:val="none"/>
              </w:rPr>
            </w:pPr>
            <w:bookmarkStart w:id="145" w:name="_Toc2676"/>
            <w:r>
              <w:rPr>
                <w:rFonts w:hint="eastAsia"/>
                <w:b/>
                <w:color w:val="auto"/>
                <w:sz w:val="21"/>
                <w:highlight w:val="none"/>
              </w:rPr>
              <w:t>注：如招标文件“技术要求”中要求提供相关有效证明材料，投标人未按要求提供证明材料或所提供的证明材料不满足（或不能证明）相应技术参数要求的，相应视为负偏离；投标人投标文件中的响应承诺与证明材料不一致的，以证明材料为准。</w:t>
            </w:r>
            <w:bookmarkEnd w:id="145"/>
          </w:p>
        </w:tc>
      </w:tr>
      <w:tr w14:paraId="7AC4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jc w:val="center"/>
        </w:trPr>
        <w:tc>
          <w:tcPr>
            <w:tcW w:w="525" w:type="dxa"/>
            <w:tcBorders>
              <w:top w:val="single" w:color="auto" w:sz="4" w:space="0"/>
              <w:left w:val="single" w:color="auto" w:sz="4" w:space="0"/>
              <w:right w:val="single" w:color="auto" w:sz="4" w:space="0"/>
            </w:tcBorders>
            <w:vAlign w:val="center"/>
          </w:tcPr>
          <w:p w14:paraId="2F0A3C8C">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3</w:t>
            </w:r>
          </w:p>
        </w:tc>
        <w:tc>
          <w:tcPr>
            <w:tcW w:w="1224" w:type="dxa"/>
            <w:tcBorders>
              <w:top w:val="single" w:color="auto" w:sz="4" w:space="0"/>
              <w:left w:val="single" w:color="auto" w:sz="4" w:space="0"/>
              <w:right w:val="single" w:color="auto" w:sz="4" w:space="0"/>
            </w:tcBorders>
            <w:vAlign w:val="center"/>
          </w:tcPr>
          <w:p w14:paraId="36C181C1">
            <w:pPr>
              <w:adjustRightInd w:val="0"/>
              <w:spacing w:line="470" w:lineRule="exact"/>
              <w:jc w:val="center"/>
              <w:textAlignment w:val="baseline"/>
              <w:rPr>
                <w:rFonts w:ascii="宋体" w:hAnsi="宋体" w:cs="宋体"/>
                <w:b/>
                <w:color w:val="auto"/>
                <w:szCs w:val="21"/>
                <w:highlight w:val="none"/>
              </w:rPr>
            </w:pPr>
            <w:r>
              <w:rPr>
                <w:rFonts w:hint="eastAsia" w:ascii="宋体" w:hAnsi="宋体" w:cs="宋体"/>
                <w:b/>
                <w:bCs/>
                <w:color w:val="auto"/>
                <w:szCs w:val="21"/>
                <w:highlight w:val="none"/>
              </w:rPr>
              <w:t>安装实施方案分（15分）</w:t>
            </w:r>
          </w:p>
        </w:tc>
        <w:tc>
          <w:tcPr>
            <w:tcW w:w="7701" w:type="dxa"/>
            <w:gridSpan w:val="2"/>
            <w:tcBorders>
              <w:top w:val="single" w:color="auto" w:sz="4" w:space="0"/>
              <w:left w:val="single" w:color="auto" w:sz="4" w:space="0"/>
              <w:right w:val="single" w:color="auto" w:sz="4" w:space="0"/>
            </w:tcBorders>
            <w:vAlign w:val="center"/>
          </w:tcPr>
          <w:p w14:paraId="389B9A1D">
            <w:pPr>
              <w:pStyle w:val="24"/>
              <w:spacing w:line="400" w:lineRule="exact"/>
              <w:rPr>
                <w:rFonts w:hAnsi="宋体" w:cs="宋体"/>
                <w:color w:val="auto"/>
                <w:kern w:val="2"/>
                <w:sz w:val="21"/>
                <w:highlight w:val="none"/>
              </w:rPr>
            </w:pPr>
            <w:r>
              <w:rPr>
                <w:rFonts w:hint="eastAsia" w:hAnsi="宋体" w:cs="宋体"/>
                <w:color w:val="auto"/>
                <w:kern w:val="2"/>
                <w:sz w:val="21"/>
                <w:highlight w:val="none"/>
              </w:rPr>
              <w:t>评委对投标人提供的安装实施方案（包括但不仅限于：①安装方案；②设备调试方案；③设备试运行方案等）内容进行独立评审并按以下规则独立打分：</w:t>
            </w:r>
          </w:p>
          <w:p w14:paraId="44740B93">
            <w:pPr>
              <w:pStyle w:val="24"/>
              <w:spacing w:line="400" w:lineRule="exact"/>
              <w:rPr>
                <w:rFonts w:hAnsi="宋体" w:cs="宋体"/>
                <w:color w:val="auto"/>
                <w:kern w:val="2"/>
                <w:sz w:val="21"/>
                <w:highlight w:val="none"/>
              </w:rPr>
            </w:pPr>
            <w:r>
              <w:rPr>
                <w:rFonts w:hint="eastAsia" w:hAnsi="宋体" w:cs="宋体"/>
                <w:color w:val="auto"/>
                <w:kern w:val="2"/>
                <w:sz w:val="21"/>
                <w:highlight w:val="none"/>
              </w:rPr>
              <w:t>一档（5分）：三项评审内容有一项</w:t>
            </w:r>
            <w:r>
              <w:rPr>
                <w:rFonts w:hint="eastAsia" w:hAnsi="宋体" w:cs="宋体"/>
                <w:color w:val="auto"/>
                <w:sz w:val="21"/>
                <w:highlight w:val="none"/>
              </w:rPr>
              <w:t>经评审合理、可行且具有针对性的</w:t>
            </w:r>
            <w:r>
              <w:rPr>
                <w:rFonts w:hint="eastAsia" w:hAnsi="宋体" w:cs="宋体"/>
                <w:color w:val="auto"/>
                <w:kern w:val="2"/>
                <w:sz w:val="21"/>
                <w:highlight w:val="none"/>
              </w:rPr>
              <w:t>；</w:t>
            </w:r>
          </w:p>
          <w:p w14:paraId="32ECD35B">
            <w:pPr>
              <w:pStyle w:val="24"/>
              <w:spacing w:line="400" w:lineRule="exact"/>
              <w:rPr>
                <w:rFonts w:hAnsi="宋体" w:cs="宋体"/>
                <w:color w:val="auto"/>
                <w:kern w:val="2"/>
                <w:sz w:val="21"/>
                <w:highlight w:val="none"/>
              </w:rPr>
            </w:pPr>
            <w:r>
              <w:rPr>
                <w:rFonts w:hint="eastAsia" w:hAnsi="宋体" w:cs="宋体"/>
                <w:color w:val="auto"/>
                <w:kern w:val="2"/>
                <w:sz w:val="21"/>
                <w:highlight w:val="none"/>
              </w:rPr>
              <w:t>二档（10分）：三项评审内容有二项</w:t>
            </w:r>
            <w:r>
              <w:rPr>
                <w:rFonts w:hint="eastAsia" w:hAnsi="宋体" w:cs="宋体"/>
                <w:color w:val="auto"/>
                <w:sz w:val="21"/>
                <w:highlight w:val="none"/>
              </w:rPr>
              <w:t>经评审合理、可行且具有针对性的</w:t>
            </w:r>
            <w:r>
              <w:rPr>
                <w:rFonts w:hint="eastAsia" w:hAnsi="宋体" w:cs="宋体"/>
                <w:color w:val="auto"/>
                <w:kern w:val="2"/>
                <w:sz w:val="21"/>
                <w:highlight w:val="none"/>
              </w:rPr>
              <w:t>；</w:t>
            </w:r>
          </w:p>
          <w:p w14:paraId="42751271">
            <w:pPr>
              <w:pStyle w:val="24"/>
              <w:spacing w:line="400" w:lineRule="exact"/>
              <w:rPr>
                <w:rFonts w:hAnsi="宋体" w:cs="宋体"/>
                <w:color w:val="auto"/>
                <w:kern w:val="2"/>
                <w:sz w:val="21"/>
                <w:highlight w:val="none"/>
              </w:rPr>
            </w:pPr>
            <w:r>
              <w:rPr>
                <w:rFonts w:hint="eastAsia" w:hAnsi="宋体" w:cs="宋体"/>
                <w:color w:val="auto"/>
                <w:kern w:val="2"/>
                <w:sz w:val="21"/>
                <w:highlight w:val="none"/>
              </w:rPr>
              <w:t>三档（15分）：三项评审内容经评审均</w:t>
            </w:r>
            <w:r>
              <w:rPr>
                <w:rFonts w:hint="eastAsia" w:hAnsi="宋体" w:cs="宋体"/>
                <w:color w:val="auto"/>
                <w:sz w:val="21"/>
                <w:highlight w:val="none"/>
              </w:rPr>
              <w:t>合理、可行且具有针对性的</w:t>
            </w:r>
            <w:r>
              <w:rPr>
                <w:rFonts w:hint="eastAsia" w:hAnsi="宋体" w:cs="宋体"/>
                <w:color w:val="auto"/>
                <w:kern w:val="2"/>
                <w:sz w:val="21"/>
                <w:highlight w:val="none"/>
              </w:rPr>
              <w:t>。</w:t>
            </w:r>
          </w:p>
          <w:p w14:paraId="20513E5D">
            <w:pPr>
              <w:widowControl/>
              <w:snapToGrid w:val="0"/>
              <w:spacing w:line="340" w:lineRule="exact"/>
              <w:rPr>
                <w:rFonts w:ascii="宋体" w:hAnsi="宋体" w:cs="宋体"/>
                <w:b/>
                <w:color w:val="auto"/>
                <w:szCs w:val="21"/>
                <w:highlight w:val="none"/>
              </w:rPr>
            </w:pPr>
            <w:r>
              <w:rPr>
                <w:rFonts w:hint="eastAsia" w:ascii="宋体" w:hAnsi="宋体" w:cs="宋体"/>
                <w:b/>
                <w:color w:val="auto"/>
                <w:szCs w:val="21"/>
                <w:highlight w:val="none"/>
              </w:rPr>
              <w:t>注：</w:t>
            </w:r>
          </w:p>
          <w:p w14:paraId="67D229EF">
            <w:pPr>
              <w:widowControl/>
              <w:snapToGrid w:val="0"/>
              <w:spacing w:line="340" w:lineRule="exact"/>
              <w:rPr>
                <w:rFonts w:ascii="宋体" w:hAnsi="宋体" w:cs="宋体"/>
                <w:b/>
                <w:color w:val="auto"/>
                <w:szCs w:val="21"/>
                <w:highlight w:val="none"/>
              </w:rPr>
            </w:pPr>
            <w:r>
              <w:rPr>
                <w:rFonts w:hint="eastAsia" w:ascii="宋体" w:hAnsi="宋体" w:cs="宋体"/>
                <w:b/>
                <w:color w:val="auto"/>
                <w:szCs w:val="21"/>
                <w:highlight w:val="none"/>
              </w:rPr>
              <w:t>1.“针对性、可操作性，且内容科学合理”是指：方案与本项目实际情况相适应且在项目现有条件下可实施，不存在不适用本项目实际情况的情形、凭空编造、逻辑漏洞、科学原理错误以及不可能实现在夸大情形等情况。</w:t>
            </w:r>
          </w:p>
          <w:p w14:paraId="049F9FDA">
            <w:pPr>
              <w:widowControl/>
              <w:snapToGrid w:val="0"/>
              <w:spacing w:line="340" w:lineRule="exact"/>
              <w:rPr>
                <w:color w:val="auto"/>
                <w:szCs w:val="21"/>
                <w:highlight w:val="none"/>
              </w:rPr>
            </w:pPr>
            <w:r>
              <w:rPr>
                <w:rFonts w:hint="eastAsia" w:ascii="宋体" w:hAnsi="宋体" w:cs="宋体"/>
                <w:b/>
                <w:color w:val="auto"/>
                <w:szCs w:val="21"/>
                <w:highlight w:val="none"/>
              </w:rPr>
              <w:t>2.未提供“安装</w:t>
            </w:r>
            <w:r>
              <w:rPr>
                <w:rFonts w:hint="eastAsia" w:hAnsi="宋体" w:cs="宋体"/>
                <w:b/>
                <w:color w:val="auto"/>
                <w:szCs w:val="21"/>
                <w:highlight w:val="none"/>
              </w:rPr>
              <w:t>实施方案</w:t>
            </w:r>
            <w:r>
              <w:rPr>
                <w:rFonts w:hint="eastAsia" w:ascii="宋体" w:hAnsi="宋体" w:cs="宋体"/>
                <w:b/>
                <w:color w:val="auto"/>
                <w:szCs w:val="21"/>
                <w:highlight w:val="none"/>
              </w:rPr>
              <w:t>”或经评委评审未达到上述一档档次标准的，</w:t>
            </w:r>
            <w:r>
              <w:rPr>
                <w:rFonts w:hint="eastAsia" w:hAnsi="宋体" w:cs="宋体"/>
                <w:b/>
                <w:color w:val="auto"/>
                <w:szCs w:val="21"/>
                <w:highlight w:val="none"/>
              </w:rPr>
              <w:t>安装实施方案</w:t>
            </w:r>
            <w:r>
              <w:rPr>
                <w:rFonts w:hint="eastAsia"/>
                <w:b/>
                <w:color w:val="auto"/>
                <w:szCs w:val="21"/>
                <w:highlight w:val="none"/>
              </w:rPr>
              <w:t>分</w:t>
            </w:r>
            <w:r>
              <w:rPr>
                <w:rFonts w:hint="eastAsia" w:ascii="宋体" w:hAnsi="宋体" w:cs="宋体"/>
                <w:b/>
                <w:color w:val="auto"/>
                <w:szCs w:val="21"/>
                <w:highlight w:val="none"/>
              </w:rPr>
              <w:t>不予计分。</w:t>
            </w:r>
          </w:p>
        </w:tc>
      </w:tr>
      <w:tr w14:paraId="63BB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jc w:val="center"/>
        </w:trPr>
        <w:tc>
          <w:tcPr>
            <w:tcW w:w="525" w:type="dxa"/>
            <w:tcBorders>
              <w:top w:val="single" w:color="auto" w:sz="4" w:space="0"/>
              <w:left w:val="single" w:color="auto" w:sz="4" w:space="0"/>
              <w:right w:val="single" w:color="auto" w:sz="4" w:space="0"/>
            </w:tcBorders>
            <w:vAlign w:val="center"/>
          </w:tcPr>
          <w:p w14:paraId="516C33BC">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4</w:t>
            </w:r>
          </w:p>
        </w:tc>
        <w:tc>
          <w:tcPr>
            <w:tcW w:w="1224" w:type="dxa"/>
            <w:tcBorders>
              <w:top w:val="single" w:color="auto" w:sz="4" w:space="0"/>
              <w:left w:val="single" w:color="auto" w:sz="4" w:space="0"/>
              <w:right w:val="single" w:color="auto" w:sz="4" w:space="0"/>
            </w:tcBorders>
            <w:shd w:val="clear" w:color="auto" w:fill="auto"/>
            <w:vAlign w:val="center"/>
          </w:tcPr>
          <w:p w14:paraId="3F0985CB">
            <w:pPr>
              <w:adjustRightInd w:val="0"/>
              <w:spacing w:line="47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增值售后服务方案分（25分）</w:t>
            </w:r>
          </w:p>
        </w:tc>
        <w:tc>
          <w:tcPr>
            <w:tcW w:w="7701" w:type="dxa"/>
            <w:gridSpan w:val="2"/>
            <w:tcBorders>
              <w:top w:val="single" w:color="auto" w:sz="4" w:space="0"/>
              <w:left w:val="single" w:color="auto" w:sz="4" w:space="0"/>
              <w:right w:val="single" w:color="auto" w:sz="4" w:space="0"/>
            </w:tcBorders>
            <w:shd w:val="clear" w:color="auto" w:fill="auto"/>
            <w:vAlign w:val="center"/>
          </w:tcPr>
          <w:p w14:paraId="6B5E960F">
            <w:pPr>
              <w:pStyle w:val="24"/>
              <w:spacing w:line="400" w:lineRule="exact"/>
              <w:rPr>
                <w:rFonts w:hAnsi="宋体" w:cs="宋体"/>
                <w:color w:val="auto"/>
                <w:kern w:val="2"/>
                <w:sz w:val="21"/>
                <w:highlight w:val="none"/>
              </w:rPr>
            </w:pPr>
            <w:r>
              <w:rPr>
                <w:rFonts w:hint="eastAsia" w:hAnsi="宋体" w:cs="宋体"/>
                <w:color w:val="auto"/>
                <w:kern w:val="2"/>
                <w:sz w:val="21"/>
                <w:highlight w:val="none"/>
              </w:rPr>
              <w:t>评委根据投标人所提供的增值售后服务方案内容【包括但不限于：</w:t>
            </w:r>
            <w:r>
              <w:rPr>
                <w:rFonts w:hint="eastAsia" w:hAnsi="宋体" w:cs="宋体"/>
                <w:color w:val="auto"/>
                <w:sz w:val="21"/>
                <w:highlight w:val="none"/>
              </w:rPr>
              <w:t>①服务人员的配备、故障出现解决方案，②定期维护 (注明时间)，③技术培训方案，④保修期外维修方案，⑤售后服务措施及其他优惠措施等</w:t>
            </w:r>
            <w:r>
              <w:rPr>
                <w:rFonts w:hint="eastAsia" w:hAnsi="宋体" w:cs="宋体"/>
                <w:color w:val="auto"/>
                <w:kern w:val="2"/>
                <w:sz w:val="21"/>
                <w:highlight w:val="none"/>
              </w:rPr>
              <w:t>】，按以下方式进行独立评审打分：</w:t>
            </w:r>
          </w:p>
          <w:p w14:paraId="26AFAB12">
            <w:pPr>
              <w:pStyle w:val="24"/>
              <w:spacing w:line="360" w:lineRule="exact"/>
              <w:rPr>
                <w:rFonts w:hAnsi="宋体" w:cs="宋体"/>
                <w:color w:val="auto"/>
                <w:sz w:val="21"/>
                <w:highlight w:val="none"/>
              </w:rPr>
            </w:pPr>
            <w:r>
              <w:rPr>
                <w:rFonts w:hint="eastAsia" w:hAnsi="宋体" w:cs="宋体"/>
                <w:color w:val="auto"/>
                <w:sz w:val="21"/>
                <w:highlight w:val="none"/>
              </w:rPr>
              <w:t>一档（5分）：五项评审因素有一项内容经评审合理、可行且具有针对性的；</w:t>
            </w:r>
          </w:p>
          <w:p w14:paraId="3C42A17D">
            <w:pPr>
              <w:pStyle w:val="24"/>
              <w:spacing w:line="360" w:lineRule="exact"/>
              <w:rPr>
                <w:rFonts w:hAnsi="宋体" w:cs="宋体"/>
                <w:color w:val="auto"/>
                <w:sz w:val="21"/>
                <w:highlight w:val="none"/>
              </w:rPr>
            </w:pPr>
            <w:r>
              <w:rPr>
                <w:rFonts w:hint="eastAsia" w:hAnsi="宋体" w:cs="宋体"/>
                <w:color w:val="auto"/>
                <w:sz w:val="21"/>
                <w:highlight w:val="none"/>
              </w:rPr>
              <w:t>二档（10分）：五项评审因素有二项内容经评审合理、可行且具有针对性的；</w:t>
            </w:r>
          </w:p>
          <w:p w14:paraId="633A0AFB">
            <w:pPr>
              <w:pStyle w:val="24"/>
              <w:spacing w:line="360" w:lineRule="exact"/>
              <w:outlineLvl w:val="0"/>
              <w:rPr>
                <w:rFonts w:hAnsi="宋体" w:cs="宋体"/>
                <w:color w:val="auto"/>
                <w:sz w:val="21"/>
                <w:highlight w:val="none"/>
              </w:rPr>
            </w:pPr>
            <w:bookmarkStart w:id="146" w:name="_Toc13454"/>
            <w:r>
              <w:rPr>
                <w:rFonts w:hint="eastAsia" w:hAnsi="宋体" w:cs="宋体"/>
                <w:color w:val="auto"/>
                <w:sz w:val="21"/>
                <w:highlight w:val="none"/>
              </w:rPr>
              <w:t>三档（15分）：五项评审因素有三项内容经评审合理、可行且具有针对性的；</w:t>
            </w:r>
            <w:bookmarkEnd w:id="146"/>
          </w:p>
          <w:p w14:paraId="44C41F77">
            <w:pPr>
              <w:pStyle w:val="24"/>
              <w:spacing w:line="360" w:lineRule="exact"/>
              <w:outlineLvl w:val="0"/>
              <w:rPr>
                <w:rFonts w:hAnsi="宋体" w:cs="宋体"/>
                <w:color w:val="auto"/>
                <w:sz w:val="21"/>
                <w:highlight w:val="none"/>
              </w:rPr>
            </w:pPr>
            <w:bookmarkStart w:id="147" w:name="_Toc30303"/>
            <w:r>
              <w:rPr>
                <w:rFonts w:hint="eastAsia" w:hAnsi="宋体" w:cs="宋体"/>
                <w:color w:val="auto"/>
                <w:sz w:val="21"/>
                <w:highlight w:val="none"/>
              </w:rPr>
              <w:t>四档（20分）：五项评审因素有四项内容经评审合理、可行且具有针对性的；</w:t>
            </w:r>
            <w:bookmarkEnd w:id="147"/>
          </w:p>
          <w:p w14:paraId="32F801BB">
            <w:pPr>
              <w:pStyle w:val="24"/>
              <w:spacing w:line="400" w:lineRule="exact"/>
              <w:rPr>
                <w:rFonts w:hAnsi="宋体" w:cs="宋体"/>
                <w:color w:val="auto"/>
                <w:sz w:val="21"/>
                <w:highlight w:val="none"/>
              </w:rPr>
            </w:pPr>
            <w:r>
              <w:rPr>
                <w:rFonts w:hint="eastAsia" w:hAnsi="宋体" w:cs="宋体"/>
                <w:color w:val="auto"/>
                <w:sz w:val="21"/>
                <w:highlight w:val="none"/>
              </w:rPr>
              <w:t>五档（25分）：五项评审因素均合理、可行且具有针对性的。</w:t>
            </w:r>
          </w:p>
          <w:p w14:paraId="6F67332E">
            <w:pPr>
              <w:pStyle w:val="13"/>
              <w:ind w:left="0" w:firstLine="0" w:firstLineChars="0"/>
              <w:rPr>
                <w:rFonts w:ascii="宋体" w:hAnsi="宋体" w:cs="宋体"/>
                <w:b/>
                <w:color w:val="auto"/>
                <w:szCs w:val="21"/>
                <w:highlight w:val="none"/>
              </w:rPr>
            </w:pPr>
            <w:r>
              <w:rPr>
                <w:rFonts w:hint="eastAsia" w:ascii="宋体" w:hAnsi="宋体" w:cs="宋体"/>
                <w:b/>
                <w:color w:val="auto"/>
                <w:szCs w:val="21"/>
                <w:highlight w:val="none"/>
              </w:rPr>
              <w:t>注：</w:t>
            </w:r>
          </w:p>
          <w:p w14:paraId="65235A27">
            <w:pPr>
              <w:widowControl/>
              <w:snapToGrid w:val="0"/>
              <w:spacing w:line="340" w:lineRule="exact"/>
              <w:rPr>
                <w:rFonts w:ascii="宋体" w:hAnsi="宋体" w:cs="宋体"/>
                <w:b/>
                <w:color w:val="auto"/>
                <w:szCs w:val="21"/>
                <w:highlight w:val="none"/>
              </w:rPr>
            </w:pPr>
            <w:r>
              <w:rPr>
                <w:rFonts w:hint="eastAsia" w:ascii="宋体" w:hAnsi="宋体" w:cs="宋体"/>
                <w:b/>
                <w:color w:val="auto"/>
                <w:szCs w:val="21"/>
                <w:highlight w:val="none"/>
              </w:rPr>
              <w:t>1.“针对性、可操作性，且内容科学合理”是指：方案与本项目实际情况相适应且在项目现有条件下可实施，不存在不适用本项目实际情况的情形、凭空编造、逻辑漏洞、科学原理错误以及不可能实现在夸大情形等情况。</w:t>
            </w:r>
          </w:p>
          <w:p w14:paraId="1846807C">
            <w:pPr>
              <w:pStyle w:val="13"/>
              <w:ind w:left="0" w:firstLine="0" w:firstLineChars="0"/>
              <w:rPr>
                <w:color w:val="auto"/>
                <w:szCs w:val="21"/>
                <w:highlight w:val="none"/>
              </w:rPr>
            </w:pPr>
            <w:r>
              <w:rPr>
                <w:rFonts w:hint="eastAsia" w:ascii="宋体" w:hAnsi="宋体" w:cs="宋体"/>
                <w:b/>
                <w:color w:val="auto"/>
                <w:szCs w:val="21"/>
                <w:highlight w:val="none"/>
              </w:rPr>
              <w:t>2.未提供“增值售后服务方案”或经评委评审未达到上述一档档次标准的，增值售后服务方案</w:t>
            </w:r>
            <w:r>
              <w:rPr>
                <w:rFonts w:hint="eastAsia"/>
                <w:b/>
                <w:color w:val="auto"/>
                <w:szCs w:val="21"/>
                <w:highlight w:val="none"/>
              </w:rPr>
              <w:t>分</w:t>
            </w:r>
            <w:r>
              <w:rPr>
                <w:rFonts w:hint="eastAsia" w:ascii="宋体" w:hAnsi="宋体" w:cs="宋体"/>
                <w:b/>
                <w:color w:val="auto"/>
                <w:szCs w:val="21"/>
                <w:highlight w:val="none"/>
              </w:rPr>
              <w:t>不予计分。</w:t>
            </w:r>
          </w:p>
        </w:tc>
      </w:tr>
      <w:tr w14:paraId="7B1F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525" w:type="dxa"/>
            <w:tcBorders>
              <w:top w:val="single" w:color="auto" w:sz="4" w:space="0"/>
              <w:left w:val="single" w:color="auto" w:sz="4" w:space="0"/>
              <w:right w:val="single" w:color="auto" w:sz="4" w:space="0"/>
            </w:tcBorders>
            <w:vAlign w:val="center"/>
          </w:tcPr>
          <w:p w14:paraId="34F1BAE6">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5</w:t>
            </w:r>
          </w:p>
        </w:tc>
        <w:tc>
          <w:tcPr>
            <w:tcW w:w="1224" w:type="dxa"/>
            <w:tcBorders>
              <w:top w:val="single" w:color="auto" w:sz="4" w:space="0"/>
              <w:left w:val="single" w:color="auto" w:sz="4" w:space="0"/>
              <w:right w:val="single" w:color="auto" w:sz="4" w:space="0"/>
            </w:tcBorders>
            <w:vAlign w:val="center"/>
          </w:tcPr>
          <w:p w14:paraId="389BCCB1">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履约能力分（3分）</w:t>
            </w:r>
          </w:p>
        </w:tc>
        <w:tc>
          <w:tcPr>
            <w:tcW w:w="7701" w:type="dxa"/>
            <w:gridSpan w:val="2"/>
            <w:tcBorders>
              <w:top w:val="single" w:color="auto" w:sz="4" w:space="0"/>
              <w:left w:val="single" w:color="auto" w:sz="4" w:space="0"/>
              <w:right w:val="single" w:color="auto" w:sz="4" w:space="0"/>
            </w:tcBorders>
            <w:vAlign w:val="center"/>
          </w:tcPr>
          <w:p w14:paraId="4C08728C">
            <w:pPr>
              <w:pStyle w:val="24"/>
              <w:spacing w:line="400" w:lineRule="exact"/>
              <w:rPr>
                <w:rFonts w:hAnsi="宋体" w:cs="宋体"/>
                <w:color w:val="auto"/>
                <w:sz w:val="21"/>
                <w:highlight w:val="none"/>
              </w:rPr>
            </w:pPr>
            <w:r>
              <w:rPr>
                <w:rFonts w:hint="eastAsia" w:hAnsi="宋体" w:cs="宋体"/>
                <w:color w:val="auto"/>
                <w:kern w:val="2"/>
                <w:sz w:val="21"/>
                <w:highlight w:val="none"/>
              </w:rPr>
              <w:t>投标人或所投核心产品生产厂家自2023年1月1日以来的具有同类产品销售业绩的（业绩以中标、成交通知书或合同为准，并能清晰反映所销售的产品名称、数量，同一个编号的项目有两个或两个以上的分标中标的只算1个业绩，并加盖投标人电子签章，否则不予认可），每提供1个业绩得1分，最多得3分。</w:t>
            </w:r>
          </w:p>
        </w:tc>
      </w:tr>
      <w:tr w14:paraId="136B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14:paraId="7BCBA722">
            <w:pPr>
              <w:widowControl/>
              <w:jc w:val="center"/>
              <w:rPr>
                <w:rFonts w:ascii="宋体" w:hAnsi="宋体" w:cs="宋体"/>
                <w:b/>
                <w:color w:val="auto"/>
                <w:szCs w:val="21"/>
                <w:highlight w:val="none"/>
              </w:rPr>
            </w:pPr>
            <w:r>
              <w:rPr>
                <w:rFonts w:hint="eastAsia" w:ascii="宋体" w:hAnsi="宋体" w:cs="宋体"/>
                <w:b/>
                <w:color w:val="auto"/>
                <w:szCs w:val="21"/>
                <w:highlight w:val="none"/>
              </w:rPr>
              <w:t>6</w:t>
            </w:r>
          </w:p>
        </w:tc>
        <w:tc>
          <w:tcPr>
            <w:tcW w:w="1224" w:type="dxa"/>
            <w:tcBorders>
              <w:top w:val="single" w:color="auto" w:sz="4" w:space="0"/>
              <w:left w:val="single" w:color="auto" w:sz="4" w:space="0"/>
              <w:bottom w:val="single" w:color="auto" w:sz="4" w:space="0"/>
              <w:right w:val="single" w:color="auto" w:sz="4" w:space="0"/>
            </w:tcBorders>
            <w:vAlign w:val="center"/>
          </w:tcPr>
          <w:p w14:paraId="4ED7AE6C">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政策分（2分）</w:t>
            </w:r>
          </w:p>
        </w:tc>
        <w:tc>
          <w:tcPr>
            <w:tcW w:w="7701" w:type="dxa"/>
            <w:gridSpan w:val="2"/>
            <w:tcBorders>
              <w:top w:val="single" w:color="auto" w:sz="4" w:space="0"/>
              <w:left w:val="single" w:color="auto" w:sz="4" w:space="0"/>
              <w:right w:val="single" w:color="auto" w:sz="4" w:space="0"/>
            </w:tcBorders>
            <w:tcMar>
              <w:top w:w="0" w:type="dxa"/>
              <w:left w:w="57" w:type="dxa"/>
              <w:bottom w:w="0" w:type="dxa"/>
              <w:right w:w="57" w:type="dxa"/>
            </w:tcMar>
            <w:vAlign w:val="center"/>
          </w:tcPr>
          <w:p w14:paraId="434B54CD">
            <w:pPr>
              <w:pStyle w:val="24"/>
              <w:spacing w:line="400" w:lineRule="exact"/>
              <w:rPr>
                <w:rFonts w:hAnsi="宋体" w:cs="宋体"/>
                <w:color w:val="auto"/>
                <w:kern w:val="2"/>
                <w:sz w:val="21"/>
                <w:highlight w:val="none"/>
              </w:rPr>
            </w:pPr>
            <w:r>
              <w:rPr>
                <w:rFonts w:hint="eastAsia" w:hAnsi="宋体" w:cs="宋体"/>
                <w:color w:val="auto"/>
                <w:kern w:val="2"/>
                <w:sz w:val="21"/>
                <w:highlight w:val="none"/>
              </w:rPr>
              <w:t>（1）属于财政部《节能产品政府采购品目清单》内优先采购（清单内未标注“★”的品目）的产品（投标文件中提供有效的认证证书复印件，并加盖投标人电子签章），得1分。</w:t>
            </w:r>
          </w:p>
          <w:p w14:paraId="3C012812">
            <w:pPr>
              <w:pStyle w:val="24"/>
              <w:spacing w:line="400" w:lineRule="exact"/>
              <w:rPr>
                <w:rFonts w:hAnsi="宋体" w:cs="宋体"/>
                <w:color w:val="auto"/>
                <w:kern w:val="2"/>
                <w:sz w:val="21"/>
                <w:highlight w:val="none"/>
              </w:rPr>
            </w:pPr>
            <w:r>
              <w:rPr>
                <w:rFonts w:hint="eastAsia" w:hAnsi="宋体" w:cs="宋体"/>
                <w:color w:val="auto"/>
                <w:kern w:val="2"/>
                <w:sz w:val="21"/>
                <w:highlight w:val="none"/>
              </w:rPr>
              <w:t>（2）属于财政部《环境标志产品政府采购品目清单》内的产品（投标文件中提供有效的认证证书复印件，并加盖投标人电子签章），得1分。</w:t>
            </w:r>
          </w:p>
        </w:tc>
      </w:tr>
      <w:tr w14:paraId="0D376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450" w:type="dxa"/>
            <w:gridSpan w:val="4"/>
            <w:tcBorders>
              <w:top w:val="single" w:color="auto" w:sz="4" w:space="0"/>
              <w:left w:val="single" w:color="auto" w:sz="4" w:space="0"/>
              <w:bottom w:val="single" w:color="auto" w:sz="4" w:space="0"/>
              <w:right w:val="single" w:color="auto" w:sz="4" w:space="0"/>
            </w:tcBorders>
            <w:vAlign w:val="center"/>
          </w:tcPr>
          <w:p w14:paraId="0D0829C7">
            <w:pPr>
              <w:rPr>
                <w:rFonts w:ascii="宋体" w:hAnsi="宋体" w:cs="宋体"/>
                <w:b/>
                <w:color w:val="auto"/>
                <w:szCs w:val="21"/>
                <w:highlight w:val="none"/>
              </w:rPr>
            </w:pPr>
            <w:r>
              <w:rPr>
                <w:rFonts w:hint="eastAsia" w:ascii="宋体" w:hAnsi="宋体" w:cs="宋体"/>
                <w:b/>
                <w:bCs/>
                <w:color w:val="auto"/>
                <w:szCs w:val="21"/>
                <w:highlight w:val="none"/>
              </w:rPr>
              <w:t>7.总得分为以上各项评审因素得分合计。</w:t>
            </w:r>
          </w:p>
        </w:tc>
      </w:tr>
    </w:tbl>
    <w:p w14:paraId="22191877">
      <w:pPr>
        <w:rPr>
          <w:rFonts w:ascii="宋体" w:hAnsi="宋体" w:cs="宋体"/>
          <w:b/>
          <w:color w:val="auto"/>
          <w:highlight w:val="none"/>
        </w:rPr>
      </w:pPr>
    </w:p>
    <w:p w14:paraId="37CC4DE5">
      <w:pPr>
        <w:pStyle w:val="24"/>
        <w:spacing w:line="360" w:lineRule="auto"/>
        <w:rPr>
          <w:rFonts w:hAnsi="宋体" w:cs="宋体"/>
          <w:b/>
          <w:color w:val="auto"/>
          <w:sz w:val="21"/>
          <w:highlight w:val="none"/>
        </w:rPr>
      </w:pPr>
    </w:p>
    <w:p w14:paraId="33D51AAA">
      <w:pPr>
        <w:pStyle w:val="24"/>
        <w:spacing w:line="360" w:lineRule="auto"/>
        <w:rPr>
          <w:rFonts w:hAnsi="宋体" w:cs="宋体"/>
          <w:b/>
          <w:color w:val="auto"/>
          <w:sz w:val="21"/>
          <w:highlight w:val="none"/>
        </w:rPr>
      </w:pPr>
    </w:p>
    <w:p w14:paraId="116CC8BF">
      <w:pPr>
        <w:pStyle w:val="5"/>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四、中标候选人推荐</w:t>
      </w:r>
    </w:p>
    <w:p w14:paraId="155E0AD3">
      <w:pPr>
        <w:pStyle w:val="24"/>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1.评标委员会根据原始评标记录和评标结果编写评标报告，并通过电子交易平台向采购人、采购代理机构提交。</w:t>
      </w:r>
    </w:p>
    <w:p w14:paraId="53D20669">
      <w:pPr>
        <w:pStyle w:val="24"/>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2.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3B4CC81B">
      <w:pPr>
        <w:pStyle w:val="4"/>
        <w:keepNext w:val="0"/>
        <w:keepLines w:val="0"/>
        <w:jc w:val="center"/>
        <w:rPr>
          <w:rFonts w:ascii="宋体" w:hAnsi="宋体" w:eastAsia="宋体" w:cs="宋体"/>
          <w:color w:val="auto"/>
          <w:highlight w:val="none"/>
        </w:rPr>
      </w:pPr>
      <w:r>
        <w:rPr>
          <w:rFonts w:hint="eastAsia" w:ascii="宋体" w:hAnsi="宋体" w:eastAsia="宋体" w:cs="宋体"/>
          <w:color w:val="auto"/>
          <w:highlight w:val="none"/>
        </w:rPr>
        <w:br w:type="page"/>
      </w:r>
    </w:p>
    <w:p w14:paraId="0BA5851C">
      <w:pPr>
        <w:pStyle w:val="4"/>
        <w:keepNext w:val="0"/>
        <w:keepLines w:val="0"/>
        <w:jc w:val="center"/>
        <w:rPr>
          <w:rFonts w:ascii="宋体" w:hAnsi="宋体" w:eastAsia="宋体" w:cs="宋体"/>
          <w:color w:val="auto"/>
          <w:highlight w:val="none"/>
        </w:rPr>
      </w:pPr>
    </w:p>
    <w:p w14:paraId="67F039B8">
      <w:pPr>
        <w:rPr>
          <w:rFonts w:ascii="宋体" w:hAnsi="宋体" w:cs="宋体"/>
          <w:color w:val="auto"/>
          <w:highlight w:val="none"/>
        </w:rPr>
      </w:pPr>
    </w:p>
    <w:p w14:paraId="05E32AAE">
      <w:pPr>
        <w:pStyle w:val="2"/>
        <w:rPr>
          <w:rFonts w:ascii="宋体" w:hAnsi="宋体" w:cs="宋体"/>
          <w:color w:val="auto"/>
          <w:highlight w:val="none"/>
        </w:rPr>
      </w:pPr>
    </w:p>
    <w:p w14:paraId="76E8F8B9">
      <w:pPr>
        <w:pStyle w:val="2"/>
        <w:rPr>
          <w:rFonts w:ascii="宋体" w:hAnsi="宋体" w:cs="宋体"/>
          <w:color w:val="auto"/>
          <w:highlight w:val="none"/>
        </w:rPr>
      </w:pPr>
    </w:p>
    <w:p w14:paraId="629AD527">
      <w:pPr>
        <w:pStyle w:val="2"/>
        <w:rPr>
          <w:rFonts w:ascii="宋体" w:hAnsi="宋体" w:cs="宋体"/>
          <w:color w:val="auto"/>
          <w:highlight w:val="none"/>
        </w:rPr>
      </w:pPr>
    </w:p>
    <w:p w14:paraId="68F0346C">
      <w:pPr>
        <w:pStyle w:val="2"/>
        <w:rPr>
          <w:rFonts w:ascii="宋体" w:hAnsi="宋体" w:cs="宋体"/>
          <w:color w:val="auto"/>
          <w:highlight w:val="none"/>
        </w:rPr>
      </w:pPr>
    </w:p>
    <w:p w14:paraId="62180BB8">
      <w:pPr>
        <w:pStyle w:val="4"/>
        <w:keepNext w:val="0"/>
        <w:keepLines w:val="0"/>
        <w:jc w:val="center"/>
        <w:rPr>
          <w:rFonts w:ascii="宋体" w:hAnsi="宋体" w:eastAsia="宋体" w:cs="宋体"/>
          <w:color w:val="auto"/>
          <w:highlight w:val="none"/>
        </w:rPr>
      </w:pPr>
    </w:p>
    <w:p w14:paraId="4F866EAE">
      <w:pPr>
        <w:rPr>
          <w:rFonts w:ascii="宋体" w:hAnsi="宋体" w:cs="宋体"/>
          <w:color w:val="auto"/>
          <w:highlight w:val="none"/>
        </w:rPr>
      </w:pPr>
    </w:p>
    <w:p w14:paraId="7350E512">
      <w:pPr>
        <w:pStyle w:val="4"/>
        <w:keepNext w:val="0"/>
        <w:keepLines w:val="0"/>
        <w:jc w:val="center"/>
        <w:rPr>
          <w:rFonts w:ascii="宋体" w:hAnsi="宋体" w:eastAsia="宋体" w:cs="宋体"/>
          <w:color w:val="auto"/>
          <w:highlight w:val="none"/>
        </w:rPr>
      </w:pPr>
    </w:p>
    <w:p w14:paraId="0170D7E8">
      <w:pPr>
        <w:pStyle w:val="3"/>
        <w:jc w:val="center"/>
        <w:rPr>
          <w:rFonts w:ascii="宋体" w:hAnsi="宋体" w:cs="宋体"/>
          <w:color w:val="auto"/>
          <w:highlight w:val="none"/>
        </w:rPr>
      </w:pPr>
      <w:bookmarkStart w:id="148" w:name="_Toc6078"/>
      <w:bookmarkStart w:id="149" w:name="_Toc74320804"/>
      <w:r>
        <w:rPr>
          <w:rFonts w:hint="eastAsia" w:ascii="宋体" w:hAnsi="宋体" w:cs="宋体"/>
          <w:color w:val="auto"/>
          <w:highlight w:val="none"/>
        </w:rPr>
        <w:t>第五章 拟签订的合同文本</w:t>
      </w:r>
      <w:bookmarkEnd w:id="148"/>
      <w:bookmarkEnd w:id="149"/>
    </w:p>
    <w:p w14:paraId="61179634">
      <w:pPr>
        <w:snapToGrid w:val="0"/>
        <w:jc w:val="center"/>
        <w:rPr>
          <w:rFonts w:ascii="宋体" w:hAnsi="宋体" w:cs="宋体"/>
          <w:bCs/>
          <w:color w:val="auto"/>
          <w:sz w:val="32"/>
          <w:szCs w:val="32"/>
          <w:highlight w:val="none"/>
        </w:rPr>
      </w:pPr>
    </w:p>
    <w:p w14:paraId="60EA2833">
      <w:pPr>
        <w:snapToGrid w:val="0"/>
        <w:jc w:val="center"/>
        <w:rPr>
          <w:rFonts w:ascii="宋体" w:hAnsi="宋体" w:cs="宋体"/>
          <w:bCs/>
          <w:color w:val="auto"/>
          <w:sz w:val="32"/>
          <w:szCs w:val="32"/>
          <w:highlight w:val="none"/>
        </w:rPr>
      </w:pPr>
    </w:p>
    <w:p w14:paraId="121513A2">
      <w:pPr>
        <w:snapToGrid w:val="0"/>
        <w:jc w:val="center"/>
        <w:rPr>
          <w:rFonts w:ascii="宋体" w:hAnsi="宋体" w:cs="宋体"/>
          <w:bCs/>
          <w:color w:val="auto"/>
          <w:sz w:val="32"/>
          <w:szCs w:val="32"/>
          <w:highlight w:val="none"/>
        </w:rPr>
      </w:pPr>
    </w:p>
    <w:p w14:paraId="4D9EDEEE">
      <w:pPr>
        <w:snapToGrid w:val="0"/>
        <w:jc w:val="center"/>
        <w:rPr>
          <w:rFonts w:ascii="宋体" w:hAnsi="宋体" w:cs="宋体"/>
          <w:bCs/>
          <w:color w:val="auto"/>
          <w:sz w:val="32"/>
          <w:szCs w:val="32"/>
          <w:highlight w:val="none"/>
        </w:rPr>
      </w:pPr>
    </w:p>
    <w:p w14:paraId="62DB2953">
      <w:pPr>
        <w:snapToGrid w:val="0"/>
        <w:jc w:val="center"/>
        <w:rPr>
          <w:rFonts w:ascii="宋体" w:hAnsi="宋体" w:cs="宋体"/>
          <w:bCs/>
          <w:color w:val="auto"/>
          <w:sz w:val="32"/>
          <w:szCs w:val="32"/>
          <w:highlight w:val="none"/>
        </w:rPr>
      </w:pPr>
    </w:p>
    <w:p w14:paraId="0CCD3F54">
      <w:pPr>
        <w:snapToGrid w:val="0"/>
        <w:jc w:val="center"/>
        <w:rPr>
          <w:rFonts w:ascii="宋体" w:hAnsi="宋体" w:cs="宋体"/>
          <w:bCs/>
          <w:color w:val="auto"/>
          <w:sz w:val="32"/>
          <w:szCs w:val="32"/>
          <w:highlight w:val="none"/>
        </w:rPr>
      </w:pPr>
    </w:p>
    <w:p w14:paraId="39033BC1">
      <w:pPr>
        <w:snapToGrid w:val="0"/>
        <w:jc w:val="center"/>
        <w:rPr>
          <w:rFonts w:ascii="宋体" w:hAnsi="宋体" w:cs="宋体"/>
          <w:bCs/>
          <w:color w:val="auto"/>
          <w:sz w:val="32"/>
          <w:szCs w:val="32"/>
          <w:highlight w:val="none"/>
        </w:rPr>
      </w:pPr>
    </w:p>
    <w:p w14:paraId="4C182478">
      <w:pPr>
        <w:snapToGrid w:val="0"/>
        <w:jc w:val="center"/>
        <w:rPr>
          <w:rFonts w:ascii="宋体" w:hAnsi="宋体" w:cs="宋体"/>
          <w:bCs/>
          <w:color w:val="auto"/>
          <w:sz w:val="32"/>
          <w:szCs w:val="32"/>
          <w:highlight w:val="none"/>
        </w:rPr>
      </w:pPr>
    </w:p>
    <w:p w14:paraId="553BE2C3">
      <w:pPr>
        <w:snapToGrid w:val="0"/>
        <w:jc w:val="center"/>
        <w:rPr>
          <w:rFonts w:ascii="宋体" w:hAnsi="宋体" w:cs="宋体"/>
          <w:bCs/>
          <w:color w:val="auto"/>
          <w:sz w:val="32"/>
          <w:szCs w:val="32"/>
          <w:highlight w:val="none"/>
        </w:rPr>
      </w:pPr>
    </w:p>
    <w:p w14:paraId="75774481">
      <w:pPr>
        <w:snapToGrid w:val="0"/>
        <w:jc w:val="center"/>
        <w:rPr>
          <w:rFonts w:ascii="宋体" w:hAnsi="宋体" w:cs="宋体"/>
          <w:bCs/>
          <w:color w:val="auto"/>
          <w:sz w:val="32"/>
          <w:szCs w:val="32"/>
          <w:highlight w:val="none"/>
        </w:rPr>
      </w:pPr>
    </w:p>
    <w:p w14:paraId="7B8BF7C1">
      <w:pPr>
        <w:snapToGrid w:val="0"/>
        <w:jc w:val="center"/>
        <w:rPr>
          <w:rFonts w:ascii="宋体" w:hAnsi="宋体" w:cs="宋体"/>
          <w:bCs/>
          <w:color w:val="auto"/>
          <w:sz w:val="32"/>
          <w:szCs w:val="32"/>
          <w:highlight w:val="none"/>
        </w:rPr>
      </w:pPr>
    </w:p>
    <w:p w14:paraId="43ACA0B9">
      <w:pPr>
        <w:snapToGrid w:val="0"/>
        <w:jc w:val="center"/>
        <w:rPr>
          <w:rFonts w:ascii="宋体" w:hAnsi="宋体" w:cs="宋体"/>
          <w:bCs/>
          <w:color w:val="auto"/>
          <w:sz w:val="32"/>
          <w:szCs w:val="32"/>
          <w:highlight w:val="none"/>
        </w:rPr>
      </w:pPr>
    </w:p>
    <w:p w14:paraId="509EAB8D">
      <w:pPr>
        <w:snapToGrid w:val="0"/>
        <w:jc w:val="center"/>
        <w:rPr>
          <w:rFonts w:ascii="宋体" w:hAnsi="宋体" w:cs="宋体"/>
          <w:bCs/>
          <w:color w:val="auto"/>
          <w:sz w:val="32"/>
          <w:szCs w:val="32"/>
          <w:highlight w:val="none"/>
        </w:rPr>
      </w:pPr>
    </w:p>
    <w:p w14:paraId="722831F6">
      <w:pPr>
        <w:snapToGrid w:val="0"/>
        <w:jc w:val="center"/>
        <w:rPr>
          <w:rFonts w:ascii="宋体" w:hAnsi="宋体" w:cs="宋体"/>
          <w:bCs/>
          <w:color w:val="auto"/>
          <w:sz w:val="32"/>
          <w:szCs w:val="32"/>
          <w:highlight w:val="none"/>
        </w:rPr>
      </w:pPr>
    </w:p>
    <w:p w14:paraId="0B11A03C">
      <w:pPr>
        <w:snapToGrid w:val="0"/>
        <w:jc w:val="center"/>
        <w:rPr>
          <w:rFonts w:ascii="宋体" w:hAnsi="宋体" w:cs="宋体"/>
          <w:bCs/>
          <w:color w:val="auto"/>
          <w:sz w:val="32"/>
          <w:szCs w:val="32"/>
          <w:highlight w:val="none"/>
        </w:rPr>
      </w:pPr>
    </w:p>
    <w:p w14:paraId="3E3CC6A2">
      <w:pPr>
        <w:snapToGrid w:val="0"/>
        <w:spacing w:line="360" w:lineRule="auto"/>
        <w:ind w:firstLine="420" w:firstLineChars="200"/>
        <w:rPr>
          <w:rFonts w:ascii="宋体" w:hAnsi="宋体" w:cs="宋体"/>
          <w:color w:val="auto"/>
          <w:szCs w:val="21"/>
          <w:highlight w:val="none"/>
        </w:rPr>
      </w:pPr>
    </w:p>
    <w:p w14:paraId="3C9D0E77">
      <w:pPr>
        <w:rPr>
          <w:rFonts w:ascii="宋体" w:hAnsi="宋体" w:cs="宋体"/>
          <w:color w:val="auto"/>
          <w:szCs w:val="21"/>
          <w:highlight w:val="none"/>
        </w:rPr>
      </w:pPr>
    </w:p>
    <w:p w14:paraId="7040CE5C">
      <w:pPr>
        <w:jc w:val="center"/>
        <w:rPr>
          <w:rFonts w:ascii="Arial" w:hAnsi="Arial" w:cs="Arial"/>
          <w:b/>
          <w:color w:val="auto"/>
          <w:sz w:val="72"/>
          <w:szCs w:val="28"/>
          <w:highlight w:val="none"/>
        </w:rPr>
      </w:pPr>
      <w:bookmarkStart w:id="150" w:name="_Hlk55381736"/>
      <w:r>
        <w:rPr>
          <w:rFonts w:ascii="Arial" w:hAnsi="Arial" w:cs="Arial"/>
          <w:b/>
          <w:color w:val="auto"/>
          <w:sz w:val="72"/>
          <w:szCs w:val="28"/>
          <w:highlight w:val="none"/>
        </w:rPr>
        <w:t>采购合同</w:t>
      </w:r>
    </w:p>
    <w:p w14:paraId="0139852E">
      <w:pPr>
        <w:pStyle w:val="189"/>
        <w:rPr>
          <w:rFonts w:ascii="Arial" w:hAnsi="Arial" w:cs="Arial"/>
          <w:color w:val="auto"/>
          <w:highlight w:val="none"/>
        </w:rPr>
      </w:pPr>
    </w:p>
    <w:p w14:paraId="16B6DC9A">
      <w:pPr>
        <w:pStyle w:val="189"/>
        <w:rPr>
          <w:rFonts w:ascii="Arial" w:hAnsi="Arial" w:cs="Arial"/>
          <w:color w:val="auto"/>
          <w:highlight w:val="none"/>
        </w:rPr>
      </w:pPr>
    </w:p>
    <w:p w14:paraId="0039BDD7">
      <w:pPr>
        <w:pStyle w:val="189"/>
        <w:rPr>
          <w:rFonts w:ascii="Arial" w:hAnsi="Arial" w:cs="Arial"/>
          <w:color w:val="auto"/>
          <w:highlight w:val="none"/>
        </w:rPr>
      </w:pPr>
    </w:p>
    <w:p w14:paraId="4234A16E">
      <w:pPr>
        <w:pStyle w:val="189"/>
        <w:rPr>
          <w:rFonts w:ascii="Arial" w:hAnsi="Arial" w:cs="Arial"/>
          <w:color w:val="auto"/>
          <w:highlight w:val="none"/>
        </w:rPr>
      </w:pPr>
    </w:p>
    <w:tbl>
      <w:tblPr>
        <w:tblStyle w:val="47"/>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5670"/>
      </w:tblGrid>
      <w:tr w14:paraId="1FDDB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2694" w:type="dxa"/>
            <w:tcBorders>
              <w:top w:val="nil"/>
              <w:left w:val="nil"/>
              <w:bottom w:val="nil"/>
              <w:right w:val="nil"/>
            </w:tcBorders>
            <w:shd w:val="clear" w:color="auto" w:fill="auto"/>
            <w:vAlign w:val="center"/>
          </w:tcPr>
          <w:p w14:paraId="7821E39F">
            <w:pPr>
              <w:spacing w:line="740" w:lineRule="exact"/>
              <w:jc w:val="center"/>
              <w:rPr>
                <w:rFonts w:ascii="Arial" w:hAnsi="Arial" w:cs="Arial"/>
                <w:b/>
                <w:bCs/>
                <w:color w:val="auto"/>
                <w:sz w:val="36"/>
                <w:szCs w:val="36"/>
                <w:highlight w:val="none"/>
              </w:rPr>
            </w:pPr>
            <w:r>
              <w:rPr>
                <w:rFonts w:hint="eastAsia" w:ascii="Arial" w:hAnsi="Arial" w:cs="Arial"/>
                <w:b/>
                <w:bCs/>
                <w:color w:val="auto"/>
                <w:sz w:val="36"/>
                <w:szCs w:val="36"/>
                <w:highlight w:val="none"/>
              </w:rPr>
              <w:t xml:space="preserve"> </w:t>
            </w:r>
            <w:r>
              <w:rPr>
                <w:rFonts w:ascii="Arial" w:hAnsi="Arial" w:cs="Arial"/>
                <w:b/>
                <w:bCs/>
                <w:color w:val="auto"/>
                <w:sz w:val="36"/>
                <w:szCs w:val="36"/>
                <w:highlight w:val="none"/>
              </w:rPr>
              <w:t>项目</w:t>
            </w:r>
            <w:r>
              <w:rPr>
                <w:rFonts w:hint="eastAsia" w:ascii="Arial" w:hAnsi="Arial" w:cs="Arial"/>
                <w:b/>
                <w:bCs/>
                <w:color w:val="auto"/>
                <w:sz w:val="36"/>
                <w:szCs w:val="36"/>
                <w:highlight w:val="none"/>
              </w:rPr>
              <w:t>名</w:t>
            </w:r>
            <w:r>
              <w:rPr>
                <w:rFonts w:ascii="Arial" w:hAnsi="Arial" w:cs="Arial"/>
                <w:b/>
                <w:bCs/>
                <w:color w:val="auto"/>
                <w:sz w:val="36"/>
                <w:szCs w:val="36"/>
                <w:highlight w:val="none"/>
              </w:rPr>
              <w:t>称：</w:t>
            </w:r>
            <w:r>
              <w:rPr>
                <w:rFonts w:hint="eastAsia" w:ascii="Arial" w:hAnsi="Arial" w:cs="Arial"/>
                <w:b/>
                <w:bCs/>
                <w:color w:val="auto"/>
                <w:sz w:val="36"/>
                <w:szCs w:val="36"/>
                <w:highlight w:val="none"/>
              </w:rPr>
              <w:t xml:space="preserve"> </w:t>
            </w:r>
            <w:r>
              <w:rPr>
                <w:rFonts w:ascii="Arial" w:hAnsi="Arial" w:cs="Arial"/>
                <w:b/>
                <w:bCs/>
                <w:color w:val="auto"/>
                <w:sz w:val="36"/>
                <w:szCs w:val="36"/>
                <w:highlight w:val="none"/>
              </w:rPr>
              <w:t xml:space="preserve"> </w:t>
            </w:r>
          </w:p>
        </w:tc>
        <w:tc>
          <w:tcPr>
            <w:tcW w:w="5670" w:type="dxa"/>
            <w:tcBorders>
              <w:top w:val="nil"/>
              <w:left w:val="nil"/>
              <w:bottom w:val="nil"/>
              <w:right w:val="nil"/>
            </w:tcBorders>
            <w:shd w:val="clear" w:color="auto" w:fill="auto"/>
            <w:vAlign w:val="center"/>
          </w:tcPr>
          <w:p w14:paraId="47263576">
            <w:pPr>
              <w:spacing w:line="740" w:lineRule="exact"/>
              <w:jc w:val="left"/>
              <w:rPr>
                <w:rFonts w:hint="default" w:ascii="Arial" w:hAnsi="Arial" w:eastAsia="宋体" w:cs="Arial"/>
                <w:b/>
                <w:bCs/>
                <w:color w:val="auto"/>
                <w:sz w:val="36"/>
                <w:szCs w:val="36"/>
                <w:highlight w:val="none"/>
                <w:lang w:val="en-US" w:eastAsia="zh-CN"/>
              </w:rPr>
            </w:pPr>
            <w:r>
              <w:rPr>
                <w:rFonts w:hint="eastAsia" w:ascii="Arial" w:hAnsi="Arial" w:cs="Arial"/>
                <w:b/>
                <w:bCs/>
                <w:color w:val="auto"/>
                <w:sz w:val="36"/>
                <w:szCs w:val="36"/>
                <w:highlight w:val="none"/>
              </w:rPr>
              <w:t>麻醉机</w:t>
            </w:r>
            <w:r>
              <w:rPr>
                <w:rFonts w:hint="eastAsia" w:ascii="Arial" w:hAnsi="Arial" w:cs="Arial"/>
                <w:b/>
                <w:bCs/>
                <w:color w:val="auto"/>
                <w:sz w:val="36"/>
                <w:szCs w:val="36"/>
                <w:highlight w:val="none"/>
                <w:lang w:eastAsia="zh-CN"/>
              </w:rPr>
              <w:t>采购项目</w:t>
            </w:r>
          </w:p>
        </w:tc>
      </w:tr>
    </w:tbl>
    <w:p w14:paraId="18960D31">
      <w:pPr>
        <w:spacing w:line="740" w:lineRule="exact"/>
        <w:rPr>
          <w:rFonts w:ascii="Arial" w:hAnsi="Arial" w:cs="Arial"/>
          <w:b/>
          <w:bCs/>
          <w:color w:val="auto"/>
          <w:sz w:val="36"/>
          <w:highlight w:val="none"/>
        </w:rPr>
      </w:pPr>
      <w:r>
        <w:rPr>
          <w:rFonts w:hint="eastAsia" w:ascii="Arial" w:hAnsi="Arial" w:cs="Arial"/>
          <w:b/>
          <w:bCs/>
          <w:color w:val="auto"/>
          <w:sz w:val="36"/>
          <w:highlight w:val="none"/>
        </w:rPr>
        <w:t xml:space="preserve"> </w:t>
      </w:r>
      <w:r>
        <w:rPr>
          <w:rFonts w:ascii="Arial" w:hAnsi="Arial" w:cs="Arial"/>
          <w:b/>
          <w:bCs/>
          <w:color w:val="auto"/>
          <w:sz w:val="36"/>
          <w:highlight w:val="none"/>
        </w:rPr>
        <w:t xml:space="preserve">   </w:t>
      </w:r>
      <w:r>
        <w:rPr>
          <w:rFonts w:hint="eastAsia" w:ascii="Arial" w:hAnsi="Arial" w:cs="Arial"/>
          <w:b/>
          <w:bCs/>
          <w:color w:val="auto"/>
          <w:sz w:val="36"/>
          <w:highlight w:val="none"/>
        </w:rPr>
        <w:t xml:space="preserve">合同编号： </w:t>
      </w:r>
    </w:p>
    <w:p w14:paraId="4F84C03B">
      <w:pPr>
        <w:spacing w:line="740" w:lineRule="exact"/>
        <w:ind w:firstLine="1785" w:firstLineChars="494"/>
        <w:rPr>
          <w:rFonts w:ascii="Arial" w:hAnsi="Arial" w:cs="Arial"/>
          <w:b/>
          <w:bCs/>
          <w:color w:val="auto"/>
          <w:sz w:val="36"/>
          <w:highlight w:val="none"/>
        </w:rPr>
      </w:pPr>
    </w:p>
    <w:p w14:paraId="32CF7073">
      <w:pPr>
        <w:spacing w:line="740" w:lineRule="exact"/>
        <w:ind w:firstLine="723" w:firstLineChars="200"/>
        <w:rPr>
          <w:rFonts w:ascii="Arial" w:hAnsi="Arial" w:cs="Arial"/>
          <w:b/>
          <w:bCs/>
          <w:color w:val="auto"/>
          <w:sz w:val="36"/>
          <w:highlight w:val="none"/>
        </w:rPr>
      </w:pPr>
      <w:r>
        <w:rPr>
          <w:rFonts w:ascii="Arial" w:hAnsi="Arial" w:cs="Arial"/>
          <w:b/>
          <w:bCs/>
          <w:color w:val="auto"/>
          <w:sz w:val="36"/>
          <w:highlight w:val="none"/>
        </w:rPr>
        <w:t>甲方：</w:t>
      </w:r>
      <w:r>
        <w:rPr>
          <w:rFonts w:hint="eastAsia" w:ascii="Arial" w:hAnsi="Arial" w:cs="Arial"/>
          <w:b/>
          <w:bCs/>
          <w:color w:val="auto"/>
          <w:sz w:val="36"/>
          <w:highlight w:val="none"/>
        </w:rPr>
        <w:t>桂林医科大学第一附属医院</w:t>
      </w:r>
    </w:p>
    <w:p w14:paraId="5B19BD86">
      <w:pPr>
        <w:spacing w:line="740" w:lineRule="exact"/>
        <w:ind w:firstLine="723" w:firstLineChars="200"/>
        <w:rPr>
          <w:rFonts w:ascii="Arial" w:hAnsi="Arial" w:cs="Arial"/>
          <w:b/>
          <w:bCs/>
          <w:color w:val="auto"/>
          <w:sz w:val="36"/>
          <w:highlight w:val="none"/>
        </w:rPr>
      </w:pPr>
      <w:r>
        <w:rPr>
          <w:rFonts w:ascii="Arial" w:hAnsi="Arial" w:cs="Arial"/>
          <w:b/>
          <w:bCs/>
          <w:color w:val="auto"/>
          <w:sz w:val="36"/>
          <w:highlight w:val="none"/>
        </w:rPr>
        <w:t>乙方：</w:t>
      </w:r>
      <w:r>
        <w:rPr>
          <w:rFonts w:hint="eastAsia" w:ascii="Arial" w:hAnsi="Arial" w:cs="Arial"/>
          <w:b/>
          <w:bCs/>
          <w:color w:val="auto"/>
          <w:sz w:val="36"/>
          <w:highlight w:val="none"/>
        </w:rPr>
        <w:t xml:space="preserve"> </w:t>
      </w:r>
    </w:p>
    <w:p w14:paraId="05889E0B">
      <w:pPr>
        <w:spacing w:line="740" w:lineRule="exact"/>
        <w:ind w:firstLine="1785" w:firstLineChars="494"/>
        <w:rPr>
          <w:rFonts w:ascii="Arial" w:hAnsi="Arial" w:cs="Arial"/>
          <w:b/>
          <w:bCs/>
          <w:color w:val="auto"/>
          <w:sz w:val="36"/>
          <w:highlight w:val="none"/>
        </w:rPr>
      </w:pPr>
    </w:p>
    <w:p w14:paraId="6523AFBC">
      <w:pPr>
        <w:spacing w:line="700" w:lineRule="exact"/>
        <w:rPr>
          <w:rFonts w:ascii="Arial" w:hAnsi="Arial" w:cs="Arial"/>
          <w:b/>
          <w:bCs/>
          <w:color w:val="auto"/>
          <w:sz w:val="36"/>
          <w:highlight w:val="none"/>
        </w:rPr>
      </w:pPr>
    </w:p>
    <w:p w14:paraId="2519B1CA">
      <w:pPr>
        <w:spacing w:line="700" w:lineRule="exact"/>
        <w:ind w:firstLine="1084" w:firstLineChars="300"/>
        <w:rPr>
          <w:rFonts w:ascii="Arial" w:hAnsi="Arial" w:cs="Arial"/>
          <w:b/>
          <w:bCs/>
          <w:color w:val="auto"/>
          <w:sz w:val="36"/>
          <w:highlight w:val="none"/>
        </w:rPr>
        <w:sectPr>
          <w:footerReference r:id="rId5" w:type="default"/>
          <w:pgSz w:w="11906" w:h="16838"/>
          <w:pgMar w:top="1417" w:right="1587" w:bottom="1417" w:left="1587" w:header="851" w:footer="992" w:gutter="0"/>
          <w:cols w:space="425" w:num="1"/>
          <w:docGrid w:type="lines" w:linePitch="312" w:charSpace="0"/>
        </w:sectPr>
      </w:pPr>
      <w:r>
        <w:rPr>
          <w:rFonts w:hint="eastAsia" w:ascii="Arial" w:hAnsi="Arial" w:cs="Arial"/>
          <w:b/>
          <w:bCs/>
          <w:color w:val="auto"/>
          <w:sz w:val="36"/>
          <w:highlight w:val="none"/>
        </w:rPr>
        <w:t>签订日期：2</w:t>
      </w:r>
      <w:r>
        <w:rPr>
          <w:rFonts w:ascii="Arial" w:hAnsi="Arial" w:cs="Arial"/>
          <w:b/>
          <w:bCs/>
          <w:color w:val="auto"/>
          <w:sz w:val="36"/>
          <w:highlight w:val="none"/>
        </w:rPr>
        <w:t>02</w:t>
      </w:r>
      <w:r>
        <w:rPr>
          <w:rFonts w:hint="eastAsia" w:ascii="Arial" w:hAnsi="Arial" w:cs="Arial"/>
          <w:b/>
          <w:bCs/>
          <w:color w:val="auto"/>
          <w:sz w:val="36"/>
          <w:highlight w:val="none"/>
        </w:rPr>
        <w:t xml:space="preserve">6年 </w:t>
      </w:r>
      <w:r>
        <w:rPr>
          <w:rFonts w:ascii="Arial" w:hAnsi="Arial" w:cs="Arial"/>
          <w:b/>
          <w:bCs/>
          <w:color w:val="auto"/>
          <w:sz w:val="36"/>
          <w:highlight w:val="none"/>
        </w:rPr>
        <w:t xml:space="preserve">  </w:t>
      </w:r>
      <w:r>
        <w:rPr>
          <w:rFonts w:hint="eastAsia" w:ascii="Arial" w:hAnsi="Arial" w:cs="Arial"/>
          <w:b/>
          <w:bCs/>
          <w:color w:val="auto"/>
          <w:sz w:val="36"/>
          <w:highlight w:val="none"/>
        </w:rPr>
        <w:t xml:space="preserve">月 </w:t>
      </w:r>
      <w:r>
        <w:rPr>
          <w:rFonts w:ascii="Arial" w:hAnsi="Arial" w:cs="Arial"/>
          <w:b/>
          <w:bCs/>
          <w:color w:val="auto"/>
          <w:sz w:val="36"/>
          <w:highlight w:val="none"/>
        </w:rPr>
        <w:t xml:space="preserve">    </w:t>
      </w:r>
      <w:r>
        <w:rPr>
          <w:rFonts w:hint="eastAsia" w:ascii="Arial" w:hAnsi="Arial" w:cs="Arial"/>
          <w:b/>
          <w:bCs/>
          <w:color w:val="auto"/>
          <w:sz w:val="36"/>
          <w:highlight w:val="none"/>
        </w:rPr>
        <w:t>日</w:t>
      </w:r>
      <w:r>
        <w:rPr>
          <w:rFonts w:ascii="Arial" w:hAnsi="Arial" w:cs="Arial"/>
          <w:b/>
          <w:bCs/>
          <w:color w:val="auto"/>
          <w:sz w:val="36"/>
          <w:highlight w:val="none"/>
        </w:rPr>
        <w:t xml:space="preserve">    </w:t>
      </w:r>
    </w:p>
    <w:p w14:paraId="65C65AD6">
      <w:pPr>
        <w:spacing w:line="500" w:lineRule="exact"/>
        <w:jc w:val="center"/>
        <w:rPr>
          <w:rFonts w:ascii="宋体" w:hAnsi="宋体"/>
          <w:b/>
          <w:color w:val="auto"/>
          <w:sz w:val="44"/>
          <w:szCs w:val="44"/>
          <w:highlight w:val="none"/>
        </w:rPr>
      </w:pPr>
      <w:r>
        <w:rPr>
          <w:rFonts w:hint="eastAsia" w:ascii="宋体" w:hAnsi="宋体"/>
          <w:b/>
          <w:color w:val="auto"/>
          <w:sz w:val="44"/>
          <w:szCs w:val="44"/>
          <w:highlight w:val="none"/>
        </w:rPr>
        <w:t>医疗器械采购合同</w:t>
      </w:r>
    </w:p>
    <w:p w14:paraId="0597B663">
      <w:pPr>
        <w:spacing w:line="400" w:lineRule="exact"/>
        <w:rPr>
          <w:rFonts w:ascii="宋体" w:hAnsi="宋体"/>
          <w:b/>
          <w:color w:val="auto"/>
          <w:sz w:val="24"/>
          <w:highlight w:val="none"/>
        </w:rPr>
      </w:pPr>
    </w:p>
    <w:p w14:paraId="283CA3FF">
      <w:pPr>
        <w:spacing w:line="400" w:lineRule="exact"/>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项目名称： 麻醉机</w:t>
      </w:r>
      <w:r>
        <w:rPr>
          <w:rFonts w:hint="eastAsia" w:asciiTheme="majorEastAsia" w:hAnsiTheme="majorEastAsia" w:eastAsiaTheme="majorEastAsia" w:cstheme="majorEastAsia"/>
          <w:b/>
          <w:color w:val="auto"/>
          <w:szCs w:val="21"/>
          <w:highlight w:val="none"/>
          <w:lang w:eastAsia="zh-CN"/>
        </w:rPr>
        <w:t>采购项目</w:t>
      </w:r>
      <w:r>
        <w:rPr>
          <w:rFonts w:hint="eastAsia" w:asciiTheme="majorEastAsia" w:hAnsiTheme="majorEastAsia" w:eastAsiaTheme="majorEastAsia" w:cstheme="majorEastAsia"/>
          <w:b/>
          <w:color w:val="auto"/>
          <w:szCs w:val="21"/>
          <w:highlight w:val="none"/>
        </w:rPr>
        <w:t xml:space="preserve">                    合同编号：</w:t>
      </w:r>
    </w:p>
    <w:p w14:paraId="396C31AC">
      <w:pPr>
        <w:spacing w:line="400" w:lineRule="exact"/>
        <w:rPr>
          <w:rFonts w:asciiTheme="majorEastAsia" w:hAnsiTheme="majorEastAsia" w:eastAsiaTheme="majorEastAsia" w:cstheme="majorEastAsia"/>
          <w:b/>
          <w:color w:val="auto"/>
          <w:szCs w:val="21"/>
          <w:highlight w:val="none"/>
        </w:rPr>
      </w:pPr>
    </w:p>
    <w:p w14:paraId="06BA6AA1">
      <w:pPr>
        <w:spacing w:line="400" w:lineRule="exact"/>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甲方：</w:t>
      </w:r>
      <w:r>
        <w:rPr>
          <w:rFonts w:hint="eastAsia" w:asciiTheme="majorEastAsia" w:hAnsiTheme="majorEastAsia" w:eastAsiaTheme="majorEastAsia" w:cstheme="majorEastAsia"/>
          <w:b/>
          <w:color w:val="auto"/>
          <w:szCs w:val="21"/>
          <w:highlight w:val="none"/>
          <w:u w:val="single"/>
        </w:rPr>
        <w:t xml:space="preserve">桂林医科大学第一附属医院       </w:t>
      </w:r>
    </w:p>
    <w:p w14:paraId="38995F7B">
      <w:pPr>
        <w:spacing w:line="400" w:lineRule="exact"/>
        <w:rPr>
          <w:rFonts w:asciiTheme="majorEastAsia" w:hAnsiTheme="majorEastAsia" w:eastAsiaTheme="majorEastAsia" w:cstheme="majorEastAsia"/>
          <w:b/>
          <w:color w:val="auto"/>
          <w:szCs w:val="21"/>
          <w:highlight w:val="none"/>
          <w:u w:val="single"/>
        </w:rPr>
      </w:pPr>
      <w:r>
        <w:rPr>
          <w:rFonts w:hint="eastAsia" w:asciiTheme="majorEastAsia" w:hAnsiTheme="majorEastAsia" w:eastAsiaTheme="majorEastAsia" w:cstheme="majorEastAsia"/>
          <w:b/>
          <w:color w:val="auto"/>
          <w:szCs w:val="21"/>
          <w:highlight w:val="none"/>
        </w:rPr>
        <w:t>乙方：</w:t>
      </w:r>
      <w:r>
        <w:rPr>
          <w:rFonts w:hint="eastAsia" w:asciiTheme="majorEastAsia" w:hAnsiTheme="majorEastAsia" w:eastAsiaTheme="majorEastAsia" w:cstheme="majorEastAsia"/>
          <w:b/>
          <w:color w:val="auto"/>
          <w:szCs w:val="21"/>
          <w:highlight w:val="none"/>
          <w:u w:val="single"/>
        </w:rPr>
        <w:t xml:space="preserve">                     </w:t>
      </w:r>
      <w:r>
        <w:rPr>
          <w:rFonts w:hint="eastAsia" w:asciiTheme="majorEastAsia" w:hAnsiTheme="majorEastAsia" w:eastAsiaTheme="majorEastAsia" w:cstheme="majorEastAsia"/>
          <w:b/>
          <w:color w:val="auto"/>
          <w:szCs w:val="21"/>
          <w:highlight w:val="none"/>
          <w:u w:val="single"/>
        </w:rPr>
        <w:softHyphen/>
      </w:r>
      <w:r>
        <w:rPr>
          <w:rFonts w:hint="eastAsia" w:asciiTheme="majorEastAsia" w:hAnsiTheme="majorEastAsia" w:eastAsiaTheme="majorEastAsia" w:cstheme="majorEastAsia"/>
          <w:b/>
          <w:color w:val="auto"/>
          <w:szCs w:val="21"/>
          <w:highlight w:val="none"/>
          <w:u w:val="single"/>
        </w:rPr>
        <w:softHyphen/>
      </w:r>
      <w:r>
        <w:rPr>
          <w:rFonts w:hint="eastAsia" w:asciiTheme="majorEastAsia" w:hAnsiTheme="majorEastAsia" w:eastAsiaTheme="majorEastAsia" w:cstheme="majorEastAsia"/>
          <w:b/>
          <w:color w:val="auto"/>
          <w:szCs w:val="21"/>
          <w:highlight w:val="none"/>
          <w:u w:val="single"/>
        </w:rPr>
        <w:t xml:space="preserve">                     </w:t>
      </w:r>
    </w:p>
    <w:p w14:paraId="6EF0C5FA">
      <w:pPr>
        <w:spacing w:line="40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甲乙双方根据中华人民共和国有关法律、法规规定：经协商一致，订立本合同，供双方共同遵守：</w:t>
      </w:r>
    </w:p>
    <w:p w14:paraId="25E7EEEC">
      <w:pPr>
        <w:spacing w:line="400" w:lineRule="exact"/>
        <w:ind w:right="-105" w:rightChars="-50"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一、</w:t>
      </w:r>
      <w:r>
        <w:rPr>
          <w:rFonts w:hint="eastAsia" w:asciiTheme="majorEastAsia" w:hAnsiTheme="majorEastAsia" w:eastAsiaTheme="majorEastAsia" w:cstheme="majorEastAsia"/>
          <w:b/>
          <w:color w:val="auto"/>
          <w:szCs w:val="21"/>
          <w:highlight w:val="none"/>
        </w:rPr>
        <w:t>货物名称、品牌、型号、规格（须与医疗器械注册证一致）、厂家、数量、金额</w:t>
      </w:r>
    </w:p>
    <w:tbl>
      <w:tblPr>
        <w:tblStyle w:val="47"/>
        <w:tblW w:w="0" w:type="auto"/>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003"/>
        <w:gridCol w:w="1386"/>
        <w:gridCol w:w="1003"/>
        <w:gridCol w:w="1003"/>
        <w:gridCol w:w="619"/>
        <w:gridCol w:w="619"/>
        <w:gridCol w:w="1233"/>
        <w:gridCol w:w="1233"/>
      </w:tblGrid>
      <w:tr w14:paraId="69CA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670" w:type="dxa"/>
            <w:vAlign w:val="center"/>
          </w:tcPr>
          <w:p w14:paraId="4DC5AB2D">
            <w:pPr>
              <w:snapToGrid w:val="0"/>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项目名称</w:t>
            </w:r>
          </w:p>
        </w:tc>
        <w:tc>
          <w:tcPr>
            <w:tcW w:w="0" w:type="auto"/>
            <w:vAlign w:val="center"/>
          </w:tcPr>
          <w:p w14:paraId="3344B637">
            <w:pPr>
              <w:snapToGrid w:val="0"/>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产品名称</w:t>
            </w:r>
          </w:p>
        </w:tc>
        <w:tc>
          <w:tcPr>
            <w:tcW w:w="0" w:type="auto"/>
            <w:vAlign w:val="center"/>
          </w:tcPr>
          <w:p w14:paraId="6E0F1FCA">
            <w:pPr>
              <w:snapToGrid w:val="0"/>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器材注册证号</w:t>
            </w:r>
          </w:p>
        </w:tc>
        <w:tc>
          <w:tcPr>
            <w:tcW w:w="0" w:type="auto"/>
            <w:vAlign w:val="center"/>
          </w:tcPr>
          <w:p w14:paraId="554370FB">
            <w:pPr>
              <w:snapToGrid w:val="0"/>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品牌型号</w:t>
            </w:r>
          </w:p>
        </w:tc>
        <w:tc>
          <w:tcPr>
            <w:tcW w:w="0" w:type="auto"/>
            <w:vAlign w:val="center"/>
          </w:tcPr>
          <w:p w14:paraId="17523CE8">
            <w:pPr>
              <w:snapToGrid w:val="0"/>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生产厂家</w:t>
            </w:r>
          </w:p>
        </w:tc>
        <w:tc>
          <w:tcPr>
            <w:tcW w:w="0" w:type="auto"/>
            <w:vAlign w:val="center"/>
          </w:tcPr>
          <w:p w14:paraId="48F73D17">
            <w:pPr>
              <w:snapToGrid w:val="0"/>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单位</w:t>
            </w:r>
          </w:p>
        </w:tc>
        <w:tc>
          <w:tcPr>
            <w:tcW w:w="0" w:type="auto"/>
            <w:vAlign w:val="center"/>
          </w:tcPr>
          <w:p w14:paraId="4FEF66A8">
            <w:pPr>
              <w:snapToGrid w:val="0"/>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数量</w:t>
            </w:r>
          </w:p>
        </w:tc>
        <w:tc>
          <w:tcPr>
            <w:tcW w:w="0" w:type="auto"/>
            <w:vAlign w:val="center"/>
          </w:tcPr>
          <w:p w14:paraId="2E4229ED">
            <w:pPr>
              <w:snapToGrid w:val="0"/>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单价（元）</w:t>
            </w:r>
          </w:p>
        </w:tc>
        <w:tc>
          <w:tcPr>
            <w:tcW w:w="0" w:type="auto"/>
            <w:vAlign w:val="center"/>
          </w:tcPr>
          <w:p w14:paraId="3B4F3C58">
            <w:pPr>
              <w:snapToGrid w:val="0"/>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总价（元）</w:t>
            </w:r>
          </w:p>
        </w:tc>
      </w:tr>
      <w:tr w14:paraId="4F3A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670" w:type="dxa"/>
            <w:vMerge w:val="restart"/>
          </w:tcPr>
          <w:p w14:paraId="2456E4EF">
            <w:pPr>
              <w:spacing w:line="400" w:lineRule="exact"/>
              <w:jc w:val="center"/>
              <w:rPr>
                <w:rFonts w:asciiTheme="majorEastAsia" w:hAnsiTheme="majorEastAsia" w:eastAsiaTheme="majorEastAsia" w:cstheme="majorEastAsia"/>
                <w:b/>
                <w:color w:val="auto"/>
                <w:szCs w:val="21"/>
                <w:highlight w:val="none"/>
              </w:rPr>
            </w:pPr>
          </w:p>
        </w:tc>
        <w:tc>
          <w:tcPr>
            <w:tcW w:w="0" w:type="auto"/>
            <w:vAlign w:val="center"/>
          </w:tcPr>
          <w:p w14:paraId="34997872">
            <w:pPr>
              <w:spacing w:line="400" w:lineRule="exact"/>
              <w:jc w:val="center"/>
              <w:rPr>
                <w:rFonts w:asciiTheme="majorEastAsia" w:hAnsiTheme="majorEastAsia" w:eastAsiaTheme="majorEastAsia" w:cstheme="majorEastAsia"/>
                <w:b/>
                <w:color w:val="auto"/>
                <w:szCs w:val="21"/>
                <w:highlight w:val="none"/>
              </w:rPr>
            </w:pPr>
          </w:p>
        </w:tc>
        <w:tc>
          <w:tcPr>
            <w:tcW w:w="0" w:type="auto"/>
            <w:vAlign w:val="center"/>
          </w:tcPr>
          <w:p w14:paraId="7EAE7C29">
            <w:pPr>
              <w:spacing w:line="400" w:lineRule="exact"/>
              <w:jc w:val="center"/>
              <w:rPr>
                <w:rFonts w:asciiTheme="majorEastAsia" w:hAnsiTheme="majorEastAsia" w:eastAsiaTheme="majorEastAsia" w:cstheme="majorEastAsia"/>
                <w:b/>
                <w:color w:val="auto"/>
                <w:szCs w:val="21"/>
                <w:highlight w:val="none"/>
              </w:rPr>
            </w:pPr>
          </w:p>
        </w:tc>
        <w:tc>
          <w:tcPr>
            <w:tcW w:w="0" w:type="auto"/>
            <w:vAlign w:val="center"/>
          </w:tcPr>
          <w:p w14:paraId="06DE2D6E">
            <w:pPr>
              <w:spacing w:line="400" w:lineRule="exact"/>
              <w:jc w:val="center"/>
              <w:rPr>
                <w:rFonts w:asciiTheme="majorEastAsia" w:hAnsiTheme="majorEastAsia" w:eastAsiaTheme="majorEastAsia" w:cstheme="majorEastAsia"/>
                <w:b/>
                <w:color w:val="auto"/>
                <w:szCs w:val="21"/>
                <w:highlight w:val="none"/>
              </w:rPr>
            </w:pPr>
          </w:p>
        </w:tc>
        <w:tc>
          <w:tcPr>
            <w:tcW w:w="0" w:type="auto"/>
            <w:vAlign w:val="center"/>
          </w:tcPr>
          <w:p w14:paraId="1481843E">
            <w:pPr>
              <w:spacing w:line="400" w:lineRule="exact"/>
              <w:jc w:val="center"/>
              <w:rPr>
                <w:rFonts w:asciiTheme="majorEastAsia" w:hAnsiTheme="majorEastAsia" w:eastAsiaTheme="majorEastAsia" w:cstheme="majorEastAsia"/>
                <w:b/>
                <w:color w:val="auto"/>
                <w:szCs w:val="21"/>
                <w:highlight w:val="none"/>
              </w:rPr>
            </w:pPr>
          </w:p>
        </w:tc>
        <w:tc>
          <w:tcPr>
            <w:tcW w:w="0" w:type="auto"/>
            <w:vAlign w:val="center"/>
          </w:tcPr>
          <w:p w14:paraId="47BB099A">
            <w:pPr>
              <w:spacing w:line="400" w:lineRule="exact"/>
              <w:jc w:val="center"/>
              <w:rPr>
                <w:rFonts w:asciiTheme="majorEastAsia" w:hAnsiTheme="majorEastAsia" w:eastAsiaTheme="majorEastAsia" w:cstheme="majorEastAsia"/>
                <w:b/>
                <w:color w:val="auto"/>
                <w:szCs w:val="21"/>
                <w:highlight w:val="none"/>
              </w:rPr>
            </w:pPr>
          </w:p>
        </w:tc>
        <w:tc>
          <w:tcPr>
            <w:tcW w:w="0" w:type="auto"/>
            <w:vAlign w:val="center"/>
          </w:tcPr>
          <w:p w14:paraId="6D6C32EF">
            <w:pPr>
              <w:spacing w:line="400" w:lineRule="exact"/>
              <w:jc w:val="center"/>
              <w:rPr>
                <w:rFonts w:asciiTheme="majorEastAsia" w:hAnsiTheme="majorEastAsia" w:eastAsiaTheme="majorEastAsia" w:cstheme="majorEastAsia"/>
                <w:b/>
                <w:bCs/>
                <w:color w:val="auto"/>
                <w:szCs w:val="21"/>
                <w:highlight w:val="none"/>
              </w:rPr>
            </w:pPr>
          </w:p>
        </w:tc>
        <w:tc>
          <w:tcPr>
            <w:tcW w:w="0" w:type="auto"/>
            <w:vAlign w:val="center"/>
          </w:tcPr>
          <w:p w14:paraId="6AEADA6E">
            <w:pPr>
              <w:spacing w:line="400" w:lineRule="exact"/>
              <w:jc w:val="center"/>
              <w:rPr>
                <w:rFonts w:asciiTheme="majorEastAsia" w:hAnsiTheme="majorEastAsia" w:eastAsiaTheme="majorEastAsia" w:cstheme="majorEastAsia"/>
                <w:b/>
                <w:bCs/>
                <w:color w:val="auto"/>
                <w:szCs w:val="21"/>
                <w:highlight w:val="none"/>
              </w:rPr>
            </w:pPr>
          </w:p>
        </w:tc>
        <w:tc>
          <w:tcPr>
            <w:tcW w:w="0" w:type="auto"/>
            <w:vAlign w:val="center"/>
          </w:tcPr>
          <w:p w14:paraId="4ECAA579">
            <w:pPr>
              <w:spacing w:line="400" w:lineRule="exact"/>
              <w:jc w:val="center"/>
              <w:rPr>
                <w:rFonts w:asciiTheme="majorEastAsia" w:hAnsiTheme="majorEastAsia" w:eastAsiaTheme="majorEastAsia" w:cstheme="majorEastAsia"/>
                <w:b/>
                <w:bCs/>
                <w:color w:val="auto"/>
                <w:szCs w:val="21"/>
                <w:highlight w:val="none"/>
              </w:rPr>
            </w:pPr>
          </w:p>
        </w:tc>
      </w:tr>
      <w:tr w14:paraId="6942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670" w:type="dxa"/>
            <w:vMerge w:val="continue"/>
          </w:tcPr>
          <w:p w14:paraId="20FD3268">
            <w:pPr>
              <w:spacing w:line="400" w:lineRule="exact"/>
              <w:jc w:val="center"/>
              <w:rPr>
                <w:rFonts w:asciiTheme="majorEastAsia" w:hAnsiTheme="majorEastAsia" w:eastAsiaTheme="majorEastAsia" w:cstheme="majorEastAsia"/>
                <w:b/>
                <w:color w:val="auto"/>
                <w:szCs w:val="21"/>
                <w:highlight w:val="none"/>
              </w:rPr>
            </w:pPr>
          </w:p>
        </w:tc>
        <w:tc>
          <w:tcPr>
            <w:tcW w:w="0" w:type="auto"/>
            <w:vAlign w:val="center"/>
          </w:tcPr>
          <w:p w14:paraId="2C8384CB">
            <w:pPr>
              <w:spacing w:line="400" w:lineRule="exact"/>
              <w:jc w:val="center"/>
              <w:rPr>
                <w:rFonts w:asciiTheme="majorEastAsia" w:hAnsiTheme="majorEastAsia" w:eastAsiaTheme="majorEastAsia" w:cstheme="majorEastAsia"/>
                <w:b/>
                <w:color w:val="auto"/>
                <w:szCs w:val="21"/>
                <w:highlight w:val="none"/>
              </w:rPr>
            </w:pPr>
          </w:p>
        </w:tc>
        <w:tc>
          <w:tcPr>
            <w:tcW w:w="0" w:type="auto"/>
            <w:vAlign w:val="center"/>
          </w:tcPr>
          <w:p w14:paraId="4C8A1E63">
            <w:pPr>
              <w:spacing w:line="400" w:lineRule="exact"/>
              <w:jc w:val="center"/>
              <w:rPr>
                <w:rFonts w:asciiTheme="majorEastAsia" w:hAnsiTheme="majorEastAsia" w:eastAsiaTheme="majorEastAsia" w:cstheme="majorEastAsia"/>
                <w:b/>
                <w:color w:val="auto"/>
                <w:szCs w:val="21"/>
                <w:highlight w:val="none"/>
              </w:rPr>
            </w:pPr>
          </w:p>
        </w:tc>
        <w:tc>
          <w:tcPr>
            <w:tcW w:w="0" w:type="auto"/>
            <w:vAlign w:val="center"/>
          </w:tcPr>
          <w:p w14:paraId="69BC901B">
            <w:pPr>
              <w:spacing w:line="400" w:lineRule="exact"/>
              <w:jc w:val="center"/>
              <w:rPr>
                <w:rFonts w:asciiTheme="majorEastAsia" w:hAnsiTheme="majorEastAsia" w:eastAsiaTheme="majorEastAsia" w:cstheme="majorEastAsia"/>
                <w:b/>
                <w:color w:val="auto"/>
                <w:szCs w:val="21"/>
                <w:highlight w:val="none"/>
              </w:rPr>
            </w:pPr>
          </w:p>
        </w:tc>
        <w:tc>
          <w:tcPr>
            <w:tcW w:w="0" w:type="auto"/>
            <w:vAlign w:val="center"/>
          </w:tcPr>
          <w:p w14:paraId="01F15B57">
            <w:pPr>
              <w:spacing w:line="400" w:lineRule="exact"/>
              <w:jc w:val="center"/>
              <w:rPr>
                <w:rFonts w:asciiTheme="majorEastAsia" w:hAnsiTheme="majorEastAsia" w:eastAsiaTheme="majorEastAsia" w:cstheme="majorEastAsia"/>
                <w:b/>
                <w:color w:val="auto"/>
                <w:szCs w:val="21"/>
                <w:highlight w:val="none"/>
              </w:rPr>
            </w:pPr>
          </w:p>
        </w:tc>
        <w:tc>
          <w:tcPr>
            <w:tcW w:w="0" w:type="auto"/>
            <w:vAlign w:val="center"/>
          </w:tcPr>
          <w:p w14:paraId="2349D1ED">
            <w:pPr>
              <w:spacing w:line="400" w:lineRule="exact"/>
              <w:jc w:val="center"/>
              <w:rPr>
                <w:rFonts w:asciiTheme="majorEastAsia" w:hAnsiTheme="majorEastAsia" w:eastAsiaTheme="majorEastAsia" w:cstheme="majorEastAsia"/>
                <w:b/>
                <w:color w:val="auto"/>
                <w:szCs w:val="21"/>
                <w:highlight w:val="none"/>
              </w:rPr>
            </w:pPr>
          </w:p>
        </w:tc>
        <w:tc>
          <w:tcPr>
            <w:tcW w:w="0" w:type="auto"/>
            <w:vAlign w:val="center"/>
          </w:tcPr>
          <w:p w14:paraId="62074937">
            <w:pPr>
              <w:spacing w:line="400" w:lineRule="exact"/>
              <w:jc w:val="center"/>
              <w:rPr>
                <w:rFonts w:asciiTheme="majorEastAsia" w:hAnsiTheme="majorEastAsia" w:eastAsiaTheme="majorEastAsia" w:cstheme="majorEastAsia"/>
                <w:b/>
                <w:bCs/>
                <w:color w:val="auto"/>
                <w:szCs w:val="21"/>
                <w:highlight w:val="none"/>
              </w:rPr>
            </w:pPr>
          </w:p>
        </w:tc>
        <w:tc>
          <w:tcPr>
            <w:tcW w:w="0" w:type="auto"/>
            <w:vAlign w:val="center"/>
          </w:tcPr>
          <w:p w14:paraId="4C90A4D6">
            <w:pPr>
              <w:spacing w:line="400" w:lineRule="exact"/>
              <w:jc w:val="center"/>
              <w:rPr>
                <w:rFonts w:asciiTheme="majorEastAsia" w:hAnsiTheme="majorEastAsia" w:eastAsiaTheme="majorEastAsia" w:cstheme="majorEastAsia"/>
                <w:b/>
                <w:bCs/>
                <w:color w:val="auto"/>
                <w:szCs w:val="21"/>
                <w:highlight w:val="none"/>
              </w:rPr>
            </w:pPr>
          </w:p>
        </w:tc>
        <w:tc>
          <w:tcPr>
            <w:tcW w:w="0" w:type="auto"/>
            <w:vAlign w:val="center"/>
          </w:tcPr>
          <w:p w14:paraId="6410881F">
            <w:pPr>
              <w:spacing w:line="400" w:lineRule="exact"/>
              <w:jc w:val="center"/>
              <w:rPr>
                <w:rFonts w:asciiTheme="majorEastAsia" w:hAnsiTheme="majorEastAsia" w:eastAsiaTheme="majorEastAsia" w:cstheme="majorEastAsia"/>
                <w:b/>
                <w:bCs/>
                <w:color w:val="auto"/>
                <w:szCs w:val="21"/>
                <w:highlight w:val="none"/>
              </w:rPr>
            </w:pPr>
          </w:p>
        </w:tc>
      </w:tr>
      <w:tr w14:paraId="1DE1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8767" w:type="dxa"/>
            <w:gridSpan w:val="9"/>
          </w:tcPr>
          <w:p w14:paraId="497FE166">
            <w:pPr>
              <w:snapToGrid w:val="0"/>
              <w:spacing w:line="400" w:lineRule="exact"/>
              <w:jc w:val="left"/>
              <w:rPr>
                <w:rFonts w:asciiTheme="majorEastAsia" w:hAnsiTheme="majorEastAsia" w:eastAsiaTheme="majorEastAsia" w:cstheme="majorEastAsia"/>
                <w:color w:val="auto"/>
                <w:szCs w:val="21"/>
                <w:highlight w:val="none"/>
                <w:shd w:val="clear" w:color="auto" w:fill="FFFFFF"/>
              </w:rPr>
            </w:pPr>
            <w:r>
              <w:rPr>
                <w:rFonts w:hint="eastAsia" w:asciiTheme="majorEastAsia" w:hAnsiTheme="majorEastAsia" w:eastAsiaTheme="majorEastAsia" w:cstheme="majorEastAsia"/>
                <w:bCs/>
                <w:color w:val="auto"/>
                <w:szCs w:val="21"/>
                <w:highlight w:val="none"/>
              </w:rPr>
              <w:t>合计金额人民币（大写）：</w:t>
            </w:r>
            <w:r>
              <w:rPr>
                <w:rFonts w:hint="eastAsia" w:asciiTheme="majorEastAsia" w:hAnsiTheme="majorEastAsia" w:eastAsiaTheme="majorEastAsia" w:cstheme="majorEastAsia"/>
                <w:b/>
                <w:bCs/>
                <w:color w:val="auto"/>
                <w:szCs w:val="21"/>
                <w:highlight w:val="none"/>
                <w:u w:val="single"/>
              </w:rPr>
              <w:t xml:space="preserve">              ，</w:t>
            </w:r>
            <w:r>
              <w:rPr>
                <w:rFonts w:hint="eastAsia" w:asciiTheme="majorEastAsia" w:hAnsiTheme="majorEastAsia" w:eastAsiaTheme="majorEastAsia" w:cstheme="majorEastAsia"/>
                <w:b/>
                <w:bCs/>
                <w:color w:val="auto"/>
                <w:szCs w:val="21"/>
                <w:highlight w:val="none"/>
              </w:rPr>
              <w:t>小写：￥</w:t>
            </w:r>
            <w:r>
              <w:rPr>
                <w:rFonts w:hint="eastAsia" w:asciiTheme="majorEastAsia" w:hAnsiTheme="majorEastAsia" w:eastAsiaTheme="majorEastAsia" w:cstheme="majorEastAsia"/>
                <w:b/>
                <w:bCs/>
                <w:color w:val="auto"/>
                <w:szCs w:val="21"/>
                <w:highlight w:val="none"/>
                <w:u w:val="single"/>
              </w:rPr>
              <w:t xml:space="preserve">             。</w:t>
            </w:r>
          </w:p>
          <w:p w14:paraId="49F6D8A0">
            <w:pPr>
              <w:spacing w:line="400" w:lineRule="exact"/>
              <w:jc w:val="left"/>
              <w:rPr>
                <w:rFonts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color w:val="auto"/>
                <w:szCs w:val="21"/>
                <w:highlight w:val="none"/>
              </w:rPr>
              <w:t>（合计金额包括但不限于货物货款、货物标准附件、备品配件、专用工具、包装、运输、装卸、保险、税金、货到就位和安装、调试、培训、保修等的费用。如招标文件另有规定的，从其规定）</w:t>
            </w:r>
          </w:p>
        </w:tc>
      </w:tr>
    </w:tbl>
    <w:p w14:paraId="68234947">
      <w:pPr>
        <w:spacing w:line="380" w:lineRule="exact"/>
        <w:ind w:firstLine="422" w:firstLineChars="20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二、付款条件及期限：</w:t>
      </w:r>
    </w:p>
    <w:p w14:paraId="2CBF1F68">
      <w:pPr>
        <w:spacing w:line="3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1仪器设备类：本仪器设备验收合格后，乙方开具全额税务增值税专用发票，甲方在收到发票后转账支付合同款的95%（无息），可采用汇票、云信、供应链、信用证等付款方式。合同款的5%在设备验收合格满</w:t>
      </w:r>
      <w:r>
        <w:rPr>
          <w:rFonts w:hint="eastAsia" w:asciiTheme="majorEastAsia" w:hAnsiTheme="majorEastAsia" w:eastAsiaTheme="majorEastAsia" w:cstheme="majorEastAsia"/>
          <w:color w:val="auto"/>
          <w:szCs w:val="21"/>
          <w:highlight w:val="none"/>
          <w:lang w:val="en-US" w:eastAsia="zh-CN"/>
        </w:rPr>
        <w:t>3</w:t>
      </w:r>
      <w:r>
        <w:rPr>
          <w:rFonts w:hint="eastAsia" w:asciiTheme="majorEastAsia" w:hAnsiTheme="majorEastAsia" w:eastAsiaTheme="majorEastAsia" w:cstheme="majorEastAsia"/>
          <w:color w:val="auto"/>
          <w:szCs w:val="21"/>
          <w:highlight w:val="none"/>
        </w:rPr>
        <w:t>年后的三个月内转账支付（无息）。甲方付款前，乙方未按上述要求开具符合甲方要求的正规财务票据的，甲方有权暂缓或拒付款项且不构成违约。</w:t>
      </w:r>
    </w:p>
    <w:p w14:paraId="3B24A0DD">
      <w:pPr>
        <w:snapToGrid w:val="0"/>
        <w:spacing w:line="3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票据要求：乙方必须按照甲方要求提供真实、有效、合法的正式税务发票。一旦发现乙方提供虚假税务发票，除须向甲方补开合法的税务发票外，须赔偿甲方发票票面金额一倍的违约金，且甲方有权终止合同，乙方不得提出异议，因终止合同而产生的一切损失均由乙方承担。</w:t>
      </w:r>
    </w:p>
    <w:p w14:paraId="073C0E16">
      <w:pPr>
        <w:spacing w:line="380" w:lineRule="exact"/>
        <w:ind w:firstLine="422" w:firstLineChars="20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三、货物包装、发运及运输</w:t>
      </w:r>
    </w:p>
    <w:p w14:paraId="25F526A1">
      <w:pPr>
        <w:spacing w:line="380" w:lineRule="exact"/>
        <w:ind w:firstLine="420" w:firstLineChars="20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color w:val="auto"/>
          <w:szCs w:val="21"/>
          <w:highlight w:val="none"/>
        </w:rPr>
        <w:t>1.乙方应在货物发运前对其进行满足于运输距离、防潮、防震、防锈和防破损装卸要求的包装，以保证货物安全运输到达甲方指定地点。</w:t>
      </w:r>
    </w:p>
    <w:p w14:paraId="48D7B0A6">
      <w:pPr>
        <w:spacing w:line="3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2.使用说明书、质量检验证明书、随配附件和工具以及清单等一并附于货物内。</w:t>
      </w:r>
    </w:p>
    <w:p w14:paraId="15A0B90F">
      <w:pPr>
        <w:spacing w:line="3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3.乙方负责将货物安全运送到甲方指定地点，并负责清理回收甲方舍弃的相关大件包装, 不另收任何费用。货到甲方前48小时，由乙方通知甲方接货；货到甲方后，乙方应通知甲方进行验收，验收合格，自甲方签字接收之日为乙方交付之日，交付之前一切货物风险由乙方承担。</w:t>
      </w:r>
    </w:p>
    <w:p w14:paraId="51E82560">
      <w:pPr>
        <w:spacing w:line="380" w:lineRule="exact"/>
        <w:ind w:firstLine="422" w:firstLineChars="20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四、质量要求</w:t>
      </w:r>
    </w:p>
    <w:p w14:paraId="51EEC52A">
      <w:pPr>
        <w:spacing w:line="380" w:lineRule="exact"/>
        <w:ind w:right="-210" w:rightChars="-100"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1.乙方应按规定的货物性能、技术要求、质量标准向甲方提供未经使用的全新产品。</w:t>
      </w:r>
    </w:p>
    <w:p w14:paraId="500ECEAC">
      <w:pPr>
        <w:spacing w:line="3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2.乙方提供货物的保修期为自交货物验收合格之日起至</w:t>
      </w:r>
      <w:r>
        <w:rPr>
          <w:rFonts w:hint="eastAsia" w:asciiTheme="majorEastAsia" w:hAnsiTheme="majorEastAsia" w:eastAsiaTheme="majorEastAsia" w:cstheme="majorEastAsia"/>
          <w:color w:val="auto"/>
          <w:szCs w:val="21"/>
          <w:highlight w:val="none"/>
          <w:u w:val="single"/>
        </w:rPr>
        <w:t xml:space="preserve">  xxxx  </w:t>
      </w:r>
      <w:r>
        <w:rPr>
          <w:rFonts w:hint="eastAsia" w:asciiTheme="majorEastAsia" w:hAnsiTheme="majorEastAsia" w:eastAsiaTheme="majorEastAsia" w:cstheme="majorEastAsia"/>
          <w:color w:val="auto"/>
          <w:szCs w:val="21"/>
          <w:highlight w:val="none"/>
        </w:rPr>
        <w:t>个月止（按投标文件中生产厂家或授权代理商承诺的最长保修期为准，质保包含主机及所有配件）。在保修期内因货物本身的质量问题发生故障，乙方应负责免费修理和无条件更换, 并按售后服务承诺书（附件），延长保修期。</w:t>
      </w:r>
    </w:p>
    <w:p w14:paraId="631B8455">
      <w:pPr>
        <w:spacing w:line="3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3.保修期内，如在使用过程中发生质量问题，乙方在接到甲方通知后按承诺的时间（</w:t>
      </w:r>
      <w:r>
        <w:rPr>
          <w:rFonts w:hint="eastAsia" w:asciiTheme="majorEastAsia" w:hAnsiTheme="majorEastAsia" w:eastAsiaTheme="majorEastAsia" w:cstheme="majorEastAsia"/>
          <w:color w:val="auto"/>
          <w:szCs w:val="21"/>
          <w:highlight w:val="none"/>
          <w:u w:val="single"/>
        </w:rPr>
        <w:t>xxx</w:t>
      </w:r>
      <w:r>
        <w:rPr>
          <w:rFonts w:hint="eastAsia" w:asciiTheme="majorEastAsia" w:hAnsiTheme="majorEastAsia" w:eastAsiaTheme="majorEastAsia" w:cstheme="majorEastAsia"/>
          <w:color w:val="auto"/>
          <w:szCs w:val="21"/>
          <w:highlight w:val="none"/>
        </w:rPr>
        <w:t xml:space="preserve"> 小时）内到达甲方现场处理。乙方未在承诺时间内到达处理，每次需按照该设备中标金额的1%支付违约金，违约金总金额不超过该设备总金额的5%，扣款直接以留存的5%合同价款抵扣，不足抵扣的，乙方须承担补足责任。否则乙方需按合同总金额的30%向甲方支付违约金并承担相应的法律责任。</w:t>
      </w:r>
    </w:p>
    <w:p w14:paraId="31B0A7A4">
      <w:pPr>
        <w:spacing w:line="380" w:lineRule="exact"/>
        <w:ind w:firstLine="422" w:firstLineChars="20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五、货物的验收</w:t>
      </w:r>
    </w:p>
    <w:p w14:paraId="611C1498">
      <w:pPr>
        <w:spacing w:line="3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1.乙方交货前应对产品作出全面检查和对验收文件进行整理列出清单，作为甲方收货验收和使用的技术条件依据，检验的结果应随货物交甲方。</w:t>
      </w:r>
    </w:p>
    <w:p w14:paraId="0D4EF924">
      <w:pPr>
        <w:spacing w:line="3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2.甲方对乙方所交货物依照国家有关标准，进行现场验收，性能达到技术要求的给予签收，验收不合格不予签收，后果由乙方负责。</w:t>
      </w:r>
    </w:p>
    <w:p w14:paraId="29B89F77">
      <w:pPr>
        <w:spacing w:line="3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3.乙方应在货到指定地点安装、调试完毕，确保正常使用，并及时配合甲方验收。</w:t>
      </w:r>
    </w:p>
    <w:p w14:paraId="2ACA535A">
      <w:pPr>
        <w:spacing w:line="380" w:lineRule="exact"/>
        <w:ind w:firstLine="422" w:firstLineChars="20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六、交货期及交货方式</w:t>
      </w:r>
    </w:p>
    <w:p w14:paraId="2EEC633C">
      <w:pPr>
        <w:spacing w:line="3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1.交货期：合同签订，接采购人供货通知后</w:t>
      </w:r>
      <w:r>
        <w:rPr>
          <w:rFonts w:hint="eastAsia" w:asciiTheme="majorEastAsia" w:hAnsiTheme="majorEastAsia" w:eastAsiaTheme="majorEastAsia" w:cstheme="majorEastAsia"/>
          <w:color w:val="auto"/>
          <w:szCs w:val="21"/>
          <w:highlight w:val="none"/>
          <w:u w:val="single"/>
        </w:rPr>
        <w:t xml:space="preserve">  xxxxxxxxx </w:t>
      </w:r>
      <w:r>
        <w:rPr>
          <w:rFonts w:hint="eastAsia" w:asciiTheme="majorEastAsia" w:hAnsiTheme="majorEastAsia" w:eastAsiaTheme="majorEastAsia" w:cstheme="majorEastAsia"/>
          <w:color w:val="auto"/>
          <w:szCs w:val="21"/>
          <w:highlight w:val="none"/>
        </w:rPr>
        <w:t>个工作日内到货并安装调试完毕，达到正常使用状态。</w:t>
      </w:r>
    </w:p>
    <w:p w14:paraId="3DA7CFD6">
      <w:pPr>
        <w:spacing w:line="3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2.交货方式：现场免费安装调试、培训、器械正常使用，验收合格。</w:t>
      </w:r>
    </w:p>
    <w:p w14:paraId="69DD12D1">
      <w:pPr>
        <w:spacing w:line="3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3.交货地点：</w:t>
      </w:r>
      <w:r>
        <w:rPr>
          <w:rFonts w:hint="eastAsia" w:asciiTheme="majorEastAsia" w:hAnsiTheme="majorEastAsia" w:eastAsiaTheme="majorEastAsia" w:cstheme="majorEastAsia"/>
          <w:color w:val="auto"/>
          <w:szCs w:val="21"/>
          <w:highlight w:val="none"/>
          <w:u w:val="single"/>
        </w:rPr>
        <w:t>甲方指定地点</w:t>
      </w:r>
      <w:r>
        <w:rPr>
          <w:rFonts w:hint="eastAsia" w:asciiTheme="majorEastAsia" w:hAnsiTheme="majorEastAsia" w:eastAsiaTheme="majorEastAsia" w:cstheme="majorEastAsia"/>
          <w:color w:val="auto"/>
          <w:szCs w:val="21"/>
          <w:highlight w:val="none"/>
        </w:rPr>
        <w:t>。</w:t>
      </w:r>
    </w:p>
    <w:p w14:paraId="6127C01A">
      <w:pPr>
        <w:spacing w:line="380" w:lineRule="exact"/>
        <w:ind w:firstLine="422" w:firstLineChars="20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七、售后服务条款</w:t>
      </w:r>
    </w:p>
    <w:p w14:paraId="4D01A007">
      <w:pPr>
        <w:spacing w:line="3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rPr>
        <w:t>1.</w:t>
      </w:r>
      <w:r>
        <w:rPr>
          <w:rFonts w:hint="eastAsia" w:asciiTheme="majorEastAsia" w:hAnsiTheme="majorEastAsia" w:eastAsiaTheme="majorEastAsia" w:cstheme="majorEastAsia"/>
          <w:color w:val="auto"/>
          <w:szCs w:val="21"/>
          <w:highlight w:val="none"/>
        </w:rPr>
        <w:t>乙方负责产品的安装调试及人员培训。</w:t>
      </w:r>
      <w:r>
        <w:rPr>
          <w:rFonts w:hint="eastAsia" w:asciiTheme="majorEastAsia" w:hAnsiTheme="majorEastAsia" w:eastAsiaTheme="majorEastAsia" w:cstheme="majorEastAsia"/>
          <w:color w:val="auto"/>
          <w:kern w:val="0"/>
          <w:szCs w:val="21"/>
          <w:highlight w:val="none"/>
        </w:rPr>
        <w:t>在保修期内，乙方必须保证甲方能够合法应用该器械/</w:t>
      </w:r>
      <w:r>
        <w:rPr>
          <w:rFonts w:hint="eastAsia" w:asciiTheme="majorEastAsia" w:hAnsiTheme="majorEastAsia" w:eastAsiaTheme="majorEastAsia" w:cstheme="majorEastAsia"/>
          <w:color w:val="auto"/>
          <w:szCs w:val="21"/>
          <w:highlight w:val="none"/>
        </w:rPr>
        <w:t>试剂</w:t>
      </w:r>
      <w:r>
        <w:rPr>
          <w:rFonts w:hint="eastAsia" w:asciiTheme="majorEastAsia" w:hAnsiTheme="majorEastAsia" w:eastAsiaTheme="majorEastAsia" w:cstheme="majorEastAsia"/>
          <w:color w:val="auto"/>
          <w:kern w:val="0"/>
          <w:szCs w:val="21"/>
          <w:highlight w:val="none"/>
        </w:rPr>
        <w:t>，并办理相关证件、手续，产生的费用包含在合同/协议价格中。在此过程中，甲方应当提供必要支持。若可能出现的后续证件、手续，乙方必须提供办理的流程及方法。</w:t>
      </w:r>
    </w:p>
    <w:p w14:paraId="52650CAD">
      <w:pPr>
        <w:widowControl/>
        <w:shd w:val="clear" w:color="auto" w:fill="FFFFFF"/>
        <w:spacing w:line="380" w:lineRule="exact"/>
        <w:ind w:firstLine="420" w:firstLineChars="200"/>
        <w:jc w:val="left"/>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2.易损零配件和专机专用试剂耗材价格表：本项目合同/协议中，应附易损零配件和专机专用试剂耗材价格表。</w:t>
      </w:r>
    </w:p>
    <w:p w14:paraId="09A4246A">
      <w:pPr>
        <w:widowControl/>
        <w:shd w:val="clear" w:color="auto" w:fill="FFFFFF"/>
        <w:spacing w:line="380" w:lineRule="exact"/>
        <w:ind w:firstLine="420" w:firstLineChars="200"/>
        <w:jc w:val="left"/>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维修技术支持：乙方一次性免费提供维护手册、维修手册、软件备份、故障代码表、备件清单等维护维修必需的材料和信息，否则不予验收。保修期外，无偿提供维修密码及软件在该项目中的使用权，按合同约定价格提供零部件、以及快速响应的技术支持。</w:t>
      </w:r>
      <w:r>
        <w:rPr>
          <w:rFonts w:hint="eastAsia" w:asciiTheme="majorEastAsia" w:hAnsiTheme="majorEastAsia" w:eastAsiaTheme="majorEastAsia" w:cstheme="majorEastAsia"/>
          <w:color w:val="auto"/>
          <w:szCs w:val="21"/>
          <w:highlight w:val="none"/>
        </w:rPr>
        <w:t>保修期外，如在使用过程中发生质量问题，乙方在接到甲方通知后在</w:t>
      </w:r>
      <w:r>
        <w:rPr>
          <w:rFonts w:hint="eastAsia" w:asciiTheme="majorEastAsia" w:hAnsiTheme="majorEastAsia" w:eastAsiaTheme="majorEastAsia" w:cstheme="majorEastAsia"/>
          <w:color w:val="auto"/>
          <w:szCs w:val="21"/>
          <w:highlight w:val="none"/>
          <w:u w:val="single"/>
        </w:rPr>
        <w:t xml:space="preserve">  xx  </w:t>
      </w:r>
      <w:r>
        <w:rPr>
          <w:rFonts w:hint="eastAsia" w:asciiTheme="majorEastAsia" w:hAnsiTheme="majorEastAsia" w:eastAsiaTheme="majorEastAsia" w:cstheme="majorEastAsia"/>
          <w:color w:val="auto"/>
          <w:szCs w:val="21"/>
          <w:highlight w:val="none"/>
        </w:rPr>
        <w:t>小时内到达甲方现场处理。</w:t>
      </w:r>
    </w:p>
    <w:p w14:paraId="7915A8A2">
      <w:pPr>
        <w:widowControl/>
        <w:shd w:val="clear" w:color="auto" w:fill="FFFFFF"/>
        <w:spacing w:line="380" w:lineRule="exact"/>
        <w:ind w:firstLine="420" w:firstLineChars="200"/>
        <w:jc w:val="left"/>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4.乙方无偿保证甲方获得合同约定范围内所有软件功能，单机软件使用权。不得限制硬件配件采购，并在甲方自主更换配件后，无偿帮助甲方恢复原有的软件及系统，使甲方能够正常使用该器械/设备、项目。</w:t>
      </w:r>
    </w:p>
    <w:p w14:paraId="4EF33C8C">
      <w:pPr>
        <w:widowControl/>
        <w:shd w:val="clear" w:color="auto" w:fill="FFFFFF"/>
        <w:spacing w:line="380" w:lineRule="exact"/>
        <w:ind w:firstLine="420" w:firstLineChars="200"/>
        <w:jc w:val="left"/>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5.乙方承诺保修期内，按国家相关规定，执行保养及预防性维护，并提供报告。</w:t>
      </w:r>
    </w:p>
    <w:p w14:paraId="64669DB3">
      <w:pPr>
        <w:spacing w:line="380" w:lineRule="exact"/>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6.在设备规定的使用期限内，乙方必须保证配件供应。</w:t>
      </w:r>
      <w:r>
        <w:rPr>
          <w:rFonts w:hint="eastAsia" w:asciiTheme="majorEastAsia" w:hAnsiTheme="majorEastAsia" w:eastAsiaTheme="majorEastAsia" w:cstheme="majorEastAsia"/>
          <w:color w:val="auto"/>
          <w:szCs w:val="21"/>
          <w:highlight w:val="none"/>
        </w:rPr>
        <w:t>并承诺过保修期后的维修及配件更换不需预付款，按照医院正常付款流程办理。</w:t>
      </w:r>
    </w:p>
    <w:p w14:paraId="4FBCC9DF">
      <w:pPr>
        <w:widowControl/>
        <w:shd w:val="clear" w:color="auto" w:fill="FFFFFF"/>
        <w:spacing w:line="380" w:lineRule="exact"/>
        <w:ind w:firstLine="420" w:firstLineChars="200"/>
        <w:jc w:val="left"/>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7.其他售后服务条款，详见售后服务承诺书。</w:t>
      </w:r>
    </w:p>
    <w:p w14:paraId="189954CB">
      <w:pPr>
        <w:widowControl/>
        <w:shd w:val="clear" w:color="auto" w:fill="FFFFFF"/>
        <w:spacing w:line="380" w:lineRule="exact"/>
        <w:ind w:firstLine="420" w:firstLineChars="200"/>
        <w:jc w:val="left"/>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8.售后服务承诺书原则上须有生产厂家或省级（含省级）以上代理商的盖章。</w:t>
      </w:r>
    </w:p>
    <w:p w14:paraId="4D56AEFC">
      <w:pPr>
        <w:spacing w:line="380" w:lineRule="exact"/>
        <w:ind w:firstLine="422" w:firstLineChars="20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八、违约责任：</w:t>
      </w:r>
    </w:p>
    <w:p w14:paraId="1183DF14">
      <w:pPr>
        <w:spacing w:line="3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1.甲方无正当理由拒收的，违约方每天按合同标的</w:t>
      </w:r>
      <w:r>
        <w:rPr>
          <w:rFonts w:hint="eastAsia" w:asciiTheme="majorEastAsia" w:hAnsiTheme="majorEastAsia" w:eastAsiaTheme="majorEastAsia" w:cstheme="majorEastAsia"/>
          <w:color w:val="auto"/>
          <w:szCs w:val="21"/>
          <w:highlight w:val="none"/>
          <w:u w:val="single"/>
        </w:rPr>
        <w:t>0.3%</w:t>
      </w:r>
      <w:r>
        <w:rPr>
          <w:rFonts w:hint="eastAsia" w:asciiTheme="majorEastAsia" w:hAnsiTheme="majorEastAsia" w:eastAsiaTheme="majorEastAsia" w:cstheme="majorEastAsia"/>
          <w:color w:val="auto"/>
          <w:szCs w:val="21"/>
          <w:highlight w:val="none"/>
        </w:rPr>
        <w:t>支付违约金。</w:t>
      </w:r>
    </w:p>
    <w:p w14:paraId="0B11BA77">
      <w:pPr>
        <w:spacing w:line="3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乙方逾期交付货物的，每逾期一日应支付违约金1000元，乙方逾期超过7天仍不能交货的,甲方有权单方面终止合同，乙方应按合同总金额的30%向甲方支付违约金，造成甲方损失的，由乙方负责赔偿，赔偿范围包括但不限于直接损失、逾期损失、以及维权产生的相关费用。</w:t>
      </w:r>
    </w:p>
    <w:p w14:paraId="422B238C">
      <w:pPr>
        <w:spacing w:line="3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乙方货物不符合约定及甲方要求的，须无条件免费予以更换或弥补，由此导致的逾期交付责任由乙方承担；乙方拒绝更换弥补或更换三次仍不能达到甲方要求的，甲方有权依法解除合同，乙方应按合同总金额的30%向甲方支付违约金并赔偿甲方全部损失</w:t>
      </w:r>
    </w:p>
    <w:p w14:paraId="0BFF942B">
      <w:pPr>
        <w:spacing w:line="3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4.乙方未按约定履行售后服务或维保责任的，每发生一次应向甲方支付违约金1000元，甲方有权自行或委托第三方进行维保，由此产生的全部费用由乙方承担。</w:t>
      </w:r>
    </w:p>
    <w:p w14:paraId="66E3F515">
      <w:pPr>
        <w:spacing w:line="3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5.乙方提供的投标文件如有虚假，视为乙方根本性违约，甲方有权单方面解除合同，并追究乙方相关法律责任。</w:t>
      </w:r>
    </w:p>
    <w:p w14:paraId="523E2110">
      <w:pPr>
        <w:spacing w:line="3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w:t>
      </w:r>
      <w:r>
        <w:rPr>
          <w:rFonts w:hint="eastAsia" w:asciiTheme="majorEastAsia" w:hAnsiTheme="majorEastAsia" w:eastAsiaTheme="majorEastAsia" w:cstheme="majorEastAsia"/>
          <w:color w:val="auto"/>
          <w:szCs w:val="21"/>
          <w:highlight w:val="none"/>
          <w:lang w:eastAsia="zh-CN"/>
        </w:rPr>
        <w:t>因履行本合同引起的或与本合同有关的争议，甲乙双方应首先通过友好协商解决，如果协商不能解决，可向甲方所在地具有管辖权的人民法院提起诉讼。</w:t>
      </w:r>
    </w:p>
    <w:p w14:paraId="34873503">
      <w:pPr>
        <w:spacing w:line="380" w:lineRule="exact"/>
        <w:ind w:firstLine="422" w:firstLineChars="20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九、本合同一式肆份，甲方执叁份，乙方执壹份。本合同经甲乙双方签字盖章后生效，补充协议含售后服务承诺书等，与本合同具有同等法律效力。如甲乙双方合同条款内容不一致，以甲方存档的文本为正本。</w:t>
      </w:r>
    </w:p>
    <w:p w14:paraId="42097188">
      <w:pPr>
        <w:spacing w:line="380" w:lineRule="exact"/>
        <w:ind w:firstLine="422" w:firstLineChars="20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十、本合同尾部及《廉洁合同》载明的乙方地址及联系人用于接收往来函件及诉讼法律文书，且适用于因本合同履行相关的一切纠纷处理程序（如仲裁、诉讼、执行等）的送达。如有变更乙方需以书面方式通知甲方，未书面通知变更的，凡向合同记载地址或联系方式发送的文件及信息，无论是否实际收到，均视为有效送达。</w:t>
      </w:r>
    </w:p>
    <w:p w14:paraId="7F554625">
      <w:pPr>
        <w:spacing w:line="400" w:lineRule="exact"/>
        <w:ind w:firstLine="422" w:firstLineChars="200"/>
        <w:rPr>
          <w:rFonts w:asciiTheme="majorEastAsia" w:hAnsiTheme="majorEastAsia" w:eastAsiaTheme="majorEastAsia" w:cstheme="majorEastAsia"/>
          <w:b/>
          <w:color w:val="auto"/>
          <w:szCs w:val="21"/>
          <w:highlight w:val="none"/>
        </w:rPr>
      </w:pPr>
    </w:p>
    <w:p w14:paraId="0570EE2F">
      <w:pPr>
        <w:spacing w:line="400" w:lineRule="exact"/>
        <w:ind w:firstLine="422" w:firstLineChars="200"/>
        <w:rPr>
          <w:rFonts w:asciiTheme="majorEastAsia" w:hAnsiTheme="majorEastAsia" w:eastAsiaTheme="majorEastAsia" w:cstheme="majorEastAsia"/>
          <w:b/>
          <w:color w:val="auto"/>
          <w:szCs w:val="21"/>
          <w:highlight w:val="none"/>
        </w:rPr>
      </w:pPr>
    </w:p>
    <w:p w14:paraId="586E348C">
      <w:pPr>
        <w:spacing w:line="400" w:lineRule="exact"/>
        <w:ind w:firstLine="422" w:firstLineChars="200"/>
        <w:rPr>
          <w:rFonts w:asciiTheme="majorEastAsia" w:hAnsiTheme="majorEastAsia" w:eastAsiaTheme="majorEastAsia" w:cstheme="majorEastAsia"/>
          <w:b/>
          <w:color w:val="auto"/>
          <w:szCs w:val="21"/>
          <w:highlight w:val="none"/>
        </w:rPr>
      </w:pPr>
    </w:p>
    <w:p w14:paraId="16E2D6E6">
      <w:pPr>
        <w:spacing w:line="400" w:lineRule="exact"/>
        <w:ind w:firstLine="422" w:firstLineChars="200"/>
        <w:rPr>
          <w:rFonts w:asciiTheme="majorEastAsia" w:hAnsiTheme="majorEastAsia" w:eastAsiaTheme="majorEastAsia" w:cstheme="majorEastAsia"/>
          <w:b/>
          <w:color w:val="auto"/>
          <w:szCs w:val="21"/>
          <w:highlight w:val="none"/>
        </w:rPr>
      </w:pPr>
    </w:p>
    <w:p w14:paraId="175AE895">
      <w:pPr>
        <w:spacing w:line="400" w:lineRule="exact"/>
        <w:ind w:firstLine="422" w:firstLineChars="20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十一、本合同如有未尽事宜，甲乙双方另行协商。</w:t>
      </w:r>
    </w:p>
    <w:p w14:paraId="15996A5B">
      <w:pPr>
        <w:spacing w:line="400" w:lineRule="exact"/>
        <w:ind w:firstLine="422"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
          <w:color w:val="auto"/>
          <w:szCs w:val="21"/>
          <w:highlight w:val="none"/>
        </w:rPr>
        <w:t>十二、附件：</w:t>
      </w:r>
    </w:p>
    <w:p w14:paraId="3991F0D0">
      <w:pPr>
        <w:spacing w:line="400" w:lineRule="exact"/>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附件1：本设备适用耗材、试剂的价格表</w:t>
      </w:r>
    </w:p>
    <w:tbl>
      <w:tblPr>
        <w:tblStyle w:val="47"/>
        <w:tblW w:w="9782"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27"/>
        <w:gridCol w:w="1701"/>
        <w:gridCol w:w="709"/>
        <w:gridCol w:w="2410"/>
        <w:gridCol w:w="425"/>
        <w:gridCol w:w="425"/>
        <w:gridCol w:w="851"/>
        <w:gridCol w:w="1134"/>
      </w:tblGrid>
      <w:tr w14:paraId="4EA91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2127" w:type="dxa"/>
            <w:tcBorders>
              <w:top w:val="single" w:color="auto" w:sz="4" w:space="0"/>
              <w:left w:val="single" w:color="auto" w:sz="4" w:space="0"/>
              <w:bottom w:val="single" w:color="auto" w:sz="4" w:space="0"/>
              <w:right w:val="single" w:color="auto" w:sz="4" w:space="0"/>
            </w:tcBorders>
            <w:vAlign w:val="center"/>
          </w:tcPr>
          <w:p w14:paraId="2ED0278B">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耗材、试剂名称</w:t>
            </w:r>
          </w:p>
        </w:tc>
        <w:tc>
          <w:tcPr>
            <w:tcW w:w="1701" w:type="dxa"/>
            <w:tcBorders>
              <w:top w:val="single" w:color="auto" w:sz="4" w:space="0"/>
              <w:left w:val="single" w:color="auto" w:sz="4" w:space="0"/>
              <w:bottom w:val="single" w:color="auto" w:sz="4" w:space="0"/>
              <w:right w:val="single" w:color="auto" w:sz="4" w:space="0"/>
            </w:tcBorders>
            <w:vAlign w:val="center"/>
          </w:tcPr>
          <w:p w14:paraId="0289BA05">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产品注册证号</w:t>
            </w:r>
          </w:p>
        </w:tc>
        <w:tc>
          <w:tcPr>
            <w:tcW w:w="709" w:type="dxa"/>
            <w:tcBorders>
              <w:top w:val="single" w:color="auto" w:sz="4" w:space="0"/>
              <w:left w:val="single" w:color="auto" w:sz="4" w:space="0"/>
              <w:bottom w:val="single" w:color="auto" w:sz="4" w:space="0"/>
              <w:right w:val="single" w:color="auto" w:sz="4" w:space="0"/>
            </w:tcBorders>
            <w:vAlign w:val="center"/>
          </w:tcPr>
          <w:p w14:paraId="78B1FFF8">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型号</w:t>
            </w:r>
          </w:p>
          <w:p w14:paraId="5FB5C91A">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规格</w:t>
            </w:r>
          </w:p>
        </w:tc>
        <w:tc>
          <w:tcPr>
            <w:tcW w:w="2410" w:type="dxa"/>
            <w:tcBorders>
              <w:top w:val="single" w:color="auto" w:sz="4" w:space="0"/>
              <w:left w:val="single" w:color="auto" w:sz="4" w:space="0"/>
              <w:bottom w:val="single" w:color="auto" w:sz="4" w:space="0"/>
              <w:right w:val="single" w:color="auto" w:sz="4" w:space="0"/>
            </w:tcBorders>
            <w:vAlign w:val="center"/>
          </w:tcPr>
          <w:p w14:paraId="5BF0CC86">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生产厂家及品牌</w:t>
            </w:r>
          </w:p>
        </w:tc>
        <w:tc>
          <w:tcPr>
            <w:tcW w:w="425" w:type="dxa"/>
            <w:tcBorders>
              <w:top w:val="single" w:color="auto" w:sz="4" w:space="0"/>
              <w:left w:val="single" w:color="auto" w:sz="4" w:space="0"/>
              <w:bottom w:val="single" w:color="auto" w:sz="4" w:space="0"/>
              <w:right w:val="single" w:color="auto" w:sz="4" w:space="0"/>
            </w:tcBorders>
            <w:vAlign w:val="center"/>
          </w:tcPr>
          <w:p w14:paraId="3FE327F7">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单位</w:t>
            </w:r>
          </w:p>
        </w:tc>
        <w:tc>
          <w:tcPr>
            <w:tcW w:w="425" w:type="dxa"/>
            <w:tcBorders>
              <w:top w:val="single" w:color="auto" w:sz="4" w:space="0"/>
              <w:left w:val="single" w:color="auto" w:sz="4" w:space="0"/>
              <w:bottom w:val="single" w:color="auto" w:sz="4" w:space="0"/>
              <w:right w:val="single" w:color="auto" w:sz="4" w:space="0"/>
            </w:tcBorders>
            <w:vAlign w:val="center"/>
          </w:tcPr>
          <w:p w14:paraId="08810F2B">
            <w:pPr>
              <w:pStyle w:val="32"/>
              <w:pBdr>
                <w:bottom w:val="none" w:color="auto" w:sz="0" w:space="0"/>
              </w:pBdr>
              <w:tabs>
                <w:tab w:val="left" w:pos="420"/>
                <w:tab w:val="center" w:pos="4153"/>
                <w:tab w:val="right" w:pos="8306"/>
                <w:tab w:val="clear" w:pos="0"/>
              </w:tabs>
              <w:snapToGrid/>
              <w:spacing w:line="400" w:lineRule="exact"/>
              <w:rPr>
                <w:rFonts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数量</w:t>
            </w:r>
          </w:p>
        </w:tc>
        <w:tc>
          <w:tcPr>
            <w:tcW w:w="851" w:type="dxa"/>
            <w:tcBorders>
              <w:top w:val="single" w:color="auto" w:sz="4" w:space="0"/>
              <w:left w:val="single" w:color="auto" w:sz="4" w:space="0"/>
              <w:bottom w:val="single" w:color="auto" w:sz="4" w:space="0"/>
              <w:right w:val="single" w:color="auto" w:sz="4" w:space="0"/>
            </w:tcBorders>
            <w:vAlign w:val="center"/>
          </w:tcPr>
          <w:p w14:paraId="5A2F8F54">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单价</w:t>
            </w:r>
          </w:p>
          <w:p w14:paraId="6D9A77E2">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（元）</w:t>
            </w:r>
          </w:p>
        </w:tc>
        <w:tc>
          <w:tcPr>
            <w:tcW w:w="1134" w:type="dxa"/>
            <w:tcBorders>
              <w:top w:val="single" w:color="auto" w:sz="4" w:space="0"/>
              <w:left w:val="single" w:color="auto" w:sz="4" w:space="0"/>
              <w:bottom w:val="single" w:color="auto" w:sz="4" w:space="0"/>
              <w:right w:val="single" w:color="auto" w:sz="4" w:space="0"/>
            </w:tcBorders>
            <w:vAlign w:val="center"/>
          </w:tcPr>
          <w:p w14:paraId="59F6084B">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总价（元）</w:t>
            </w:r>
          </w:p>
        </w:tc>
      </w:tr>
      <w:tr w14:paraId="6260C9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4" w:hRule="atLeast"/>
        </w:trPr>
        <w:tc>
          <w:tcPr>
            <w:tcW w:w="2127" w:type="dxa"/>
            <w:tcBorders>
              <w:top w:val="single" w:color="auto" w:sz="4" w:space="0"/>
              <w:left w:val="single" w:color="auto" w:sz="4" w:space="0"/>
              <w:bottom w:val="single" w:color="auto" w:sz="4" w:space="0"/>
              <w:right w:val="single" w:color="auto" w:sz="4" w:space="0"/>
            </w:tcBorders>
            <w:vAlign w:val="center"/>
          </w:tcPr>
          <w:p w14:paraId="477F1BEF">
            <w:pPr>
              <w:spacing w:line="400" w:lineRule="exact"/>
              <w:jc w:val="center"/>
              <w:rPr>
                <w:rFonts w:asciiTheme="majorEastAsia" w:hAnsiTheme="majorEastAsia" w:eastAsiaTheme="majorEastAsia" w:cstheme="majorEastAsia"/>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25F8C18">
            <w:pPr>
              <w:spacing w:line="400" w:lineRule="exact"/>
              <w:jc w:val="center"/>
              <w:rPr>
                <w:rFonts w:asciiTheme="majorEastAsia" w:hAnsiTheme="majorEastAsia" w:eastAsiaTheme="majorEastAsia" w:cstheme="majorEastAsia"/>
                <w:b/>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568E609D">
            <w:pPr>
              <w:spacing w:line="400" w:lineRule="exact"/>
              <w:jc w:val="center"/>
              <w:rPr>
                <w:rFonts w:asciiTheme="majorEastAsia" w:hAnsiTheme="majorEastAsia" w:eastAsiaTheme="majorEastAsia" w:cstheme="majorEastAsia"/>
                <w:b/>
                <w:bCs/>
                <w:color w:val="auto"/>
                <w:szCs w:val="21"/>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2F1D5674">
            <w:pPr>
              <w:spacing w:line="400" w:lineRule="exact"/>
              <w:jc w:val="center"/>
              <w:rPr>
                <w:rFonts w:asciiTheme="majorEastAsia" w:hAnsiTheme="majorEastAsia" w:eastAsiaTheme="majorEastAsia" w:cstheme="majorEastAsia"/>
                <w:b/>
                <w:color w:val="auto"/>
                <w:szCs w:val="21"/>
                <w:highlight w:val="none"/>
              </w:rPr>
            </w:pPr>
          </w:p>
        </w:tc>
        <w:tc>
          <w:tcPr>
            <w:tcW w:w="425" w:type="dxa"/>
            <w:tcBorders>
              <w:top w:val="single" w:color="auto" w:sz="4" w:space="0"/>
              <w:left w:val="single" w:color="auto" w:sz="4" w:space="0"/>
              <w:bottom w:val="single" w:color="auto" w:sz="4" w:space="0"/>
              <w:right w:val="single" w:color="auto" w:sz="4" w:space="0"/>
            </w:tcBorders>
            <w:vAlign w:val="center"/>
          </w:tcPr>
          <w:p w14:paraId="138A7DCE">
            <w:pPr>
              <w:spacing w:line="400" w:lineRule="exact"/>
              <w:jc w:val="center"/>
              <w:rPr>
                <w:rFonts w:asciiTheme="majorEastAsia" w:hAnsiTheme="majorEastAsia" w:eastAsiaTheme="majorEastAsia" w:cstheme="majorEastAsia"/>
                <w:b/>
                <w:color w:val="auto"/>
                <w:szCs w:val="21"/>
                <w:highlight w:val="none"/>
              </w:rPr>
            </w:pPr>
          </w:p>
        </w:tc>
        <w:tc>
          <w:tcPr>
            <w:tcW w:w="425" w:type="dxa"/>
            <w:tcBorders>
              <w:top w:val="single" w:color="auto" w:sz="4" w:space="0"/>
              <w:left w:val="single" w:color="auto" w:sz="4" w:space="0"/>
              <w:bottom w:val="single" w:color="auto" w:sz="4" w:space="0"/>
              <w:right w:val="single" w:color="auto" w:sz="4" w:space="0"/>
            </w:tcBorders>
            <w:vAlign w:val="center"/>
          </w:tcPr>
          <w:p w14:paraId="4308FD43">
            <w:pPr>
              <w:spacing w:line="400" w:lineRule="exact"/>
              <w:jc w:val="center"/>
              <w:rPr>
                <w:rFonts w:asciiTheme="majorEastAsia" w:hAnsiTheme="majorEastAsia" w:eastAsiaTheme="majorEastAsia" w:cstheme="majorEastAsia"/>
                <w:b/>
                <w:bCs/>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4AE8BA5F">
            <w:pPr>
              <w:spacing w:line="400" w:lineRule="exact"/>
              <w:jc w:val="center"/>
              <w:rPr>
                <w:rFonts w:asciiTheme="majorEastAsia" w:hAnsiTheme="majorEastAsia" w:eastAsiaTheme="majorEastAsia" w:cstheme="majorEastAsia"/>
                <w:b/>
                <w:bCs/>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D42AFD8">
            <w:pPr>
              <w:spacing w:line="400" w:lineRule="exact"/>
              <w:jc w:val="center"/>
              <w:rPr>
                <w:rFonts w:asciiTheme="majorEastAsia" w:hAnsiTheme="majorEastAsia" w:eastAsiaTheme="majorEastAsia" w:cstheme="majorEastAsia"/>
                <w:b/>
                <w:bCs/>
                <w:color w:val="auto"/>
                <w:szCs w:val="21"/>
                <w:highlight w:val="none"/>
              </w:rPr>
            </w:pPr>
          </w:p>
        </w:tc>
      </w:tr>
    </w:tbl>
    <w:p w14:paraId="361C8A9B">
      <w:pPr>
        <w:spacing w:line="400" w:lineRule="exact"/>
        <w:rPr>
          <w:rFonts w:asciiTheme="majorEastAsia" w:hAnsiTheme="majorEastAsia" w:eastAsiaTheme="majorEastAsia" w:cstheme="majorEastAsia"/>
          <w:b/>
          <w:color w:val="auto"/>
          <w:szCs w:val="21"/>
          <w:highlight w:val="none"/>
        </w:rPr>
      </w:pPr>
    </w:p>
    <w:p w14:paraId="7FFE29A2">
      <w:pPr>
        <w:spacing w:line="400" w:lineRule="exact"/>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附件2：本设备易损零配件的价格表</w:t>
      </w:r>
    </w:p>
    <w:tbl>
      <w:tblPr>
        <w:tblStyle w:val="47"/>
        <w:tblW w:w="9782"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27"/>
        <w:gridCol w:w="1701"/>
        <w:gridCol w:w="709"/>
        <w:gridCol w:w="2410"/>
        <w:gridCol w:w="425"/>
        <w:gridCol w:w="425"/>
        <w:gridCol w:w="851"/>
        <w:gridCol w:w="1134"/>
      </w:tblGrid>
      <w:tr w14:paraId="53991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97" w:hRule="atLeast"/>
        </w:trPr>
        <w:tc>
          <w:tcPr>
            <w:tcW w:w="2127" w:type="dxa"/>
            <w:tcBorders>
              <w:top w:val="single" w:color="auto" w:sz="4" w:space="0"/>
              <w:left w:val="single" w:color="auto" w:sz="4" w:space="0"/>
              <w:bottom w:val="single" w:color="auto" w:sz="4" w:space="0"/>
              <w:right w:val="single" w:color="auto" w:sz="4" w:space="0"/>
            </w:tcBorders>
            <w:vAlign w:val="center"/>
          </w:tcPr>
          <w:p w14:paraId="54901713">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易损配件名称</w:t>
            </w:r>
          </w:p>
        </w:tc>
        <w:tc>
          <w:tcPr>
            <w:tcW w:w="1701" w:type="dxa"/>
            <w:tcBorders>
              <w:top w:val="single" w:color="auto" w:sz="4" w:space="0"/>
              <w:left w:val="single" w:color="auto" w:sz="4" w:space="0"/>
              <w:bottom w:val="single" w:color="auto" w:sz="4" w:space="0"/>
              <w:right w:val="single" w:color="auto" w:sz="4" w:space="0"/>
            </w:tcBorders>
            <w:vAlign w:val="center"/>
          </w:tcPr>
          <w:p w14:paraId="36D20B0B">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产品注册证号</w:t>
            </w:r>
          </w:p>
        </w:tc>
        <w:tc>
          <w:tcPr>
            <w:tcW w:w="709" w:type="dxa"/>
            <w:tcBorders>
              <w:top w:val="single" w:color="auto" w:sz="4" w:space="0"/>
              <w:left w:val="single" w:color="auto" w:sz="4" w:space="0"/>
              <w:bottom w:val="single" w:color="auto" w:sz="4" w:space="0"/>
              <w:right w:val="single" w:color="auto" w:sz="4" w:space="0"/>
            </w:tcBorders>
            <w:vAlign w:val="center"/>
          </w:tcPr>
          <w:p w14:paraId="32FE885A">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型号</w:t>
            </w:r>
          </w:p>
          <w:p w14:paraId="69C1B8FD">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规格</w:t>
            </w:r>
          </w:p>
        </w:tc>
        <w:tc>
          <w:tcPr>
            <w:tcW w:w="2410" w:type="dxa"/>
            <w:tcBorders>
              <w:top w:val="single" w:color="auto" w:sz="4" w:space="0"/>
              <w:left w:val="single" w:color="auto" w:sz="4" w:space="0"/>
              <w:bottom w:val="single" w:color="auto" w:sz="4" w:space="0"/>
              <w:right w:val="single" w:color="auto" w:sz="4" w:space="0"/>
            </w:tcBorders>
            <w:vAlign w:val="center"/>
          </w:tcPr>
          <w:p w14:paraId="47E2A903">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生产厂家及品牌</w:t>
            </w:r>
          </w:p>
        </w:tc>
        <w:tc>
          <w:tcPr>
            <w:tcW w:w="425" w:type="dxa"/>
            <w:tcBorders>
              <w:top w:val="single" w:color="auto" w:sz="4" w:space="0"/>
              <w:left w:val="single" w:color="auto" w:sz="4" w:space="0"/>
              <w:bottom w:val="single" w:color="auto" w:sz="4" w:space="0"/>
              <w:right w:val="single" w:color="auto" w:sz="4" w:space="0"/>
            </w:tcBorders>
            <w:vAlign w:val="center"/>
          </w:tcPr>
          <w:p w14:paraId="5D7AAF88">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单位</w:t>
            </w:r>
          </w:p>
        </w:tc>
        <w:tc>
          <w:tcPr>
            <w:tcW w:w="425" w:type="dxa"/>
            <w:tcBorders>
              <w:top w:val="single" w:color="auto" w:sz="4" w:space="0"/>
              <w:left w:val="single" w:color="auto" w:sz="4" w:space="0"/>
              <w:bottom w:val="single" w:color="auto" w:sz="4" w:space="0"/>
              <w:right w:val="single" w:color="auto" w:sz="4" w:space="0"/>
            </w:tcBorders>
            <w:vAlign w:val="center"/>
          </w:tcPr>
          <w:p w14:paraId="46ACCD45">
            <w:pPr>
              <w:pStyle w:val="32"/>
              <w:pBdr>
                <w:bottom w:val="none" w:color="auto" w:sz="0" w:space="0"/>
              </w:pBdr>
              <w:tabs>
                <w:tab w:val="left" w:pos="420"/>
                <w:tab w:val="center" w:pos="4153"/>
                <w:tab w:val="right" w:pos="8306"/>
                <w:tab w:val="clear" w:pos="0"/>
              </w:tabs>
              <w:snapToGrid/>
              <w:spacing w:line="400" w:lineRule="exact"/>
              <w:rPr>
                <w:rFonts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数量</w:t>
            </w:r>
          </w:p>
        </w:tc>
        <w:tc>
          <w:tcPr>
            <w:tcW w:w="851" w:type="dxa"/>
            <w:tcBorders>
              <w:top w:val="single" w:color="auto" w:sz="4" w:space="0"/>
              <w:left w:val="single" w:color="auto" w:sz="4" w:space="0"/>
              <w:bottom w:val="single" w:color="auto" w:sz="4" w:space="0"/>
              <w:right w:val="single" w:color="auto" w:sz="4" w:space="0"/>
            </w:tcBorders>
            <w:vAlign w:val="center"/>
          </w:tcPr>
          <w:p w14:paraId="6E4BBA3D">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单价</w:t>
            </w:r>
          </w:p>
          <w:p w14:paraId="6A349EC2">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（元）</w:t>
            </w:r>
          </w:p>
        </w:tc>
        <w:tc>
          <w:tcPr>
            <w:tcW w:w="1134" w:type="dxa"/>
            <w:tcBorders>
              <w:top w:val="single" w:color="auto" w:sz="4" w:space="0"/>
              <w:left w:val="single" w:color="auto" w:sz="4" w:space="0"/>
              <w:bottom w:val="single" w:color="auto" w:sz="4" w:space="0"/>
              <w:right w:val="single" w:color="auto" w:sz="4" w:space="0"/>
            </w:tcBorders>
            <w:vAlign w:val="center"/>
          </w:tcPr>
          <w:p w14:paraId="7FBB6831">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总价（元）</w:t>
            </w:r>
          </w:p>
        </w:tc>
      </w:tr>
      <w:tr w14:paraId="3E0122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4" w:hRule="atLeast"/>
        </w:trPr>
        <w:tc>
          <w:tcPr>
            <w:tcW w:w="2127" w:type="dxa"/>
            <w:tcBorders>
              <w:top w:val="single" w:color="auto" w:sz="4" w:space="0"/>
              <w:left w:val="single" w:color="auto" w:sz="4" w:space="0"/>
              <w:bottom w:val="single" w:color="auto" w:sz="4" w:space="0"/>
              <w:right w:val="single" w:color="auto" w:sz="4" w:space="0"/>
            </w:tcBorders>
            <w:vAlign w:val="center"/>
          </w:tcPr>
          <w:p w14:paraId="336DC3B2">
            <w:pPr>
              <w:spacing w:line="400" w:lineRule="exact"/>
              <w:jc w:val="center"/>
              <w:rPr>
                <w:rFonts w:asciiTheme="majorEastAsia" w:hAnsiTheme="majorEastAsia" w:eastAsiaTheme="majorEastAsia" w:cstheme="majorEastAsia"/>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4F95A22">
            <w:pPr>
              <w:spacing w:line="400" w:lineRule="exact"/>
              <w:jc w:val="center"/>
              <w:rPr>
                <w:rFonts w:asciiTheme="majorEastAsia" w:hAnsiTheme="majorEastAsia" w:eastAsiaTheme="majorEastAsia" w:cstheme="majorEastAsia"/>
                <w:b/>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3D03955B">
            <w:pPr>
              <w:spacing w:line="400" w:lineRule="exact"/>
              <w:jc w:val="center"/>
              <w:rPr>
                <w:rFonts w:asciiTheme="majorEastAsia" w:hAnsiTheme="majorEastAsia" w:eastAsiaTheme="majorEastAsia" w:cstheme="majorEastAsia"/>
                <w:b/>
                <w:bCs/>
                <w:color w:val="auto"/>
                <w:szCs w:val="21"/>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4D859714">
            <w:pPr>
              <w:spacing w:line="400" w:lineRule="exact"/>
              <w:jc w:val="center"/>
              <w:rPr>
                <w:rFonts w:asciiTheme="majorEastAsia" w:hAnsiTheme="majorEastAsia" w:eastAsiaTheme="majorEastAsia" w:cstheme="majorEastAsia"/>
                <w:b/>
                <w:color w:val="auto"/>
                <w:szCs w:val="21"/>
                <w:highlight w:val="none"/>
              </w:rPr>
            </w:pPr>
          </w:p>
        </w:tc>
        <w:tc>
          <w:tcPr>
            <w:tcW w:w="425" w:type="dxa"/>
            <w:tcBorders>
              <w:top w:val="single" w:color="auto" w:sz="4" w:space="0"/>
              <w:left w:val="single" w:color="auto" w:sz="4" w:space="0"/>
              <w:bottom w:val="single" w:color="auto" w:sz="4" w:space="0"/>
              <w:right w:val="single" w:color="auto" w:sz="4" w:space="0"/>
            </w:tcBorders>
            <w:vAlign w:val="center"/>
          </w:tcPr>
          <w:p w14:paraId="1901BDFF">
            <w:pPr>
              <w:spacing w:line="400" w:lineRule="exact"/>
              <w:jc w:val="center"/>
              <w:rPr>
                <w:rFonts w:asciiTheme="majorEastAsia" w:hAnsiTheme="majorEastAsia" w:eastAsiaTheme="majorEastAsia" w:cstheme="majorEastAsia"/>
                <w:b/>
                <w:color w:val="auto"/>
                <w:szCs w:val="21"/>
                <w:highlight w:val="none"/>
              </w:rPr>
            </w:pPr>
          </w:p>
        </w:tc>
        <w:tc>
          <w:tcPr>
            <w:tcW w:w="425" w:type="dxa"/>
            <w:tcBorders>
              <w:top w:val="single" w:color="auto" w:sz="4" w:space="0"/>
              <w:left w:val="single" w:color="auto" w:sz="4" w:space="0"/>
              <w:bottom w:val="single" w:color="auto" w:sz="4" w:space="0"/>
              <w:right w:val="single" w:color="auto" w:sz="4" w:space="0"/>
            </w:tcBorders>
            <w:vAlign w:val="center"/>
          </w:tcPr>
          <w:p w14:paraId="72E2B068">
            <w:pPr>
              <w:spacing w:line="400" w:lineRule="exact"/>
              <w:jc w:val="center"/>
              <w:rPr>
                <w:rFonts w:asciiTheme="majorEastAsia" w:hAnsiTheme="majorEastAsia" w:eastAsiaTheme="majorEastAsia" w:cstheme="majorEastAsia"/>
                <w:b/>
                <w:bCs/>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7D967EA3">
            <w:pPr>
              <w:spacing w:line="400" w:lineRule="exact"/>
              <w:jc w:val="center"/>
              <w:rPr>
                <w:rFonts w:asciiTheme="majorEastAsia" w:hAnsiTheme="majorEastAsia" w:eastAsiaTheme="majorEastAsia" w:cstheme="majorEastAsia"/>
                <w:b/>
                <w:bCs/>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18532F9">
            <w:pPr>
              <w:spacing w:line="400" w:lineRule="exact"/>
              <w:jc w:val="center"/>
              <w:rPr>
                <w:rFonts w:asciiTheme="majorEastAsia" w:hAnsiTheme="majorEastAsia" w:eastAsiaTheme="majorEastAsia" w:cstheme="majorEastAsia"/>
                <w:b/>
                <w:bCs/>
                <w:color w:val="auto"/>
                <w:szCs w:val="21"/>
                <w:highlight w:val="none"/>
              </w:rPr>
            </w:pPr>
          </w:p>
        </w:tc>
      </w:tr>
    </w:tbl>
    <w:p w14:paraId="4C914F69">
      <w:pPr>
        <w:spacing w:line="400" w:lineRule="exact"/>
        <w:rPr>
          <w:rFonts w:asciiTheme="majorEastAsia" w:hAnsiTheme="majorEastAsia" w:eastAsiaTheme="majorEastAsia" w:cstheme="majorEastAsia"/>
          <w:b/>
          <w:color w:val="auto"/>
          <w:szCs w:val="21"/>
          <w:highlight w:val="none"/>
        </w:rPr>
      </w:pPr>
    </w:p>
    <w:p w14:paraId="7DA05D5C">
      <w:pPr>
        <w:spacing w:line="400" w:lineRule="exact"/>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附件3：本设备（系统）配置清单</w:t>
      </w:r>
    </w:p>
    <w:tbl>
      <w:tblPr>
        <w:tblStyle w:val="47"/>
        <w:tblW w:w="9756"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1418"/>
        <w:gridCol w:w="2977"/>
        <w:gridCol w:w="850"/>
        <w:gridCol w:w="992"/>
        <w:gridCol w:w="1708"/>
        <w:gridCol w:w="960"/>
      </w:tblGrid>
      <w:tr w14:paraId="6D3344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8" w:hRule="atLeast"/>
        </w:trPr>
        <w:tc>
          <w:tcPr>
            <w:tcW w:w="851" w:type="dxa"/>
            <w:tcBorders>
              <w:top w:val="single" w:color="auto" w:sz="4" w:space="0"/>
              <w:left w:val="single" w:color="auto" w:sz="4" w:space="0"/>
              <w:bottom w:val="single" w:color="auto" w:sz="4" w:space="0"/>
              <w:right w:val="single" w:color="auto" w:sz="4" w:space="0"/>
            </w:tcBorders>
            <w:vAlign w:val="center"/>
          </w:tcPr>
          <w:p w14:paraId="0C2A9A0C">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59646924">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部件编号</w:t>
            </w:r>
          </w:p>
        </w:tc>
        <w:tc>
          <w:tcPr>
            <w:tcW w:w="2977" w:type="dxa"/>
            <w:tcBorders>
              <w:top w:val="single" w:color="auto" w:sz="4" w:space="0"/>
              <w:left w:val="single" w:color="auto" w:sz="4" w:space="0"/>
              <w:bottom w:val="single" w:color="auto" w:sz="4" w:space="0"/>
              <w:right w:val="single" w:color="auto" w:sz="4" w:space="0"/>
            </w:tcBorders>
            <w:vAlign w:val="center"/>
          </w:tcPr>
          <w:p w14:paraId="7C227F6A">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名称</w:t>
            </w:r>
          </w:p>
        </w:tc>
        <w:tc>
          <w:tcPr>
            <w:tcW w:w="850" w:type="dxa"/>
            <w:tcBorders>
              <w:top w:val="single" w:color="auto" w:sz="4" w:space="0"/>
              <w:left w:val="single" w:color="auto" w:sz="4" w:space="0"/>
              <w:bottom w:val="single" w:color="auto" w:sz="4" w:space="0"/>
              <w:right w:val="single" w:color="auto" w:sz="4" w:space="0"/>
            </w:tcBorders>
            <w:vAlign w:val="center"/>
          </w:tcPr>
          <w:p w14:paraId="527EF094">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单位</w:t>
            </w:r>
          </w:p>
        </w:tc>
        <w:tc>
          <w:tcPr>
            <w:tcW w:w="992" w:type="dxa"/>
            <w:tcBorders>
              <w:top w:val="single" w:color="auto" w:sz="4" w:space="0"/>
              <w:left w:val="single" w:color="auto" w:sz="4" w:space="0"/>
              <w:bottom w:val="single" w:color="auto" w:sz="4" w:space="0"/>
              <w:right w:val="single" w:color="auto" w:sz="4" w:space="0"/>
            </w:tcBorders>
            <w:vAlign w:val="center"/>
          </w:tcPr>
          <w:p w14:paraId="6AE04D55">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数量</w:t>
            </w:r>
          </w:p>
        </w:tc>
        <w:tc>
          <w:tcPr>
            <w:tcW w:w="1708" w:type="dxa"/>
            <w:tcBorders>
              <w:top w:val="single" w:color="auto" w:sz="4" w:space="0"/>
              <w:left w:val="single" w:color="auto" w:sz="4" w:space="0"/>
              <w:bottom w:val="single" w:color="auto" w:sz="4" w:space="0"/>
              <w:right w:val="single" w:color="auto" w:sz="4" w:space="0"/>
            </w:tcBorders>
            <w:vAlign w:val="center"/>
          </w:tcPr>
          <w:p w14:paraId="3A03A17A">
            <w:pPr>
              <w:pStyle w:val="32"/>
              <w:pBdr>
                <w:bottom w:val="none" w:color="auto" w:sz="0" w:space="0"/>
              </w:pBdr>
              <w:tabs>
                <w:tab w:val="left" w:pos="420"/>
                <w:tab w:val="center" w:pos="4153"/>
                <w:tab w:val="right" w:pos="8306"/>
                <w:tab w:val="clear" w:pos="0"/>
              </w:tabs>
              <w:snapToGrid/>
              <w:spacing w:line="400" w:lineRule="exact"/>
              <w:rPr>
                <w:rFonts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价格（元）</w:t>
            </w:r>
          </w:p>
        </w:tc>
        <w:tc>
          <w:tcPr>
            <w:tcW w:w="960" w:type="dxa"/>
            <w:tcBorders>
              <w:top w:val="single" w:color="auto" w:sz="4" w:space="0"/>
              <w:left w:val="single" w:color="auto" w:sz="4" w:space="0"/>
              <w:bottom w:val="single" w:color="auto" w:sz="4" w:space="0"/>
              <w:right w:val="single" w:color="auto" w:sz="4" w:space="0"/>
            </w:tcBorders>
            <w:vAlign w:val="center"/>
          </w:tcPr>
          <w:p w14:paraId="385698DE">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备注</w:t>
            </w:r>
          </w:p>
        </w:tc>
      </w:tr>
      <w:tr w14:paraId="2C630B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vAlign w:val="center"/>
          </w:tcPr>
          <w:p w14:paraId="62D50A3F">
            <w:pPr>
              <w:spacing w:line="400" w:lineRule="exact"/>
              <w:jc w:val="center"/>
              <w:rPr>
                <w:rFonts w:asciiTheme="majorEastAsia" w:hAnsiTheme="majorEastAsia" w:eastAsiaTheme="majorEastAsia" w:cstheme="majorEastAsia"/>
                <w:b/>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21F70E72">
            <w:pPr>
              <w:spacing w:line="400" w:lineRule="exact"/>
              <w:jc w:val="center"/>
              <w:rPr>
                <w:rFonts w:asciiTheme="majorEastAsia" w:hAnsiTheme="majorEastAsia" w:eastAsiaTheme="majorEastAsia" w:cstheme="majorEastAsia"/>
                <w:b/>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1DF1F30C">
            <w:pPr>
              <w:widowControl/>
              <w:wordWrap w:val="0"/>
              <w:jc w:val="center"/>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必须填写完整</w:t>
            </w:r>
          </w:p>
        </w:tc>
        <w:tc>
          <w:tcPr>
            <w:tcW w:w="850" w:type="dxa"/>
            <w:tcBorders>
              <w:top w:val="single" w:color="auto" w:sz="4" w:space="0"/>
              <w:left w:val="single" w:color="auto" w:sz="4" w:space="0"/>
              <w:bottom w:val="single" w:color="auto" w:sz="4" w:space="0"/>
              <w:right w:val="single" w:color="auto" w:sz="4" w:space="0"/>
            </w:tcBorders>
            <w:vAlign w:val="center"/>
          </w:tcPr>
          <w:p w14:paraId="6605DFB6">
            <w:pPr>
              <w:spacing w:line="400" w:lineRule="exact"/>
              <w:jc w:val="center"/>
              <w:rPr>
                <w:rFonts w:asciiTheme="majorEastAsia" w:hAnsiTheme="majorEastAsia" w:eastAsiaTheme="majorEastAsia" w:cstheme="majorEastAsia"/>
                <w:b/>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A64267B">
            <w:pPr>
              <w:spacing w:line="400" w:lineRule="exact"/>
              <w:jc w:val="center"/>
              <w:rPr>
                <w:rFonts w:asciiTheme="majorEastAsia" w:hAnsiTheme="majorEastAsia" w:eastAsiaTheme="majorEastAsia" w:cstheme="majorEastAsia"/>
                <w:b/>
                <w:color w:val="auto"/>
                <w:szCs w:val="21"/>
                <w:highlight w:val="none"/>
              </w:rPr>
            </w:pPr>
          </w:p>
        </w:tc>
        <w:tc>
          <w:tcPr>
            <w:tcW w:w="1708" w:type="dxa"/>
            <w:tcBorders>
              <w:top w:val="single" w:color="auto" w:sz="4" w:space="0"/>
              <w:left w:val="single" w:color="auto" w:sz="4" w:space="0"/>
              <w:bottom w:val="single" w:color="auto" w:sz="4" w:space="0"/>
              <w:right w:val="single" w:color="auto" w:sz="4" w:space="0"/>
            </w:tcBorders>
            <w:vAlign w:val="center"/>
          </w:tcPr>
          <w:p w14:paraId="3F24FC99">
            <w:pPr>
              <w:spacing w:line="400" w:lineRule="exact"/>
              <w:jc w:val="center"/>
              <w:rPr>
                <w:rFonts w:asciiTheme="majorEastAsia" w:hAnsiTheme="majorEastAsia" w:eastAsiaTheme="majorEastAsia" w:cstheme="majorEastAsia"/>
                <w:b/>
                <w:bCs/>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14:paraId="08FB511A">
            <w:pPr>
              <w:spacing w:line="400" w:lineRule="exact"/>
              <w:jc w:val="center"/>
              <w:rPr>
                <w:rFonts w:asciiTheme="majorEastAsia" w:hAnsiTheme="majorEastAsia" w:eastAsiaTheme="majorEastAsia" w:cstheme="majorEastAsia"/>
                <w:b/>
                <w:bCs/>
                <w:color w:val="auto"/>
                <w:szCs w:val="21"/>
                <w:highlight w:val="none"/>
              </w:rPr>
            </w:pPr>
          </w:p>
        </w:tc>
      </w:tr>
      <w:tr w14:paraId="6DCAB0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vAlign w:val="center"/>
          </w:tcPr>
          <w:p w14:paraId="6ECCF60F">
            <w:pPr>
              <w:spacing w:line="400" w:lineRule="exact"/>
              <w:jc w:val="center"/>
              <w:rPr>
                <w:rFonts w:asciiTheme="majorEastAsia" w:hAnsiTheme="majorEastAsia" w:eastAsiaTheme="majorEastAsia" w:cstheme="majorEastAsia"/>
                <w:b/>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4808866C">
            <w:pPr>
              <w:spacing w:line="400" w:lineRule="exact"/>
              <w:jc w:val="center"/>
              <w:rPr>
                <w:rFonts w:asciiTheme="majorEastAsia" w:hAnsiTheme="majorEastAsia" w:eastAsiaTheme="majorEastAsia" w:cstheme="majorEastAsia"/>
                <w:b/>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0A19C982">
            <w:pPr>
              <w:widowControl/>
              <w:wordWrap w:val="0"/>
              <w:jc w:val="center"/>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必须填写完整</w:t>
            </w:r>
          </w:p>
        </w:tc>
        <w:tc>
          <w:tcPr>
            <w:tcW w:w="850" w:type="dxa"/>
            <w:tcBorders>
              <w:top w:val="single" w:color="auto" w:sz="4" w:space="0"/>
              <w:left w:val="single" w:color="auto" w:sz="4" w:space="0"/>
              <w:bottom w:val="single" w:color="auto" w:sz="4" w:space="0"/>
              <w:right w:val="single" w:color="auto" w:sz="4" w:space="0"/>
            </w:tcBorders>
            <w:vAlign w:val="center"/>
          </w:tcPr>
          <w:p w14:paraId="1A5445C3">
            <w:pPr>
              <w:spacing w:line="400" w:lineRule="exact"/>
              <w:jc w:val="center"/>
              <w:rPr>
                <w:rFonts w:asciiTheme="majorEastAsia" w:hAnsiTheme="majorEastAsia" w:eastAsiaTheme="majorEastAsia" w:cstheme="majorEastAsia"/>
                <w:b/>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E0512E5">
            <w:pPr>
              <w:spacing w:line="400" w:lineRule="exact"/>
              <w:jc w:val="center"/>
              <w:rPr>
                <w:rFonts w:asciiTheme="majorEastAsia" w:hAnsiTheme="majorEastAsia" w:eastAsiaTheme="majorEastAsia" w:cstheme="majorEastAsia"/>
                <w:b/>
                <w:color w:val="auto"/>
                <w:szCs w:val="21"/>
                <w:highlight w:val="none"/>
              </w:rPr>
            </w:pPr>
          </w:p>
        </w:tc>
        <w:tc>
          <w:tcPr>
            <w:tcW w:w="1708" w:type="dxa"/>
            <w:tcBorders>
              <w:top w:val="single" w:color="auto" w:sz="4" w:space="0"/>
              <w:left w:val="single" w:color="auto" w:sz="4" w:space="0"/>
              <w:bottom w:val="single" w:color="auto" w:sz="4" w:space="0"/>
              <w:right w:val="single" w:color="auto" w:sz="4" w:space="0"/>
            </w:tcBorders>
            <w:vAlign w:val="center"/>
          </w:tcPr>
          <w:p w14:paraId="13B2B8DB">
            <w:pPr>
              <w:spacing w:line="400" w:lineRule="exact"/>
              <w:jc w:val="center"/>
              <w:rPr>
                <w:rFonts w:asciiTheme="majorEastAsia" w:hAnsiTheme="majorEastAsia" w:eastAsiaTheme="majorEastAsia" w:cstheme="majorEastAsia"/>
                <w:b/>
                <w:bCs/>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14:paraId="4A6A5EFB">
            <w:pPr>
              <w:spacing w:line="400" w:lineRule="exact"/>
              <w:jc w:val="center"/>
              <w:rPr>
                <w:rFonts w:asciiTheme="majorEastAsia" w:hAnsiTheme="majorEastAsia" w:eastAsiaTheme="majorEastAsia" w:cstheme="majorEastAsia"/>
                <w:b/>
                <w:bCs/>
                <w:color w:val="auto"/>
                <w:szCs w:val="21"/>
                <w:highlight w:val="none"/>
              </w:rPr>
            </w:pPr>
          </w:p>
        </w:tc>
      </w:tr>
      <w:tr w14:paraId="11D59E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vAlign w:val="center"/>
          </w:tcPr>
          <w:p w14:paraId="13E4FF1A">
            <w:pPr>
              <w:spacing w:line="400" w:lineRule="exact"/>
              <w:jc w:val="center"/>
              <w:rPr>
                <w:rFonts w:asciiTheme="majorEastAsia" w:hAnsiTheme="majorEastAsia" w:eastAsiaTheme="majorEastAsia" w:cstheme="majorEastAsia"/>
                <w:b/>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531B3A1F">
            <w:pPr>
              <w:spacing w:line="400" w:lineRule="exact"/>
              <w:jc w:val="center"/>
              <w:rPr>
                <w:rFonts w:asciiTheme="majorEastAsia" w:hAnsiTheme="majorEastAsia" w:eastAsiaTheme="majorEastAsia" w:cstheme="majorEastAsia"/>
                <w:b/>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5691A182">
            <w:pPr>
              <w:widowControl/>
              <w:wordWrap w:val="0"/>
              <w:jc w:val="center"/>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必须填写完整</w:t>
            </w:r>
          </w:p>
        </w:tc>
        <w:tc>
          <w:tcPr>
            <w:tcW w:w="850" w:type="dxa"/>
            <w:tcBorders>
              <w:top w:val="single" w:color="auto" w:sz="4" w:space="0"/>
              <w:left w:val="single" w:color="auto" w:sz="4" w:space="0"/>
              <w:bottom w:val="single" w:color="auto" w:sz="4" w:space="0"/>
              <w:right w:val="single" w:color="auto" w:sz="4" w:space="0"/>
            </w:tcBorders>
            <w:vAlign w:val="center"/>
          </w:tcPr>
          <w:p w14:paraId="2BEDE7CC">
            <w:pPr>
              <w:spacing w:line="400" w:lineRule="exact"/>
              <w:jc w:val="center"/>
              <w:rPr>
                <w:rFonts w:asciiTheme="majorEastAsia" w:hAnsiTheme="majorEastAsia" w:eastAsiaTheme="majorEastAsia" w:cstheme="majorEastAsia"/>
                <w:b/>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0E24257">
            <w:pPr>
              <w:spacing w:line="400" w:lineRule="exact"/>
              <w:jc w:val="center"/>
              <w:rPr>
                <w:rFonts w:asciiTheme="majorEastAsia" w:hAnsiTheme="majorEastAsia" w:eastAsiaTheme="majorEastAsia" w:cstheme="majorEastAsia"/>
                <w:b/>
                <w:color w:val="auto"/>
                <w:szCs w:val="21"/>
                <w:highlight w:val="none"/>
              </w:rPr>
            </w:pPr>
          </w:p>
        </w:tc>
        <w:tc>
          <w:tcPr>
            <w:tcW w:w="1708" w:type="dxa"/>
            <w:tcBorders>
              <w:top w:val="single" w:color="auto" w:sz="4" w:space="0"/>
              <w:left w:val="single" w:color="auto" w:sz="4" w:space="0"/>
              <w:bottom w:val="single" w:color="auto" w:sz="4" w:space="0"/>
              <w:right w:val="single" w:color="auto" w:sz="4" w:space="0"/>
            </w:tcBorders>
            <w:vAlign w:val="center"/>
          </w:tcPr>
          <w:p w14:paraId="6317FD83">
            <w:pPr>
              <w:spacing w:line="400" w:lineRule="exact"/>
              <w:jc w:val="center"/>
              <w:rPr>
                <w:rFonts w:asciiTheme="majorEastAsia" w:hAnsiTheme="majorEastAsia" w:eastAsiaTheme="majorEastAsia" w:cstheme="majorEastAsia"/>
                <w:b/>
                <w:bCs/>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14:paraId="2A6578BC">
            <w:pPr>
              <w:spacing w:line="400" w:lineRule="exact"/>
              <w:jc w:val="center"/>
              <w:rPr>
                <w:rFonts w:asciiTheme="majorEastAsia" w:hAnsiTheme="majorEastAsia" w:eastAsiaTheme="majorEastAsia" w:cstheme="majorEastAsia"/>
                <w:b/>
                <w:bCs/>
                <w:color w:val="auto"/>
                <w:szCs w:val="21"/>
                <w:highlight w:val="none"/>
              </w:rPr>
            </w:pPr>
          </w:p>
        </w:tc>
      </w:tr>
      <w:tr w14:paraId="2C292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vAlign w:val="center"/>
          </w:tcPr>
          <w:p w14:paraId="4B31B59C">
            <w:pPr>
              <w:spacing w:line="400" w:lineRule="exact"/>
              <w:jc w:val="center"/>
              <w:rPr>
                <w:rFonts w:asciiTheme="majorEastAsia" w:hAnsiTheme="majorEastAsia" w:eastAsiaTheme="majorEastAsia" w:cstheme="majorEastAsia"/>
                <w:b/>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4D1108B3">
            <w:pPr>
              <w:spacing w:line="400" w:lineRule="exact"/>
              <w:jc w:val="center"/>
              <w:rPr>
                <w:rFonts w:asciiTheme="majorEastAsia" w:hAnsiTheme="majorEastAsia" w:eastAsiaTheme="majorEastAsia" w:cstheme="majorEastAsia"/>
                <w:b/>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21878B81">
            <w:pPr>
              <w:widowControl/>
              <w:wordWrap w:val="0"/>
              <w:jc w:val="center"/>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必须填写完整</w:t>
            </w:r>
          </w:p>
        </w:tc>
        <w:tc>
          <w:tcPr>
            <w:tcW w:w="850" w:type="dxa"/>
            <w:tcBorders>
              <w:top w:val="single" w:color="auto" w:sz="4" w:space="0"/>
              <w:left w:val="single" w:color="auto" w:sz="4" w:space="0"/>
              <w:bottom w:val="single" w:color="auto" w:sz="4" w:space="0"/>
              <w:right w:val="single" w:color="auto" w:sz="4" w:space="0"/>
            </w:tcBorders>
            <w:vAlign w:val="center"/>
          </w:tcPr>
          <w:p w14:paraId="67FF8A7C">
            <w:pPr>
              <w:spacing w:line="400" w:lineRule="exact"/>
              <w:jc w:val="center"/>
              <w:rPr>
                <w:rFonts w:asciiTheme="majorEastAsia" w:hAnsiTheme="majorEastAsia" w:eastAsiaTheme="majorEastAsia" w:cstheme="majorEastAsia"/>
                <w:b/>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5170A0D8">
            <w:pPr>
              <w:spacing w:line="400" w:lineRule="exact"/>
              <w:jc w:val="center"/>
              <w:rPr>
                <w:rFonts w:asciiTheme="majorEastAsia" w:hAnsiTheme="majorEastAsia" w:eastAsiaTheme="majorEastAsia" w:cstheme="majorEastAsia"/>
                <w:b/>
                <w:color w:val="auto"/>
                <w:szCs w:val="21"/>
                <w:highlight w:val="none"/>
              </w:rPr>
            </w:pPr>
          </w:p>
        </w:tc>
        <w:tc>
          <w:tcPr>
            <w:tcW w:w="1708" w:type="dxa"/>
            <w:tcBorders>
              <w:top w:val="single" w:color="auto" w:sz="4" w:space="0"/>
              <w:left w:val="single" w:color="auto" w:sz="4" w:space="0"/>
              <w:bottom w:val="single" w:color="auto" w:sz="4" w:space="0"/>
              <w:right w:val="single" w:color="auto" w:sz="4" w:space="0"/>
            </w:tcBorders>
            <w:vAlign w:val="center"/>
          </w:tcPr>
          <w:p w14:paraId="68D76A97">
            <w:pPr>
              <w:spacing w:line="400" w:lineRule="exact"/>
              <w:jc w:val="center"/>
              <w:rPr>
                <w:rFonts w:asciiTheme="majorEastAsia" w:hAnsiTheme="majorEastAsia" w:eastAsiaTheme="majorEastAsia" w:cstheme="majorEastAsia"/>
                <w:b/>
                <w:bCs/>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14:paraId="2B2100D1">
            <w:pPr>
              <w:spacing w:line="400" w:lineRule="exact"/>
              <w:jc w:val="center"/>
              <w:rPr>
                <w:rFonts w:asciiTheme="majorEastAsia" w:hAnsiTheme="majorEastAsia" w:eastAsiaTheme="majorEastAsia" w:cstheme="majorEastAsia"/>
                <w:b/>
                <w:bCs/>
                <w:color w:val="auto"/>
                <w:szCs w:val="21"/>
                <w:highlight w:val="none"/>
              </w:rPr>
            </w:pPr>
          </w:p>
        </w:tc>
      </w:tr>
      <w:tr w14:paraId="0AA255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vAlign w:val="center"/>
          </w:tcPr>
          <w:p w14:paraId="41391E9E">
            <w:pPr>
              <w:spacing w:line="400" w:lineRule="exact"/>
              <w:jc w:val="center"/>
              <w:rPr>
                <w:rFonts w:asciiTheme="majorEastAsia" w:hAnsiTheme="majorEastAsia" w:eastAsiaTheme="majorEastAsia" w:cstheme="majorEastAsia"/>
                <w:b/>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4758763B">
            <w:pPr>
              <w:wordWrap w:val="0"/>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w:t>
            </w:r>
          </w:p>
        </w:tc>
        <w:tc>
          <w:tcPr>
            <w:tcW w:w="2977" w:type="dxa"/>
            <w:tcBorders>
              <w:top w:val="single" w:color="auto" w:sz="4" w:space="0"/>
              <w:left w:val="single" w:color="auto" w:sz="4" w:space="0"/>
              <w:bottom w:val="single" w:color="auto" w:sz="4" w:space="0"/>
              <w:right w:val="single" w:color="auto" w:sz="4" w:space="0"/>
            </w:tcBorders>
            <w:vAlign w:val="center"/>
          </w:tcPr>
          <w:p w14:paraId="27BC7F51">
            <w:pPr>
              <w:widowControl/>
              <w:wordWrap w:val="0"/>
              <w:jc w:val="center"/>
              <w:rPr>
                <w:rFonts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color w:val="auto"/>
                <w:kern w:val="0"/>
                <w:szCs w:val="21"/>
                <w:highlight w:val="none"/>
                <w:lang w:bidi="ar"/>
              </w:rPr>
              <w:t>使用说明书（不能删）</w:t>
            </w:r>
          </w:p>
        </w:tc>
        <w:tc>
          <w:tcPr>
            <w:tcW w:w="850" w:type="dxa"/>
            <w:tcBorders>
              <w:top w:val="single" w:color="auto" w:sz="4" w:space="0"/>
              <w:left w:val="single" w:color="auto" w:sz="4" w:space="0"/>
              <w:bottom w:val="single" w:color="auto" w:sz="4" w:space="0"/>
              <w:right w:val="single" w:color="auto" w:sz="4" w:space="0"/>
            </w:tcBorders>
            <w:vAlign w:val="center"/>
          </w:tcPr>
          <w:p w14:paraId="056CFDA7">
            <w:pPr>
              <w:wordWrap w:val="0"/>
              <w:spacing w:line="400" w:lineRule="exact"/>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套</w:t>
            </w:r>
          </w:p>
        </w:tc>
        <w:tc>
          <w:tcPr>
            <w:tcW w:w="992" w:type="dxa"/>
            <w:tcBorders>
              <w:top w:val="single" w:color="auto" w:sz="4" w:space="0"/>
              <w:left w:val="single" w:color="auto" w:sz="4" w:space="0"/>
              <w:bottom w:val="single" w:color="auto" w:sz="4" w:space="0"/>
              <w:right w:val="single" w:color="auto" w:sz="4" w:space="0"/>
            </w:tcBorders>
            <w:vAlign w:val="center"/>
          </w:tcPr>
          <w:p w14:paraId="414B9E20">
            <w:pPr>
              <w:wordWrap w:val="0"/>
              <w:spacing w:line="400" w:lineRule="exact"/>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1</w:t>
            </w:r>
          </w:p>
        </w:tc>
        <w:tc>
          <w:tcPr>
            <w:tcW w:w="1708" w:type="dxa"/>
            <w:tcBorders>
              <w:top w:val="single" w:color="auto" w:sz="4" w:space="0"/>
              <w:left w:val="single" w:color="auto" w:sz="4" w:space="0"/>
              <w:bottom w:val="single" w:color="auto" w:sz="4" w:space="0"/>
              <w:right w:val="single" w:color="auto" w:sz="4" w:space="0"/>
            </w:tcBorders>
            <w:vAlign w:val="center"/>
          </w:tcPr>
          <w:p w14:paraId="0CFDFCC8">
            <w:pPr>
              <w:spacing w:line="400" w:lineRule="exact"/>
              <w:jc w:val="center"/>
              <w:rPr>
                <w:rFonts w:asciiTheme="majorEastAsia" w:hAnsiTheme="majorEastAsia" w:eastAsiaTheme="majorEastAsia" w:cstheme="majorEastAsia"/>
                <w:b/>
                <w:bCs/>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14:paraId="06D73F41">
            <w:pPr>
              <w:spacing w:line="400" w:lineRule="exact"/>
              <w:jc w:val="center"/>
              <w:rPr>
                <w:rFonts w:asciiTheme="majorEastAsia" w:hAnsiTheme="majorEastAsia" w:eastAsiaTheme="majorEastAsia" w:cstheme="majorEastAsia"/>
                <w:b/>
                <w:bCs/>
                <w:color w:val="auto"/>
                <w:szCs w:val="21"/>
                <w:highlight w:val="none"/>
              </w:rPr>
            </w:pPr>
          </w:p>
        </w:tc>
      </w:tr>
      <w:tr w14:paraId="320FCE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vAlign w:val="center"/>
          </w:tcPr>
          <w:p w14:paraId="10C0052F">
            <w:pPr>
              <w:spacing w:line="400" w:lineRule="exact"/>
              <w:jc w:val="center"/>
              <w:rPr>
                <w:rFonts w:asciiTheme="majorEastAsia" w:hAnsiTheme="majorEastAsia" w:eastAsiaTheme="majorEastAsia" w:cstheme="majorEastAsia"/>
                <w:b/>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3193A787">
            <w:pPr>
              <w:wordWrap w:val="0"/>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w:t>
            </w:r>
          </w:p>
        </w:tc>
        <w:tc>
          <w:tcPr>
            <w:tcW w:w="2977" w:type="dxa"/>
            <w:tcBorders>
              <w:top w:val="single" w:color="auto" w:sz="4" w:space="0"/>
              <w:left w:val="single" w:color="auto" w:sz="4" w:space="0"/>
              <w:bottom w:val="single" w:color="auto" w:sz="4" w:space="0"/>
              <w:right w:val="single" w:color="auto" w:sz="4" w:space="0"/>
            </w:tcBorders>
            <w:vAlign w:val="center"/>
          </w:tcPr>
          <w:p w14:paraId="088EBC84">
            <w:pPr>
              <w:widowControl/>
              <w:wordWrap w:val="0"/>
              <w:jc w:val="center"/>
              <w:rPr>
                <w:rFonts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color w:val="auto"/>
                <w:kern w:val="0"/>
                <w:szCs w:val="21"/>
                <w:highlight w:val="none"/>
                <w:lang w:bidi="ar"/>
              </w:rPr>
              <w:t>设备保修卡（不能删）</w:t>
            </w:r>
          </w:p>
        </w:tc>
        <w:tc>
          <w:tcPr>
            <w:tcW w:w="850" w:type="dxa"/>
            <w:tcBorders>
              <w:top w:val="single" w:color="auto" w:sz="4" w:space="0"/>
              <w:left w:val="single" w:color="auto" w:sz="4" w:space="0"/>
              <w:bottom w:val="single" w:color="auto" w:sz="4" w:space="0"/>
              <w:right w:val="single" w:color="auto" w:sz="4" w:space="0"/>
            </w:tcBorders>
            <w:vAlign w:val="center"/>
          </w:tcPr>
          <w:p w14:paraId="66E2B897">
            <w:pPr>
              <w:wordWrap w:val="0"/>
              <w:spacing w:line="400" w:lineRule="exact"/>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份</w:t>
            </w:r>
          </w:p>
        </w:tc>
        <w:tc>
          <w:tcPr>
            <w:tcW w:w="992" w:type="dxa"/>
            <w:tcBorders>
              <w:top w:val="single" w:color="auto" w:sz="4" w:space="0"/>
              <w:left w:val="single" w:color="auto" w:sz="4" w:space="0"/>
              <w:bottom w:val="single" w:color="auto" w:sz="4" w:space="0"/>
              <w:right w:val="single" w:color="auto" w:sz="4" w:space="0"/>
            </w:tcBorders>
            <w:vAlign w:val="center"/>
          </w:tcPr>
          <w:p w14:paraId="22D0723E">
            <w:pPr>
              <w:wordWrap w:val="0"/>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Cs/>
                <w:color w:val="auto"/>
                <w:szCs w:val="21"/>
                <w:highlight w:val="none"/>
              </w:rPr>
              <w:t>1</w:t>
            </w:r>
          </w:p>
        </w:tc>
        <w:tc>
          <w:tcPr>
            <w:tcW w:w="1708" w:type="dxa"/>
            <w:tcBorders>
              <w:top w:val="single" w:color="auto" w:sz="4" w:space="0"/>
              <w:left w:val="single" w:color="auto" w:sz="4" w:space="0"/>
              <w:bottom w:val="single" w:color="auto" w:sz="4" w:space="0"/>
              <w:right w:val="single" w:color="auto" w:sz="4" w:space="0"/>
            </w:tcBorders>
            <w:vAlign w:val="center"/>
          </w:tcPr>
          <w:p w14:paraId="31BB71E4">
            <w:pPr>
              <w:spacing w:line="400" w:lineRule="exact"/>
              <w:jc w:val="center"/>
              <w:rPr>
                <w:rFonts w:asciiTheme="majorEastAsia" w:hAnsiTheme="majorEastAsia" w:eastAsiaTheme="majorEastAsia" w:cstheme="majorEastAsia"/>
                <w:b/>
                <w:bCs/>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14:paraId="7F0D0899">
            <w:pPr>
              <w:spacing w:line="400" w:lineRule="exact"/>
              <w:jc w:val="center"/>
              <w:rPr>
                <w:rFonts w:asciiTheme="majorEastAsia" w:hAnsiTheme="majorEastAsia" w:eastAsiaTheme="majorEastAsia" w:cstheme="majorEastAsia"/>
                <w:b/>
                <w:bCs/>
                <w:color w:val="auto"/>
                <w:szCs w:val="21"/>
                <w:highlight w:val="none"/>
              </w:rPr>
            </w:pPr>
          </w:p>
        </w:tc>
      </w:tr>
      <w:tr w14:paraId="6E60E4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vAlign w:val="center"/>
          </w:tcPr>
          <w:p w14:paraId="236F9E71">
            <w:pPr>
              <w:spacing w:line="400" w:lineRule="exact"/>
              <w:jc w:val="center"/>
              <w:rPr>
                <w:rFonts w:asciiTheme="majorEastAsia" w:hAnsiTheme="majorEastAsia" w:eastAsiaTheme="majorEastAsia" w:cstheme="majorEastAsia"/>
                <w:b/>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0C1E2348">
            <w:pPr>
              <w:wordWrap w:val="0"/>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w:t>
            </w:r>
          </w:p>
        </w:tc>
        <w:tc>
          <w:tcPr>
            <w:tcW w:w="2977" w:type="dxa"/>
            <w:tcBorders>
              <w:top w:val="single" w:color="auto" w:sz="4" w:space="0"/>
              <w:left w:val="single" w:color="auto" w:sz="4" w:space="0"/>
              <w:bottom w:val="single" w:color="auto" w:sz="4" w:space="0"/>
              <w:right w:val="single" w:color="auto" w:sz="4" w:space="0"/>
            </w:tcBorders>
            <w:vAlign w:val="center"/>
          </w:tcPr>
          <w:p w14:paraId="7B3C268B">
            <w:pPr>
              <w:widowControl/>
              <w:wordWrap w:val="0"/>
              <w:jc w:val="center"/>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合格证（不能删）</w:t>
            </w:r>
          </w:p>
        </w:tc>
        <w:tc>
          <w:tcPr>
            <w:tcW w:w="850" w:type="dxa"/>
            <w:tcBorders>
              <w:top w:val="single" w:color="auto" w:sz="4" w:space="0"/>
              <w:left w:val="single" w:color="auto" w:sz="4" w:space="0"/>
              <w:bottom w:val="single" w:color="auto" w:sz="4" w:space="0"/>
              <w:right w:val="single" w:color="auto" w:sz="4" w:space="0"/>
            </w:tcBorders>
            <w:vAlign w:val="center"/>
          </w:tcPr>
          <w:p w14:paraId="4D9F94D6">
            <w:pPr>
              <w:wordWrap w:val="0"/>
              <w:spacing w:line="400" w:lineRule="exact"/>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份</w:t>
            </w:r>
          </w:p>
        </w:tc>
        <w:tc>
          <w:tcPr>
            <w:tcW w:w="992" w:type="dxa"/>
            <w:tcBorders>
              <w:top w:val="single" w:color="auto" w:sz="4" w:space="0"/>
              <w:left w:val="single" w:color="auto" w:sz="4" w:space="0"/>
              <w:bottom w:val="single" w:color="auto" w:sz="4" w:space="0"/>
              <w:right w:val="single" w:color="auto" w:sz="4" w:space="0"/>
            </w:tcBorders>
            <w:vAlign w:val="center"/>
          </w:tcPr>
          <w:p w14:paraId="7E1DB6C5">
            <w:pPr>
              <w:wordWrap w:val="0"/>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Cs/>
                <w:color w:val="auto"/>
                <w:szCs w:val="21"/>
                <w:highlight w:val="none"/>
              </w:rPr>
              <w:t>1</w:t>
            </w:r>
          </w:p>
        </w:tc>
        <w:tc>
          <w:tcPr>
            <w:tcW w:w="1708" w:type="dxa"/>
            <w:tcBorders>
              <w:top w:val="single" w:color="auto" w:sz="4" w:space="0"/>
              <w:left w:val="single" w:color="auto" w:sz="4" w:space="0"/>
              <w:bottom w:val="single" w:color="auto" w:sz="4" w:space="0"/>
              <w:right w:val="single" w:color="auto" w:sz="4" w:space="0"/>
            </w:tcBorders>
            <w:vAlign w:val="center"/>
          </w:tcPr>
          <w:p w14:paraId="54F9AC62">
            <w:pPr>
              <w:spacing w:line="400" w:lineRule="exact"/>
              <w:jc w:val="center"/>
              <w:rPr>
                <w:rFonts w:asciiTheme="majorEastAsia" w:hAnsiTheme="majorEastAsia" w:eastAsiaTheme="majorEastAsia" w:cstheme="majorEastAsia"/>
                <w:b/>
                <w:bCs/>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14:paraId="09571F85">
            <w:pPr>
              <w:spacing w:line="400" w:lineRule="exact"/>
              <w:jc w:val="center"/>
              <w:rPr>
                <w:rFonts w:asciiTheme="majorEastAsia" w:hAnsiTheme="majorEastAsia" w:eastAsiaTheme="majorEastAsia" w:cstheme="majorEastAsia"/>
                <w:b/>
                <w:bCs/>
                <w:color w:val="auto"/>
                <w:szCs w:val="21"/>
                <w:highlight w:val="none"/>
              </w:rPr>
            </w:pPr>
          </w:p>
        </w:tc>
      </w:tr>
      <w:tr w14:paraId="1C53AA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vAlign w:val="center"/>
          </w:tcPr>
          <w:p w14:paraId="1633318D">
            <w:pPr>
              <w:spacing w:line="400" w:lineRule="exact"/>
              <w:jc w:val="center"/>
              <w:rPr>
                <w:rFonts w:asciiTheme="majorEastAsia" w:hAnsiTheme="majorEastAsia" w:eastAsiaTheme="majorEastAsia" w:cstheme="majorEastAsia"/>
                <w:b/>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4500A572">
            <w:pPr>
              <w:wordWrap w:val="0"/>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w:t>
            </w:r>
          </w:p>
        </w:tc>
        <w:tc>
          <w:tcPr>
            <w:tcW w:w="2977" w:type="dxa"/>
            <w:tcBorders>
              <w:top w:val="single" w:color="auto" w:sz="4" w:space="0"/>
              <w:left w:val="single" w:color="auto" w:sz="4" w:space="0"/>
              <w:bottom w:val="single" w:color="auto" w:sz="4" w:space="0"/>
              <w:right w:val="single" w:color="auto" w:sz="4" w:space="0"/>
            </w:tcBorders>
            <w:vAlign w:val="center"/>
          </w:tcPr>
          <w:p w14:paraId="44D7DB3C">
            <w:pPr>
              <w:widowControl/>
              <w:wordWrap w:val="0"/>
              <w:jc w:val="center"/>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装箱单（不能删）</w:t>
            </w:r>
          </w:p>
        </w:tc>
        <w:tc>
          <w:tcPr>
            <w:tcW w:w="850" w:type="dxa"/>
            <w:tcBorders>
              <w:top w:val="single" w:color="auto" w:sz="4" w:space="0"/>
              <w:left w:val="single" w:color="auto" w:sz="4" w:space="0"/>
              <w:bottom w:val="single" w:color="auto" w:sz="4" w:space="0"/>
              <w:right w:val="single" w:color="auto" w:sz="4" w:space="0"/>
            </w:tcBorders>
            <w:vAlign w:val="center"/>
          </w:tcPr>
          <w:p w14:paraId="280257F4">
            <w:pPr>
              <w:wordWrap w:val="0"/>
              <w:spacing w:line="400" w:lineRule="exact"/>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份</w:t>
            </w:r>
          </w:p>
        </w:tc>
        <w:tc>
          <w:tcPr>
            <w:tcW w:w="992" w:type="dxa"/>
            <w:tcBorders>
              <w:top w:val="single" w:color="auto" w:sz="4" w:space="0"/>
              <w:left w:val="single" w:color="auto" w:sz="4" w:space="0"/>
              <w:bottom w:val="single" w:color="auto" w:sz="4" w:space="0"/>
              <w:right w:val="single" w:color="auto" w:sz="4" w:space="0"/>
            </w:tcBorders>
            <w:vAlign w:val="center"/>
          </w:tcPr>
          <w:p w14:paraId="7CF4E63B">
            <w:pPr>
              <w:wordWrap w:val="0"/>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Cs/>
                <w:color w:val="auto"/>
                <w:szCs w:val="21"/>
                <w:highlight w:val="none"/>
              </w:rPr>
              <w:t>1</w:t>
            </w:r>
          </w:p>
        </w:tc>
        <w:tc>
          <w:tcPr>
            <w:tcW w:w="1708" w:type="dxa"/>
            <w:tcBorders>
              <w:top w:val="single" w:color="auto" w:sz="4" w:space="0"/>
              <w:left w:val="single" w:color="auto" w:sz="4" w:space="0"/>
              <w:bottom w:val="single" w:color="auto" w:sz="4" w:space="0"/>
              <w:right w:val="single" w:color="auto" w:sz="4" w:space="0"/>
            </w:tcBorders>
            <w:vAlign w:val="center"/>
          </w:tcPr>
          <w:p w14:paraId="5A316748">
            <w:pPr>
              <w:spacing w:line="400" w:lineRule="exact"/>
              <w:jc w:val="center"/>
              <w:rPr>
                <w:rFonts w:asciiTheme="majorEastAsia" w:hAnsiTheme="majorEastAsia" w:eastAsiaTheme="majorEastAsia" w:cstheme="majorEastAsia"/>
                <w:b/>
                <w:bCs/>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14:paraId="34542D1E">
            <w:pPr>
              <w:spacing w:line="400" w:lineRule="exact"/>
              <w:jc w:val="center"/>
              <w:rPr>
                <w:rFonts w:asciiTheme="majorEastAsia" w:hAnsiTheme="majorEastAsia" w:eastAsiaTheme="majorEastAsia" w:cstheme="majorEastAsia"/>
                <w:b/>
                <w:bCs/>
                <w:color w:val="auto"/>
                <w:szCs w:val="21"/>
                <w:highlight w:val="none"/>
              </w:rPr>
            </w:pPr>
          </w:p>
        </w:tc>
      </w:tr>
    </w:tbl>
    <w:p w14:paraId="50B9DE22">
      <w:pPr>
        <w:spacing w:line="400" w:lineRule="exact"/>
        <w:rPr>
          <w:rFonts w:asciiTheme="majorEastAsia" w:hAnsiTheme="majorEastAsia" w:eastAsiaTheme="majorEastAsia" w:cstheme="majorEastAsia"/>
          <w:b/>
          <w:color w:val="auto"/>
          <w:szCs w:val="21"/>
          <w:highlight w:val="none"/>
        </w:rPr>
      </w:pPr>
    </w:p>
    <w:p w14:paraId="058BB019">
      <w:pPr>
        <w:spacing w:line="400" w:lineRule="exact"/>
        <w:rPr>
          <w:rFonts w:asciiTheme="majorEastAsia" w:hAnsiTheme="majorEastAsia" w:eastAsiaTheme="majorEastAsia" w:cstheme="majorEastAsia"/>
          <w:b/>
          <w:color w:val="auto"/>
          <w:szCs w:val="21"/>
          <w:highlight w:val="none"/>
        </w:rPr>
      </w:pPr>
    </w:p>
    <w:p w14:paraId="5AEF5837">
      <w:pPr>
        <w:spacing w:line="400" w:lineRule="exact"/>
        <w:rPr>
          <w:rFonts w:asciiTheme="majorEastAsia" w:hAnsiTheme="majorEastAsia" w:eastAsiaTheme="majorEastAsia" w:cstheme="majorEastAsia"/>
          <w:b/>
          <w:color w:val="auto"/>
          <w:szCs w:val="21"/>
          <w:highlight w:val="none"/>
        </w:rPr>
      </w:pPr>
    </w:p>
    <w:p w14:paraId="2B182B78">
      <w:pPr>
        <w:spacing w:line="400" w:lineRule="exact"/>
        <w:rPr>
          <w:rFonts w:asciiTheme="majorEastAsia" w:hAnsiTheme="majorEastAsia" w:eastAsiaTheme="majorEastAsia" w:cstheme="majorEastAsia"/>
          <w:b/>
          <w:color w:val="auto"/>
          <w:szCs w:val="21"/>
          <w:highlight w:val="none"/>
        </w:rPr>
      </w:pPr>
    </w:p>
    <w:p w14:paraId="59486D3D">
      <w:pPr>
        <w:spacing w:line="400" w:lineRule="exact"/>
        <w:rPr>
          <w:rFonts w:asciiTheme="majorEastAsia" w:hAnsiTheme="majorEastAsia" w:eastAsiaTheme="majorEastAsia" w:cstheme="majorEastAsia"/>
          <w:b/>
          <w:color w:val="auto"/>
          <w:szCs w:val="21"/>
          <w:highlight w:val="none"/>
        </w:rPr>
      </w:pPr>
    </w:p>
    <w:p w14:paraId="4A93A469">
      <w:pPr>
        <w:spacing w:line="400" w:lineRule="exact"/>
        <w:rPr>
          <w:rFonts w:asciiTheme="majorEastAsia" w:hAnsiTheme="majorEastAsia" w:eastAsiaTheme="majorEastAsia" w:cstheme="majorEastAsia"/>
          <w:b/>
          <w:color w:val="auto"/>
          <w:szCs w:val="21"/>
          <w:highlight w:val="none"/>
        </w:rPr>
      </w:pPr>
    </w:p>
    <w:p w14:paraId="1D173586">
      <w:pPr>
        <w:spacing w:line="400" w:lineRule="exact"/>
        <w:rPr>
          <w:rFonts w:asciiTheme="majorEastAsia" w:hAnsiTheme="majorEastAsia" w:eastAsiaTheme="majorEastAsia" w:cstheme="majorEastAsia"/>
          <w:b/>
          <w:color w:val="auto"/>
          <w:szCs w:val="21"/>
          <w:highlight w:val="none"/>
        </w:rPr>
      </w:pPr>
    </w:p>
    <w:p w14:paraId="1E6D264E">
      <w:pPr>
        <w:spacing w:line="400" w:lineRule="exact"/>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附件4：售后服务承诺书[</w:t>
      </w:r>
      <w:r>
        <w:rPr>
          <w:rFonts w:hint="eastAsia" w:asciiTheme="majorEastAsia" w:hAnsiTheme="majorEastAsia" w:eastAsiaTheme="majorEastAsia" w:cstheme="majorEastAsia"/>
          <w:color w:val="auto"/>
          <w:kern w:val="0"/>
          <w:szCs w:val="21"/>
          <w:highlight w:val="none"/>
        </w:rPr>
        <w:t>原则上须有生产厂家或省级（含省级）以上代理商的盖章]</w:t>
      </w:r>
      <w:r>
        <w:rPr>
          <w:rFonts w:hint="eastAsia" w:asciiTheme="majorEastAsia" w:hAnsiTheme="majorEastAsia" w:eastAsiaTheme="majorEastAsia" w:cstheme="majorEastAsia"/>
          <w:b/>
          <w:color w:val="auto"/>
          <w:szCs w:val="21"/>
          <w:highlight w:val="none"/>
        </w:rPr>
        <w:t>。</w:t>
      </w:r>
    </w:p>
    <w:p w14:paraId="5C6342E5">
      <w:pPr>
        <w:spacing w:line="400" w:lineRule="exact"/>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附件5：产品医疗器械注册证（如有必须提供，没注册证的请提供设备</w:t>
      </w:r>
      <w:r>
        <w:rPr>
          <w:rFonts w:hint="eastAsia" w:asciiTheme="majorEastAsia" w:hAnsiTheme="majorEastAsia" w:eastAsiaTheme="majorEastAsia" w:cstheme="majorEastAsia"/>
          <w:b/>
          <w:color w:val="auto"/>
          <w:szCs w:val="21"/>
          <w:highlight w:val="none"/>
          <w:lang w:eastAsia="zh-CN"/>
        </w:rPr>
        <w:t>生产厂家</w:t>
      </w:r>
      <w:r>
        <w:rPr>
          <w:rFonts w:hint="eastAsia" w:asciiTheme="majorEastAsia" w:hAnsiTheme="majorEastAsia" w:eastAsiaTheme="majorEastAsia" w:cstheme="majorEastAsia"/>
          <w:b/>
          <w:color w:val="auto"/>
          <w:szCs w:val="21"/>
          <w:highlight w:val="none"/>
        </w:rPr>
        <w:t>营业执照、医疗器械生产许可证；不属于医疗器械管理的请提供不属于医疗器械管理的证明）。</w:t>
      </w:r>
    </w:p>
    <w:p w14:paraId="670A2CBF">
      <w:pPr>
        <w:spacing w:line="400" w:lineRule="exact"/>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附件6：供应商的营业执照、医疗器械经营许可证、医疗器械经营备案凭证。</w:t>
      </w:r>
    </w:p>
    <w:p w14:paraId="0C638843">
      <w:pPr>
        <w:spacing w:line="400" w:lineRule="exact"/>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附件7：投标报价</w:t>
      </w:r>
    </w:p>
    <w:p w14:paraId="616F22E4">
      <w:pPr>
        <w:spacing w:line="400" w:lineRule="exact"/>
        <w:rPr>
          <w:rFonts w:asciiTheme="majorEastAsia" w:hAnsiTheme="majorEastAsia" w:eastAsiaTheme="majorEastAsia" w:cstheme="majorEastAsia"/>
          <w:b/>
          <w:color w:val="auto"/>
          <w:szCs w:val="21"/>
          <w:highlight w:val="none"/>
          <w:u w:val="single"/>
        </w:rPr>
      </w:pPr>
      <w:r>
        <w:rPr>
          <w:rFonts w:hint="eastAsia" w:asciiTheme="majorEastAsia" w:hAnsiTheme="majorEastAsia" w:eastAsiaTheme="majorEastAsia" w:cstheme="majorEastAsia"/>
          <w:b/>
          <w:color w:val="auto"/>
          <w:szCs w:val="21"/>
          <w:highlight w:val="none"/>
        </w:rPr>
        <w:t>甲方（盖章）：桂林医科大学第一附属医院    乙方（盖章）：</w:t>
      </w:r>
    </w:p>
    <w:p w14:paraId="7F9A79A3">
      <w:pPr>
        <w:spacing w:line="400" w:lineRule="exact"/>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甲方地址：桂林市秀峰区乐群路15号</w:t>
      </w:r>
      <w:r>
        <w:rPr>
          <w:rFonts w:hint="eastAsia" w:asciiTheme="majorEastAsia" w:hAnsiTheme="majorEastAsia" w:eastAsiaTheme="majorEastAsia" w:cstheme="majorEastAsia"/>
          <w:b/>
          <w:color w:val="auto"/>
          <w:szCs w:val="21"/>
          <w:highlight w:val="none"/>
        </w:rPr>
        <w:tab/>
      </w:r>
      <w:r>
        <w:rPr>
          <w:rFonts w:hint="eastAsia" w:asciiTheme="majorEastAsia" w:hAnsiTheme="majorEastAsia" w:eastAsiaTheme="majorEastAsia" w:cstheme="majorEastAsia"/>
          <w:b/>
          <w:color w:val="auto"/>
          <w:szCs w:val="21"/>
          <w:highlight w:val="none"/>
        </w:rPr>
        <w:t xml:space="preserve">      乙方地址：</w:t>
      </w:r>
    </w:p>
    <w:p w14:paraId="6439693C">
      <w:pPr>
        <w:spacing w:line="400" w:lineRule="exact"/>
        <w:ind w:firstLine="4436" w:firstLineChars="2104"/>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银行账号：</w:t>
      </w:r>
    </w:p>
    <w:p w14:paraId="098708EE">
      <w:pPr>
        <w:spacing w:line="400" w:lineRule="exact"/>
        <w:ind w:firstLine="4436" w:firstLineChars="2104"/>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开户行：</w:t>
      </w:r>
    </w:p>
    <w:p w14:paraId="1C6E35AE">
      <w:pPr>
        <w:spacing w:line="400" w:lineRule="exact"/>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电话：0773-2802050                        电   话：</w:t>
      </w:r>
    </w:p>
    <w:p w14:paraId="4B0E15EC">
      <w:pPr>
        <w:spacing w:line="400" w:lineRule="exact"/>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法定代表人：                              法定代表人：</w:t>
      </w:r>
    </w:p>
    <w:p w14:paraId="766BE409">
      <w:pPr>
        <w:spacing w:line="400" w:lineRule="exact"/>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委托代理人：                              委托代理人：</w:t>
      </w:r>
    </w:p>
    <w:p w14:paraId="24181D4A">
      <w:pPr>
        <w:spacing w:line="400" w:lineRule="exact"/>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 xml:space="preserve">签订日期：202     年   月   日        </w:t>
      </w:r>
    </w:p>
    <w:p w14:paraId="4C2868A3">
      <w:pPr>
        <w:spacing w:line="400" w:lineRule="exact"/>
        <w:jc w:val="center"/>
        <w:rPr>
          <w:rFonts w:asciiTheme="majorEastAsia" w:hAnsiTheme="majorEastAsia" w:eastAsiaTheme="majorEastAsia" w:cstheme="majorEastAsia"/>
          <w:b/>
          <w:color w:val="auto"/>
          <w:szCs w:val="21"/>
          <w:highlight w:val="none"/>
        </w:rPr>
      </w:pPr>
    </w:p>
    <w:p w14:paraId="45431D5D">
      <w:pPr>
        <w:spacing w:line="400" w:lineRule="exact"/>
        <w:jc w:val="center"/>
        <w:rPr>
          <w:rFonts w:asciiTheme="majorEastAsia" w:hAnsiTheme="majorEastAsia" w:eastAsiaTheme="majorEastAsia" w:cstheme="majorEastAsia"/>
          <w:b/>
          <w:color w:val="auto"/>
          <w:szCs w:val="21"/>
          <w:highlight w:val="none"/>
        </w:rPr>
      </w:pPr>
    </w:p>
    <w:p w14:paraId="3ACA650F">
      <w:pPr>
        <w:spacing w:line="400" w:lineRule="exact"/>
        <w:jc w:val="center"/>
        <w:rPr>
          <w:rFonts w:asciiTheme="majorEastAsia" w:hAnsiTheme="majorEastAsia" w:eastAsiaTheme="majorEastAsia" w:cstheme="majorEastAsia"/>
          <w:b/>
          <w:color w:val="auto"/>
          <w:szCs w:val="21"/>
          <w:highlight w:val="none"/>
        </w:rPr>
      </w:pPr>
    </w:p>
    <w:p w14:paraId="0193B5FD">
      <w:pPr>
        <w:spacing w:line="400" w:lineRule="exact"/>
        <w:jc w:val="center"/>
        <w:rPr>
          <w:rFonts w:asciiTheme="majorEastAsia" w:hAnsiTheme="majorEastAsia" w:eastAsiaTheme="majorEastAsia" w:cstheme="majorEastAsia"/>
          <w:b/>
          <w:color w:val="auto"/>
          <w:szCs w:val="21"/>
          <w:highlight w:val="none"/>
        </w:rPr>
      </w:pPr>
    </w:p>
    <w:p w14:paraId="1AB94D9B">
      <w:pPr>
        <w:spacing w:line="400" w:lineRule="exact"/>
        <w:jc w:val="center"/>
        <w:rPr>
          <w:rFonts w:asciiTheme="majorEastAsia" w:hAnsiTheme="majorEastAsia" w:eastAsiaTheme="majorEastAsia" w:cstheme="majorEastAsia"/>
          <w:b/>
          <w:color w:val="auto"/>
          <w:szCs w:val="21"/>
          <w:highlight w:val="none"/>
        </w:rPr>
      </w:pPr>
    </w:p>
    <w:p w14:paraId="51E2EA9B">
      <w:pPr>
        <w:spacing w:line="400" w:lineRule="exact"/>
        <w:jc w:val="center"/>
        <w:rPr>
          <w:rFonts w:asciiTheme="majorEastAsia" w:hAnsiTheme="majorEastAsia" w:eastAsiaTheme="majorEastAsia" w:cstheme="majorEastAsia"/>
          <w:b/>
          <w:color w:val="auto"/>
          <w:szCs w:val="21"/>
          <w:highlight w:val="none"/>
        </w:rPr>
      </w:pPr>
    </w:p>
    <w:p w14:paraId="094F239A">
      <w:pPr>
        <w:spacing w:line="400" w:lineRule="exact"/>
        <w:jc w:val="center"/>
        <w:rPr>
          <w:rFonts w:asciiTheme="majorEastAsia" w:hAnsiTheme="majorEastAsia" w:eastAsiaTheme="majorEastAsia" w:cstheme="majorEastAsia"/>
          <w:b/>
          <w:color w:val="auto"/>
          <w:szCs w:val="21"/>
          <w:highlight w:val="none"/>
        </w:rPr>
      </w:pPr>
    </w:p>
    <w:p w14:paraId="3C157A4D">
      <w:pPr>
        <w:spacing w:line="400" w:lineRule="exact"/>
        <w:jc w:val="center"/>
        <w:rPr>
          <w:rFonts w:asciiTheme="majorEastAsia" w:hAnsiTheme="majorEastAsia" w:eastAsiaTheme="majorEastAsia" w:cstheme="majorEastAsia"/>
          <w:b/>
          <w:color w:val="auto"/>
          <w:szCs w:val="21"/>
          <w:highlight w:val="none"/>
        </w:rPr>
      </w:pPr>
    </w:p>
    <w:p w14:paraId="1F01AE05">
      <w:pPr>
        <w:spacing w:line="400" w:lineRule="exact"/>
        <w:jc w:val="center"/>
        <w:rPr>
          <w:rFonts w:asciiTheme="majorEastAsia" w:hAnsiTheme="majorEastAsia" w:eastAsiaTheme="majorEastAsia" w:cstheme="majorEastAsia"/>
          <w:b/>
          <w:color w:val="auto"/>
          <w:szCs w:val="21"/>
          <w:highlight w:val="none"/>
        </w:rPr>
      </w:pPr>
    </w:p>
    <w:p w14:paraId="1E7DCBB0">
      <w:pPr>
        <w:spacing w:line="400" w:lineRule="exact"/>
        <w:jc w:val="center"/>
        <w:rPr>
          <w:rFonts w:asciiTheme="majorEastAsia" w:hAnsiTheme="majorEastAsia" w:eastAsiaTheme="majorEastAsia" w:cstheme="majorEastAsia"/>
          <w:b/>
          <w:color w:val="auto"/>
          <w:szCs w:val="21"/>
          <w:highlight w:val="none"/>
        </w:rPr>
      </w:pPr>
    </w:p>
    <w:p w14:paraId="5AFBD88E">
      <w:pPr>
        <w:spacing w:line="400" w:lineRule="exact"/>
        <w:jc w:val="center"/>
        <w:rPr>
          <w:rFonts w:asciiTheme="majorEastAsia" w:hAnsiTheme="majorEastAsia" w:eastAsiaTheme="majorEastAsia" w:cstheme="majorEastAsia"/>
          <w:b/>
          <w:color w:val="auto"/>
          <w:szCs w:val="21"/>
          <w:highlight w:val="none"/>
        </w:rPr>
      </w:pPr>
    </w:p>
    <w:p w14:paraId="0AAFB394">
      <w:pPr>
        <w:spacing w:line="400" w:lineRule="exact"/>
        <w:jc w:val="center"/>
        <w:rPr>
          <w:rFonts w:asciiTheme="majorEastAsia" w:hAnsiTheme="majorEastAsia" w:eastAsiaTheme="majorEastAsia" w:cstheme="majorEastAsia"/>
          <w:b/>
          <w:color w:val="auto"/>
          <w:szCs w:val="21"/>
          <w:highlight w:val="none"/>
        </w:rPr>
      </w:pPr>
    </w:p>
    <w:p w14:paraId="1188EF23">
      <w:pPr>
        <w:spacing w:line="400" w:lineRule="exact"/>
        <w:jc w:val="center"/>
        <w:rPr>
          <w:rFonts w:asciiTheme="majorEastAsia" w:hAnsiTheme="majorEastAsia" w:eastAsiaTheme="majorEastAsia" w:cstheme="majorEastAsia"/>
          <w:b/>
          <w:color w:val="auto"/>
          <w:szCs w:val="21"/>
          <w:highlight w:val="none"/>
        </w:rPr>
      </w:pPr>
    </w:p>
    <w:p w14:paraId="4D4AD84C">
      <w:pPr>
        <w:spacing w:line="400" w:lineRule="exact"/>
        <w:jc w:val="center"/>
        <w:rPr>
          <w:rFonts w:asciiTheme="majorEastAsia" w:hAnsiTheme="majorEastAsia" w:eastAsiaTheme="majorEastAsia" w:cstheme="majorEastAsia"/>
          <w:b/>
          <w:color w:val="auto"/>
          <w:szCs w:val="21"/>
          <w:highlight w:val="none"/>
        </w:rPr>
      </w:pPr>
    </w:p>
    <w:p w14:paraId="4B58B97F">
      <w:pPr>
        <w:spacing w:line="400" w:lineRule="exact"/>
        <w:jc w:val="center"/>
        <w:rPr>
          <w:rFonts w:asciiTheme="majorEastAsia" w:hAnsiTheme="majorEastAsia" w:eastAsiaTheme="majorEastAsia" w:cstheme="majorEastAsia"/>
          <w:b/>
          <w:color w:val="auto"/>
          <w:szCs w:val="21"/>
          <w:highlight w:val="none"/>
        </w:rPr>
      </w:pPr>
    </w:p>
    <w:p w14:paraId="25D10778">
      <w:pPr>
        <w:spacing w:line="400" w:lineRule="exact"/>
        <w:jc w:val="center"/>
        <w:rPr>
          <w:rFonts w:asciiTheme="majorEastAsia" w:hAnsiTheme="majorEastAsia" w:eastAsiaTheme="majorEastAsia" w:cstheme="majorEastAsia"/>
          <w:b/>
          <w:color w:val="auto"/>
          <w:szCs w:val="21"/>
          <w:highlight w:val="none"/>
        </w:rPr>
      </w:pPr>
    </w:p>
    <w:p w14:paraId="5F184143">
      <w:pPr>
        <w:spacing w:line="400" w:lineRule="exact"/>
        <w:jc w:val="center"/>
        <w:rPr>
          <w:rFonts w:asciiTheme="majorEastAsia" w:hAnsiTheme="majorEastAsia" w:eastAsiaTheme="majorEastAsia" w:cstheme="majorEastAsia"/>
          <w:b/>
          <w:color w:val="auto"/>
          <w:szCs w:val="21"/>
          <w:highlight w:val="none"/>
        </w:rPr>
      </w:pPr>
    </w:p>
    <w:p w14:paraId="408C89CC">
      <w:pPr>
        <w:spacing w:line="400" w:lineRule="exact"/>
        <w:jc w:val="center"/>
        <w:rPr>
          <w:rFonts w:asciiTheme="majorEastAsia" w:hAnsiTheme="majorEastAsia" w:eastAsiaTheme="majorEastAsia" w:cstheme="majorEastAsia"/>
          <w:b/>
          <w:color w:val="auto"/>
          <w:szCs w:val="21"/>
          <w:highlight w:val="none"/>
        </w:rPr>
      </w:pPr>
    </w:p>
    <w:p w14:paraId="6A8F2482">
      <w:pPr>
        <w:spacing w:line="400" w:lineRule="exact"/>
        <w:jc w:val="center"/>
        <w:rPr>
          <w:rFonts w:asciiTheme="majorEastAsia" w:hAnsiTheme="majorEastAsia" w:eastAsiaTheme="majorEastAsia" w:cstheme="majorEastAsia"/>
          <w:b/>
          <w:color w:val="auto"/>
          <w:szCs w:val="21"/>
          <w:highlight w:val="none"/>
        </w:rPr>
      </w:pPr>
    </w:p>
    <w:p w14:paraId="1078816C">
      <w:pPr>
        <w:spacing w:line="400" w:lineRule="exact"/>
        <w:jc w:val="center"/>
        <w:rPr>
          <w:rFonts w:asciiTheme="majorEastAsia" w:hAnsiTheme="majorEastAsia" w:eastAsiaTheme="majorEastAsia" w:cstheme="majorEastAsia"/>
          <w:b/>
          <w:color w:val="auto"/>
          <w:szCs w:val="21"/>
          <w:highlight w:val="none"/>
        </w:rPr>
      </w:pPr>
    </w:p>
    <w:p w14:paraId="7A09B8D0">
      <w:pPr>
        <w:spacing w:line="400" w:lineRule="exact"/>
        <w:jc w:val="center"/>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医疗卫生机构医药产品廉洁购销合同</w:t>
      </w:r>
    </w:p>
    <w:p w14:paraId="620406AF">
      <w:pPr>
        <w:spacing w:line="400" w:lineRule="exact"/>
        <w:ind w:firstLine="1054" w:firstLineChars="50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（含设备、耗材、后勤物资、基建工程、行业服务等）</w:t>
      </w:r>
    </w:p>
    <w:p w14:paraId="4F8162FB">
      <w:pPr>
        <w:spacing w:line="400" w:lineRule="exact"/>
        <w:rPr>
          <w:rFonts w:asciiTheme="majorEastAsia" w:hAnsiTheme="majorEastAsia" w:eastAsiaTheme="majorEastAsia" w:cstheme="majorEastAsia"/>
          <w:b/>
          <w:color w:val="auto"/>
          <w:szCs w:val="21"/>
          <w:highlight w:val="none"/>
          <w:u w:val="single"/>
        </w:rPr>
      </w:pPr>
      <w:r>
        <w:rPr>
          <w:rFonts w:hint="eastAsia" w:asciiTheme="majorEastAsia" w:hAnsiTheme="majorEastAsia" w:eastAsiaTheme="majorEastAsia" w:cstheme="majorEastAsia"/>
          <w:b/>
          <w:color w:val="auto"/>
          <w:szCs w:val="21"/>
          <w:highlight w:val="none"/>
        </w:rPr>
        <w:t>甲方（医疗卫生机构）：桂林医科大学第一附属医院</w:t>
      </w:r>
    </w:p>
    <w:p w14:paraId="31BF173E">
      <w:pPr>
        <w:spacing w:line="400" w:lineRule="exact"/>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乙方（医药生产经营企业及其代理人）：XXXXXXX</w:t>
      </w:r>
    </w:p>
    <w:p w14:paraId="0AEB7A1F">
      <w:pPr>
        <w:spacing w:line="40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为进一步加强医疗卫生行风建设，规范医疗卫生机构医药购销行为，有效防范商业贿赂行为，营造公平交易、诚实守信的购销环境，经甲、乙双方协商，同意签订本合同，并共同遵守：</w:t>
      </w:r>
    </w:p>
    <w:p w14:paraId="06B8AD83">
      <w:pPr>
        <w:spacing w:line="400" w:lineRule="exact"/>
        <w:ind w:firstLine="430" w:firstLineChars="205"/>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一、甲乙双方按照《中华人民共和国民法典》及医药产品购销合同约定购销药品、医用设备、医用耗材试剂等医药产品。</w:t>
      </w:r>
    </w:p>
    <w:p w14:paraId="75E5418B">
      <w:pPr>
        <w:spacing w:line="400" w:lineRule="exact"/>
        <w:ind w:firstLine="430" w:firstLineChars="205"/>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二、甲方应当严格执行医药产品购销合同验收、入库制度，对采购医药产品及发票进行查验，不得违反有关规定合同外采购、违价采购或从非规定渠道采购。</w:t>
      </w:r>
    </w:p>
    <w:p w14:paraId="77107238">
      <w:pPr>
        <w:spacing w:line="400" w:lineRule="exact"/>
        <w:ind w:firstLine="430" w:firstLineChars="205"/>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4CFAD0F1">
      <w:pPr>
        <w:spacing w:line="400" w:lineRule="exact"/>
        <w:ind w:firstLine="430" w:firstLineChars="205"/>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四、严禁甲方工作人员利用任何途径和方式，为乙方统计医师个人及临床科室有关医药产品用量信息，或为乙方统计提供便利。</w:t>
      </w:r>
    </w:p>
    <w:p w14:paraId="4D2E9E78">
      <w:pPr>
        <w:spacing w:line="400" w:lineRule="exact"/>
        <w:ind w:firstLine="430" w:firstLineChars="205"/>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五、乙方不得以回扣、宴请等方式影响甲方工作人员采购或使用医药产品的选择权，不得在学术活动中提供旅游、超标准支付食宿费用。</w:t>
      </w:r>
    </w:p>
    <w:p w14:paraId="1082312C">
      <w:pPr>
        <w:spacing w:line="400" w:lineRule="exact"/>
        <w:ind w:firstLine="430" w:firstLineChars="205"/>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六、乙方指定</w:t>
      </w:r>
      <w:r>
        <w:rPr>
          <w:rFonts w:hint="eastAsia" w:asciiTheme="majorEastAsia" w:hAnsiTheme="majorEastAsia" w:eastAsiaTheme="majorEastAsia" w:cstheme="majorEastAsia"/>
          <w:color w:val="auto"/>
          <w:szCs w:val="21"/>
          <w:highlight w:val="none"/>
          <w:u w:val="single"/>
        </w:rPr>
        <w:t xml:space="preserve">    姓名</w:t>
      </w:r>
      <w:r>
        <w:rPr>
          <w:rFonts w:hint="eastAsia" w:asciiTheme="majorEastAsia" w:hAnsiTheme="majorEastAsia" w:eastAsiaTheme="majorEastAsia" w:cstheme="majorEastAsia"/>
          <w:b/>
          <w:color w:val="auto"/>
          <w:szCs w:val="21"/>
          <w:highlight w:val="none"/>
        </w:rPr>
        <w:t>XXXXXXX</w:t>
      </w:r>
      <w:r>
        <w:rPr>
          <w:rFonts w:hint="eastAsia" w:asciiTheme="majorEastAsia" w:hAnsiTheme="majorEastAsia" w:eastAsiaTheme="majorEastAsia" w:cstheme="majorEastAsia"/>
          <w:color w:val="auto"/>
          <w:szCs w:val="21"/>
          <w:highlight w:val="none"/>
          <w:u w:val="single"/>
        </w:rPr>
        <w:t xml:space="preserve">  联系电话  </w:t>
      </w:r>
      <w:r>
        <w:rPr>
          <w:rFonts w:hint="eastAsia" w:asciiTheme="majorEastAsia" w:hAnsiTheme="majorEastAsia" w:eastAsiaTheme="majorEastAsia" w:cstheme="majorEastAsia"/>
          <w:b/>
          <w:color w:val="auto"/>
          <w:szCs w:val="21"/>
          <w:highlight w:val="none"/>
        </w:rPr>
        <w:t>XXXXXXX</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6DA514B6">
      <w:pPr>
        <w:spacing w:line="400" w:lineRule="exact"/>
        <w:ind w:firstLine="430" w:firstLineChars="205"/>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七、乙方如违反本合同，一经发现，甲方有权终止购销合同，并向有关卫生计生行政部门报告。如乙方被列入商业贿赂不良记录，则按照《国家卫生计生委关于建立医药购销领域商业贿赂不良记录的规定》（国卫法制发[2013]50号）相关规定处理。</w:t>
      </w:r>
    </w:p>
    <w:p w14:paraId="71187F01">
      <w:pPr>
        <w:spacing w:line="400" w:lineRule="exact"/>
        <w:ind w:firstLine="430" w:firstLineChars="205"/>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八、本合同作为医药产品购销合同的重要组成部分，与购销合同一并执行，具有同等的法律效力。</w:t>
      </w:r>
    </w:p>
    <w:p w14:paraId="53CD30FD">
      <w:pPr>
        <w:spacing w:line="400" w:lineRule="exact"/>
        <w:ind w:firstLine="430" w:firstLineChars="205"/>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九、本合同一式肆份，甲方执叁份，乙方执壹份，并从签订之日起生效。</w:t>
      </w:r>
    </w:p>
    <w:p w14:paraId="01DD3BD8">
      <w:pPr>
        <w:spacing w:line="400" w:lineRule="exact"/>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甲方（盖章）：桂林医科大学第一附属医院    乙方（盖章）：XXXXXXX</w:t>
      </w:r>
    </w:p>
    <w:p w14:paraId="1F4D9075">
      <w:pPr>
        <w:spacing w:line="400" w:lineRule="exact"/>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法定代表人（负责人）：                    法定代表人（负责人）：</w:t>
      </w:r>
    </w:p>
    <w:p w14:paraId="7DAB9AD0">
      <w:pPr>
        <w:spacing w:line="400" w:lineRule="exact"/>
        <w:rPr>
          <w:rFonts w:asciiTheme="majorEastAsia" w:hAnsiTheme="majorEastAsia" w:eastAsiaTheme="majorEastAsia" w:cstheme="majorEastAsia"/>
          <w:b/>
          <w:color w:val="auto"/>
          <w:szCs w:val="21"/>
          <w:highlight w:val="none"/>
          <w:u w:val="single"/>
        </w:rPr>
      </w:pPr>
      <w:r>
        <w:rPr>
          <w:rFonts w:hint="eastAsia" w:asciiTheme="majorEastAsia" w:hAnsiTheme="majorEastAsia" w:eastAsiaTheme="majorEastAsia" w:cstheme="majorEastAsia"/>
          <w:b/>
          <w:color w:val="auto"/>
          <w:szCs w:val="21"/>
          <w:highlight w:val="none"/>
        </w:rPr>
        <w:t>经办人签名：                              经办人签名：</w:t>
      </w:r>
    </w:p>
    <w:p w14:paraId="3B5F2B41">
      <w:pPr>
        <w:spacing w:line="400" w:lineRule="exact"/>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 xml:space="preserve">签订日期：202    年   月   日     </w:t>
      </w:r>
    </w:p>
    <w:bookmarkEnd w:id="150"/>
    <w:p w14:paraId="4D0B22AC">
      <w:pPr>
        <w:rPr>
          <w:rFonts w:ascii="宋体" w:hAnsi="宋体" w:cs="宋体"/>
          <w:bCs/>
          <w:color w:val="auto"/>
          <w:sz w:val="32"/>
          <w:szCs w:val="32"/>
          <w:highlight w:val="none"/>
        </w:rPr>
      </w:pPr>
    </w:p>
    <w:p w14:paraId="3F3DF3F4">
      <w:pPr>
        <w:rPr>
          <w:rFonts w:ascii="宋体" w:hAnsi="宋体" w:cs="宋体"/>
          <w:bCs/>
          <w:color w:val="auto"/>
          <w:sz w:val="32"/>
          <w:szCs w:val="32"/>
          <w:highlight w:val="none"/>
        </w:rPr>
      </w:pPr>
    </w:p>
    <w:p w14:paraId="46C4BED1">
      <w:pPr>
        <w:rPr>
          <w:rFonts w:ascii="宋体" w:hAnsi="宋体" w:cs="宋体"/>
          <w:bCs/>
          <w:color w:val="auto"/>
          <w:sz w:val="32"/>
          <w:szCs w:val="32"/>
          <w:highlight w:val="none"/>
        </w:rPr>
      </w:pPr>
    </w:p>
    <w:p w14:paraId="04D93657">
      <w:pPr>
        <w:rPr>
          <w:rFonts w:ascii="宋体" w:hAnsi="宋体" w:cs="宋体"/>
          <w:bCs/>
          <w:color w:val="auto"/>
          <w:sz w:val="32"/>
          <w:szCs w:val="32"/>
          <w:highlight w:val="none"/>
        </w:rPr>
      </w:pPr>
    </w:p>
    <w:p w14:paraId="1C0655FD">
      <w:pPr>
        <w:pStyle w:val="4"/>
        <w:rPr>
          <w:rFonts w:ascii="宋体" w:hAnsi="宋体" w:eastAsia="宋体" w:cs="宋体"/>
          <w:color w:val="auto"/>
          <w:highlight w:val="none"/>
        </w:rPr>
      </w:pPr>
    </w:p>
    <w:p w14:paraId="3A1D8F18">
      <w:pPr>
        <w:rPr>
          <w:color w:val="auto"/>
          <w:highlight w:val="none"/>
        </w:rPr>
      </w:pPr>
    </w:p>
    <w:p w14:paraId="1B0770CD">
      <w:pPr>
        <w:rPr>
          <w:rFonts w:ascii="宋体" w:hAnsi="宋体" w:cs="宋体"/>
          <w:bCs/>
          <w:color w:val="auto"/>
          <w:sz w:val="32"/>
          <w:szCs w:val="32"/>
          <w:highlight w:val="none"/>
        </w:rPr>
      </w:pPr>
    </w:p>
    <w:p w14:paraId="077F1D3A">
      <w:pPr>
        <w:rPr>
          <w:rFonts w:ascii="宋体" w:hAnsi="宋体" w:cs="宋体"/>
          <w:bCs/>
          <w:color w:val="auto"/>
          <w:sz w:val="32"/>
          <w:szCs w:val="32"/>
          <w:highlight w:val="none"/>
        </w:rPr>
      </w:pPr>
    </w:p>
    <w:p w14:paraId="3290E8C0">
      <w:pPr>
        <w:rPr>
          <w:rFonts w:ascii="宋体" w:hAnsi="宋体" w:cs="宋体"/>
          <w:bCs/>
          <w:color w:val="auto"/>
          <w:sz w:val="32"/>
          <w:szCs w:val="32"/>
          <w:highlight w:val="none"/>
        </w:rPr>
      </w:pPr>
    </w:p>
    <w:p w14:paraId="7C3DEDCE">
      <w:pPr>
        <w:rPr>
          <w:rFonts w:ascii="宋体" w:hAnsi="宋体" w:cs="宋体"/>
          <w:bCs/>
          <w:color w:val="auto"/>
          <w:sz w:val="32"/>
          <w:szCs w:val="32"/>
          <w:highlight w:val="none"/>
        </w:rPr>
      </w:pPr>
    </w:p>
    <w:p w14:paraId="6ED8F2CA">
      <w:pPr>
        <w:pStyle w:val="3"/>
        <w:jc w:val="center"/>
        <w:rPr>
          <w:rFonts w:ascii="宋体" w:hAnsi="宋体" w:cs="宋体"/>
          <w:color w:val="auto"/>
          <w:highlight w:val="none"/>
        </w:rPr>
      </w:pPr>
      <w:bookmarkStart w:id="151" w:name="_Toc18850"/>
      <w:bookmarkStart w:id="152" w:name="_Toc74320805"/>
      <w:r>
        <w:rPr>
          <w:rFonts w:hint="eastAsia" w:ascii="宋体" w:hAnsi="宋体" w:cs="宋体"/>
          <w:color w:val="auto"/>
          <w:highlight w:val="none"/>
        </w:rPr>
        <w:t>第六章  投标文件格式</w:t>
      </w:r>
      <w:bookmarkEnd w:id="151"/>
      <w:bookmarkEnd w:id="152"/>
    </w:p>
    <w:p w14:paraId="13E7326F">
      <w:pPr>
        <w:snapToGrid w:val="0"/>
        <w:spacing w:before="50" w:after="50"/>
        <w:outlineLvl w:val="1"/>
        <w:rPr>
          <w:rFonts w:ascii="宋体" w:hAnsi="宋体" w:cs="宋体"/>
          <w:color w:val="auto"/>
          <w:sz w:val="32"/>
          <w:szCs w:val="20"/>
          <w:highlight w:val="none"/>
        </w:rPr>
      </w:pPr>
    </w:p>
    <w:p w14:paraId="27869A54">
      <w:pPr>
        <w:snapToGrid w:val="0"/>
        <w:spacing w:before="50" w:after="50"/>
        <w:outlineLvl w:val="1"/>
        <w:rPr>
          <w:rFonts w:ascii="宋体" w:hAnsi="宋体" w:cs="宋体"/>
          <w:color w:val="auto"/>
          <w:sz w:val="32"/>
          <w:szCs w:val="20"/>
          <w:highlight w:val="none"/>
        </w:rPr>
      </w:pPr>
    </w:p>
    <w:p w14:paraId="71DB3F5C">
      <w:pPr>
        <w:snapToGrid w:val="0"/>
        <w:spacing w:before="50" w:after="50"/>
        <w:outlineLvl w:val="1"/>
        <w:rPr>
          <w:rFonts w:ascii="宋体" w:hAnsi="宋体" w:cs="宋体"/>
          <w:color w:val="auto"/>
          <w:sz w:val="32"/>
          <w:szCs w:val="20"/>
          <w:highlight w:val="none"/>
        </w:rPr>
      </w:pPr>
    </w:p>
    <w:p w14:paraId="031AAB21">
      <w:pPr>
        <w:snapToGrid w:val="0"/>
        <w:spacing w:before="50" w:after="50"/>
        <w:outlineLvl w:val="1"/>
        <w:rPr>
          <w:rFonts w:ascii="宋体" w:hAnsi="宋体" w:cs="宋体"/>
          <w:color w:val="auto"/>
          <w:sz w:val="32"/>
          <w:szCs w:val="20"/>
          <w:highlight w:val="none"/>
        </w:rPr>
      </w:pPr>
    </w:p>
    <w:p w14:paraId="3123CA76">
      <w:pPr>
        <w:snapToGrid w:val="0"/>
        <w:spacing w:before="50" w:after="50"/>
        <w:outlineLvl w:val="1"/>
        <w:rPr>
          <w:rFonts w:ascii="宋体" w:hAnsi="宋体" w:cs="宋体"/>
          <w:color w:val="auto"/>
          <w:sz w:val="32"/>
          <w:szCs w:val="20"/>
          <w:highlight w:val="none"/>
        </w:rPr>
      </w:pPr>
    </w:p>
    <w:p w14:paraId="451AD08F">
      <w:pPr>
        <w:snapToGrid w:val="0"/>
        <w:spacing w:before="50" w:after="50"/>
        <w:outlineLvl w:val="1"/>
        <w:rPr>
          <w:rFonts w:ascii="宋体" w:hAnsi="宋体" w:cs="宋体"/>
          <w:color w:val="auto"/>
          <w:sz w:val="32"/>
          <w:szCs w:val="20"/>
          <w:highlight w:val="none"/>
        </w:rPr>
      </w:pPr>
    </w:p>
    <w:p w14:paraId="30BFD791">
      <w:pPr>
        <w:snapToGrid w:val="0"/>
        <w:spacing w:before="50" w:after="50"/>
        <w:outlineLvl w:val="1"/>
        <w:rPr>
          <w:rFonts w:ascii="宋体" w:hAnsi="宋体" w:cs="宋体"/>
          <w:color w:val="auto"/>
          <w:sz w:val="32"/>
          <w:szCs w:val="20"/>
          <w:highlight w:val="none"/>
        </w:rPr>
      </w:pPr>
    </w:p>
    <w:p w14:paraId="4ABD9271">
      <w:pPr>
        <w:snapToGrid w:val="0"/>
        <w:spacing w:before="50" w:after="50"/>
        <w:outlineLvl w:val="1"/>
        <w:rPr>
          <w:rFonts w:ascii="宋体" w:hAnsi="宋体" w:cs="宋体"/>
          <w:color w:val="auto"/>
          <w:sz w:val="32"/>
          <w:szCs w:val="20"/>
          <w:highlight w:val="none"/>
        </w:rPr>
      </w:pPr>
    </w:p>
    <w:p w14:paraId="65A7DECD">
      <w:pPr>
        <w:snapToGrid w:val="0"/>
        <w:spacing w:before="50" w:after="50"/>
        <w:outlineLvl w:val="1"/>
        <w:rPr>
          <w:rFonts w:ascii="宋体" w:hAnsi="宋体" w:cs="宋体"/>
          <w:color w:val="auto"/>
          <w:sz w:val="32"/>
          <w:szCs w:val="20"/>
          <w:highlight w:val="none"/>
        </w:rPr>
      </w:pPr>
    </w:p>
    <w:p w14:paraId="741B51EF">
      <w:pPr>
        <w:snapToGrid w:val="0"/>
        <w:spacing w:before="50" w:after="50"/>
        <w:outlineLvl w:val="1"/>
        <w:rPr>
          <w:rFonts w:ascii="宋体" w:hAnsi="宋体" w:cs="宋体"/>
          <w:color w:val="auto"/>
          <w:sz w:val="32"/>
          <w:szCs w:val="20"/>
          <w:highlight w:val="none"/>
        </w:rPr>
      </w:pPr>
    </w:p>
    <w:p w14:paraId="57233A81">
      <w:pPr>
        <w:snapToGrid w:val="0"/>
        <w:spacing w:before="50" w:after="50"/>
        <w:outlineLvl w:val="1"/>
        <w:rPr>
          <w:rFonts w:ascii="宋体" w:hAnsi="宋体" w:cs="宋体"/>
          <w:color w:val="auto"/>
          <w:sz w:val="32"/>
          <w:szCs w:val="20"/>
          <w:highlight w:val="none"/>
        </w:rPr>
      </w:pPr>
    </w:p>
    <w:p w14:paraId="7D884A4A">
      <w:pPr>
        <w:snapToGrid w:val="0"/>
        <w:spacing w:before="50" w:after="50"/>
        <w:outlineLvl w:val="1"/>
        <w:rPr>
          <w:rFonts w:ascii="宋体" w:hAnsi="宋体" w:cs="宋体"/>
          <w:color w:val="auto"/>
          <w:sz w:val="32"/>
          <w:szCs w:val="20"/>
          <w:highlight w:val="none"/>
        </w:rPr>
      </w:pPr>
    </w:p>
    <w:p w14:paraId="7096FA82">
      <w:pPr>
        <w:snapToGrid w:val="0"/>
        <w:spacing w:before="50" w:after="50"/>
        <w:outlineLvl w:val="1"/>
        <w:rPr>
          <w:rFonts w:ascii="宋体" w:hAnsi="宋体" w:cs="宋体"/>
          <w:color w:val="auto"/>
          <w:sz w:val="32"/>
          <w:szCs w:val="20"/>
          <w:highlight w:val="none"/>
        </w:rPr>
      </w:pPr>
    </w:p>
    <w:p w14:paraId="6B15305B">
      <w:pPr>
        <w:snapToGrid w:val="0"/>
        <w:spacing w:before="50" w:after="50"/>
        <w:outlineLvl w:val="1"/>
        <w:rPr>
          <w:rFonts w:ascii="宋体" w:hAnsi="宋体" w:cs="宋体"/>
          <w:color w:val="auto"/>
          <w:highlight w:val="none"/>
        </w:rPr>
      </w:pPr>
    </w:p>
    <w:p w14:paraId="26ECF8E3">
      <w:pPr>
        <w:rPr>
          <w:rFonts w:ascii="宋体" w:hAnsi="宋体" w:cs="宋体"/>
          <w:b/>
          <w:color w:val="auto"/>
          <w:sz w:val="28"/>
          <w:szCs w:val="28"/>
          <w:highlight w:val="none"/>
        </w:rPr>
      </w:pPr>
      <w:bookmarkStart w:id="153" w:name="_Toc19686836"/>
      <w:bookmarkStart w:id="154" w:name="_Toc254970698"/>
      <w:bookmarkStart w:id="155" w:name="_Toc254970557"/>
      <w:r>
        <w:rPr>
          <w:rFonts w:hint="eastAsia" w:ascii="宋体" w:hAnsi="宋体" w:cs="宋体"/>
          <w:b/>
          <w:color w:val="auto"/>
          <w:sz w:val="28"/>
          <w:szCs w:val="28"/>
          <w:highlight w:val="none"/>
        </w:rPr>
        <w:t>一、报价文件格式</w:t>
      </w:r>
      <w:bookmarkEnd w:id="153"/>
    </w:p>
    <w:p w14:paraId="6C14F09B">
      <w:pPr>
        <w:snapToGrid w:val="0"/>
        <w:spacing w:before="120" w:beforeLines="50" w:after="50" w:line="360" w:lineRule="auto"/>
        <w:ind w:left="142"/>
        <w:jc w:val="left"/>
        <w:rPr>
          <w:rFonts w:ascii="宋体" w:hAnsi="宋体" w:cs="宋体"/>
          <w:b/>
          <w:color w:val="auto"/>
          <w:sz w:val="24"/>
          <w:highlight w:val="none"/>
        </w:rPr>
      </w:pPr>
      <w:r>
        <w:rPr>
          <w:rFonts w:hint="eastAsia" w:ascii="宋体" w:hAnsi="宋体" w:cs="宋体"/>
          <w:b/>
          <w:color w:val="auto"/>
          <w:sz w:val="24"/>
          <w:highlight w:val="none"/>
        </w:rPr>
        <w:t xml:space="preserve">1. 报价文件封面格式： </w:t>
      </w:r>
    </w:p>
    <w:p w14:paraId="7A5F69D5">
      <w:pPr>
        <w:snapToGrid w:val="0"/>
        <w:spacing w:before="120" w:beforeLines="50" w:after="50" w:line="360" w:lineRule="auto"/>
        <w:ind w:left="142"/>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396C1694">
      <w:pPr>
        <w:snapToGrid w:val="0"/>
        <w:spacing w:before="120" w:beforeLines="50" w:after="50" w:line="400" w:lineRule="exact"/>
        <w:jc w:val="left"/>
        <w:rPr>
          <w:rFonts w:ascii="宋体" w:hAnsi="宋体" w:cs="宋体"/>
          <w:bCs/>
          <w:color w:val="auto"/>
          <w:sz w:val="48"/>
          <w:szCs w:val="48"/>
          <w:highlight w:val="none"/>
        </w:rPr>
      </w:pPr>
    </w:p>
    <w:p w14:paraId="02AAEB89">
      <w:pPr>
        <w:snapToGrid w:val="0"/>
        <w:spacing w:before="120" w:beforeLines="50" w:after="50" w:line="4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报  价  文  件</w:t>
      </w:r>
    </w:p>
    <w:p w14:paraId="721A89FC">
      <w:pPr>
        <w:snapToGrid w:val="0"/>
        <w:spacing w:before="120" w:beforeLines="50" w:after="50" w:line="400" w:lineRule="exact"/>
        <w:rPr>
          <w:rFonts w:ascii="宋体" w:hAnsi="宋体" w:cs="宋体"/>
          <w:bCs/>
          <w:color w:val="auto"/>
          <w:sz w:val="24"/>
          <w:szCs w:val="20"/>
          <w:highlight w:val="none"/>
        </w:rPr>
      </w:pPr>
    </w:p>
    <w:p w14:paraId="7F2C709F">
      <w:pPr>
        <w:snapToGrid w:val="0"/>
        <w:spacing w:before="120" w:beforeLines="50" w:after="50" w:line="400" w:lineRule="exact"/>
        <w:rPr>
          <w:rFonts w:ascii="宋体" w:hAnsi="宋体" w:cs="宋体"/>
          <w:bCs/>
          <w:color w:val="auto"/>
          <w:sz w:val="24"/>
          <w:szCs w:val="20"/>
          <w:highlight w:val="none"/>
        </w:rPr>
      </w:pPr>
    </w:p>
    <w:p w14:paraId="66E98011">
      <w:pPr>
        <w:snapToGrid w:val="0"/>
        <w:spacing w:before="120" w:beforeLines="50" w:after="50" w:line="400" w:lineRule="exact"/>
        <w:rPr>
          <w:rFonts w:ascii="宋体" w:hAnsi="宋体" w:cs="宋体"/>
          <w:bCs/>
          <w:color w:val="auto"/>
          <w:sz w:val="24"/>
          <w:szCs w:val="20"/>
          <w:highlight w:val="none"/>
        </w:rPr>
      </w:pPr>
    </w:p>
    <w:p w14:paraId="26E2F334">
      <w:pPr>
        <w:snapToGrid w:val="0"/>
        <w:spacing w:before="120" w:beforeLines="50" w:after="50" w:line="400" w:lineRule="exact"/>
        <w:rPr>
          <w:rFonts w:ascii="宋体" w:hAnsi="宋体" w:cs="宋体"/>
          <w:bCs/>
          <w:color w:val="auto"/>
          <w:sz w:val="24"/>
          <w:szCs w:val="20"/>
          <w:highlight w:val="none"/>
        </w:rPr>
      </w:pPr>
    </w:p>
    <w:p w14:paraId="6B98E25C">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6330E6C5">
      <w:pPr>
        <w:snapToGrid w:val="0"/>
        <w:spacing w:before="120" w:beforeLines="50" w:after="50" w:line="400" w:lineRule="exact"/>
        <w:ind w:firstLine="360" w:firstLineChars="150"/>
        <w:rPr>
          <w:rFonts w:ascii="宋体" w:hAnsi="宋体" w:cs="宋体"/>
          <w:bCs/>
          <w:color w:val="auto"/>
          <w:sz w:val="24"/>
          <w:highlight w:val="none"/>
        </w:rPr>
      </w:pPr>
    </w:p>
    <w:p w14:paraId="6611FD70">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5B34A4C7">
      <w:pPr>
        <w:snapToGrid w:val="0"/>
        <w:spacing w:before="120" w:beforeLines="50" w:after="50" w:line="400" w:lineRule="exact"/>
        <w:ind w:firstLine="360" w:firstLineChars="150"/>
        <w:rPr>
          <w:rFonts w:ascii="宋体" w:hAnsi="宋体" w:cs="宋体"/>
          <w:bCs/>
          <w:color w:val="auto"/>
          <w:sz w:val="24"/>
          <w:highlight w:val="none"/>
        </w:rPr>
      </w:pPr>
    </w:p>
    <w:p w14:paraId="0DA24023">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24832A07">
      <w:pPr>
        <w:snapToGrid w:val="0"/>
        <w:spacing w:before="120" w:beforeLines="50" w:after="50" w:line="400" w:lineRule="exact"/>
        <w:ind w:firstLine="360" w:firstLineChars="150"/>
        <w:rPr>
          <w:rFonts w:ascii="宋体" w:hAnsi="宋体" w:cs="宋体"/>
          <w:bCs/>
          <w:color w:val="auto"/>
          <w:sz w:val="24"/>
          <w:highlight w:val="none"/>
        </w:rPr>
      </w:pPr>
    </w:p>
    <w:p w14:paraId="56F00191">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50790C43">
      <w:pPr>
        <w:pStyle w:val="7"/>
        <w:snapToGrid w:val="0"/>
        <w:spacing w:before="50" w:after="50" w:line="400" w:lineRule="exact"/>
        <w:ind w:firstLine="960" w:firstLineChars="400"/>
        <w:rPr>
          <w:rFonts w:ascii="宋体" w:hAnsi="宋体" w:cs="宋体"/>
          <w:bCs/>
          <w:color w:val="auto"/>
          <w:sz w:val="24"/>
          <w:szCs w:val="24"/>
          <w:highlight w:val="none"/>
        </w:rPr>
      </w:pPr>
    </w:p>
    <w:p w14:paraId="4ED85874">
      <w:pPr>
        <w:snapToGrid w:val="0"/>
        <w:spacing w:before="120" w:beforeLines="50" w:after="50" w:line="400" w:lineRule="exact"/>
        <w:rPr>
          <w:rFonts w:ascii="宋体" w:hAnsi="宋体" w:cs="宋体"/>
          <w:color w:val="auto"/>
          <w:sz w:val="30"/>
          <w:szCs w:val="20"/>
          <w:highlight w:val="none"/>
        </w:rPr>
      </w:pPr>
      <w:r>
        <w:rPr>
          <w:rFonts w:hint="eastAsia" w:ascii="宋体" w:hAnsi="宋体" w:cs="宋体"/>
          <w:color w:val="auto"/>
          <w:sz w:val="24"/>
          <w:highlight w:val="none"/>
        </w:rPr>
        <w:t xml:space="preserve">                                   年  月  日</w:t>
      </w:r>
    </w:p>
    <w:p w14:paraId="5CC64C7B">
      <w:pPr>
        <w:snapToGrid w:val="0"/>
        <w:spacing w:before="120" w:beforeLines="50" w:after="50" w:line="360" w:lineRule="auto"/>
        <w:jc w:val="left"/>
        <w:rPr>
          <w:rFonts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3E70EB91">
      <w:pPr>
        <w:snapToGrid w:val="0"/>
        <w:spacing w:before="50" w:after="120" w:afterLines="50" w:line="360" w:lineRule="auto"/>
        <w:jc w:val="left"/>
        <w:rPr>
          <w:rFonts w:ascii="宋体" w:hAnsi="宋体" w:cs="宋体"/>
          <w:b/>
          <w:color w:val="auto"/>
          <w:sz w:val="24"/>
          <w:highlight w:val="none"/>
        </w:rPr>
      </w:pPr>
      <w:r>
        <w:rPr>
          <w:rFonts w:hint="eastAsia" w:ascii="宋体" w:hAnsi="宋体" w:cs="宋体"/>
          <w:color w:val="auto"/>
          <w:szCs w:val="21"/>
          <w:highlight w:val="none"/>
        </w:rPr>
        <w:t>根据招标文件规定及投标人提供的材料自行编写目录。</w:t>
      </w:r>
    </w:p>
    <w:p w14:paraId="0D09EE33">
      <w:pPr>
        <w:snapToGrid w:val="0"/>
        <w:spacing w:before="120" w:beforeLines="50" w:after="50"/>
        <w:rPr>
          <w:rFonts w:ascii="宋体" w:hAnsi="宋体" w:cs="宋体"/>
          <w:b/>
          <w:color w:val="auto"/>
          <w:sz w:val="24"/>
          <w:highlight w:val="none"/>
        </w:rPr>
      </w:pPr>
    </w:p>
    <w:p w14:paraId="5103C9CE">
      <w:pPr>
        <w:snapToGrid w:val="0"/>
        <w:spacing w:before="120" w:beforeLines="50" w:after="50"/>
        <w:rPr>
          <w:rFonts w:ascii="宋体" w:hAnsi="宋体" w:cs="宋体"/>
          <w:b/>
          <w:color w:val="auto"/>
          <w:sz w:val="24"/>
          <w:highlight w:val="none"/>
        </w:rPr>
      </w:pPr>
    </w:p>
    <w:p w14:paraId="1961D548">
      <w:pPr>
        <w:snapToGrid w:val="0"/>
        <w:spacing w:before="120" w:beforeLines="50" w:after="50"/>
        <w:rPr>
          <w:rFonts w:ascii="宋体" w:hAnsi="宋体" w:cs="宋体"/>
          <w:b/>
          <w:color w:val="auto"/>
          <w:sz w:val="24"/>
          <w:highlight w:val="none"/>
        </w:rPr>
      </w:pPr>
    </w:p>
    <w:p w14:paraId="593FDEC8">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3.部分</w:t>
      </w:r>
      <w:r>
        <w:rPr>
          <w:rFonts w:hint="eastAsia" w:ascii="宋体" w:hAnsi="宋体" w:cs="宋体"/>
          <w:b/>
          <w:bCs/>
          <w:color w:val="auto"/>
          <w:sz w:val="24"/>
          <w:highlight w:val="none"/>
        </w:rPr>
        <w:t>报价</w:t>
      </w:r>
      <w:r>
        <w:rPr>
          <w:rFonts w:hint="eastAsia" w:ascii="宋体" w:hAnsi="宋体" w:cs="宋体"/>
          <w:b/>
          <w:color w:val="auto"/>
          <w:sz w:val="24"/>
          <w:highlight w:val="none"/>
        </w:rPr>
        <w:t>文件格式</w:t>
      </w:r>
    </w:p>
    <w:p w14:paraId="02527E45">
      <w:pPr>
        <w:snapToGrid w:val="0"/>
        <w:spacing w:before="120" w:beforeLines="50" w:after="50"/>
        <w:ind w:left="142"/>
        <w:jc w:val="left"/>
        <w:rPr>
          <w:rFonts w:ascii="宋体" w:hAnsi="宋体" w:cs="宋体"/>
          <w:b/>
          <w:color w:val="auto"/>
          <w:sz w:val="24"/>
          <w:highlight w:val="none"/>
        </w:rPr>
      </w:pPr>
    </w:p>
    <w:p w14:paraId="31C2C7DA">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投标函：</w:t>
      </w:r>
    </w:p>
    <w:p w14:paraId="1879C52D">
      <w:pPr>
        <w:snapToGrid w:val="0"/>
        <w:spacing w:before="120" w:beforeLines="50" w:after="5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 标 函</w:t>
      </w:r>
    </w:p>
    <w:p w14:paraId="128E04B3">
      <w:pPr>
        <w:snapToGrid w:val="0"/>
        <w:spacing w:before="120" w:beforeLines="50" w:after="50" w:line="320" w:lineRule="exact"/>
        <w:jc w:val="center"/>
        <w:rPr>
          <w:rFonts w:ascii="宋体" w:hAnsi="宋体" w:cs="宋体"/>
          <w:b/>
          <w:color w:val="auto"/>
          <w:sz w:val="32"/>
          <w:szCs w:val="32"/>
          <w:highlight w:val="none"/>
        </w:rPr>
      </w:pPr>
    </w:p>
    <w:p w14:paraId="6D570717">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EB7E2CF">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根据贵方</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（项目编号：______）的招标公告，签字代表______（姓名）经正式授权并代表投标人______（投标人名称）提交投标文件。</w:t>
      </w:r>
    </w:p>
    <w:p w14:paraId="2F84F6F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据此函，我方宣布同意如下：</w:t>
      </w:r>
    </w:p>
    <w:p w14:paraId="1B0249E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41DAE2C9">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2.我方在投标之前已经完全理解并接受招标文件的各项规定和要求，对招标文件的合理性、合法性不再有异议。</w:t>
      </w:r>
    </w:p>
    <w:p w14:paraId="053B231F">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3.本投标有效期自投标截止之日起180日。</w:t>
      </w:r>
    </w:p>
    <w:p w14:paraId="48BF1788">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4.如中标，本投标文件至本项目合同履行完毕止均保持有效，我方将按“招标文件”及政府采购法律、法规的规定履行合同责任和义务。</w:t>
      </w:r>
    </w:p>
    <w:p w14:paraId="65F689E1">
      <w:pPr>
        <w:spacing w:line="400" w:lineRule="exact"/>
        <w:ind w:firstLine="420"/>
        <w:rPr>
          <w:rFonts w:ascii="宋体" w:hAnsi="宋体" w:cs="宋体"/>
          <w:color w:val="auto"/>
          <w:kern w:val="0"/>
          <w:sz w:val="24"/>
          <w:highlight w:val="none"/>
        </w:rPr>
      </w:pPr>
      <w:r>
        <w:rPr>
          <w:rFonts w:hint="eastAsia" w:ascii="宋体" w:hAnsi="宋体" w:cs="宋体"/>
          <w:color w:val="auto"/>
          <w:sz w:val="24"/>
          <w:highlight w:val="none"/>
        </w:rPr>
        <w:t>5.我方承诺，</w:t>
      </w:r>
      <w:r>
        <w:rPr>
          <w:rFonts w:hint="eastAsia" w:ascii="宋体" w:hAnsi="宋体" w:cs="宋体"/>
          <w:color w:val="auto"/>
          <w:kern w:val="0"/>
          <w:sz w:val="24"/>
          <w:highlight w:val="none"/>
        </w:rPr>
        <w:t>如我方中标，我方保证按本项目招标文件的规定及标准向贵单位一次性足额支付代理服务费。代理服务费发票我方选择开具：□</w:t>
      </w:r>
      <w:r>
        <w:rPr>
          <w:rFonts w:hint="eastAsia" w:ascii="宋体" w:hAnsi="宋体" w:cs="宋体"/>
          <w:color w:val="auto"/>
          <w:kern w:val="0"/>
          <w:sz w:val="24"/>
          <w:highlight w:val="none"/>
          <w:u w:val="single"/>
        </w:rPr>
        <w:t>增值税普通发票</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增值税专用发票</w:t>
      </w:r>
      <w:r>
        <w:rPr>
          <w:rFonts w:hint="eastAsia" w:ascii="宋体" w:hAnsi="宋体" w:cs="宋体"/>
          <w:color w:val="auto"/>
          <w:kern w:val="0"/>
          <w:sz w:val="24"/>
          <w:highlight w:val="none"/>
        </w:rPr>
        <w:t>，开票信息如下：</w:t>
      </w:r>
    </w:p>
    <w:p w14:paraId="3E1475E6">
      <w:pPr>
        <w:spacing w:line="400" w:lineRule="exact"/>
        <w:ind w:firstLine="420"/>
        <w:rPr>
          <w:rFonts w:ascii="宋体" w:hAnsi="宋体" w:cs="宋体"/>
          <w:color w:val="auto"/>
          <w:kern w:val="0"/>
          <w:sz w:val="24"/>
          <w:highlight w:val="none"/>
        </w:rPr>
      </w:pPr>
      <w:r>
        <w:rPr>
          <w:rFonts w:hint="eastAsia" w:ascii="宋体" w:hAnsi="宋体" w:cs="宋体"/>
          <w:color w:val="auto"/>
          <w:kern w:val="0"/>
          <w:sz w:val="24"/>
          <w:highlight w:val="none"/>
        </w:rPr>
        <w:t>①公司名称：</w:t>
      </w:r>
    </w:p>
    <w:p w14:paraId="31FBC761">
      <w:pPr>
        <w:spacing w:line="400" w:lineRule="exact"/>
        <w:ind w:firstLine="420"/>
        <w:rPr>
          <w:rFonts w:ascii="宋体" w:hAnsi="宋体" w:cs="宋体"/>
          <w:color w:val="auto"/>
          <w:kern w:val="0"/>
          <w:sz w:val="24"/>
          <w:highlight w:val="none"/>
        </w:rPr>
      </w:pPr>
      <w:r>
        <w:rPr>
          <w:rFonts w:hint="eastAsia" w:ascii="宋体" w:hAnsi="宋体" w:cs="宋体"/>
          <w:color w:val="auto"/>
          <w:kern w:val="0"/>
          <w:sz w:val="24"/>
          <w:highlight w:val="none"/>
        </w:rPr>
        <w:t>②纳税人识别号：</w:t>
      </w:r>
    </w:p>
    <w:p w14:paraId="231CB160">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6.我方同意按照贵方要求提供与投标有关的一切数据或者资料。</w:t>
      </w:r>
    </w:p>
    <w:p w14:paraId="1ECD8140">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7.我方向贵方提交的所有投标文件、资料都是准确的和真实的。</w:t>
      </w:r>
    </w:p>
    <w:p w14:paraId="4CE431C4">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69560AE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9.根据《中华人民共和国政府采购法实施条例》第五十条要求对政府采购合同进行公告，但政府采购合同中涉及国家秘密、商业秘密的内容除外。我方就对本次投标文件进行注明如下：（两项内容中必须选择一项）</w:t>
      </w:r>
    </w:p>
    <w:p w14:paraId="24ED7D4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45EB4D6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涉及商业秘密的内容有：</w:t>
      </w:r>
      <w:r>
        <w:rPr>
          <w:rFonts w:hint="eastAsia" w:ascii="宋体" w:hAnsi="宋体" w:cs="宋体"/>
          <w:color w:val="auto"/>
          <w:sz w:val="24"/>
          <w:highlight w:val="none"/>
          <w:u w:val="single"/>
        </w:rPr>
        <w:t xml:space="preserve">          ；</w:t>
      </w:r>
    </w:p>
    <w:p w14:paraId="6F054EF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10.与本投标有关的一切正式往来信函请寄：</w:t>
      </w:r>
    </w:p>
    <w:p w14:paraId="39B459AA">
      <w:pPr>
        <w:spacing w:line="360" w:lineRule="auto"/>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邮编：______</w:t>
      </w:r>
      <w:r>
        <w:rPr>
          <w:rFonts w:hint="eastAsia" w:ascii="宋体" w:hAnsi="宋体" w:cs="宋体"/>
          <w:color w:val="auto"/>
          <w:sz w:val="24"/>
          <w:highlight w:val="none"/>
          <w:u w:val="single"/>
        </w:rPr>
        <w:t xml:space="preserve">               </w:t>
      </w:r>
    </w:p>
    <w:p w14:paraId="56E09E1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 xml:space="preserve"> 电子邮箱：______</w:t>
      </w:r>
      <w:r>
        <w:rPr>
          <w:rFonts w:hint="eastAsia" w:ascii="宋体" w:hAnsi="宋体" w:cs="宋体"/>
          <w:color w:val="auto"/>
          <w:sz w:val="24"/>
          <w:highlight w:val="none"/>
          <w:u w:val="single"/>
        </w:rPr>
        <w:t xml:space="preserve">              </w:t>
      </w:r>
    </w:p>
    <w:p w14:paraId="021E595D">
      <w:pPr>
        <w:spacing w:line="360" w:lineRule="auto"/>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投标人名称:______</w:t>
      </w:r>
      <w:r>
        <w:rPr>
          <w:rFonts w:hint="eastAsia" w:ascii="宋体" w:hAnsi="宋体" w:cs="宋体"/>
          <w:color w:val="auto"/>
          <w:sz w:val="24"/>
          <w:highlight w:val="none"/>
          <w:u w:val="single"/>
        </w:rPr>
        <w:t xml:space="preserve">            </w:t>
      </w:r>
    </w:p>
    <w:p w14:paraId="6156F94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 xml:space="preserve">   银行账号：______</w:t>
      </w:r>
      <w:r>
        <w:rPr>
          <w:rFonts w:hint="eastAsia" w:ascii="宋体" w:hAnsi="宋体" w:cs="宋体"/>
          <w:color w:val="auto"/>
          <w:sz w:val="24"/>
          <w:highlight w:val="none"/>
          <w:u w:val="single"/>
        </w:rPr>
        <w:t xml:space="preserve">               </w:t>
      </w:r>
    </w:p>
    <w:p w14:paraId="60A73234">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 xml:space="preserve">法定代表人或者委托代理人（签字或者电子签名）:___________ </w:t>
      </w:r>
    </w:p>
    <w:p w14:paraId="093DD1F5">
      <w:pPr>
        <w:pStyle w:val="24"/>
        <w:spacing w:line="360" w:lineRule="auto"/>
        <w:contextualSpacing/>
        <w:jc w:val="center"/>
        <w:rPr>
          <w:rFonts w:hAnsi="宋体" w:cs="宋体"/>
          <w:color w:val="auto"/>
          <w:sz w:val="24"/>
          <w:highlight w:val="none"/>
        </w:rPr>
      </w:pPr>
    </w:p>
    <w:p w14:paraId="23AC480C">
      <w:pPr>
        <w:pStyle w:val="24"/>
        <w:spacing w:line="360" w:lineRule="auto"/>
        <w:contextualSpacing/>
        <w:jc w:val="center"/>
        <w:rPr>
          <w:rFonts w:hAnsi="宋体" w:cs="宋体"/>
          <w:color w:val="auto"/>
          <w:sz w:val="24"/>
          <w:highlight w:val="none"/>
        </w:rPr>
      </w:pPr>
    </w:p>
    <w:p w14:paraId="2354B600">
      <w:pPr>
        <w:pStyle w:val="24"/>
        <w:spacing w:line="360" w:lineRule="auto"/>
        <w:contextualSpacing/>
        <w:jc w:val="center"/>
        <w:rPr>
          <w:rFonts w:hAnsi="宋体" w:cs="宋体"/>
          <w:color w:val="auto"/>
          <w:sz w:val="24"/>
          <w:szCs w:val="24"/>
          <w:highlight w:val="none"/>
          <w:u w:val="single"/>
        </w:rPr>
      </w:pPr>
      <w:r>
        <w:rPr>
          <w:rFonts w:hint="eastAsia" w:hAnsi="宋体" w:cs="宋体"/>
          <w:color w:val="auto"/>
          <w:sz w:val="24"/>
          <w:highlight w:val="none"/>
        </w:rPr>
        <w:t>投标人名称（电子签章）：</w:t>
      </w:r>
    </w:p>
    <w:p w14:paraId="03D6D5FA">
      <w:pPr>
        <w:pStyle w:val="24"/>
        <w:spacing w:line="360" w:lineRule="auto"/>
        <w:ind w:firstLine="3360" w:firstLineChars="1400"/>
        <w:contextualSpacing/>
        <w:rPr>
          <w:rFonts w:hAnsi="宋体" w:cs="宋体"/>
          <w:color w:val="auto"/>
          <w:sz w:val="24"/>
          <w:highlight w:val="none"/>
        </w:rPr>
      </w:pPr>
      <w:r>
        <w:rPr>
          <w:rFonts w:hint="eastAsia" w:hAnsi="宋体" w:cs="宋体"/>
          <w:color w:val="auto"/>
          <w:sz w:val="24"/>
          <w:szCs w:val="24"/>
          <w:highlight w:val="none"/>
        </w:rPr>
        <w:t>年  月  日</w:t>
      </w:r>
    </w:p>
    <w:p w14:paraId="63DB7F3B">
      <w:pPr>
        <w:snapToGrid w:val="0"/>
        <w:spacing w:before="120" w:beforeLines="50" w:after="50"/>
        <w:jc w:val="left"/>
        <w:rPr>
          <w:rFonts w:ascii="宋体" w:hAnsi="宋体" w:cs="宋体"/>
          <w:b/>
          <w:color w:val="auto"/>
          <w:sz w:val="24"/>
          <w:szCs w:val="20"/>
          <w:highlight w:val="none"/>
        </w:rPr>
      </w:pPr>
      <w:r>
        <w:rPr>
          <w:rFonts w:hint="eastAsia" w:ascii="宋体" w:hAnsi="宋体" w:cs="宋体"/>
          <w:color w:val="auto"/>
          <w:highlight w:val="none"/>
          <w:u w:val="single"/>
        </w:rPr>
        <w:br w:type="page"/>
      </w:r>
      <w:r>
        <w:rPr>
          <w:rFonts w:hint="eastAsia" w:ascii="宋体" w:hAnsi="宋体" w:cs="宋体"/>
          <w:b/>
          <w:color w:val="auto"/>
          <w:sz w:val="24"/>
          <w:highlight w:val="none"/>
        </w:rPr>
        <w:t>开标一览表</w:t>
      </w:r>
    </w:p>
    <w:p w14:paraId="76ACE91A">
      <w:pPr>
        <w:snapToGrid w:val="0"/>
        <w:spacing w:before="50" w:after="50" w:line="340" w:lineRule="exact"/>
        <w:jc w:val="center"/>
        <w:rPr>
          <w:rFonts w:ascii="宋体" w:hAnsi="宋体" w:cs="宋体"/>
          <w:b/>
          <w:color w:val="auto"/>
          <w:sz w:val="30"/>
          <w:highlight w:val="none"/>
        </w:rPr>
      </w:pPr>
      <w:r>
        <w:rPr>
          <w:rFonts w:hint="eastAsia" w:ascii="宋体" w:hAnsi="宋体" w:cs="宋体"/>
          <w:b/>
          <w:color w:val="auto"/>
          <w:sz w:val="30"/>
          <w:highlight w:val="none"/>
        </w:rPr>
        <w:t>开标一览表</w:t>
      </w:r>
    </w:p>
    <w:p w14:paraId="62776F26">
      <w:pPr>
        <w:snapToGrid w:val="0"/>
        <w:spacing w:before="50" w:after="50" w:line="340" w:lineRule="exact"/>
        <w:jc w:val="center"/>
        <w:rPr>
          <w:rFonts w:ascii="宋体" w:hAnsi="宋体" w:cs="宋体"/>
          <w:b/>
          <w:color w:val="auto"/>
          <w:sz w:val="30"/>
          <w:szCs w:val="20"/>
          <w:highlight w:val="none"/>
        </w:rPr>
      </w:pPr>
    </w:p>
    <w:p w14:paraId="1AEFE371">
      <w:pPr>
        <w:snapToGrid w:val="0"/>
        <w:spacing w:before="50" w:after="50" w:line="340" w:lineRule="exact"/>
        <w:rPr>
          <w:rFonts w:ascii="宋体" w:hAnsi="宋体" w:cs="宋体"/>
          <w:color w:val="auto"/>
          <w:sz w:val="24"/>
          <w:highlight w:val="none"/>
        </w:rPr>
      </w:pPr>
      <w:r>
        <w:rPr>
          <w:rFonts w:hint="eastAsia" w:ascii="宋体" w:hAnsi="宋体" w:cs="宋体"/>
          <w:color w:val="auto"/>
          <w:sz w:val="24"/>
          <w:highlight w:val="none"/>
        </w:rPr>
        <w:t xml:space="preserve">项目名称：                         项目编号：            </w:t>
      </w:r>
    </w:p>
    <w:p w14:paraId="7FF52955">
      <w:pPr>
        <w:snapToGrid w:val="0"/>
        <w:spacing w:before="50" w:after="50" w:line="340" w:lineRule="exact"/>
        <w:rPr>
          <w:rFonts w:ascii="宋体" w:hAnsi="宋体" w:cs="宋体"/>
          <w:color w:val="auto"/>
          <w:sz w:val="24"/>
          <w:highlight w:val="none"/>
        </w:rPr>
      </w:pPr>
      <w:r>
        <w:rPr>
          <w:rFonts w:hint="eastAsia" w:ascii="宋体" w:hAnsi="宋体" w:cs="宋体"/>
          <w:color w:val="auto"/>
          <w:sz w:val="24"/>
          <w:highlight w:val="none"/>
        </w:rPr>
        <w:t xml:space="preserve">投标人名称：                       单位：元    </w:t>
      </w:r>
    </w:p>
    <w:tbl>
      <w:tblPr>
        <w:tblStyle w:val="47"/>
        <w:tblW w:w="493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2"/>
        <w:gridCol w:w="861"/>
        <w:gridCol w:w="862"/>
        <w:gridCol w:w="504"/>
        <w:gridCol w:w="846"/>
        <w:gridCol w:w="623"/>
        <w:gridCol w:w="874"/>
        <w:gridCol w:w="807"/>
        <w:gridCol w:w="1084"/>
        <w:gridCol w:w="1187"/>
      </w:tblGrid>
      <w:tr w14:paraId="7724D8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554" w:type="pct"/>
            <w:tcBorders>
              <w:top w:val="single" w:color="auto" w:sz="4" w:space="0"/>
              <w:left w:val="single" w:color="auto" w:sz="4" w:space="0"/>
              <w:bottom w:val="single" w:color="auto" w:sz="4" w:space="0"/>
              <w:right w:val="single" w:color="auto" w:sz="4" w:space="0"/>
            </w:tcBorders>
            <w:vAlign w:val="center"/>
          </w:tcPr>
          <w:p w14:paraId="7B3FA66C">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501" w:type="pct"/>
            <w:tcBorders>
              <w:top w:val="single" w:color="auto" w:sz="4" w:space="0"/>
              <w:left w:val="single" w:color="auto" w:sz="4" w:space="0"/>
              <w:bottom w:val="single" w:color="auto" w:sz="4" w:space="0"/>
              <w:right w:val="single" w:color="auto" w:sz="4" w:space="0"/>
            </w:tcBorders>
            <w:vAlign w:val="center"/>
          </w:tcPr>
          <w:p w14:paraId="53E089E0">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标的的名称</w:t>
            </w:r>
          </w:p>
        </w:tc>
        <w:tc>
          <w:tcPr>
            <w:tcW w:w="501" w:type="pct"/>
            <w:tcBorders>
              <w:top w:val="single" w:color="auto" w:sz="4" w:space="0"/>
              <w:left w:val="single" w:color="auto" w:sz="4" w:space="0"/>
              <w:bottom w:val="single" w:color="auto" w:sz="4" w:space="0"/>
              <w:right w:val="single" w:color="auto" w:sz="4" w:space="0"/>
            </w:tcBorders>
            <w:vAlign w:val="center"/>
          </w:tcPr>
          <w:p w14:paraId="68162DF7">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器材注册证号</w:t>
            </w:r>
          </w:p>
        </w:tc>
        <w:tc>
          <w:tcPr>
            <w:tcW w:w="293" w:type="pct"/>
            <w:tcBorders>
              <w:top w:val="single" w:color="auto" w:sz="4" w:space="0"/>
              <w:left w:val="single" w:color="auto" w:sz="4" w:space="0"/>
              <w:bottom w:val="single" w:color="auto" w:sz="4" w:space="0"/>
              <w:right w:val="single" w:color="auto" w:sz="4" w:space="0"/>
            </w:tcBorders>
            <w:vAlign w:val="center"/>
          </w:tcPr>
          <w:p w14:paraId="35EE4388">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产地</w:t>
            </w:r>
          </w:p>
        </w:tc>
        <w:tc>
          <w:tcPr>
            <w:tcW w:w="492" w:type="pct"/>
            <w:tcBorders>
              <w:top w:val="single" w:color="auto" w:sz="4" w:space="0"/>
              <w:left w:val="single" w:color="auto" w:sz="4" w:space="0"/>
              <w:bottom w:val="single" w:color="auto" w:sz="4" w:space="0"/>
              <w:right w:val="single" w:color="auto" w:sz="4" w:space="0"/>
            </w:tcBorders>
            <w:vAlign w:val="center"/>
          </w:tcPr>
          <w:p w14:paraId="10A19A57">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生产厂家（制造商）</w:t>
            </w:r>
          </w:p>
        </w:tc>
        <w:tc>
          <w:tcPr>
            <w:tcW w:w="362" w:type="pct"/>
            <w:tcBorders>
              <w:top w:val="single" w:color="auto" w:sz="4" w:space="0"/>
              <w:left w:val="single" w:color="auto" w:sz="4" w:space="0"/>
              <w:bottom w:val="single" w:color="auto" w:sz="4" w:space="0"/>
              <w:right w:val="single" w:color="auto" w:sz="4" w:space="0"/>
            </w:tcBorders>
            <w:vAlign w:val="center"/>
          </w:tcPr>
          <w:p w14:paraId="22AABE98">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品牌</w:t>
            </w:r>
          </w:p>
        </w:tc>
        <w:tc>
          <w:tcPr>
            <w:tcW w:w="508" w:type="pct"/>
            <w:tcBorders>
              <w:top w:val="single" w:color="auto" w:sz="4" w:space="0"/>
              <w:left w:val="single" w:color="auto" w:sz="4" w:space="0"/>
              <w:bottom w:val="single" w:color="auto" w:sz="4" w:space="0"/>
              <w:right w:val="single" w:color="auto" w:sz="4" w:space="0"/>
            </w:tcBorders>
            <w:vAlign w:val="center"/>
          </w:tcPr>
          <w:p w14:paraId="0B5E8F89">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469" w:type="pct"/>
            <w:tcBorders>
              <w:top w:val="single" w:color="auto" w:sz="4" w:space="0"/>
              <w:left w:val="single" w:color="auto" w:sz="4" w:space="0"/>
              <w:bottom w:val="single" w:color="auto" w:sz="4" w:space="0"/>
              <w:right w:val="single" w:color="auto" w:sz="4" w:space="0"/>
            </w:tcBorders>
            <w:vAlign w:val="center"/>
          </w:tcPr>
          <w:p w14:paraId="45B524BB">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数量及单位①</w:t>
            </w:r>
          </w:p>
        </w:tc>
        <w:tc>
          <w:tcPr>
            <w:tcW w:w="630" w:type="pct"/>
            <w:tcBorders>
              <w:top w:val="single" w:color="auto" w:sz="4" w:space="0"/>
              <w:left w:val="single" w:color="auto" w:sz="4" w:space="0"/>
              <w:bottom w:val="single" w:color="auto" w:sz="4" w:space="0"/>
              <w:right w:val="single" w:color="auto" w:sz="4" w:space="0"/>
            </w:tcBorders>
            <w:vAlign w:val="center"/>
          </w:tcPr>
          <w:p w14:paraId="514EE8FB">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p w14:paraId="5B4CD739">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②</w:t>
            </w:r>
          </w:p>
        </w:tc>
        <w:tc>
          <w:tcPr>
            <w:tcW w:w="686" w:type="pct"/>
            <w:tcBorders>
              <w:top w:val="single" w:color="auto" w:sz="4" w:space="0"/>
              <w:left w:val="single" w:color="auto" w:sz="4" w:space="0"/>
              <w:bottom w:val="single" w:color="auto" w:sz="4" w:space="0"/>
              <w:right w:val="single" w:color="auto" w:sz="4" w:space="0"/>
            </w:tcBorders>
            <w:vAlign w:val="center"/>
          </w:tcPr>
          <w:p w14:paraId="2DE99115">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w:t>
            </w:r>
          </w:p>
          <w:p w14:paraId="746F9144">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③=①×②</w:t>
            </w:r>
          </w:p>
        </w:tc>
      </w:tr>
      <w:tr w14:paraId="311FF9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554" w:type="pct"/>
            <w:tcBorders>
              <w:top w:val="single" w:color="auto" w:sz="4" w:space="0"/>
              <w:left w:val="single" w:color="auto" w:sz="4" w:space="0"/>
              <w:bottom w:val="single" w:color="auto" w:sz="4" w:space="0"/>
              <w:right w:val="single" w:color="auto" w:sz="4" w:space="0"/>
            </w:tcBorders>
            <w:vAlign w:val="center"/>
          </w:tcPr>
          <w:p w14:paraId="5B8768DB">
            <w:pPr>
              <w:tabs>
                <w:tab w:val="left" w:pos="180"/>
                <w:tab w:val="left" w:pos="1620"/>
              </w:tabs>
              <w:adjustRightInd w:val="0"/>
              <w:snapToGrid w:val="0"/>
              <w:spacing w:line="360" w:lineRule="exact"/>
              <w:jc w:val="center"/>
              <w:rPr>
                <w:rFonts w:ascii="宋体" w:hAnsi="宋体" w:cs="宋体"/>
                <w:b/>
                <w:color w:val="auto"/>
                <w:sz w:val="24"/>
                <w:highlight w:val="none"/>
              </w:rPr>
            </w:pPr>
            <w:r>
              <w:rPr>
                <w:rFonts w:hint="eastAsia" w:ascii="宋体" w:hAnsi="宋体" w:cs="宋体"/>
                <w:b/>
                <w:color w:val="auto"/>
                <w:sz w:val="24"/>
                <w:highlight w:val="none"/>
              </w:rPr>
              <w:t>1</w:t>
            </w:r>
          </w:p>
        </w:tc>
        <w:tc>
          <w:tcPr>
            <w:tcW w:w="501" w:type="pct"/>
            <w:tcBorders>
              <w:top w:val="single" w:color="auto" w:sz="4" w:space="0"/>
              <w:left w:val="single" w:color="auto" w:sz="4" w:space="0"/>
              <w:bottom w:val="single" w:color="auto" w:sz="4" w:space="0"/>
              <w:right w:val="single" w:color="auto" w:sz="4" w:space="0"/>
            </w:tcBorders>
            <w:vAlign w:val="center"/>
          </w:tcPr>
          <w:p w14:paraId="74CE8048">
            <w:pPr>
              <w:tabs>
                <w:tab w:val="left" w:pos="180"/>
                <w:tab w:val="left" w:pos="1620"/>
              </w:tabs>
              <w:adjustRightInd w:val="0"/>
              <w:snapToGrid w:val="0"/>
              <w:spacing w:line="360" w:lineRule="exact"/>
              <w:jc w:val="center"/>
              <w:rPr>
                <w:rFonts w:ascii="宋体" w:hAnsi="宋体" w:cs="宋体"/>
                <w:b/>
                <w:color w:val="auto"/>
                <w:sz w:val="24"/>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311C4B7C">
            <w:pPr>
              <w:tabs>
                <w:tab w:val="left" w:pos="180"/>
                <w:tab w:val="left" w:pos="1620"/>
              </w:tabs>
              <w:adjustRightInd w:val="0"/>
              <w:snapToGrid w:val="0"/>
              <w:spacing w:line="360" w:lineRule="exact"/>
              <w:jc w:val="center"/>
              <w:rPr>
                <w:rFonts w:ascii="宋体" w:hAnsi="宋体" w:cs="宋体"/>
                <w:b/>
                <w:color w:val="auto"/>
                <w:sz w:val="24"/>
                <w:highlight w:val="none"/>
              </w:rPr>
            </w:pPr>
          </w:p>
        </w:tc>
        <w:tc>
          <w:tcPr>
            <w:tcW w:w="293" w:type="pct"/>
            <w:tcBorders>
              <w:top w:val="single" w:color="auto" w:sz="4" w:space="0"/>
              <w:left w:val="single" w:color="auto" w:sz="4" w:space="0"/>
              <w:bottom w:val="single" w:color="auto" w:sz="4" w:space="0"/>
              <w:right w:val="single" w:color="auto" w:sz="4" w:space="0"/>
            </w:tcBorders>
            <w:vAlign w:val="center"/>
          </w:tcPr>
          <w:p w14:paraId="25889B4E">
            <w:pPr>
              <w:snapToGrid w:val="0"/>
              <w:spacing w:before="50" w:after="50" w:line="360" w:lineRule="auto"/>
              <w:jc w:val="center"/>
              <w:rPr>
                <w:rFonts w:ascii="宋体" w:hAnsi="宋体" w:cs="宋体"/>
                <w:b/>
                <w:color w:val="auto"/>
                <w:sz w:val="24"/>
                <w:highlight w:val="none"/>
              </w:rPr>
            </w:pPr>
          </w:p>
        </w:tc>
        <w:tc>
          <w:tcPr>
            <w:tcW w:w="492" w:type="pct"/>
            <w:tcBorders>
              <w:top w:val="single" w:color="auto" w:sz="4" w:space="0"/>
              <w:left w:val="single" w:color="auto" w:sz="4" w:space="0"/>
              <w:bottom w:val="single" w:color="auto" w:sz="4" w:space="0"/>
              <w:right w:val="single" w:color="auto" w:sz="4" w:space="0"/>
            </w:tcBorders>
            <w:vAlign w:val="center"/>
          </w:tcPr>
          <w:p w14:paraId="04BACF37">
            <w:pPr>
              <w:snapToGrid w:val="0"/>
              <w:spacing w:before="50" w:after="50" w:line="360" w:lineRule="auto"/>
              <w:jc w:val="center"/>
              <w:rPr>
                <w:rFonts w:ascii="宋体" w:hAnsi="宋体" w:cs="宋体"/>
                <w:b/>
                <w:color w:val="auto"/>
                <w:sz w:val="24"/>
                <w:highlight w:val="none"/>
              </w:rPr>
            </w:pPr>
          </w:p>
        </w:tc>
        <w:tc>
          <w:tcPr>
            <w:tcW w:w="362" w:type="pct"/>
            <w:tcBorders>
              <w:top w:val="single" w:color="auto" w:sz="4" w:space="0"/>
              <w:left w:val="single" w:color="auto" w:sz="4" w:space="0"/>
              <w:bottom w:val="single" w:color="auto" w:sz="4" w:space="0"/>
              <w:right w:val="single" w:color="auto" w:sz="4" w:space="0"/>
            </w:tcBorders>
            <w:vAlign w:val="center"/>
          </w:tcPr>
          <w:p w14:paraId="0DAC1639">
            <w:pPr>
              <w:snapToGrid w:val="0"/>
              <w:spacing w:before="50" w:after="50" w:line="360" w:lineRule="auto"/>
              <w:rPr>
                <w:rFonts w:ascii="宋体" w:hAnsi="宋体" w:cs="宋体"/>
                <w:color w:val="auto"/>
                <w:sz w:val="24"/>
                <w:highlight w:val="none"/>
              </w:rPr>
            </w:pPr>
          </w:p>
        </w:tc>
        <w:tc>
          <w:tcPr>
            <w:tcW w:w="508" w:type="pct"/>
            <w:tcBorders>
              <w:top w:val="single" w:color="auto" w:sz="4" w:space="0"/>
              <w:left w:val="single" w:color="auto" w:sz="4" w:space="0"/>
              <w:bottom w:val="single" w:color="auto" w:sz="4" w:space="0"/>
              <w:right w:val="single" w:color="auto" w:sz="4" w:space="0"/>
            </w:tcBorders>
          </w:tcPr>
          <w:p w14:paraId="1DDD46C0">
            <w:pPr>
              <w:snapToGrid w:val="0"/>
              <w:spacing w:before="50" w:after="50" w:line="360" w:lineRule="auto"/>
              <w:rPr>
                <w:rFonts w:ascii="宋体" w:hAnsi="宋体" w:cs="宋体"/>
                <w:color w:val="auto"/>
                <w:sz w:val="24"/>
                <w:highlight w:val="none"/>
              </w:rPr>
            </w:pPr>
          </w:p>
        </w:tc>
        <w:tc>
          <w:tcPr>
            <w:tcW w:w="469" w:type="pct"/>
            <w:tcBorders>
              <w:top w:val="single" w:color="auto" w:sz="4" w:space="0"/>
              <w:left w:val="single" w:color="auto" w:sz="4" w:space="0"/>
              <w:bottom w:val="single" w:color="auto" w:sz="4" w:space="0"/>
              <w:right w:val="single" w:color="auto" w:sz="4" w:space="0"/>
            </w:tcBorders>
            <w:vAlign w:val="center"/>
          </w:tcPr>
          <w:p w14:paraId="4CEFF683">
            <w:pPr>
              <w:snapToGrid w:val="0"/>
              <w:spacing w:before="50" w:after="50" w:line="360" w:lineRule="auto"/>
              <w:rPr>
                <w:rFonts w:ascii="宋体" w:hAnsi="宋体" w:cs="宋体"/>
                <w:color w:val="auto"/>
                <w:sz w:val="24"/>
                <w:highlight w:val="none"/>
              </w:rPr>
            </w:pPr>
          </w:p>
        </w:tc>
        <w:tc>
          <w:tcPr>
            <w:tcW w:w="630" w:type="pct"/>
            <w:tcBorders>
              <w:top w:val="single" w:color="auto" w:sz="4" w:space="0"/>
              <w:left w:val="single" w:color="auto" w:sz="4" w:space="0"/>
              <w:bottom w:val="single" w:color="auto" w:sz="4" w:space="0"/>
              <w:right w:val="single" w:color="auto" w:sz="4" w:space="0"/>
            </w:tcBorders>
            <w:vAlign w:val="center"/>
          </w:tcPr>
          <w:p w14:paraId="2CD0D35C">
            <w:pPr>
              <w:snapToGrid w:val="0"/>
              <w:spacing w:before="50" w:after="50" w:line="360" w:lineRule="auto"/>
              <w:rPr>
                <w:rFonts w:ascii="宋体" w:hAnsi="宋体" w:cs="宋体"/>
                <w:color w:val="auto"/>
                <w:sz w:val="24"/>
                <w:highlight w:val="none"/>
              </w:rPr>
            </w:pPr>
          </w:p>
        </w:tc>
        <w:tc>
          <w:tcPr>
            <w:tcW w:w="686" w:type="pct"/>
            <w:tcBorders>
              <w:top w:val="single" w:color="auto" w:sz="4" w:space="0"/>
              <w:left w:val="single" w:color="auto" w:sz="4" w:space="0"/>
              <w:bottom w:val="single" w:color="auto" w:sz="4" w:space="0"/>
              <w:right w:val="single" w:color="auto" w:sz="4" w:space="0"/>
            </w:tcBorders>
            <w:vAlign w:val="center"/>
          </w:tcPr>
          <w:p w14:paraId="62494D1B">
            <w:pPr>
              <w:snapToGrid w:val="0"/>
              <w:spacing w:before="50" w:after="50" w:line="360" w:lineRule="auto"/>
              <w:rPr>
                <w:rFonts w:ascii="宋体" w:hAnsi="宋体" w:cs="宋体"/>
                <w:color w:val="auto"/>
                <w:sz w:val="24"/>
                <w:highlight w:val="none"/>
              </w:rPr>
            </w:pPr>
          </w:p>
        </w:tc>
      </w:tr>
      <w:tr w14:paraId="79A354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554" w:type="pct"/>
            <w:tcBorders>
              <w:top w:val="single" w:color="auto" w:sz="4" w:space="0"/>
              <w:left w:val="single" w:color="auto" w:sz="4" w:space="0"/>
              <w:bottom w:val="single" w:color="auto" w:sz="4" w:space="0"/>
              <w:right w:val="single" w:color="auto" w:sz="4" w:space="0"/>
            </w:tcBorders>
            <w:vAlign w:val="center"/>
          </w:tcPr>
          <w:p w14:paraId="32A40A53">
            <w:pPr>
              <w:tabs>
                <w:tab w:val="left" w:pos="180"/>
                <w:tab w:val="left" w:pos="1620"/>
              </w:tabs>
              <w:adjustRightInd w:val="0"/>
              <w:snapToGrid w:val="0"/>
              <w:spacing w:line="360" w:lineRule="exact"/>
              <w:jc w:val="center"/>
              <w:rPr>
                <w:rFonts w:ascii="宋体" w:hAnsi="宋体" w:cs="宋体"/>
                <w:b/>
                <w:color w:val="auto"/>
                <w:sz w:val="24"/>
                <w:highlight w:val="none"/>
              </w:rPr>
            </w:pPr>
            <w:r>
              <w:rPr>
                <w:rFonts w:hint="eastAsia" w:ascii="宋体" w:hAnsi="宋体" w:cs="宋体"/>
                <w:b/>
                <w:color w:val="auto"/>
                <w:sz w:val="24"/>
                <w:highlight w:val="none"/>
              </w:rPr>
              <w:t>2</w:t>
            </w:r>
          </w:p>
        </w:tc>
        <w:tc>
          <w:tcPr>
            <w:tcW w:w="501" w:type="pct"/>
            <w:tcBorders>
              <w:top w:val="single" w:color="auto" w:sz="4" w:space="0"/>
              <w:left w:val="single" w:color="auto" w:sz="4" w:space="0"/>
              <w:bottom w:val="single" w:color="auto" w:sz="4" w:space="0"/>
              <w:right w:val="single" w:color="auto" w:sz="4" w:space="0"/>
            </w:tcBorders>
            <w:vAlign w:val="center"/>
          </w:tcPr>
          <w:p w14:paraId="5A2CEE9D">
            <w:pPr>
              <w:tabs>
                <w:tab w:val="left" w:pos="180"/>
                <w:tab w:val="left" w:pos="1620"/>
              </w:tabs>
              <w:adjustRightInd w:val="0"/>
              <w:snapToGrid w:val="0"/>
              <w:spacing w:line="360" w:lineRule="exact"/>
              <w:jc w:val="center"/>
              <w:rPr>
                <w:rFonts w:ascii="宋体" w:hAnsi="宋体" w:cs="宋体"/>
                <w:b/>
                <w:color w:val="auto"/>
                <w:sz w:val="24"/>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08CADC6C">
            <w:pPr>
              <w:tabs>
                <w:tab w:val="left" w:pos="180"/>
                <w:tab w:val="left" w:pos="1620"/>
              </w:tabs>
              <w:adjustRightInd w:val="0"/>
              <w:snapToGrid w:val="0"/>
              <w:spacing w:line="360" w:lineRule="exact"/>
              <w:jc w:val="center"/>
              <w:rPr>
                <w:rFonts w:ascii="宋体" w:hAnsi="宋体" w:cs="宋体"/>
                <w:b/>
                <w:color w:val="auto"/>
                <w:sz w:val="24"/>
                <w:highlight w:val="none"/>
              </w:rPr>
            </w:pPr>
          </w:p>
        </w:tc>
        <w:tc>
          <w:tcPr>
            <w:tcW w:w="293" w:type="pct"/>
            <w:tcBorders>
              <w:top w:val="single" w:color="auto" w:sz="4" w:space="0"/>
              <w:left w:val="single" w:color="auto" w:sz="4" w:space="0"/>
              <w:bottom w:val="single" w:color="auto" w:sz="4" w:space="0"/>
              <w:right w:val="single" w:color="auto" w:sz="4" w:space="0"/>
            </w:tcBorders>
            <w:vAlign w:val="center"/>
          </w:tcPr>
          <w:p w14:paraId="6976D779">
            <w:pPr>
              <w:snapToGrid w:val="0"/>
              <w:spacing w:before="50" w:after="50" w:line="360" w:lineRule="auto"/>
              <w:jc w:val="center"/>
              <w:rPr>
                <w:rFonts w:ascii="宋体" w:hAnsi="宋体" w:cs="宋体"/>
                <w:b/>
                <w:color w:val="auto"/>
                <w:sz w:val="24"/>
                <w:highlight w:val="none"/>
              </w:rPr>
            </w:pPr>
          </w:p>
        </w:tc>
        <w:tc>
          <w:tcPr>
            <w:tcW w:w="492" w:type="pct"/>
            <w:tcBorders>
              <w:top w:val="single" w:color="auto" w:sz="4" w:space="0"/>
              <w:left w:val="single" w:color="auto" w:sz="4" w:space="0"/>
              <w:bottom w:val="single" w:color="auto" w:sz="4" w:space="0"/>
              <w:right w:val="single" w:color="auto" w:sz="4" w:space="0"/>
            </w:tcBorders>
            <w:vAlign w:val="center"/>
          </w:tcPr>
          <w:p w14:paraId="0F353EA9">
            <w:pPr>
              <w:snapToGrid w:val="0"/>
              <w:spacing w:before="50" w:after="50" w:line="360" w:lineRule="auto"/>
              <w:jc w:val="center"/>
              <w:rPr>
                <w:rFonts w:ascii="宋体" w:hAnsi="宋体" w:cs="宋体"/>
                <w:b/>
                <w:color w:val="auto"/>
                <w:sz w:val="24"/>
                <w:highlight w:val="none"/>
              </w:rPr>
            </w:pPr>
          </w:p>
        </w:tc>
        <w:tc>
          <w:tcPr>
            <w:tcW w:w="362" w:type="pct"/>
            <w:tcBorders>
              <w:top w:val="single" w:color="auto" w:sz="4" w:space="0"/>
              <w:left w:val="single" w:color="auto" w:sz="4" w:space="0"/>
              <w:bottom w:val="single" w:color="auto" w:sz="4" w:space="0"/>
              <w:right w:val="single" w:color="auto" w:sz="4" w:space="0"/>
            </w:tcBorders>
            <w:vAlign w:val="center"/>
          </w:tcPr>
          <w:p w14:paraId="08B19CFC">
            <w:pPr>
              <w:snapToGrid w:val="0"/>
              <w:spacing w:before="50" w:after="50" w:line="360" w:lineRule="auto"/>
              <w:rPr>
                <w:rFonts w:ascii="宋体" w:hAnsi="宋体" w:cs="宋体"/>
                <w:color w:val="auto"/>
                <w:sz w:val="24"/>
                <w:highlight w:val="none"/>
              </w:rPr>
            </w:pPr>
          </w:p>
        </w:tc>
        <w:tc>
          <w:tcPr>
            <w:tcW w:w="508" w:type="pct"/>
            <w:tcBorders>
              <w:top w:val="single" w:color="auto" w:sz="4" w:space="0"/>
              <w:left w:val="single" w:color="auto" w:sz="4" w:space="0"/>
              <w:bottom w:val="single" w:color="auto" w:sz="4" w:space="0"/>
              <w:right w:val="single" w:color="auto" w:sz="4" w:space="0"/>
            </w:tcBorders>
          </w:tcPr>
          <w:p w14:paraId="20E01CE1">
            <w:pPr>
              <w:snapToGrid w:val="0"/>
              <w:spacing w:before="50" w:after="50" w:line="360" w:lineRule="auto"/>
              <w:rPr>
                <w:rFonts w:ascii="宋体" w:hAnsi="宋体" w:cs="宋体"/>
                <w:color w:val="auto"/>
                <w:sz w:val="24"/>
                <w:highlight w:val="none"/>
              </w:rPr>
            </w:pPr>
          </w:p>
        </w:tc>
        <w:tc>
          <w:tcPr>
            <w:tcW w:w="469" w:type="pct"/>
            <w:tcBorders>
              <w:top w:val="single" w:color="auto" w:sz="4" w:space="0"/>
              <w:left w:val="single" w:color="auto" w:sz="4" w:space="0"/>
              <w:bottom w:val="single" w:color="auto" w:sz="4" w:space="0"/>
              <w:right w:val="single" w:color="auto" w:sz="4" w:space="0"/>
            </w:tcBorders>
            <w:vAlign w:val="center"/>
          </w:tcPr>
          <w:p w14:paraId="50C0B975">
            <w:pPr>
              <w:snapToGrid w:val="0"/>
              <w:spacing w:before="50" w:after="50" w:line="360" w:lineRule="auto"/>
              <w:rPr>
                <w:rFonts w:ascii="宋体" w:hAnsi="宋体" w:cs="宋体"/>
                <w:color w:val="auto"/>
                <w:sz w:val="24"/>
                <w:highlight w:val="none"/>
              </w:rPr>
            </w:pPr>
          </w:p>
        </w:tc>
        <w:tc>
          <w:tcPr>
            <w:tcW w:w="630" w:type="pct"/>
            <w:tcBorders>
              <w:top w:val="single" w:color="auto" w:sz="4" w:space="0"/>
              <w:left w:val="single" w:color="auto" w:sz="4" w:space="0"/>
              <w:bottom w:val="single" w:color="auto" w:sz="4" w:space="0"/>
              <w:right w:val="single" w:color="auto" w:sz="4" w:space="0"/>
            </w:tcBorders>
            <w:vAlign w:val="center"/>
          </w:tcPr>
          <w:p w14:paraId="0C978F8E">
            <w:pPr>
              <w:snapToGrid w:val="0"/>
              <w:spacing w:before="50" w:after="50" w:line="360" w:lineRule="auto"/>
              <w:rPr>
                <w:rFonts w:ascii="宋体" w:hAnsi="宋体" w:cs="宋体"/>
                <w:color w:val="auto"/>
                <w:sz w:val="24"/>
                <w:highlight w:val="none"/>
              </w:rPr>
            </w:pPr>
          </w:p>
        </w:tc>
        <w:tc>
          <w:tcPr>
            <w:tcW w:w="686" w:type="pct"/>
            <w:tcBorders>
              <w:top w:val="single" w:color="auto" w:sz="4" w:space="0"/>
              <w:left w:val="single" w:color="auto" w:sz="4" w:space="0"/>
              <w:bottom w:val="single" w:color="auto" w:sz="4" w:space="0"/>
              <w:right w:val="single" w:color="auto" w:sz="4" w:space="0"/>
            </w:tcBorders>
            <w:vAlign w:val="center"/>
          </w:tcPr>
          <w:p w14:paraId="2D6AEA18">
            <w:pPr>
              <w:snapToGrid w:val="0"/>
              <w:spacing w:before="50" w:after="50" w:line="360" w:lineRule="auto"/>
              <w:rPr>
                <w:rFonts w:ascii="宋体" w:hAnsi="宋体" w:cs="宋体"/>
                <w:color w:val="auto"/>
                <w:sz w:val="24"/>
                <w:highlight w:val="none"/>
              </w:rPr>
            </w:pPr>
          </w:p>
        </w:tc>
      </w:tr>
      <w:tr w14:paraId="0E5D19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554" w:type="pct"/>
            <w:tcBorders>
              <w:top w:val="single" w:color="auto" w:sz="4" w:space="0"/>
              <w:left w:val="single" w:color="auto" w:sz="4" w:space="0"/>
              <w:bottom w:val="single" w:color="auto" w:sz="4" w:space="0"/>
              <w:right w:val="single" w:color="auto" w:sz="4" w:space="0"/>
            </w:tcBorders>
            <w:vAlign w:val="center"/>
          </w:tcPr>
          <w:p w14:paraId="09E75B3C">
            <w:pPr>
              <w:tabs>
                <w:tab w:val="left" w:pos="180"/>
                <w:tab w:val="left" w:pos="1620"/>
              </w:tabs>
              <w:adjustRightInd w:val="0"/>
              <w:snapToGrid w:val="0"/>
              <w:spacing w:line="360" w:lineRule="exact"/>
              <w:jc w:val="center"/>
              <w:rPr>
                <w:rFonts w:ascii="宋体" w:hAnsi="宋体" w:cs="宋体"/>
                <w:b/>
                <w:color w:val="auto"/>
                <w:sz w:val="24"/>
                <w:highlight w:val="none"/>
              </w:rPr>
            </w:pPr>
            <w:r>
              <w:rPr>
                <w:rFonts w:hint="eastAsia" w:ascii="宋体" w:hAnsi="宋体" w:cs="宋体"/>
                <w:b/>
                <w:color w:val="auto"/>
                <w:sz w:val="24"/>
                <w:highlight w:val="none"/>
              </w:rPr>
              <w:t>......</w:t>
            </w:r>
          </w:p>
        </w:tc>
        <w:tc>
          <w:tcPr>
            <w:tcW w:w="501" w:type="pct"/>
            <w:tcBorders>
              <w:top w:val="single" w:color="auto" w:sz="4" w:space="0"/>
              <w:left w:val="single" w:color="auto" w:sz="4" w:space="0"/>
              <w:bottom w:val="single" w:color="auto" w:sz="4" w:space="0"/>
              <w:right w:val="single" w:color="auto" w:sz="4" w:space="0"/>
            </w:tcBorders>
            <w:vAlign w:val="center"/>
          </w:tcPr>
          <w:p w14:paraId="0BA3C72B">
            <w:pPr>
              <w:tabs>
                <w:tab w:val="left" w:pos="180"/>
                <w:tab w:val="left" w:pos="1620"/>
              </w:tabs>
              <w:adjustRightInd w:val="0"/>
              <w:snapToGrid w:val="0"/>
              <w:spacing w:line="360" w:lineRule="exact"/>
              <w:jc w:val="center"/>
              <w:rPr>
                <w:rFonts w:ascii="宋体" w:hAnsi="宋体" w:cs="宋体"/>
                <w:b/>
                <w:color w:val="auto"/>
                <w:sz w:val="24"/>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251C8335">
            <w:pPr>
              <w:tabs>
                <w:tab w:val="left" w:pos="180"/>
                <w:tab w:val="left" w:pos="1620"/>
              </w:tabs>
              <w:adjustRightInd w:val="0"/>
              <w:snapToGrid w:val="0"/>
              <w:spacing w:line="360" w:lineRule="exact"/>
              <w:jc w:val="center"/>
              <w:rPr>
                <w:rFonts w:ascii="宋体" w:hAnsi="宋体" w:cs="宋体"/>
                <w:b/>
                <w:color w:val="auto"/>
                <w:sz w:val="24"/>
                <w:highlight w:val="none"/>
              </w:rPr>
            </w:pPr>
          </w:p>
        </w:tc>
        <w:tc>
          <w:tcPr>
            <w:tcW w:w="293" w:type="pct"/>
            <w:tcBorders>
              <w:top w:val="single" w:color="auto" w:sz="4" w:space="0"/>
              <w:left w:val="single" w:color="auto" w:sz="4" w:space="0"/>
              <w:bottom w:val="single" w:color="auto" w:sz="4" w:space="0"/>
              <w:right w:val="single" w:color="auto" w:sz="4" w:space="0"/>
            </w:tcBorders>
            <w:vAlign w:val="center"/>
          </w:tcPr>
          <w:p w14:paraId="51E23FC6">
            <w:pPr>
              <w:snapToGrid w:val="0"/>
              <w:spacing w:before="50" w:after="50" w:line="360" w:lineRule="auto"/>
              <w:jc w:val="center"/>
              <w:rPr>
                <w:rFonts w:ascii="宋体" w:hAnsi="宋体" w:cs="宋体"/>
                <w:b/>
                <w:color w:val="auto"/>
                <w:sz w:val="24"/>
                <w:highlight w:val="none"/>
              </w:rPr>
            </w:pPr>
          </w:p>
        </w:tc>
        <w:tc>
          <w:tcPr>
            <w:tcW w:w="492" w:type="pct"/>
            <w:tcBorders>
              <w:top w:val="single" w:color="auto" w:sz="4" w:space="0"/>
              <w:left w:val="single" w:color="auto" w:sz="4" w:space="0"/>
              <w:bottom w:val="single" w:color="auto" w:sz="4" w:space="0"/>
              <w:right w:val="single" w:color="auto" w:sz="4" w:space="0"/>
            </w:tcBorders>
            <w:vAlign w:val="center"/>
          </w:tcPr>
          <w:p w14:paraId="6FB57F9F">
            <w:pPr>
              <w:snapToGrid w:val="0"/>
              <w:spacing w:before="50" w:after="50" w:line="360" w:lineRule="auto"/>
              <w:jc w:val="center"/>
              <w:rPr>
                <w:rFonts w:ascii="宋体" w:hAnsi="宋体" w:cs="宋体"/>
                <w:b/>
                <w:color w:val="auto"/>
                <w:sz w:val="24"/>
                <w:highlight w:val="none"/>
              </w:rPr>
            </w:pPr>
          </w:p>
        </w:tc>
        <w:tc>
          <w:tcPr>
            <w:tcW w:w="362" w:type="pct"/>
            <w:tcBorders>
              <w:top w:val="single" w:color="auto" w:sz="4" w:space="0"/>
              <w:left w:val="single" w:color="auto" w:sz="4" w:space="0"/>
              <w:bottom w:val="single" w:color="auto" w:sz="4" w:space="0"/>
              <w:right w:val="single" w:color="auto" w:sz="4" w:space="0"/>
            </w:tcBorders>
            <w:vAlign w:val="center"/>
          </w:tcPr>
          <w:p w14:paraId="20EDD7CC">
            <w:pPr>
              <w:snapToGrid w:val="0"/>
              <w:spacing w:before="50" w:after="50" w:line="360" w:lineRule="auto"/>
              <w:rPr>
                <w:rFonts w:ascii="宋体" w:hAnsi="宋体" w:cs="宋体"/>
                <w:color w:val="auto"/>
                <w:sz w:val="24"/>
                <w:highlight w:val="none"/>
              </w:rPr>
            </w:pPr>
          </w:p>
        </w:tc>
        <w:tc>
          <w:tcPr>
            <w:tcW w:w="508" w:type="pct"/>
            <w:tcBorders>
              <w:top w:val="single" w:color="auto" w:sz="4" w:space="0"/>
              <w:left w:val="single" w:color="auto" w:sz="4" w:space="0"/>
              <w:bottom w:val="single" w:color="auto" w:sz="4" w:space="0"/>
              <w:right w:val="single" w:color="auto" w:sz="4" w:space="0"/>
            </w:tcBorders>
          </w:tcPr>
          <w:p w14:paraId="5F7C6946">
            <w:pPr>
              <w:snapToGrid w:val="0"/>
              <w:spacing w:before="50" w:after="50" w:line="360" w:lineRule="auto"/>
              <w:rPr>
                <w:rFonts w:ascii="宋体" w:hAnsi="宋体" w:cs="宋体"/>
                <w:color w:val="auto"/>
                <w:sz w:val="24"/>
                <w:highlight w:val="none"/>
              </w:rPr>
            </w:pPr>
          </w:p>
        </w:tc>
        <w:tc>
          <w:tcPr>
            <w:tcW w:w="469" w:type="pct"/>
            <w:tcBorders>
              <w:top w:val="single" w:color="auto" w:sz="4" w:space="0"/>
              <w:left w:val="single" w:color="auto" w:sz="4" w:space="0"/>
              <w:bottom w:val="single" w:color="auto" w:sz="4" w:space="0"/>
              <w:right w:val="single" w:color="auto" w:sz="4" w:space="0"/>
            </w:tcBorders>
            <w:vAlign w:val="center"/>
          </w:tcPr>
          <w:p w14:paraId="42DF9D2A">
            <w:pPr>
              <w:snapToGrid w:val="0"/>
              <w:spacing w:before="50" w:after="50" w:line="360" w:lineRule="auto"/>
              <w:rPr>
                <w:rFonts w:ascii="宋体" w:hAnsi="宋体" w:cs="宋体"/>
                <w:color w:val="auto"/>
                <w:sz w:val="24"/>
                <w:highlight w:val="none"/>
              </w:rPr>
            </w:pPr>
          </w:p>
        </w:tc>
        <w:tc>
          <w:tcPr>
            <w:tcW w:w="630" w:type="pct"/>
            <w:tcBorders>
              <w:top w:val="single" w:color="auto" w:sz="4" w:space="0"/>
              <w:left w:val="single" w:color="auto" w:sz="4" w:space="0"/>
              <w:bottom w:val="single" w:color="auto" w:sz="4" w:space="0"/>
              <w:right w:val="single" w:color="auto" w:sz="4" w:space="0"/>
            </w:tcBorders>
            <w:vAlign w:val="center"/>
          </w:tcPr>
          <w:p w14:paraId="179D1BF8">
            <w:pPr>
              <w:snapToGrid w:val="0"/>
              <w:spacing w:before="50" w:after="50" w:line="360" w:lineRule="auto"/>
              <w:rPr>
                <w:rFonts w:ascii="宋体" w:hAnsi="宋体" w:cs="宋体"/>
                <w:color w:val="auto"/>
                <w:sz w:val="24"/>
                <w:highlight w:val="none"/>
              </w:rPr>
            </w:pPr>
          </w:p>
        </w:tc>
        <w:tc>
          <w:tcPr>
            <w:tcW w:w="686" w:type="pct"/>
            <w:tcBorders>
              <w:top w:val="single" w:color="auto" w:sz="4" w:space="0"/>
              <w:left w:val="single" w:color="auto" w:sz="4" w:space="0"/>
              <w:bottom w:val="single" w:color="auto" w:sz="4" w:space="0"/>
              <w:right w:val="single" w:color="auto" w:sz="4" w:space="0"/>
            </w:tcBorders>
            <w:vAlign w:val="center"/>
          </w:tcPr>
          <w:p w14:paraId="0146A60E">
            <w:pPr>
              <w:snapToGrid w:val="0"/>
              <w:spacing w:before="50" w:after="50" w:line="360" w:lineRule="auto"/>
              <w:rPr>
                <w:rFonts w:ascii="宋体" w:hAnsi="宋体" w:cs="宋体"/>
                <w:color w:val="auto"/>
                <w:sz w:val="24"/>
                <w:highlight w:val="none"/>
              </w:rPr>
            </w:pPr>
          </w:p>
        </w:tc>
      </w:tr>
      <w:tr w14:paraId="08C774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10"/>
            <w:tcBorders>
              <w:top w:val="single" w:color="auto" w:sz="4" w:space="0"/>
              <w:left w:val="single" w:color="auto" w:sz="4" w:space="0"/>
              <w:bottom w:val="single" w:color="auto" w:sz="4" w:space="0"/>
              <w:right w:val="single" w:color="auto" w:sz="4" w:space="0"/>
            </w:tcBorders>
          </w:tcPr>
          <w:p w14:paraId="24B9D906">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合计金额大写：人民币______（¥ ______）</w:t>
            </w:r>
          </w:p>
        </w:tc>
      </w:tr>
      <w:tr w14:paraId="3866FE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10"/>
            <w:tcBorders>
              <w:top w:val="single" w:color="auto" w:sz="4" w:space="0"/>
              <w:left w:val="single" w:color="auto" w:sz="4" w:space="0"/>
              <w:bottom w:val="single" w:color="auto" w:sz="4" w:space="0"/>
              <w:right w:val="single" w:color="auto" w:sz="4" w:space="0"/>
            </w:tcBorders>
          </w:tcPr>
          <w:p w14:paraId="3B67C024">
            <w:pPr>
              <w:snapToGrid w:val="0"/>
              <w:spacing w:before="50" w:after="50" w:line="360" w:lineRule="auto"/>
              <w:rPr>
                <w:rFonts w:hint="eastAsia" w:ascii="宋体" w:hAnsi="宋体" w:cs="宋体"/>
                <w:color w:val="auto"/>
                <w:sz w:val="24"/>
                <w:highlight w:val="none"/>
              </w:rPr>
            </w:pPr>
            <w:r>
              <w:rPr>
                <w:rFonts w:hint="eastAsia" w:ascii="宋体" w:hAnsi="宋体" w:cs="仿宋_GB2312"/>
                <w:color w:val="auto"/>
                <w:sz w:val="24"/>
                <w:highlight w:val="none"/>
                <w:u w:val="single"/>
              </w:rPr>
              <w:t>投标产品中，属于本国产品总值为¥       （具体明细详见附表，附表格式自拟），占投标产品报价的比例为    %。</w:t>
            </w:r>
          </w:p>
        </w:tc>
      </w:tr>
    </w:tbl>
    <w:p w14:paraId="66C5FAF0">
      <w:pPr>
        <w:snapToGrid w:val="0"/>
        <w:spacing w:line="280" w:lineRule="exact"/>
        <w:jc w:val="left"/>
        <w:rPr>
          <w:rFonts w:ascii="宋体" w:hAnsi="宋体" w:cs="宋体"/>
          <w:color w:val="auto"/>
          <w:sz w:val="24"/>
          <w:highlight w:val="none"/>
        </w:rPr>
      </w:pPr>
      <w:r>
        <w:rPr>
          <w:rFonts w:hint="eastAsia" w:ascii="宋体" w:hAnsi="宋体" w:cs="宋体"/>
          <w:color w:val="auto"/>
          <w:sz w:val="24"/>
          <w:highlight w:val="none"/>
        </w:rPr>
        <w:t xml:space="preserve">注: </w:t>
      </w:r>
    </w:p>
    <w:p w14:paraId="5438B186">
      <w:pPr>
        <w:snapToGrid w:val="0"/>
        <w:spacing w:line="2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1.投标人的开标一览表必须加盖供应商CA电子签章并由法定代表人或者委托代理人签字或者电子签名，</w:t>
      </w:r>
      <w:r>
        <w:rPr>
          <w:rFonts w:hint="eastAsia" w:ascii="宋体" w:hAnsi="宋体" w:cs="宋体"/>
          <w:b/>
          <w:color w:val="auto"/>
          <w:sz w:val="24"/>
          <w:highlight w:val="none"/>
        </w:rPr>
        <w:t>否则其投标作无效标处理</w:t>
      </w:r>
      <w:r>
        <w:rPr>
          <w:rFonts w:hint="eastAsia" w:ascii="宋体" w:hAnsi="宋体" w:cs="宋体"/>
          <w:color w:val="auto"/>
          <w:sz w:val="24"/>
          <w:highlight w:val="none"/>
        </w:rPr>
        <w:t>。</w:t>
      </w:r>
    </w:p>
    <w:p w14:paraId="1DFF4C3B">
      <w:pPr>
        <w:snapToGrid w:val="0"/>
        <w:spacing w:line="280" w:lineRule="exact"/>
        <w:ind w:firstLine="480" w:firstLineChars="200"/>
        <w:jc w:val="left"/>
        <w:rPr>
          <w:rFonts w:ascii="宋体" w:hAnsi="宋体" w:cs="宋体"/>
          <w:b/>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报价一经涂改，应在涂改处加盖投标人公章或者加盖电子签章或者由法定代表人或者委托代理人签字（或者电子签名）</w:t>
      </w:r>
      <w:r>
        <w:rPr>
          <w:rFonts w:hint="eastAsia" w:ascii="宋体" w:hAnsi="宋体" w:cs="宋体"/>
          <w:b/>
          <w:color w:val="auto"/>
          <w:sz w:val="24"/>
          <w:highlight w:val="none"/>
        </w:rPr>
        <w:t>，否则其投标作无效标处理。</w:t>
      </w:r>
    </w:p>
    <w:p w14:paraId="661C3226">
      <w:pPr>
        <w:snapToGrid w:val="0"/>
        <w:spacing w:line="2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3.招标文件中列明采购专用耗材的，应按招标文件规定的耗材量或者按耗材的常规使用量提供报价。</w:t>
      </w:r>
    </w:p>
    <w:p w14:paraId="62BCB6EA">
      <w:pPr>
        <w:snapToGrid w:val="0"/>
        <w:spacing w:line="2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4.如为联合体投标，“投标人名称”处必须列明联合体各方名称，并标注联合体牵头人名称，</w:t>
      </w:r>
      <w:r>
        <w:rPr>
          <w:rFonts w:hint="eastAsia" w:ascii="宋体" w:hAnsi="宋体" w:cs="宋体"/>
          <w:b/>
          <w:color w:val="auto"/>
          <w:sz w:val="24"/>
          <w:highlight w:val="none"/>
        </w:rPr>
        <w:t>否则其投标作无效标处理。</w:t>
      </w:r>
    </w:p>
    <w:p w14:paraId="7CC22A69">
      <w:pPr>
        <w:snapToGrid w:val="0"/>
        <w:spacing w:line="2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5.本项目货物各项号标的的“产地、生产厂家（制造商）、品牌、规格、型号、数量及单位、单价、投标报价”必须如实填写完整，</w:t>
      </w:r>
      <w:r>
        <w:rPr>
          <w:rFonts w:hint="eastAsia" w:ascii="宋体" w:hAnsi="宋体" w:cs="宋体"/>
          <w:b/>
          <w:color w:val="auto"/>
          <w:sz w:val="24"/>
          <w:highlight w:val="none"/>
        </w:rPr>
        <w:t>填写有缺漏的，投标作无效标处理。</w:t>
      </w:r>
    </w:p>
    <w:p w14:paraId="3FE20491">
      <w:pPr>
        <w:snapToGrid w:val="0"/>
        <w:spacing w:line="280" w:lineRule="exact"/>
        <w:ind w:firstLine="456" w:firstLineChars="200"/>
        <w:jc w:val="left"/>
        <w:rPr>
          <w:rFonts w:ascii="宋体" w:hAnsi="宋体" w:cs="宋体"/>
          <w:color w:val="auto"/>
          <w:spacing w:val="-6"/>
          <w:sz w:val="24"/>
          <w:highlight w:val="none"/>
        </w:rPr>
      </w:pPr>
      <w:r>
        <w:rPr>
          <w:rFonts w:hint="eastAsia" w:ascii="宋体" w:hAnsi="宋体" w:cs="宋体"/>
          <w:color w:val="auto"/>
          <w:spacing w:val="-6"/>
          <w:sz w:val="24"/>
          <w:highlight w:val="none"/>
        </w:rPr>
        <w:t>6.如为联合体投标，盖章处须加盖联合体牵头人电子签章，</w:t>
      </w:r>
      <w:r>
        <w:rPr>
          <w:rFonts w:hint="eastAsia" w:ascii="宋体" w:hAnsi="宋体" w:cs="宋体"/>
          <w:b/>
          <w:color w:val="auto"/>
          <w:spacing w:val="-6"/>
          <w:sz w:val="24"/>
          <w:highlight w:val="none"/>
        </w:rPr>
        <w:t>否则其投标作无效标处理。</w:t>
      </w:r>
    </w:p>
    <w:p w14:paraId="5CD6036B">
      <w:pPr>
        <w:snapToGrid w:val="0"/>
        <w:spacing w:line="300" w:lineRule="exact"/>
        <w:ind w:firstLine="482" w:firstLineChars="200"/>
        <w:rPr>
          <w:rFonts w:ascii="宋体" w:hAnsi="宋体" w:cs="宋体"/>
          <w:b/>
          <w:color w:val="auto"/>
          <w:sz w:val="24"/>
          <w:highlight w:val="none"/>
        </w:rPr>
      </w:pPr>
    </w:p>
    <w:p w14:paraId="194E0A6C">
      <w:pPr>
        <w:snapToGrid w:val="0"/>
        <w:spacing w:line="300" w:lineRule="exact"/>
        <w:ind w:left="-2" w:leftChars="-1" w:right="-817" w:rightChars="-389"/>
        <w:rPr>
          <w:rFonts w:ascii="宋体" w:hAnsi="宋体" w:cs="宋体"/>
          <w:color w:val="auto"/>
          <w:sz w:val="24"/>
          <w:highlight w:val="none"/>
          <w:u w:val="single"/>
        </w:rPr>
      </w:pPr>
      <w:r>
        <w:rPr>
          <w:rFonts w:hint="eastAsia" w:ascii="宋体" w:hAnsi="宋体" w:cs="宋体"/>
          <w:color w:val="auto"/>
          <w:sz w:val="24"/>
          <w:highlight w:val="none"/>
        </w:rPr>
        <w:t xml:space="preserve">             法定代表人或者委托代理人（签字或者电子签名）：</w:t>
      </w:r>
    </w:p>
    <w:p w14:paraId="61F28FF3">
      <w:pPr>
        <w:snapToGrid w:val="0"/>
        <w:spacing w:line="300" w:lineRule="exact"/>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31893864">
      <w:pPr>
        <w:snapToGrid w:val="0"/>
        <w:spacing w:line="300" w:lineRule="exact"/>
        <w:ind w:left="-3" w:leftChars="-15" w:right="-817" w:rightChars="-389" w:hanging="28" w:hangingChars="12"/>
        <w:rPr>
          <w:rFonts w:ascii="宋体" w:hAnsi="宋体" w:cs="宋体"/>
          <w:color w:val="auto"/>
          <w:szCs w:val="21"/>
          <w:highlight w:val="none"/>
        </w:rPr>
      </w:pPr>
      <w:r>
        <w:rPr>
          <w:rFonts w:hint="eastAsia" w:ascii="宋体" w:hAnsi="宋体" w:cs="宋体"/>
          <w:color w:val="auto"/>
          <w:sz w:val="24"/>
          <w:highlight w:val="none"/>
        </w:rPr>
        <w:t xml:space="preserve">                                  日期：    年   月   日</w:t>
      </w:r>
    </w:p>
    <w:p w14:paraId="7845295E">
      <w:pPr>
        <w:rPr>
          <w:rFonts w:ascii="宋体" w:hAnsi="宋体" w:cs="宋体"/>
          <w:b/>
          <w:color w:val="auto"/>
          <w:sz w:val="28"/>
          <w:szCs w:val="28"/>
          <w:highlight w:val="none"/>
        </w:rPr>
      </w:pPr>
      <w:r>
        <w:rPr>
          <w:rFonts w:hint="eastAsia" w:ascii="宋体" w:hAnsi="宋体" w:cs="宋体"/>
          <w:b/>
          <w:bCs/>
          <w:color w:val="auto"/>
          <w:sz w:val="24"/>
          <w:highlight w:val="none"/>
        </w:rPr>
        <w:br w:type="page"/>
      </w:r>
      <w:bookmarkStart w:id="156" w:name="_Toc19686837"/>
      <w:r>
        <w:rPr>
          <w:rFonts w:hint="eastAsia" w:ascii="宋体" w:hAnsi="宋体" w:cs="宋体"/>
          <w:b/>
          <w:color w:val="auto"/>
          <w:sz w:val="28"/>
          <w:szCs w:val="28"/>
          <w:highlight w:val="none"/>
        </w:rPr>
        <w:t>二、资格证明文件格式</w:t>
      </w:r>
      <w:bookmarkEnd w:id="154"/>
      <w:bookmarkEnd w:id="155"/>
      <w:bookmarkEnd w:id="156"/>
    </w:p>
    <w:p w14:paraId="10510193">
      <w:pPr>
        <w:numPr>
          <w:ilvl w:val="2"/>
          <w:numId w:val="6"/>
        </w:numPr>
        <w:snapToGrid w:val="0"/>
        <w:spacing w:before="120" w:beforeLines="50" w:after="50" w:line="360" w:lineRule="auto"/>
        <w:ind w:left="0" w:firstLine="0"/>
        <w:jc w:val="left"/>
        <w:rPr>
          <w:rFonts w:ascii="宋体" w:hAnsi="宋体" w:cs="宋体"/>
          <w:b/>
          <w:color w:val="auto"/>
          <w:sz w:val="24"/>
          <w:highlight w:val="none"/>
        </w:rPr>
      </w:pPr>
      <w:r>
        <w:rPr>
          <w:rFonts w:hint="eastAsia" w:ascii="宋体" w:hAnsi="宋体" w:cs="宋体"/>
          <w:b/>
          <w:color w:val="auto"/>
          <w:sz w:val="24"/>
          <w:highlight w:val="none"/>
        </w:rPr>
        <w:t xml:space="preserve">资格证明文件封面格式： </w:t>
      </w:r>
    </w:p>
    <w:p w14:paraId="0EB612C9">
      <w:pPr>
        <w:snapToGrid w:val="0"/>
        <w:spacing w:before="120" w:beforeLines="50" w:after="50"/>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79FB6D33">
      <w:pPr>
        <w:snapToGrid w:val="0"/>
        <w:spacing w:before="120"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3D9948F8">
      <w:pPr>
        <w:snapToGrid w:val="0"/>
        <w:spacing w:before="120" w:beforeLines="50" w:after="50"/>
        <w:rPr>
          <w:rFonts w:ascii="宋体" w:hAnsi="宋体" w:cs="宋体"/>
          <w:bCs/>
          <w:color w:val="auto"/>
          <w:sz w:val="24"/>
          <w:szCs w:val="20"/>
          <w:highlight w:val="none"/>
        </w:rPr>
      </w:pPr>
    </w:p>
    <w:p w14:paraId="3C912D48">
      <w:pPr>
        <w:snapToGrid w:val="0"/>
        <w:spacing w:before="120" w:beforeLines="50" w:after="50"/>
        <w:rPr>
          <w:rFonts w:ascii="宋体" w:hAnsi="宋体" w:cs="宋体"/>
          <w:bCs/>
          <w:color w:val="auto"/>
          <w:sz w:val="24"/>
          <w:szCs w:val="20"/>
          <w:highlight w:val="none"/>
        </w:rPr>
      </w:pPr>
    </w:p>
    <w:p w14:paraId="2882FF2C">
      <w:pPr>
        <w:snapToGrid w:val="0"/>
        <w:spacing w:before="120" w:beforeLines="50" w:after="50"/>
        <w:rPr>
          <w:rFonts w:ascii="宋体" w:hAnsi="宋体" w:cs="宋体"/>
          <w:bCs/>
          <w:color w:val="auto"/>
          <w:sz w:val="24"/>
          <w:szCs w:val="20"/>
          <w:highlight w:val="none"/>
        </w:rPr>
      </w:pPr>
    </w:p>
    <w:p w14:paraId="4483F08F">
      <w:pPr>
        <w:snapToGrid w:val="0"/>
        <w:spacing w:before="120" w:beforeLines="50" w:after="50"/>
        <w:rPr>
          <w:rFonts w:ascii="宋体" w:hAnsi="宋体" w:cs="宋体"/>
          <w:bCs/>
          <w:color w:val="auto"/>
          <w:sz w:val="24"/>
          <w:szCs w:val="20"/>
          <w:highlight w:val="none"/>
        </w:rPr>
      </w:pPr>
    </w:p>
    <w:p w14:paraId="14B072EC">
      <w:pPr>
        <w:snapToGrid w:val="0"/>
        <w:spacing w:before="120" w:beforeLines="50" w:after="50"/>
        <w:rPr>
          <w:rFonts w:ascii="宋体" w:hAnsi="宋体" w:cs="宋体"/>
          <w:bCs/>
          <w:color w:val="auto"/>
          <w:sz w:val="24"/>
          <w:szCs w:val="20"/>
          <w:highlight w:val="none"/>
        </w:rPr>
      </w:pPr>
    </w:p>
    <w:p w14:paraId="50357A76">
      <w:pPr>
        <w:snapToGrid w:val="0"/>
        <w:spacing w:before="120" w:beforeLines="50" w:after="50"/>
        <w:rPr>
          <w:rFonts w:ascii="宋体" w:hAnsi="宋体" w:cs="宋体"/>
          <w:bCs/>
          <w:color w:val="auto"/>
          <w:sz w:val="24"/>
          <w:szCs w:val="20"/>
          <w:highlight w:val="none"/>
        </w:rPr>
      </w:pPr>
    </w:p>
    <w:p w14:paraId="2EA7D995">
      <w:pPr>
        <w:snapToGrid w:val="0"/>
        <w:spacing w:before="120" w:beforeLines="50" w:after="50"/>
        <w:rPr>
          <w:rFonts w:ascii="宋体" w:hAnsi="宋体" w:cs="宋体"/>
          <w:bCs/>
          <w:color w:val="auto"/>
          <w:sz w:val="24"/>
          <w:szCs w:val="20"/>
          <w:highlight w:val="none"/>
        </w:rPr>
      </w:pPr>
    </w:p>
    <w:p w14:paraId="7853055D">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2401B1A1">
      <w:pPr>
        <w:snapToGrid w:val="0"/>
        <w:spacing w:before="120" w:beforeLines="50" w:after="50"/>
        <w:ind w:firstLine="540" w:firstLineChars="225"/>
        <w:rPr>
          <w:rFonts w:ascii="宋体" w:hAnsi="宋体" w:cs="宋体"/>
          <w:bCs/>
          <w:color w:val="auto"/>
          <w:sz w:val="24"/>
          <w:szCs w:val="20"/>
          <w:highlight w:val="none"/>
        </w:rPr>
      </w:pPr>
    </w:p>
    <w:p w14:paraId="7008363E">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0615D0AD">
      <w:pPr>
        <w:snapToGrid w:val="0"/>
        <w:spacing w:before="120" w:beforeLines="50" w:after="50"/>
        <w:ind w:firstLine="540" w:firstLineChars="225"/>
        <w:rPr>
          <w:rFonts w:ascii="宋体" w:hAnsi="宋体" w:cs="宋体"/>
          <w:bCs/>
          <w:color w:val="auto"/>
          <w:sz w:val="24"/>
          <w:szCs w:val="20"/>
          <w:highlight w:val="none"/>
        </w:rPr>
      </w:pPr>
    </w:p>
    <w:p w14:paraId="0DF342E9">
      <w:pPr>
        <w:pStyle w:val="7"/>
        <w:snapToGrid w:val="0"/>
        <w:spacing w:before="50" w:after="50"/>
        <w:ind w:firstLine="540" w:firstLineChars="225"/>
        <w:rPr>
          <w:rFonts w:ascii="宋体" w:hAnsi="宋体" w:cs="宋体"/>
          <w:bCs/>
          <w:color w:val="auto"/>
          <w:sz w:val="24"/>
          <w:szCs w:val="24"/>
          <w:highlight w:val="none"/>
        </w:rPr>
      </w:pPr>
    </w:p>
    <w:p w14:paraId="485A91C0">
      <w:pPr>
        <w:pStyle w:val="7"/>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559659ED">
      <w:pPr>
        <w:pStyle w:val="7"/>
        <w:snapToGrid w:val="0"/>
        <w:spacing w:before="50" w:after="50"/>
        <w:ind w:firstLine="540" w:firstLineChars="225"/>
        <w:rPr>
          <w:rFonts w:ascii="宋体" w:hAnsi="宋体" w:cs="宋体"/>
          <w:bCs/>
          <w:color w:val="auto"/>
          <w:sz w:val="24"/>
          <w:szCs w:val="24"/>
          <w:highlight w:val="none"/>
        </w:rPr>
      </w:pPr>
    </w:p>
    <w:p w14:paraId="0404B783">
      <w:pPr>
        <w:pStyle w:val="7"/>
        <w:snapToGrid w:val="0"/>
        <w:spacing w:before="50" w:after="50"/>
        <w:ind w:firstLine="960" w:firstLineChars="400"/>
        <w:rPr>
          <w:rFonts w:ascii="宋体" w:hAnsi="宋体" w:cs="宋体"/>
          <w:bCs/>
          <w:color w:val="auto"/>
          <w:sz w:val="24"/>
          <w:szCs w:val="24"/>
          <w:highlight w:val="none"/>
        </w:rPr>
      </w:pPr>
    </w:p>
    <w:p w14:paraId="4400CAF8">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6D7776A4">
      <w:pPr>
        <w:snapToGrid w:val="0"/>
        <w:spacing w:before="120" w:beforeLines="50" w:after="50"/>
        <w:rPr>
          <w:rFonts w:ascii="宋体" w:hAnsi="宋体" w:cs="宋体"/>
          <w:color w:val="auto"/>
          <w:sz w:val="24"/>
          <w:szCs w:val="20"/>
          <w:highlight w:val="none"/>
        </w:rPr>
      </w:pPr>
    </w:p>
    <w:p w14:paraId="1B0F56A9">
      <w:pPr>
        <w:snapToGrid w:val="0"/>
        <w:spacing w:before="120" w:beforeLines="50" w:after="50"/>
        <w:rPr>
          <w:rFonts w:ascii="宋体" w:hAnsi="宋体" w:cs="宋体"/>
          <w:color w:val="auto"/>
          <w:sz w:val="24"/>
          <w:szCs w:val="20"/>
          <w:highlight w:val="none"/>
        </w:rPr>
      </w:pPr>
    </w:p>
    <w:p w14:paraId="367C4638">
      <w:pPr>
        <w:numPr>
          <w:ilvl w:val="2"/>
          <w:numId w:val="6"/>
        </w:numPr>
        <w:snapToGrid w:val="0"/>
        <w:spacing w:before="120" w:beforeLines="50" w:after="50" w:line="360" w:lineRule="auto"/>
        <w:ind w:left="0" w:firstLine="0"/>
        <w:jc w:val="left"/>
        <w:rPr>
          <w:rFonts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资格证明文件目录</w:t>
      </w:r>
    </w:p>
    <w:p w14:paraId="589EAE5B">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5A93B4FF">
      <w:pPr>
        <w:snapToGrid w:val="0"/>
        <w:spacing w:before="50" w:after="120" w:afterLines="50"/>
        <w:jc w:val="left"/>
        <w:rPr>
          <w:rFonts w:ascii="宋体" w:hAnsi="宋体" w:cs="宋体"/>
          <w:color w:val="auto"/>
          <w:sz w:val="24"/>
          <w:highlight w:val="none"/>
        </w:rPr>
      </w:pPr>
    </w:p>
    <w:p w14:paraId="6F936F9A">
      <w:pPr>
        <w:snapToGrid w:val="0"/>
        <w:spacing w:before="50" w:after="120" w:afterLines="50"/>
        <w:jc w:val="left"/>
        <w:rPr>
          <w:rFonts w:ascii="宋体" w:hAnsi="宋体" w:cs="宋体"/>
          <w:color w:val="auto"/>
          <w:sz w:val="24"/>
          <w:highlight w:val="none"/>
        </w:rPr>
      </w:pPr>
    </w:p>
    <w:p w14:paraId="062D6667">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w:t>
      </w:r>
      <w:r>
        <w:rPr>
          <w:rFonts w:hint="eastAsia" w:ascii="宋体" w:hAnsi="宋体" w:cs="宋体"/>
          <w:b/>
          <w:color w:val="auto"/>
          <w:sz w:val="28"/>
          <w:szCs w:val="28"/>
          <w:highlight w:val="none"/>
        </w:rPr>
        <w:t>投标人直接控股股东信息表</w:t>
      </w:r>
    </w:p>
    <w:p w14:paraId="16BE2FD9">
      <w:pPr>
        <w:snapToGrid w:val="0"/>
        <w:spacing w:before="50" w:after="120" w:afterLines="50"/>
        <w:jc w:val="center"/>
        <w:rPr>
          <w:rFonts w:ascii="宋体" w:hAnsi="宋体" w:cs="宋体"/>
          <w:b/>
          <w:color w:val="auto"/>
          <w:sz w:val="28"/>
          <w:szCs w:val="28"/>
          <w:highlight w:val="none"/>
        </w:rPr>
      </w:pPr>
    </w:p>
    <w:p w14:paraId="193E54AD">
      <w:pPr>
        <w:snapToGrid w:val="0"/>
        <w:spacing w:before="50" w:after="120"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投标人直接控股股东信息表</w:t>
      </w:r>
    </w:p>
    <w:tbl>
      <w:tblPr>
        <w:tblStyle w:val="47"/>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D456644">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743373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38A9B53C">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619A957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265BC5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3F65C7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60F5493">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A71424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6087623">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DA8D61D">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12ACF42">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25DDDB7">
            <w:pPr>
              <w:spacing w:line="360" w:lineRule="auto"/>
              <w:jc w:val="center"/>
              <w:rPr>
                <w:rFonts w:ascii="宋体" w:hAnsi="宋体" w:cs="宋体"/>
                <w:color w:val="auto"/>
                <w:kern w:val="0"/>
                <w:sz w:val="24"/>
                <w:highlight w:val="none"/>
              </w:rPr>
            </w:pPr>
          </w:p>
        </w:tc>
      </w:tr>
      <w:tr w14:paraId="18BA748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52C73D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5656AFB">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EC5F187">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ACFB9C8">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E172385">
            <w:pPr>
              <w:spacing w:line="360" w:lineRule="auto"/>
              <w:jc w:val="center"/>
              <w:rPr>
                <w:rFonts w:ascii="宋体" w:hAnsi="宋体" w:cs="宋体"/>
                <w:color w:val="auto"/>
                <w:kern w:val="0"/>
                <w:sz w:val="24"/>
                <w:highlight w:val="none"/>
              </w:rPr>
            </w:pPr>
          </w:p>
        </w:tc>
      </w:tr>
      <w:tr w14:paraId="242C3101">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414C59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BEC2ECE">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ECC7A96">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587C01B">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3E1B011">
            <w:pPr>
              <w:spacing w:line="360" w:lineRule="auto"/>
              <w:jc w:val="center"/>
              <w:rPr>
                <w:rFonts w:ascii="宋体" w:hAnsi="宋体" w:cs="宋体"/>
                <w:color w:val="auto"/>
                <w:kern w:val="0"/>
                <w:sz w:val="24"/>
                <w:highlight w:val="none"/>
              </w:rPr>
            </w:pPr>
          </w:p>
        </w:tc>
      </w:tr>
      <w:tr w14:paraId="74A0B61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E60A903">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D40B406">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6474582">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7428BD4">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EFB2AAB">
            <w:pPr>
              <w:spacing w:line="360" w:lineRule="auto"/>
              <w:jc w:val="center"/>
              <w:rPr>
                <w:rFonts w:ascii="宋体" w:hAnsi="宋体" w:cs="宋体"/>
                <w:color w:val="auto"/>
                <w:kern w:val="0"/>
                <w:sz w:val="24"/>
                <w:highlight w:val="none"/>
              </w:rPr>
            </w:pPr>
          </w:p>
        </w:tc>
      </w:tr>
    </w:tbl>
    <w:p w14:paraId="54776820">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03E27B8E">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2AAA797">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07EC1DC1">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s="宋体"/>
          <w:color w:val="auto"/>
          <w:sz w:val="24"/>
          <w:highlight w:val="none"/>
        </w:rPr>
        <w:t>”中填“无”。</w:t>
      </w:r>
    </w:p>
    <w:p w14:paraId="083E3D0C">
      <w:pPr>
        <w:snapToGrid w:val="0"/>
        <w:spacing w:line="360" w:lineRule="auto"/>
        <w:jc w:val="left"/>
        <w:rPr>
          <w:rFonts w:ascii="宋体" w:hAnsi="宋体" w:cs="宋体"/>
          <w:color w:val="auto"/>
          <w:sz w:val="24"/>
          <w:highlight w:val="none"/>
        </w:rPr>
      </w:pPr>
    </w:p>
    <w:p w14:paraId="56B8B738">
      <w:pPr>
        <w:snapToGrid w:val="0"/>
        <w:spacing w:line="360" w:lineRule="auto"/>
        <w:jc w:val="left"/>
        <w:rPr>
          <w:rFonts w:ascii="宋体" w:hAnsi="宋体" w:cs="宋体"/>
          <w:color w:val="auto"/>
          <w:sz w:val="24"/>
          <w:highlight w:val="none"/>
        </w:rPr>
      </w:pPr>
    </w:p>
    <w:p w14:paraId="0759D296">
      <w:pPr>
        <w:snapToGrid w:val="0"/>
        <w:spacing w:line="360" w:lineRule="auto"/>
        <w:jc w:val="left"/>
        <w:rPr>
          <w:rFonts w:ascii="宋体" w:hAnsi="宋体" w:cs="宋体"/>
          <w:color w:val="auto"/>
          <w:sz w:val="24"/>
          <w:highlight w:val="none"/>
        </w:rPr>
      </w:pPr>
    </w:p>
    <w:p w14:paraId="1BF085E8">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法定代表人或者委托代理人（签字或者电子签名）：</w:t>
      </w:r>
    </w:p>
    <w:p w14:paraId="754DDEB5">
      <w:pPr>
        <w:snapToGrid w:val="0"/>
        <w:spacing w:line="360" w:lineRule="auto"/>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4765C641">
      <w:pPr>
        <w:snapToGrid w:val="0"/>
        <w:spacing w:line="360" w:lineRule="auto"/>
        <w:jc w:val="left"/>
        <w:rPr>
          <w:rFonts w:ascii="宋体" w:hAnsi="宋体" w:cs="宋体"/>
          <w:color w:val="auto"/>
          <w:szCs w:val="21"/>
          <w:highlight w:val="none"/>
        </w:rPr>
      </w:pPr>
      <w:r>
        <w:rPr>
          <w:rFonts w:hint="eastAsia" w:ascii="宋体" w:hAnsi="宋体" w:cs="宋体"/>
          <w:color w:val="auto"/>
          <w:sz w:val="24"/>
          <w:highlight w:val="none"/>
        </w:rPr>
        <w:t xml:space="preserve">                                    日期：    年   月   日</w:t>
      </w:r>
    </w:p>
    <w:p w14:paraId="2673993C">
      <w:pPr>
        <w:snapToGrid w:val="0"/>
        <w:jc w:val="center"/>
        <w:rPr>
          <w:rFonts w:ascii="宋体" w:hAnsi="宋体" w:cs="宋体"/>
          <w:b/>
          <w:color w:val="auto"/>
          <w:sz w:val="28"/>
          <w:szCs w:val="28"/>
          <w:highlight w:val="none"/>
        </w:rPr>
      </w:pPr>
    </w:p>
    <w:p w14:paraId="3BCA62AC">
      <w:pPr>
        <w:snapToGrid w:val="0"/>
        <w:spacing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24"/>
          <w:highlight w:val="none"/>
        </w:rPr>
        <w:t>4.</w:t>
      </w:r>
      <w:r>
        <w:rPr>
          <w:rFonts w:hint="eastAsia" w:ascii="宋体" w:hAnsi="宋体" w:cs="宋体"/>
          <w:b/>
          <w:color w:val="auto"/>
          <w:sz w:val="28"/>
          <w:szCs w:val="28"/>
          <w:highlight w:val="none"/>
        </w:rPr>
        <w:t>投标人直接管理关系信息表</w:t>
      </w:r>
    </w:p>
    <w:p w14:paraId="5E382C16">
      <w:pPr>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t>投标人直接管理关系信息表</w:t>
      </w:r>
    </w:p>
    <w:tbl>
      <w:tblPr>
        <w:tblStyle w:val="47"/>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5DC33F9F">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2C002C6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DB407D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E9CB0B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7C33795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F3BF0B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66C8D0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D6A3BD4">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F85ED09">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FE354E0">
            <w:pPr>
              <w:spacing w:line="360" w:lineRule="auto"/>
              <w:jc w:val="center"/>
              <w:rPr>
                <w:rFonts w:ascii="宋体" w:hAnsi="宋体" w:cs="宋体"/>
                <w:color w:val="auto"/>
                <w:kern w:val="0"/>
                <w:sz w:val="24"/>
                <w:highlight w:val="none"/>
              </w:rPr>
            </w:pPr>
          </w:p>
        </w:tc>
      </w:tr>
      <w:tr w14:paraId="102A72F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98E6010">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6083FDE">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58723CD">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C756EDB">
            <w:pPr>
              <w:spacing w:line="360" w:lineRule="auto"/>
              <w:jc w:val="center"/>
              <w:rPr>
                <w:rFonts w:ascii="宋体" w:hAnsi="宋体" w:cs="宋体"/>
                <w:color w:val="auto"/>
                <w:kern w:val="0"/>
                <w:sz w:val="24"/>
                <w:highlight w:val="none"/>
              </w:rPr>
            </w:pPr>
          </w:p>
        </w:tc>
      </w:tr>
      <w:tr w14:paraId="65043E7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78867E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7071FBF">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759D4E1">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C488431">
            <w:pPr>
              <w:spacing w:line="360" w:lineRule="auto"/>
              <w:jc w:val="center"/>
              <w:rPr>
                <w:rFonts w:ascii="宋体" w:hAnsi="宋体" w:cs="宋体"/>
                <w:color w:val="auto"/>
                <w:kern w:val="0"/>
                <w:sz w:val="24"/>
                <w:highlight w:val="none"/>
              </w:rPr>
            </w:pPr>
          </w:p>
        </w:tc>
      </w:tr>
      <w:tr w14:paraId="4387BFDD">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EDC4B7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4471874">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681CAEC">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C527CBA">
            <w:pPr>
              <w:spacing w:line="360" w:lineRule="auto"/>
              <w:jc w:val="center"/>
              <w:rPr>
                <w:rFonts w:ascii="宋体" w:hAnsi="宋体" w:cs="宋体"/>
                <w:color w:val="auto"/>
                <w:kern w:val="0"/>
                <w:sz w:val="24"/>
                <w:highlight w:val="none"/>
              </w:rPr>
            </w:pPr>
          </w:p>
        </w:tc>
      </w:tr>
    </w:tbl>
    <w:p w14:paraId="49D86863">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0E297569">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6789EFA5">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31BB771E">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s="宋体"/>
          <w:color w:val="auto"/>
          <w:sz w:val="24"/>
          <w:highlight w:val="none"/>
        </w:rPr>
        <w:t>”中填“无”。</w:t>
      </w:r>
    </w:p>
    <w:p w14:paraId="7FD57C22">
      <w:pPr>
        <w:snapToGrid w:val="0"/>
        <w:spacing w:line="360" w:lineRule="auto"/>
        <w:jc w:val="left"/>
        <w:rPr>
          <w:rFonts w:ascii="宋体" w:hAnsi="宋体" w:cs="宋体"/>
          <w:color w:val="auto"/>
          <w:sz w:val="24"/>
          <w:highlight w:val="none"/>
        </w:rPr>
      </w:pPr>
    </w:p>
    <w:p w14:paraId="3C081412">
      <w:pPr>
        <w:snapToGrid w:val="0"/>
        <w:spacing w:line="360" w:lineRule="auto"/>
        <w:jc w:val="left"/>
        <w:rPr>
          <w:rFonts w:ascii="宋体" w:hAnsi="宋体" w:cs="宋体"/>
          <w:color w:val="auto"/>
          <w:sz w:val="24"/>
          <w:highlight w:val="none"/>
        </w:rPr>
      </w:pPr>
    </w:p>
    <w:p w14:paraId="1CF6C9C9">
      <w:pPr>
        <w:snapToGrid w:val="0"/>
        <w:spacing w:line="360" w:lineRule="auto"/>
        <w:jc w:val="left"/>
        <w:rPr>
          <w:rFonts w:ascii="宋体" w:hAnsi="宋体" w:cs="宋体"/>
          <w:color w:val="auto"/>
          <w:sz w:val="24"/>
          <w:highlight w:val="none"/>
        </w:rPr>
      </w:pPr>
    </w:p>
    <w:p w14:paraId="42A7F64A">
      <w:pPr>
        <w:snapToGrid w:val="0"/>
        <w:spacing w:line="360" w:lineRule="auto"/>
        <w:jc w:val="left"/>
        <w:rPr>
          <w:rFonts w:ascii="宋体" w:hAnsi="宋体" w:cs="宋体"/>
          <w:color w:val="auto"/>
          <w:sz w:val="24"/>
          <w:highlight w:val="none"/>
        </w:rPr>
      </w:pPr>
    </w:p>
    <w:p w14:paraId="40A05FA8">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法定代表人或者委托代理人（签字或者电子签名）：</w:t>
      </w:r>
    </w:p>
    <w:p w14:paraId="638283A6">
      <w:pPr>
        <w:snapToGrid w:val="0"/>
        <w:spacing w:line="360" w:lineRule="auto"/>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21016C6B">
      <w:pPr>
        <w:snapToGrid w:val="0"/>
        <w:spacing w:line="360" w:lineRule="auto"/>
        <w:ind w:right="480" w:firstLine="240" w:firstLineChars="100"/>
        <w:jc w:val="left"/>
        <w:rPr>
          <w:rFonts w:ascii="宋体" w:hAnsi="宋体" w:cs="宋体"/>
          <w:color w:val="auto"/>
          <w:szCs w:val="21"/>
          <w:highlight w:val="none"/>
        </w:rPr>
      </w:pPr>
      <w:r>
        <w:rPr>
          <w:rFonts w:hint="eastAsia" w:ascii="宋体" w:hAnsi="宋体" w:cs="宋体"/>
          <w:color w:val="auto"/>
          <w:sz w:val="24"/>
          <w:highlight w:val="none"/>
        </w:rPr>
        <w:t xml:space="preserve">                                日期：    年   月   日</w:t>
      </w:r>
    </w:p>
    <w:p w14:paraId="4EA91B0A">
      <w:pPr>
        <w:snapToGrid w:val="0"/>
        <w:spacing w:before="120" w:beforeLines="50" w:after="50"/>
        <w:jc w:val="left"/>
        <w:rPr>
          <w:rFonts w:ascii="宋体" w:hAnsi="宋体" w:cs="宋体"/>
          <w:b/>
          <w:color w:val="auto"/>
          <w:sz w:val="24"/>
          <w:szCs w:val="20"/>
          <w:highlight w:val="none"/>
        </w:rPr>
      </w:pPr>
    </w:p>
    <w:p w14:paraId="487F2420">
      <w:pPr>
        <w:snapToGrid w:val="0"/>
        <w:spacing w:line="360" w:lineRule="auto"/>
        <w:ind w:right="480" w:firstLine="210" w:firstLineChars="100"/>
        <w:jc w:val="left"/>
        <w:rPr>
          <w:rFonts w:ascii="宋体" w:hAnsi="宋体" w:cs="宋体"/>
          <w:color w:val="auto"/>
          <w:szCs w:val="21"/>
          <w:highlight w:val="none"/>
        </w:rPr>
      </w:pPr>
    </w:p>
    <w:p w14:paraId="5099C321">
      <w:pPr>
        <w:snapToGrid w:val="0"/>
        <w:spacing w:before="120" w:beforeLines="50" w:after="50"/>
        <w:jc w:val="left"/>
        <w:rPr>
          <w:rFonts w:ascii="宋体" w:hAnsi="宋体" w:cs="宋体"/>
          <w:b/>
          <w:color w:val="auto"/>
          <w:sz w:val="24"/>
          <w:szCs w:val="20"/>
          <w:highlight w:val="none"/>
        </w:rPr>
      </w:pPr>
    </w:p>
    <w:p w14:paraId="35DFAB38">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5.投标声明</w:t>
      </w:r>
    </w:p>
    <w:p w14:paraId="60B86234">
      <w:pPr>
        <w:snapToGrid w:val="0"/>
        <w:spacing w:before="50" w:after="120" w:afterLines="50"/>
        <w:jc w:val="left"/>
        <w:rPr>
          <w:rFonts w:ascii="宋体" w:hAnsi="宋体" w:cs="宋体"/>
          <w:color w:val="auto"/>
          <w:highlight w:val="none"/>
        </w:rPr>
      </w:pPr>
    </w:p>
    <w:p w14:paraId="1C9C3D15">
      <w:pPr>
        <w:snapToGrid w:val="0"/>
        <w:spacing w:before="50" w:after="120" w:afterLines="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投标声明</w:t>
      </w:r>
    </w:p>
    <w:p w14:paraId="30E02074">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（采购人名称）：</w:t>
      </w:r>
    </w:p>
    <w:p w14:paraId="2149C31B">
      <w:pPr>
        <w:spacing w:line="400" w:lineRule="exact"/>
        <w:ind w:firstLine="523" w:firstLineChars="218"/>
        <w:contextualSpacing/>
        <w:jc w:val="left"/>
        <w:rPr>
          <w:rFonts w:ascii="宋体" w:hAnsi="宋体" w:cs="宋体"/>
          <w:color w:val="auto"/>
          <w:sz w:val="24"/>
          <w:highlight w:val="none"/>
        </w:rPr>
      </w:pPr>
      <w:r>
        <w:rPr>
          <w:rFonts w:hint="eastAsia" w:ascii="宋体" w:hAnsi="宋体" w:cs="宋体"/>
          <w:color w:val="auto"/>
          <w:sz w:val="24"/>
          <w:highlight w:val="none"/>
        </w:rPr>
        <w:t>我方参加贵单位组织项目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）的政府采购活动。我方在此郑重声明：</w:t>
      </w:r>
    </w:p>
    <w:p w14:paraId="25CEA8CB">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42E4040">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7D639C2E">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3.我方承诺符合《中华人民共和国政府采购法》第二十二条规定：</w:t>
      </w:r>
    </w:p>
    <w:p w14:paraId="716B951B">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（一）具有独立承担民事责任的能力；</w:t>
      </w:r>
    </w:p>
    <w:p w14:paraId="47442B83">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（二）具有良好的商业信誉和健全的财务会计制度；</w:t>
      </w:r>
    </w:p>
    <w:p w14:paraId="1D46206D">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（三）具有履行合同所必需的设备和专业技术能力；</w:t>
      </w:r>
    </w:p>
    <w:p w14:paraId="2656B54A">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（四）有依法缴纳税收和社会保障资金的良好记录；</w:t>
      </w:r>
    </w:p>
    <w:p w14:paraId="67759A7E">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（五）参加政府采购活动前三年内，在经营活动中没有重大违法记录；</w:t>
      </w:r>
    </w:p>
    <w:p w14:paraId="25B4BFF9">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（六）法律、行政法规规定的其他条件。</w:t>
      </w:r>
    </w:p>
    <w:p w14:paraId="22357206">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4.以上事项如有虚假或者隐瞒，我方愿意承担一切后果，并不再寻求任何旨在减轻或者免除法律责任的辩解。</w:t>
      </w:r>
    </w:p>
    <w:p w14:paraId="77641D5A">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特此承诺。</w:t>
      </w:r>
    </w:p>
    <w:p w14:paraId="56C70958">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w:t>
      </w:r>
      <w:r>
        <w:rPr>
          <w:rFonts w:hint="eastAsia" w:ascii="宋体" w:hAnsi="宋体" w:cs="宋体"/>
          <w:color w:val="auto"/>
          <w:spacing w:val="20"/>
          <w:sz w:val="24"/>
          <w:highlight w:val="none"/>
        </w:rPr>
        <w:t>（签字或者电子签名）：</w:t>
      </w:r>
    </w:p>
    <w:p w14:paraId="2CBE545B">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1CB6E34E">
      <w:pPr>
        <w:spacing w:line="400" w:lineRule="exact"/>
        <w:contextualSpacing/>
        <w:jc w:val="left"/>
        <w:rPr>
          <w:rFonts w:ascii="宋体" w:hAnsi="宋体" w:cs="宋体"/>
          <w:color w:val="auto"/>
          <w:highlight w:val="none"/>
        </w:rPr>
      </w:pPr>
      <w:r>
        <w:rPr>
          <w:rFonts w:hint="eastAsia" w:ascii="宋体" w:hAnsi="宋体" w:cs="宋体"/>
          <w:color w:val="auto"/>
          <w:sz w:val="24"/>
          <w:highlight w:val="none"/>
        </w:rPr>
        <w:t xml:space="preserve">                                                  年    月    日</w:t>
      </w:r>
    </w:p>
    <w:p w14:paraId="2F3ADC50">
      <w:pPr>
        <w:spacing w:line="440" w:lineRule="exact"/>
        <w:contextualSpacing/>
        <w:rPr>
          <w:rFonts w:ascii="宋体" w:hAnsi="宋体" w:cs="宋体"/>
          <w:b/>
          <w:color w:val="auto"/>
          <w:sz w:val="24"/>
          <w:highlight w:val="none"/>
        </w:rPr>
      </w:pPr>
      <w:bookmarkStart w:id="157" w:name="_Toc19686838"/>
      <w:r>
        <w:rPr>
          <w:rFonts w:hint="eastAsia" w:ascii="宋体" w:hAnsi="宋体" w:cs="宋体"/>
          <w:b/>
          <w:color w:val="auto"/>
          <w:sz w:val="24"/>
          <w:highlight w:val="none"/>
        </w:rPr>
        <w:t>注：如为联合体投标，盖章处须加盖联合体牵头人电子签章并由联合体各方法定代表人分别签字或者盖章或者电子签名，否则投标无效。</w:t>
      </w:r>
    </w:p>
    <w:p w14:paraId="0022ACA7">
      <w:pPr>
        <w:rPr>
          <w:rFonts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三、商务文件格式</w:t>
      </w:r>
      <w:bookmarkEnd w:id="157"/>
    </w:p>
    <w:p w14:paraId="4D463000">
      <w:pPr>
        <w:snapToGrid w:val="0"/>
        <w:spacing w:before="120" w:beforeLines="50" w:after="50" w:line="360" w:lineRule="auto"/>
        <w:jc w:val="left"/>
        <w:rPr>
          <w:rFonts w:ascii="宋体" w:hAnsi="宋体" w:cs="宋体"/>
          <w:b/>
          <w:color w:val="auto"/>
          <w:sz w:val="24"/>
          <w:highlight w:val="none"/>
        </w:rPr>
      </w:pPr>
      <w:r>
        <w:rPr>
          <w:rFonts w:hint="eastAsia" w:ascii="宋体" w:hAnsi="宋体" w:cs="宋体"/>
          <w:b/>
          <w:color w:val="auto"/>
          <w:sz w:val="24"/>
          <w:highlight w:val="none"/>
        </w:rPr>
        <w:t xml:space="preserve">1.商务文件封面格式： </w:t>
      </w:r>
    </w:p>
    <w:p w14:paraId="18AC45B9">
      <w:pPr>
        <w:snapToGrid w:val="0"/>
        <w:spacing w:before="120" w:beforeLines="50" w:after="50"/>
        <w:jc w:val="center"/>
        <w:rPr>
          <w:rFonts w:ascii="宋体" w:hAnsi="宋体" w:cs="宋体"/>
          <w:color w:val="auto"/>
          <w:sz w:val="24"/>
          <w:highlight w:val="none"/>
        </w:rPr>
      </w:pPr>
      <w:r>
        <w:rPr>
          <w:rFonts w:hint="eastAsia" w:ascii="宋体" w:hAnsi="宋体" w:cs="宋体"/>
          <w:bCs/>
          <w:color w:val="auto"/>
          <w:sz w:val="48"/>
          <w:szCs w:val="48"/>
          <w:highlight w:val="none"/>
        </w:rPr>
        <w:t>电子投标文件</w:t>
      </w:r>
    </w:p>
    <w:p w14:paraId="23FB8447">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文  件</w:t>
      </w:r>
    </w:p>
    <w:p w14:paraId="030E68DF">
      <w:pPr>
        <w:snapToGrid w:val="0"/>
        <w:spacing w:before="120" w:beforeLines="50" w:after="50"/>
        <w:rPr>
          <w:rFonts w:ascii="宋体" w:hAnsi="宋体" w:cs="宋体"/>
          <w:bCs/>
          <w:color w:val="auto"/>
          <w:sz w:val="24"/>
          <w:szCs w:val="20"/>
          <w:highlight w:val="none"/>
        </w:rPr>
      </w:pPr>
    </w:p>
    <w:p w14:paraId="5AD9D4A7">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71BFF9DC">
      <w:pPr>
        <w:snapToGrid w:val="0"/>
        <w:spacing w:before="120" w:beforeLines="50" w:after="50"/>
        <w:ind w:firstLine="540" w:firstLineChars="225"/>
        <w:rPr>
          <w:rFonts w:ascii="宋体" w:hAnsi="宋体" w:cs="宋体"/>
          <w:bCs/>
          <w:color w:val="auto"/>
          <w:sz w:val="24"/>
          <w:szCs w:val="20"/>
          <w:highlight w:val="none"/>
        </w:rPr>
      </w:pPr>
    </w:p>
    <w:p w14:paraId="6CE1730B">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20074C3B">
      <w:pPr>
        <w:snapToGrid w:val="0"/>
        <w:spacing w:before="120" w:beforeLines="50" w:after="50"/>
        <w:ind w:firstLine="540" w:firstLineChars="225"/>
        <w:rPr>
          <w:rFonts w:ascii="宋体" w:hAnsi="宋体" w:cs="宋体"/>
          <w:bCs/>
          <w:color w:val="auto"/>
          <w:sz w:val="24"/>
          <w:szCs w:val="20"/>
          <w:highlight w:val="none"/>
        </w:rPr>
      </w:pPr>
    </w:p>
    <w:p w14:paraId="5304482D">
      <w:pPr>
        <w:snapToGrid w:val="0"/>
        <w:spacing w:before="120" w:beforeLines="50" w:after="50"/>
        <w:ind w:firstLine="540" w:firstLineChars="225"/>
        <w:rPr>
          <w:rFonts w:ascii="宋体" w:hAnsi="宋体" w:cs="宋体"/>
          <w:bCs/>
          <w:color w:val="auto"/>
          <w:sz w:val="24"/>
          <w:szCs w:val="20"/>
          <w:highlight w:val="none"/>
        </w:rPr>
      </w:pPr>
    </w:p>
    <w:p w14:paraId="6651D0E5">
      <w:pPr>
        <w:pStyle w:val="7"/>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6BC7C644">
      <w:pPr>
        <w:pStyle w:val="7"/>
        <w:snapToGrid w:val="0"/>
        <w:spacing w:before="50" w:after="50"/>
        <w:ind w:firstLine="540" w:firstLineChars="225"/>
        <w:rPr>
          <w:rFonts w:ascii="宋体" w:hAnsi="宋体" w:cs="宋体"/>
          <w:bCs/>
          <w:color w:val="auto"/>
          <w:sz w:val="24"/>
          <w:szCs w:val="24"/>
          <w:highlight w:val="none"/>
        </w:rPr>
      </w:pPr>
    </w:p>
    <w:p w14:paraId="6A0E202D">
      <w:pPr>
        <w:pStyle w:val="7"/>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3AF559C1">
      <w:pPr>
        <w:pStyle w:val="7"/>
        <w:snapToGrid w:val="0"/>
        <w:spacing w:before="50" w:after="50"/>
        <w:ind w:firstLine="960" w:firstLineChars="400"/>
        <w:rPr>
          <w:rFonts w:ascii="宋体" w:hAnsi="宋体" w:cs="宋体"/>
          <w:bCs/>
          <w:color w:val="auto"/>
          <w:sz w:val="24"/>
          <w:szCs w:val="24"/>
          <w:highlight w:val="none"/>
        </w:rPr>
      </w:pPr>
    </w:p>
    <w:p w14:paraId="7181212B">
      <w:pPr>
        <w:snapToGrid w:val="0"/>
        <w:spacing w:before="120" w:beforeLines="50" w:after="50"/>
        <w:ind w:firstLine="645"/>
        <w:rPr>
          <w:rFonts w:ascii="宋体" w:hAnsi="宋体" w:cs="宋体"/>
          <w:color w:val="auto"/>
          <w:sz w:val="24"/>
          <w:highlight w:val="none"/>
        </w:rPr>
      </w:pPr>
      <w:r>
        <w:rPr>
          <w:rFonts w:hint="eastAsia" w:ascii="宋体" w:hAnsi="宋体" w:cs="宋体"/>
          <w:color w:val="auto"/>
          <w:sz w:val="24"/>
          <w:highlight w:val="none"/>
        </w:rPr>
        <w:t xml:space="preserve">                        年  月  日</w:t>
      </w:r>
    </w:p>
    <w:p w14:paraId="01E26995">
      <w:pPr>
        <w:snapToGrid w:val="0"/>
        <w:spacing w:before="120" w:beforeLines="50" w:after="50"/>
        <w:rPr>
          <w:rFonts w:ascii="宋体" w:hAnsi="宋体" w:cs="宋体"/>
          <w:color w:val="auto"/>
          <w:sz w:val="24"/>
          <w:szCs w:val="20"/>
          <w:highlight w:val="none"/>
        </w:rPr>
      </w:pPr>
    </w:p>
    <w:p w14:paraId="65F92F73">
      <w:pPr>
        <w:snapToGrid w:val="0"/>
        <w:spacing w:line="360" w:lineRule="auto"/>
        <w:jc w:val="left"/>
        <w:rPr>
          <w:rFonts w:ascii="宋体" w:hAnsi="宋体" w:cs="宋体"/>
          <w:b/>
          <w:color w:val="auto"/>
          <w:sz w:val="24"/>
          <w:highlight w:val="none"/>
        </w:rPr>
      </w:pPr>
      <w:r>
        <w:rPr>
          <w:rFonts w:hint="eastAsia" w:ascii="宋体" w:hAnsi="宋体" w:cs="宋体"/>
          <w:color w:val="auto"/>
          <w:sz w:val="24"/>
          <w:szCs w:val="20"/>
          <w:highlight w:val="none"/>
        </w:rPr>
        <w:br w:type="page"/>
      </w:r>
      <w:r>
        <w:rPr>
          <w:rFonts w:hint="eastAsia" w:ascii="宋体" w:hAnsi="宋体" w:cs="宋体"/>
          <w:b/>
          <w:color w:val="auto"/>
          <w:sz w:val="24"/>
          <w:highlight w:val="none"/>
        </w:rPr>
        <w:t>2.商务文件目录</w:t>
      </w:r>
    </w:p>
    <w:p w14:paraId="239E4312">
      <w:pPr>
        <w:snapToGrid w:val="0"/>
        <w:spacing w:before="50" w:after="120" w:afterLines="50" w:line="360" w:lineRule="auto"/>
        <w:ind w:firstLine="560" w:firstLineChars="200"/>
        <w:jc w:val="left"/>
        <w:rPr>
          <w:rFonts w:ascii="宋体" w:hAnsi="宋体" w:cs="宋体"/>
          <w:b/>
          <w:bCs/>
          <w:color w:val="auto"/>
          <w:sz w:val="32"/>
          <w:szCs w:val="32"/>
          <w:highlight w:val="none"/>
        </w:rPr>
      </w:pPr>
      <w:r>
        <w:rPr>
          <w:rFonts w:hint="eastAsia" w:ascii="宋体" w:hAnsi="宋体" w:cs="宋体"/>
          <w:color w:val="auto"/>
          <w:sz w:val="28"/>
          <w:szCs w:val="28"/>
          <w:highlight w:val="none"/>
        </w:rPr>
        <w:t>根据招标文件规定及投标人提供的材料自行编写目录。</w:t>
      </w:r>
    </w:p>
    <w:p w14:paraId="097FD06D">
      <w:pPr>
        <w:snapToGrid w:val="0"/>
        <w:spacing w:before="50" w:after="120" w:afterLines="50"/>
        <w:jc w:val="left"/>
        <w:rPr>
          <w:rFonts w:ascii="宋体" w:hAnsi="宋体" w:cs="宋体"/>
          <w:color w:val="auto"/>
          <w:highlight w:val="none"/>
        </w:rPr>
      </w:pPr>
    </w:p>
    <w:p w14:paraId="076B92A2">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3.部分商务文件格式</w:t>
      </w:r>
    </w:p>
    <w:p w14:paraId="44E50AB2">
      <w:pPr>
        <w:snapToGrid w:val="0"/>
        <w:spacing w:before="120" w:beforeLines="50" w:after="50"/>
        <w:jc w:val="left"/>
        <w:rPr>
          <w:rFonts w:ascii="宋体" w:hAnsi="宋体" w:cs="宋体"/>
          <w:b/>
          <w:color w:val="auto"/>
          <w:sz w:val="24"/>
          <w:highlight w:val="none"/>
        </w:rPr>
      </w:pPr>
    </w:p>
    <w:p w14:paraId="21D83132">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t>投标人参加本项目无围标串标行为的承诺</w:t>
      </w:r>
    </w:p>
    <w:p w14:paraId="7DE41F88">
      <w:pPr>
        <w:spacing w:line="360" w:lineRule="auto"/>
        <w:ind w:left="420"/>
        <w:contextualSpacing/>
        <w:jc w:val="center"/>
        <w:rPr>
          <w:rFonts w:ascii="宋体" w:hAnsi="宋体" w:cs="宋体"/>
          <w:b/>
          <w:color w:val="auto"/>
          <w:sz w:val="24"/>
          <w:highlight w:val="none"/>
        </w:rPr>
      </w:pPr>
      <w:r>
        <w:rPr>
          <w:rFonts w:hint="eastAsia" w:ascii="宋体" w:hAnsi="宋体" w:cs="宋体"/>
          <w:bCs/>
          <w:color w:val="auto"/>
          <w:spacing w:val="-11"/>
          <w:sz w:val="44"/>
          <w:szCs w:val="44"/>
          <w:highlight w:val="none"/>
        </w:rPr>
        <w:t>投标人参加本项目无围标串标行为的承诺函</w:t>
      </w:r>
    </w:p>
    <w:p w14:paraId="339A927A">
      <w:pPr>
        <w:spacing w:line="400" w:lineRule="exact"/>
        <w:contextualSpacing/>
        <w:jc w:val="left"/>
        <w:rPr>
          <w:rFonts w:ascii="宋体" w:hAnsi="宋体" w:cs="宋体"/>
          <w:b/>
          <w:color w:val="auto"/>
          <w:sz w:val="24"/>
          <w:highlight w:val="none"/>
        </w:rPr>
      </w:pPr>
      <w:r>
        <w:rPr>
          <w:rFonts w:hint="eastAsia" w:ascii="宋体" w:hAnsi="宋体" w:cs="宋体"/>
          <w:b/>
          <w:color w:val="auto"/>
          <w:sz w:val="24"/>
          <w:highlight w:val="none"/>
        </w:rPr>
        <w:t>一、我方承诺无下列相互串通投标的情形：</w:t>
      </w:r>
    </w:p>
    <w:p w14:paraId="4BF225B7">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1.不同投标人的投标文件由同一单位或者个人编制；</w:t>
      </w:r>
    </w:p>
    <w:p w14:paraId="239DBDB1">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14:paraId="7582EB77">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3.不同的投标人的投标文件载明的项目管理员为同一个人；</w:t>
      </w:r>
    </w:p>
    <w:p w14:paraId="3A902EF7">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14:paraId="48668196">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5.不同投标人的投标文件相互混装；</w:t>
      </w:r>
    </w:p>
    <w:p w14:paraId="1F8638C0">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6.不同投标人的投标保证金从同一单位或者个人账户转出。</w:t>
      </w:r>
    </w:p>
    <w:p w14:paraId="7B3BEEBF">
      <w:pPr>
        <w:spacing w:line="400" w:lineRule="exact"/>
        <w:contextualSpacing/>
        <w:jc w:val="left"/>
        <w:rPr>
          <w:rFonts w:ascii="宋体" w:hAnsi="宋体" w:cs="宋体"/>
          <w:color w:val="auto"/>
          <w:sz w:val="24"/>
          <w:highlight w:val="none"/>
        </w:rPr>
      </w:pPr>
      <w:r>
        <w:rPr>
          <w:rFonts w:hint="eastAsia" w:ascii="宋体" w:hAnsi="宋体" w:cs="宋体"/>
          <w:b/>
          <w:color w:val="auto"/>
          <w:sz w:val="24"/>
          <w:highlight w:val="none"/>
        </w:rPr>
        <w:t>二、我方承诺无下列恶意串通的情形：</w:t>
      </w:r>
    </w:p>
    <w:p w14:paraId="4542FCCA">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1.投标人直接或者间接从采购人或者采购代理机构处获得其他投标人的相关信息并修改其投标文件或者响应文件；</w:t>
      </w:r>
    </w:p>
    <w:p w14:paraId="35E89E56">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2.投标人按照采购人或者采购代理机构的授意撤换、修改投标文件或者响应文件；</w:t>
      </w:r>
    </w:p>
    <w:p w14:paraId="380F11A0">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3.投标人之间协商报价、技术方案等投标文件或者响应文件的实质性内容；</w:t>
      </w:r>
    </w:p>
    <w:p w14:paraId="3523EC6F">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4.属于同一集团、协会、商会等组织成员的投标人按照该组织要求协同参加政府采购活动；</w:t>
      </w:r>
    </w:p>
    <w:p w14:paraId="3E3238D7">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27BB53C4">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6.投标人之间商定部分投标人放弃参加政府采购活动或者放弃中标；</w:t>
      </w:r>
    </w:p>
    <w:p w14:paraId="588960DD">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7.投标人与采购人或者采购代理机构之间、投标人相互之间，为谋求特定投标人中标或者排斥其他投标人的其他串通行为。</w:t>
      </w:r>
    </w:p>
    <w:p w14:paraId="2955F63F">
      <w:pPr>
        <w:spacing w:line="400" w:lineRule="exact"/>
        <w:ind w:firstLine="472" w:firstLineChars="196"/>
        <w:contextualSpacing/>
        <w:jc w:val="left"/>
        <w:rPr>
          <w:rFonts w:ascii="宋体" w:hAnsi="宋体" w:cs="宋体"/>
          <w:b/>
          <w:color w:val="auto"/>
          <w:sz w:val="24"/>
          <w:highlight w:val="none"/>
        </w:rPr>
      </w:pPr>
      <w:r>
        <w:rPr>
          <w:rFonts w:hint="eastAsia" w:ascii="宋体" w:hAnsi="宋体" w:cs="宋体"/>
          <w:b/>
          <w:color w:val="auto"/>
          <w:sz w:val="24"/>
          <w:highlight w:val="none"/>
        </w:rPr>
        <w:t>以上情形一经核查属实，我方愿意承担一切后果，并不再寻求任何旨在减轻或者免除法律责任的辩解。</w:t>
      </w:r>
    </w:p>
    <w:p w14:paraId="61D4A14E">
      <w:pPr>
        <w:pStyle w:val="24"/>
        <w:spacing w:line="440" w:lineRule="exact"/>
        <w:ind w:firstLine="6840" w:firstLineChars="2850"/>
        <w:contextualSpacing/>
        <w:rPr>
          <w:rFonts w:hAnsi="宋体" w:cs="宋体"/>
          <w:color w:val="auto"/>
          <w:sz w:val="24"/>
          <w:szCs w:val="24"/>
          <w:highlight w:val="none"/>
        </w:rPr>
      </w:pPr>
    </w:p>
    <w:p w14:paraId="353D260C">
      <w:pPr>
        <w:pStyle w:val="24"/>
        <w:spacing w:line="440" w:lineRule="exact"/>
        <w:contextualSpacing/>
        <w:jc w:val="center"/>
        <w:rPr>
          <w:rFonts w:hAnsi="宋体" w:cs="宋体"/>
          <w:color w:val="auto"/>
          <w:sz w:val="24"/>
          <w:szCs w:val="24"/>
          <w:highlight w:val="none"/>
        </w:rPr>
      </w:pPr>
      <w:r>
        <w:rPr>
          <w:rFonts w:hint="eastAsia" w:hAnsi="宋体" w:cs="宋体"/>
          <w:color w:val="auto"/>
          <w:sz w:val="24"/>
          <w:szCs w:val="24"/>
          <w:highlight w:val="none"/>
        </w:rPr>
        <w:t>投标人名称（电子签章）</w:t>
      </w:r>
    </w:p>
    <w:p w14:paraId="05E965BE">
      <w:pPr>
        <w:pStyle w:val="24"/>
        <w:spacing w:line="440" w:lineRule="exact"/>
        <w:ind w:firstLine="4200" w:firstLineChars="1750"/>
        <w:contextualSpacing/>
        <w:rPr>
          <w:rFonts w:hAnsi="宋体" w:cs="宋体"/>
          <w:color w:val="auto"/>
          <w:sz w:val="24"/>
          <w:highlight w:val="none"/>
        </w:rPr>
      </w:pPr>
      <w:r>
        <w:rPr>
          <w:rFonts w:hint="eastAsia" w:hAnsi="宋体" w:cs="宋体"/>
          <w:color w:val="auto"/>
          <w:sz w:val="24"/>
          <w:highlight w:val="none"/>
        </w:rPr>
        <w:t>年   月   日</w:t>
      </w:r>
    </w:p>
    <w:p w14:paraId="65F0D328">
      <w:pPr>
        <w:snapToGrid w:val="0"/>
        <w:spacing w:before="120" w:beforeLines="50" w:after="50"/>
        <w:jc w:val="left"/>
        <w:rPr>
          <w:rFonts w:ascii="宋体" w:hAnsi="宋体" w:cs="宋体"/>
          <w:b/>
          <w:color w:val="auto"/>
          <w:sz w:val="24"/>
          <w:highlight w:val="none"/>
        </w:rPr>
      </w:pPr>
    </w:p>
    <w:p w14:paraId="62E19B04">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t>法定代表人身份证明</w:t>
      </w:r>
    </w:p>
    <w:p w14:paraId="0404E177">
      <w:pPr>
        <w:spacing w:before="240" w:beforeLines="100" w:after="120" w:afterLines="50"/>
        <w:ind w:left="54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法定代表人身份证明</w:t>
      </w:r>
    </w:p>
    <w:p w14:paraId="4A4A531E">
      <w:pPr>
        <w:spacing w:line="500" w:lineRule="exact"/>
        <w:ind w:left="540"/>
        <w:rPr>
          <w:rFonts w:ascii="宋体" w:hAnsi="宋体" w:cs="宋体"/>
          <w:color w:val="auto"/>
          <w:sz w:val="24"/>
          <w:highlight w:val="none"/>
        </w:rPr>
      </w:pPr>
      <w:r>
        <w:rPr>
          <w:rFonts w:hint="eastAsia" w:ascii="宋体" w:hAnsi="宋体" w:cs="宋体"/>
          <w:color w:val="auto"/>
          <w:sz w:val="24"/>
          <w:highlight w:val="none"/>
        </w:rPr>
        <w:t>投 标 人：______</w:t>
      </w:r>
      <w:r>
        <w:rPr>
          <w:rFonts w:hint="eastAsia" w:ascii="宋体" w:hAnsi="宋体" w:cs="宋体"/>
          <w:color w:val="auto"/>
          <w:sz w:val="24"/>
          <w:highlight w:val="none"/>
          <w:u w:val="single"/>
        </w:rPr>
        <w:t xml:space="preserve">              </w:t>
      </w:r>
    </w:p>
    <w:p w14:paraId="20638B47">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地    址：______</w:t>
      </w:r>
      <w:r>
        <w:rPr>
          <w:rFonts w:hint="eastAsia" w:ascii="宋体" w:hAnsi="宋体" w:cs="宋体"/>
          <w:color w:val="auto"/>
          <w:sz w:val="24"/>
          <w:highlight w:val="none"/>
          <w:u w:val="single"/>
        </w:rPr>
        <w:t xml:space="preserve">              </w:t>
      </w:r>
    </w:p>
    <w:p w14:paraId="25E2F36B">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性      别：______</w:t>
      </w:r>
      <w:r>
        <w:rPr>
          <w:rFonts w:hint="eastAsia" w:ascii="宋体" w:hAnsi="宋体" w:cs="宋体"/>
          <w:color w:val="auto"/>
          <w:sz w:val="24"/>
          <w:highlight w:val="none"/>
          <w:u w:val="single"/>
        </w:rPr>
        <w:t xml:space="preserve">              </w:t>
      </w:r>
    </w:p>
    <w:p w14:paraId="0EA1146F">
      <w:pPr>
        <w:spacing w:line="500" w:lineRule="exact"/>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务：______</w:t>
      </w:r>
      <w:r>
        <w:rPr>
          <w:rFonts w:hint="eastAsia" w:ascii="宋体" w:hAnsi="宋体" w:cs="宋体"/>
          <w:color w:val="auto"/>
          <w:sz w:val="24"/>
          <w:highlight w:val="none"/>
          <w:u w:val="single"/>
        </w:rPr>
        <w:t xml:space="preserve">               </w:t>
      </w:r>
    </w:p>
    <w:p w14:paraId="5499A184">
      <w:pPr>
        <w:spacing w:line="500" w:lineRule="exact"/>
        <w:ind w:left="540"/>
        <w:rPr>
          <w:rFonts w:ascii="宋体" w:hAnsi="宋体" w:cs="宋体"/>
          <w:color w:val="auto"/>
          <w:sz w:val="24"/>
          <w:highlight w:val="none"/>
        </w:rPr>
      </w:pPr>
      <w:r>
        <w:rPr>
          <w:rFonts w:hint="eastAsia" w:ascii="宋体" w:hAnsi="宋体" w:cs="宋体"/>
          <w:color w:val="auto"/>
          <w:sz w:val="24"/>
          <w:highlight w:val="none"/>
        </w:rPr>
        <w:t>身份证号码：______</w:t>
      </w:r>
      <w:r>
        <w:rPr>
          <w:rFonts w:hint="eastAsia" w:ascii="宋体" w:hAnsi="宋体" w:cs="宋体"/>
          <w:color w:val="auto"/>
          <w:sz w:val="24"/>
          <w:highlight w:val="none"/>
          <w:u w:val="single"/>
        </w:rPr>
        <w:t xml:space="preserve">              </w:t>
      </w:r>
    </w:p>
    <w:p w14:paraId="24D631D3">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48424292">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特此证明。</w:t>
      </w:r>
    </w:p>
    <w:p w14:paraId="3100A97D">
      <w:pPr>
        <w:spacing w:line="500" w:lineRule="exact"/>
        <w:ind w:left="540"/>
        <w:rPr>
          <w:rFonts w:ascii="宋体" w:hAnsi="宋体" w:cs="宋体"/>
          <w:color w:val="auto"/>
          <w:sz w:val="24"/>
          <w:highlight w:val="none"/>
        </w:rPr>
      </w:pPr>
    </w:p>
    <w:p w14:paraId="01730112">
      <w:pPr>
        <w:spacing w:line="500" w:lineRule="exact"/>
        <w:ind w:left="540"/>
        <w:rPr>
          <w:rFonts w:ascii="宋体" w:hAnsi="宋体" w:cs="宋体"/>
          <w:color w:val="auto"/>
          <w:sz w:val="24"/>
          <w:highlight w:val="none"/>
        </w:rPr>
      </w:pPr>
    </w:p>
    <w:p w14:paraId="33FCCF27">
      <w:pPr>
        <w:spacing w:line="500" w:lineRule="exact"/>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04A3ED2E">
      <w:pPr>
        <w:spacing w:line="500" w:lineRule="exact"/>
        <w:ind w:left="540"/>
        <w:rPr>
          <w:rFonts w:ascii="宋体" w:hAnsi="宋体" w:cs="宋体"/>
          <w:color w:val="auto"/>
          <w:sz w:val="24"/>
          <w:highlight w:val="none"/>
        </w:rPr>
      </w:pPr>
    </w:p>
    <w:p w14:paraId="1FCEACCE">
      <w:pPr>
        <w:spacing w:line="500" w:lineRule="exact"/>
        <w:ind w:left="540"/>
        <w:jc w:val="right"/>
        <w:rPr>
          <w:rFonts w:ascii="宋体" w:hAnsi="宋体" w:cs="宋体"/>
          <w:color w:val="auto"/>
          <w:sz w:val="24"/>
          <w:highlight w:val="none"/>
        </w:rPr>
      </w:pPr>
      <w:r>
        <w:rPr>
          <w:rFonts w:hint="eastAsia" w:ascii="宋体" w:hAnsi="宋体" w:cs="宋体"/>
          <w:color w:val="auto"/>
          <w:sz w:val="24"/>
          <w:highlight w:val="none"/>
        </w:rPr>
        <w:t>投标人名称（电子签章）</w:t>
      </w:r>
    </w:p>
    <w:p w14:paraId="56C827AD">
      <w:pPr>
        <w:spacing w:line="500" w:lineRule="exact"/>
        <w:ind w:left="540"/>
        <w:jc w:val="right"/>
        <w:rPr>
          <w:rFonts w:ascii="宋体" w:hAnsi="宋体" w:cs="宋体"/>
          <w:color w:val="auto"/>
          <w:sz w:val="24"/>
          <w:highlight w:val="none"/>
        </w:rPr>
      </w:pPr>
    </w:p>
    <w:p w14:paraId="57A6E8F5">
      <w:pPr>
        <w:wordWrap w:val="0"/>
        <w:snapToGrid w:val="0"/>
        <w:spacing w:before="120" w:beforeLines="50" w:after="50"/>
        <w:ind w:left="540"/>
        <w:jc w:val="right"/>
        <w:rPr>
          <w:rFonts w:ascii="宋体" w:hAnsi="宋体" w:cs="宋体"/>
          <w:color w:val="auto"/>
          <w:sz w:val="24"/>
          <w:highlight w:val="none"/>
        </w:rPr>
      </w:pPr>
      <w:r>
        <w:rPr>
          <w:rFonts w:hint="eastAsia" w:ascii="宋体" w:hAnsi="宋体" w:cs="宋体"/>
          <w:color w:val="auto"/>
          <w:sz w:val="24"/>
          <w:highlight w:val="none"/>
        </w:rPr>
        <w:t>年  月  日</w:t>
      </w:r>
    </w:p>
    <w:p w14:paraId="3943DDB7">
      <w:pPr>
        <w:snapToGrid w:val="0"/>
        <w:spacing w:before="120" w:beforeLines="50" w:after="50"/>
        <w:jc w:val="center"/>
        <w:rPr>
          <w:rFonts w:ascii="宋体" w:hAnsi="宋体" w:cs="宋体"/>
          <w:b/>
          <w:color w:val="auto"/>
          <w:sz w:val="24"/>
          <w:highlight w:val="none"/>
        </w:rPr>
      </w:pPr>
    </w:p>
    <w:p w14:paraId="7B9D7FBB">
      <w:pPr>
        <w:snapToGrid w:val="0"/>
        <w:spacing w:before="120" w:beforeLines="50" w:after="50"/>
        <w:jc w:val="left"/>
        <w:rPr>
          <w:rFonts w:ascii="宋体" w:hAnsi="宋体" w:cs="宋体"/>
          <w:b/>
          <w:color w:val="auto"/>
          <w:sz w:val="24"/>
          <w:szCs w:val="20"/>
          <w:highlight w:val="none"/>
        </w:rPr>
      </w:pPr>
      <w:r>
        <w:rPr>
          <w:rFonts w:hint="eastAsia" w:ascii="宋体" w:hAnsi="宋体" w:cs="宋体"/>
          <w:color w:val="auto"/>
          <w:sz w:val="24"/>
          <w:highlight w:val="none"/>
        </w:rPr>
        <w:t>注：自然人投标的无需提供</w:t>
      </w:r>
    </w:p>
    <w:p w14:paraId="643A295C">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授权委托书格式</w:t>
      </w:r>
    </w:p>
    <w:p w14:paraId="26519527">
      <w:pPr>
        <w:snapToGrid w:val="0"/>
        <w:spacing w:before="120" w:beforeLines="50" w:after="50"/>
        <w:jc w:val="center"/>
        <w:rPr>
          <w:rFonts w:ascii="宋体" w:hAnsi="宋体" w:cs="宋体"/>
          <w:b/>
          <w:color w:val="auto"/>
          <w:sz w:val="44"/>
          <w:szCs w:val="44"/>
          <w:highlight w:val="none"/>
        </w:rPr>
      </w:pPr>
    </w:p>
    <w:p w14:paraId="22D3ADC5">
      <w:pPr>
        <w:spacing w:line="360" w:lineRule="auto"/>
        <w:contextualSpacing/>
        <w:jc w:val="center"/>
        <w:rPr>
          <w:rFonts w:ascii="宋体" w:hAnsi="宋体" w:cs="宋体"/>
          <w:bCs/>
          <w:color w:val="auto"/>
          <w:sz w:val="44"/>
          <w:szCs w:val="44"/>
          <w:highlight w:val="none"/>
        </w:rPr>
      </w:pPr>
      <w:r>
        <w:rPr>
          <w:rFonts w:hint="eastAsia" w:ascii="宋体" w:hAnsi="宋体" w:cs="宋体"/>
          <w:bCs/>
          <w:color w:val="auto"/>
          <w:sz w:val="44"/>
          <w:szCs w:val="44"/>
          <w:highlight w:val="none"/>
        </w:rPr>
        <w:t>授权委托书</w:t>
      </w:r>
    </w:p>
    <w:p w14:paraId="2DBE25AD">
      <w:pPr>
        <w:spacing w:line="360" w:lineRule="auto"/>
        <w:contextualSpacing/>
        <w:jc w:val="center"/>
        <w:rPr>
          <w:rFonts w:ascii="宋体" w:hAnsi="宋体" w:cs="宋体"/>
          <w:bCs/>
          <w:color w:val="auto"/>
          <w:sz w:val="32"/>
          <w:szCs w:val="32"/>
          <w:highlight w:val="none"/>
        </w:rPr>
      </w:pPr>
      <w:r>
        <w:rPr>
          <w:rFonts w:hint="eastAsia" w:ascii="宋体" w:hAnsi="宋体" w:cs="宋体"/>
          <w:bCs/>
          <w:color w:val="auto"/>
          <w:sz w:val="32"/>
          <w:szCs w:val="32"/>
          <w:highlight w:val="none"/>
        </w:rPr>
        <w:t>（非联合体投标格式）</w:t>
      </w:r>
    </w:p>
    <w:p w14:paraId="72B81FC8">
      <w:pPr>
        <w:spacing w:line="360" w:lineRule="auto"/>
        <w:contextualSpacing/>
        <w:jc w:val="center"/>
        <w:rPr>
          <w:rFonts w:ascii="宋体" w:hAnsi="宋体" w:cs="宋体"/>
          <w:bCs/>
          <w:color w:val="auto"/>
          <w:sz w:val="24"/>
          <w:highlight w:val="none"/>
        </w:rPr>
      </w:pPr>
      <w:r>
        <w:rPr>
          <w:rFonts w:hint="eastAsia" w:ascii="宋体" w:hAnsi="宋体" w:cs="宋体"/>
          <w:bCs/>
          <w:color w:val="auto"/>
          <w:sz w:val="32"/>
          <w:szCs w:val="32"/>
          <w:highlight w:val="none"/>
        </w:rPr>
        <w:t>（如有委托时）</w:t>
      </w:r>
    </w:p>
    <w:p w14:paraId="1CA835DE">
      <w:pPr>
        <w:spacing w:line="440" w:lineRule="exact"/>
        <w:contextualSpacing/>
        <w:jc w:val="center"/>
        <w:rPr>
          <w:rFonts w:ascii="宋体" w:hAnsi="宋体" w:cs="宋体"/>
          <w:b/>
          <w:color w:val="auto"/>
          <w:sz w:val="24"/>
          <w:highlight w:val="none"/>
        </w:rPr>
      </w:pPr>
    </w:p>
    <w:p w14:paraId="7C274303">
      <w:pPr>
        <w:spacing w:line="440" w:lineRule="exact"/>
        <w:contextualSpacing/>
        <w:rPr>
          <w:rFonts w:ascii="宋体" w:hAnsi="宋体" w:cs="宋体"/>
          <w:b/>
          <w:bCs/>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0942C13B">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我（姓名）</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（投标人名称）的法定代表人，现授权委托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以我方的名义参加项目的投标活动，并代表我方全权办理针对上述项目的所有采购程序和环节的具体事务和签署相关文件。</w:t>
      </w:r>
    </w:p>
    <w:p w14:paraId="60FBA0B7">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 xml:space="preserve">    我方对委托代理人的签字或者电子签名事项负全部责任。</w:t>
      </w:r>
    </w:p>
    <w:p w14:paraId="305173BC">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3FD1B250">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6AB277AF">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附：法定代表人身份证明及委托代理人有效身份证正反面复印件</w:t>
      </w:r>
    </w:p>
    <w:p w14:paraId="5BA65F7F">
      <w:pPr>
        <w:spacing w:line="440" w:lineRule="exact"/>
        <w:contextualSpacing/>
        <w:rPr>
          <w:rFonts w:ascii="宋体" w:hAnsi="宋体" w:cs="宋体"/>
          <w:color w:val="auto"/>
          <w:sz w:val="24"/>
          <w:highlight w:val="none"/>
        </w:rPr>
      </w:pPr>
    </w:p>
    <w:p w14:paraId="18AA6CB2">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委托代理人（签字或者电子签名）：</w:t>
      </w:r>
    </w:p>
    <w:p w14:paraId="5D18AF2C">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委托代理人身份证号码：</w:t>
      </w:r>
    </w:p>
    <w:p w14:paraId="170501E7">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法定代表人（签字或者盖章或者电子签名）：</w:t>
      </w:r>
    </w:p>
    <w:p w14:paraId="3626C95E">
      <w:pPr>
        <w:spacing w:line="440" w:lineRule="exact"/>
        <w:contextualSpacing/>
        <w:rPr>
          <w:rFonts w:ascii="宋体" w:hAnsi="宋体" w:cs="宋体"/>
          <w:color w:val="auto"/>
          <w:sz w:val="24"/>
          <w:highlight w:val="none"/>
        </w:rPr>
      </w:pPr>
    </w:p>
    <w:p w14:paraId="0907FBCF">
      <w:pPr>
        <w:spacing w:line="440" w:lineRule="exact"/>
        <w:contextualSpacing/>
        <w:jc w:val="center"/>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1253F3D1">
      <w:pPr>
        <w:spacing w:line="440" w:lineRule="exact"/>
        <w:contextualSpacing/>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39BD5492">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注：1.</w:t>
      </w:r>
      <w:bookmarkStart w:id="158" w:name="_Hlk65851555"/>
      <w:bookmarkStart w:id="159" w:name="_Hlk65851620"/>
      <w:r>
        <w:rPr>
          <w:rFonts w:hint="eastAsia" w:ascii="宋体" w:hAnsi="宋体" w:cs="宋体"/>
          <w:color w:val="auto"/>
          <w:sz w:val="24"/>
          <w:highlight w:val="none"/>
        </w:rPr>
        <w:t>法定代表人必须在授权委托书上签字或者盖章或者电子签名</w:t>
      </w:r>
      <w:bookmarkEnd w:id="158"/>
      <w:r>
        <w:rPr>
          <w:rFonts w:hint="eastAsia" w:ascii="宋体" w:hAnsi="宋体" w:cs="宋体"/>
          <w:color w:val="auto"/>
          <w:sz w:val="24"/>
          <w:highlight w:val="none"/>
        </w:rPr>
        <w:t>，委托代理人必须在授权委托书上签字或者电子签名，</w:t>
      </w:r>
      <w:r>
        <w:rPr>
          <w:rFonts w:hint="eastAsia" w:ascii="宋体" w:hAnsi="宋体" w:cs="宋体"/>
          <w:b/>
          <w:bCs/>
          <w:color w:val="auto"/>
          <w:sz w:val="24"/>
          <w:highlight w:val="none"/>
        </w:rPr>
        <w:t>否则按无效投标处理</w:t>
      </w:r>
      <w:r>
        <w:rPr>
          <w:rFonts w:hint="eastAsia" w:ascii="宋体" w:hAnsi="宋体" w:cs="宋体"/>
          <w:color w:val="auto"/>
          <w:sz w:val="24"/>
          <w:highlight w:val="none"/>
        </w:rPr>
        <w:t>；</w:t>
      </w:r>
      <w:bookmarkEnd w:id="159"/>
    </w:p>
    <w:p w14:paraId="2F622EFF">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2.法人、其他组织投标时“我方”是指“我单位”，自然人投标时“我方”是指“本人”。</w:t>
      </w:r>
    </w:p>
    <w:p w14:paraId="64B1AAD3">
      <w:pPr>
        <w:snapToGrid w:val="0"/>
        <w:spacing w:before="120" w:beforeLines="50" w:after="50"/>
        <w:ind w:firstLine="566" w:firstLineChars="236"/>
        <w:jc w:val="center"/>
        <w:rPr>
          <w:rFonts w:ascii="宋体" w:hAnsi="宋体" w:cs="宋体"/>
          <w:color w:val="auto"/>
          <w:sz w:val="44"/>
          <w:szCs w:val="44"/>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授权委托书</w:t>
      </w:r>
    </w:p>
    <w:p w14:paraId="0EF357B7">
      <w:pPr>
        <w:snapToGrid w:val="0"/>
        <w:spacing w:before="120" w:beforeLines="50" w:after="50"/>
        <w:ind w:firstLine="755" w:firstLineChars="236"/>
        <w:jc w:val="center"/>
        <w:rPr>
          <w:rFonts w:ascii="宋体" w:hAnsi="宋体" w:cs="宋体"/>
          <w:color w:val="auto"/>
          <w:sz w:val="32"/>
          <w:szCs w:val="32"/>
          <w:highlight w:val="none"/>
        </w:rPr>
      </w:pPr>
      <w:r>
        <w:rPr>
          <w:rFonts w:hint="eastAsia" w:ascii="宋体" w:hAnsi="宋体" w:cs="宋体"/>
          <w:color w:val="auto"/>
          <w:sz w:val="32"/>
          <w:szCs w:val="32"/>
          <w:highlight w:val="none"/>
        </w:rPr>
        <w:t>（联合体投标格式）</w:t>
      </w:r>
    </w:p>
    <w:p w14:paraId="2878D303">
      <w:pPr>
        <w:snapToGrid w:val="0"/>
        <w:spacing w:before="120" w:beforeLines="50" w:after="50"/>
        <w:ind w:firstLine="755" w:firstLineChars="236"/>
        <w:jc w:val="center"/>
        <w:rPr>
          <w:rFonts w:ascii="宋体" w:hAnsi="宋体" w:cs="宋体"/>
          <w:color w:val="auto"/>
          <w:sz w:val="24"/>
          <w:highlight w:val="none"/>
        </w:rPr>
      </w:pPr>
      <w:r>
        <w:rPr>
          <w:rFonts w:hint="eastAsia" w:ascii="宋体" w:hAnsi="宋体" w:cs="宋体"/>
          <w:color w:val="auto"/>
          <w:sz w:val="32"/>
          <w:szCs w:val="32"/>
          <w:highlight w:val="none"/>
        </w:rPr>
        <w:t>（如有委托时）</w:t>
      </w:r>
    </w:p>
    <w:p w14:paraId="3E43D12A">
      <w:pPr>
        <w:spacing w:line="440" w:lineRule="exact"/>
        <w:contextualSpacing/>
        <w:jc w:val="left"/>
        <w:rPr>
          <w:rFonts w:ascii="宋体" w:hAnsi="宋体" w:cs="宋体"/>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4ABBFF24">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 xml:space="preserve">根据 </w:t>
      </w:r>
      <w:r>
        <w:rPr>
          <w:rFonts w:hint="eastAsia" w:ascii="宋体" w:hAnsi="宋体" w:cs="宋体"/>
          <w:color w:val="auto"/>
          <w:sz w:val="24"/>
          <w:highlight w:val="none"/>
          <w:u w:val="single"/>
        </w:rPr>
        <w:t xml:space="preserve"> （牵头人名称）</w:t>
      </w:r>
      <w:r>
        <w:rPr>
          <w:rFonts w:hint="eastAsia" w:ascii="宋体" w:hAnsi="宋体" w:cs="宋体"/>
          <w:color w:val="auto"/>
          <w:sz w:val="24"/>
          <w:highlight w:val="none"/>
        </w:rPr>
        <w:t>与</w:t>
      </w:r>
      <w:r>
        <w:rPr>
          <w:rFonts w:hint="eastAsia" w:ascii="宋体" w:hAnsi="宋体" w:cs="宋体"/>
          <w:color w:val="auto"/>
          <w:sz w:val="24"/>
          <w:highlight w:val="none"/>
          <w:u w:val="single"/>
        </w:rPr>
        <w:t>（联合体其他成员名称）</w:t>
      </w:r>
      <w:r>
        <w:rPr>
          <w:rFonts w:hint="eastAsia" w:ascii="宋体" w:hAnsi="宋体" w:cs="宋体"/>
          <w:color w:val="auto"/>
          <w:sz w:val="24"/>
          <w:highlight w:val="none"/>
        </w:rPr>
        <w:t>签订的《联合体投标协议书》的内容，</w:t>
      </w:r>
      <w:r>
        <w:rPr>
          <w:rFonts w:hint="eastAsia" w:ascii="宋体" w:hAnsi="宋体" w:cs="宋体"/>
          <w:color w:val="auto"/>
          <w:sz w:val="24"/>
          <w:highlight w:val="none"/>
          <w:u w:val="single"/>
        </w:rPr>
        <w:t>（牵头人名称）</w:t>
      </w:r>
      <w:r>
        <w:rPr>
          <w:rFonts w:hint="eastAsia" w:ascii="宋体" w:hAnsi="宋体" w:cs="宋体"/>
          <w:color w:val="auto"/>
          <w:sz w:val="24"/>
          <w:highlight w:val="none"/>
        </w:rPr>
        <w:t>的法定代表人</w:t>
      </w:r>
      <w:r>
        <w:rPr>
          <w:rFonts w:hint="eastAsia" w:ascii="宋体" w:hAnsi="宋体" w:cs="宋体"/>
          <w:color w:val="auto"/>
          <w:sz w:val="24"/>
          <w:highlight w:val="none"/>
          <w:u w:val="single"/>
        </w:rPr>
        <w:t>（姓名）</w:t>
      </w:r>
      <w:r>
        <w:rPr>
          <w:rFonts w:hint="eastAsia" w:ascii="宋体" w:hAnsi="宋体" w:cs="宋体"/>
          <w:color w:val="auto"/>
          <w:sz w:val="24"/>
          <w:highlight w:val="none"/>
        </w:rPr>
        <w:t>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以我方的名义参加项目的投标活动，并代表我方全权办理针对上述项目的所有采购程序和环节的具体事务和签署相关文件。</w:t>
      </w:r>
    </w:p>
    <w:p w14:paraId="2937DB7A">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我方对委托代理人的签字或者电子签名事项负全部责任。</w:t>
      </w:r>
    </w:p>
    <w:p w14:paraId="5EEB912A">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0E2CDACB">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69D24BC0">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附：牵头人法定代表人身份证明及委托代理人有效身份证正反面复印件</w:t>
      </w:r>
    </w:p>
    <w:p w14:paraId="43B0F2D2">
      <w:pPr>
        <w:spacing w:line="440" w:lineRule="exact"/>
        <w:ind w:firstLine="566" w:firstLineChars="236"/>
        <w:contextualSpacing/>
        <w:rPr>
          <w:rFonts w:ascii="宋体" w:hAnsi="宋体" w:cs="宋体"/>
          <w:color w:val="auto"/>
          <w:sz w:val="24"/>
          <w:highlight w:val="none"/>
        </w:rPr>
      </w:pPr>
    </w:p>
    <w:p w14:paraId="7660359B">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牵头人法定代表人（签字或者盖章或者电子签名）：</w:t>
      </w:r>
    </w:p>
    <w:p w14:paraId="63F57AE9">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牵头人（电子签章）：</w:t>
      </w:r>
    </w:p>
    <w:p w14:paraId="5B79235F">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日期：    年   月   日</w:t>
      </w:r>
    </w:p>
    <w:p w14:paraId="514ECE79">
      <w:pPr>
        <w:spacing w:line="440" w:lineRule="exact"/>
        <w:ind w:firstLine="566" w:firstLineChars="236"/>
        <w:contextualSpacing/>
        <w:rPr>
          <w:rFonts w:ascii="宋体" w:hAnsi="宋体" w:cs="宋体"/>
          <w:color w:val="auto"/>
          <w:sz w:val="24"/>
          <w:highlight w:val="none"/>
        </w:rPr>
      </w:pPr>
    </w:p>
    <w:p w14:paraId="5753E56D">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被授权人（签字或者电子签名）：</w:t>
      </w:r>
    </w:p>
    <w:p w14:paraId="48956EE6">
      <w:pPr>
        <w:spacing w:line="440" w:lineRule="exact"/>
        <w:ind w:firstLine="566" w:firstLineChars="236"/>
        <w:contextualSpacing/>
        <w:rPr>
          <w:rFonts w:ascii="宋体" w:hAnsi="宋体" w:cs="宋体"/>
          <w:color w:val="auto"/>
          <w:sz w:val="32"/>
          <w:szCs w:val="32"/>
          <w:highlight w:val="none"/>
        </w:rPr>
      </w:pPr>
      <w:r>
        <w:rPr>
          <w:rFonts w:hint="eastAsia" w:ascii="宋体" w:hAnsi="宋体" w:cs="宋体"/>
          <w:color w:val="auto"/>
          <w:sz w:val="24"/>
          <w:highlight w:val="none"/>
        </w:rPr>
        <w:t>日期：    年   月   日</w:t>
      </w:r>
    </w:p>
    <w:p w14:paraId="27CC4167">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注：1.法定代表人必须在授权委托书上签字或者盖章或者电子签名，委托代理人必须在授权委托书上签字或者电子签名，</w:t>
      </w:r>
      <w:r>
        <w:rPr>
          <w:rFonts w:hint="eastAsia" w:ascii="宋体" w:hAnsi="宋体" w:cs="宋体"/>
          <w:b/>
          <w:bCs/>
          <w:color w:val="auto"/>
          <w:sz w:val="24"/>
          <w:highlight w:val="none"/>
        </w:rPr>
        <w:t>否则按无效投标处理</w:t>
      </w:r>
      <w:r>
        <w:rPr>
          <w:rFonts w:hint="eastAsia" w:ascii="宋体" w:hAnsi="宋体" w:cs="宋体"/>
          <w:color w:val="auto"/>
          <w:sz w:val="24"/>
          <w:highlight w:val="none"/>
        </w:rPr>
        <w:t>；</w:t>
      </w:r>
    </w:p>
    <w:p w14:paraId="61F5C9B5">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2.法人、其他组织投标时“我方”是指“我单位”，自然人投标时“我方”是指“本人”。</w:t>
      </w:r>
    </w:p>
    <w:p w14:paraId="2D4814EC">
      <w:pPr>
        <w:snapToGrid w:val="0"/>
        <w:spacing w:before="50" w:after="120" w:afterLines="50"/>
        <w:jc w:val="left"/>
        <w:rPr>
          <w:rFonts w:ascii="宋体" w:hAnsi="宋体" w:cs="宋体"/>
          <w:color w:val="auto"/>
          <w:sz w:val="24"/>
          <w:highlight w:val="none"/>
        </w:rPr>
        <w:sectPr>
          <w:headerReference r:id="rId8" w:type="first"/>
          <w:footerReference r:id="rId11" w:type="first"/>
          <w:headerReference r:id="rId6" w:type="default"/>
          <w:footerReference r:id="rId9" w:type="default"/>
          <w:headerReference r:id="rId7" w:type="even"/>
          <w:footerReference r:id="rId10" w:type="even"/>
          <w:pgSz w:w="11906" w:h="16838"/>
          <w:pgMar w:top="1701" w:right="1701" w:bottom="1701" w:left="1701" w:header="851" w:footer="992" w:gutter="0"/>
          <w:cols w:space="720" w:num="1"/>
          <w:titlePg/>
          <w:docGrid w:linePitch="312" w:charSpace="0"/>
        </w:sectPr>
      </w:pPr>
    </w:p>
    <w:p w14:paraId="4157785A">
      <w:pPr>
        <w:rPr>
          <w:rFonts w:ascii="宋体" w:hAnsi="宋体" w:cs="宋体"/>
          <w:color w:val="auto"/>
          <w:sz w:val="24"/>
          <w:highlight w:val="none"/>
        </w:rPr>
      </w:pPr>
    </w:p>
    <w:p w14:paraId="53B0EDA2">
      <w:pPr>
        <w:rPr>
          <w:rFonts w:ascii="宋体" w:hAnsi="宋体" w:cs="宋体"/>
          <w:b/>
          <w:color w:val="auto"/>
          <w:sz w:val="24"/>
          <w:szCs w:val="20"/>
          <w:highlight w:val="none"/>
        </w:rPr>
      </w:pPr>
      <w:r>
        <w:rPr>
          <w:rFonts w:hint="eastAsia" w:ascii="宋体" w:hAnsi="宋体" w:cs="宋体"/>
          <w:b/>
          <w:color w:val="auto"/>
          <w:sz w:val="24"/>
          <w:highlight w:val="none"/>
        </w:rPr>
        <w:t>商务要求承诺响应表格式</w:t>
      </w:r>
    </w:p>
    <w:tbl>
      <w:tblPr>
        <w:tblStyle w:val="47"/>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57"/>
        <w:gridCol w:w="5722"/>
      </w:tblGrid>
      <w:tr w14:paraId="125429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2657" w:type="dxa"/>
            <w:tcBorders>
              <w:top w:val="single" w:color="auto" w:sz="4" w:space="0"/>
              <w:left w:val="single" w:color="auto" w:sz="4" w:space="0"/>
              <w:bottom w:val="single" w:color="auto" w:sz="4" w:space="0"/>
              <w:right w:val="single" w:color="auto" w:sz="4" w:space="0"/>
            </w:tcBorders>
            <w:vAlign w:val="center"/>
          </w:tcPr>
          <w:p w14:paraId="459950FE">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项目</w:t>
            </w:r>
          </w:p>
        </w:tc>
        <w:tc>
          <w:tcPr>
            <w:tcW w:w="5722" w:type="dxa"/>
            <w:tcBorders>
              <w:top w:val="single" w:color="auto" w:sz="4" w:space="0"/>
              <w:left w:val="single" w:color="auto" w:sz="4" w:space="0"/>
              <w:bottom w:val="single" w:color="auto" w:sz="4" w:space="0"/>
              <w:right w:val="single" w:color="auto" w:sz="4" w:space="0"/>
            </w:tcBorders>
            <w:vAlign w:val="center"/>
          </w:tcPr>
          <w:p w14:paraId="25C504C1">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投标人对应“招标文件商务要求”的详细承诺响应</w:t>
            </w:r>
          </w:p>
        </w:tc>
      </w:tr>
      <w:tr w14:paraId="6E1DA1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657" w:type="dxa"/>
            <w:tcBorders>
              <w:top w:val="single" w:color="auto" w:sz="4" w:space="0"/>
              <w:left w:val="single" w:color="auto" w:sz="4" w:space="0"/>
              <w:bottom w:val="single" w:color="auto" w:sz="4" w:space="0"/>
              <w:right w:val="single" w:color="auto" w:sz="4" w:space="0"/>
            </w:tcBorders>
            <w:vAlign w:val="center"/>
          </w:tcPr>
          <w:p w14:paraId="41D6131E">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（一）售后服务基本要求</w:t>
            </w:r>
          </w:p>
        </w:tc>
        <w:tc>
          <w:tcPr>
            <w:tcW w:w="5722" w:type="dxa"/>
            <w:tcBorders>
              <w:top w:val="single" w:color="auto" w:sz="4" w:space="0"/>
              <w:left w:val="single" w:color="auto" w:sz="4" w:space="0"/>
              <w:bottom w:val="single" w:color="auto" w:sz="4" w:space="0"/>
              <w:right w:val="single" w:color="auto" w:sz="4" w:space="0"/>
            </w:tcBorders>
          </w:tcPr>
          <w:p w14:paraId="4CA842F5">
            <w:pPr>
              <w:snapToGrid w:val="0"/>
              <w:spacing w:before="120" w:beforeLines="50"/>
              <w:jc w:val="center"/>
              <w:rPr>
                <w:rFonts w:ascii="宋体" w:hAnsi="宋体" w:cs="宋体"/>
                <w:color w:val="auto"/>
                <w:sz w:val="24"/>
                <w:highlight w:val="none"/>
              </w:rPr>
            </w:pPr>
          </w:p>
        </w:tc>
      </w:tr>
      <w:tr w14:paraId="12798F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9" w:hRule="atLeast"/>
        </w:trPr>
        <w:tc>
          <w:tcPr>
            <w:tcW w:w="2657" w:type="dxa"/>
            <w:tcBorders>
              <w:top w:val="single" w:color="auto" w:sz="4" w:space="0"/>
              <w:left w:val="single" w:color="auto" w:sz="4" w:space="0"/>
              <w:bottom w:val="single" w:color="auto" w:sz="4" w:space="0"/>
              <w:right w:val="single" w:color="auto" w:sz="4" w:space="0"/>
            </w:tcBorders>
            <w:vAlign w:val="center"/>
          </w:tcPr>
          <w:p w14:paraId="01D3EA92">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（二）合同签订时间</w:t>
            </w:r>
          </w:p>
        </w:tc>
        <w:tc>
          <w:tcPr>
            <w:tcW w:w="5722" w:type="dxa"/>
            <w:tcBorders>
              <w:top w:val="single" w:color="auto" w:sz="4" w:space="0"/>
              <w:left w:val="single" w:color="auto" w:sz="4" w:space="0"/>
              <w:bottom w:val="single" w:color="auto" w:sz="4" w:space="0"/>
              <w:right w:val="single" w:color="auto" w:sz="4" w:space="0"/>
            </w:tcBorders>
          </w:tcPr>
          <w:p w14:paraId="39DA9B03">
            <w:pPr>
              <w:snapToGrid w:val="0"/>
              <w:spacing w:before="120" w:beforeLines="50"/>
              <w:ind w:left="43"/>
              <w:jc w:val="center"/>
              <w:rPr>
                <w:rFonts w:ascii="宋体" w:hAnsi="宋体" w:cs="宋体"/>
                <w:color w:val="auto"/>
                <w:sz w:val="24"/>
                <w:highlight w:val="none"/>
              </w:rPr>
            </w:pPr>
          </w:p>
        </w:tc>
      </w:tr>
      <w:tr w14:paraId="0CFBC3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657" w:type="dxa"/>
            <w:tcBorders>
              <w:top w:val="single" w:color="auto" w:sz="4" w:space="0"/>
              <w:left w:val="single" w:color="auto" w:sz="4" w:space="0"/>
              <w:bottom w:val="single" w:color="auto" w:sz="4" w:space="0"/>
              <w:right w:val="single" w:color="auto" w:sz="4" w:space="0"/>
            </w:tcBorders>
            <w:vAlign w:val="center"/>
          </w:tcPr>
          <w:p w14:paraId="5C9116F5">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（三）交付时间和地点</w:t>
            </w:r>
          </w:p>
        </w:tc>
        <w:tc>
          <w:tcPr>
            <w:tcW w:w="5722" w:type="dxa"/>
            <w:tcBorders>
              <w:top w:val="single" w:color="auto" w:sz="4" w:space="0"/>
              <w:left w:val="single" w:color="auto" w:sz="4" w:space="0"/>
              <w:bottom w:val="single" w:color="auto" w:sz="4" w:space="0"/>
              <w:right w:val="single" w:color="auto" w:sz="4" w:space="0"/>
            </w:tcBorders>
          </w:tcPr>
          <w:p w14:paraId="452A90A4">
            <w:pPr>
              <w:snapToGrid w:val="0"/>
              <w:spacing w:before="120" w:beforeLines="50"/>
              <w:jc w:val="center"/>
              <w:rPr>
                <w:rFonts w:ascii="宋体" w:hAnsi="宋体" w:cs="宋体"/>
                <w:color w:val="auto"/>
                <w:sz w:val="24"/>
                <w:highlight w:val="none"/>
              </w:rPr>
            </w:pPr>
          </w:p>
        </w:tc>
      </w:tr>
      <w:tr w14:paraId="5DA005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657" w:type="dxa"/>
            <w:tcBorders>
              <w:top w:val="single" w:color="auto" w:sz="4" w:space="0"/>
              <w:left w:val="single" w:color="auto" w:sz="4" w:space="0"/>
              <w:bottom w:val="single" w:color="auto" w:sz="4" w:space="0"/>
              <w:right w:val="single" w:color="auto" w:sz="4" w:space="0"/>
            </w:tcBorders>
            <w:vAlign w:val="center"/>
          </w:tcPr>
          <w:p w14:paraId="317619D8">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（四）付款方式</w:t>
            </w:r>
          </w:p>
        </w:tc>
        <w:tc>
          <w:tcPr>
            <w:tcW w:w="5722" w:type="dxa"/>
            <w:tcBorders>
              <w:top w:val="single" w:color="auto" w:sz="4" w:space="0"/>
              <w:left w:val="single" w:color="auto" w:sz="4" w:space="0"/>
              <w:bottom w:val="single" w:color="auto" w:sz="4" w:space="0"/>
              <w:right w:val="single" w:color="auto" w:sz="4" w:space="0"/>
            </w:tcBorders>
          </w:tcPr>
          <w:p w14:paraId="1ACA4AB0">
            <w:pPr>
              <w:snapToGrid w:val="0"/>
              <w:spacing w:before="120" w:beforeLines="50"/>
              <w:jc w:val="center"/>
              <w:rPr>
                <w:rFonts w:ascii="宋体" w:hAnsi="宋体" w:cs="宋体"/>
                <w:color w:val="auto"/>
                <w:sz w:val="24"/>
                <w:highlight w:val="none"/>
              </w:rPr>
            </w:pPr>
          </w:p>
        </w:tc>
      </w:tr>
      <w:tr w14:paraId="35FAC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2657" w:type="dxa"/>
            <w:tcBorders>
              <w:top w:val="single" w:color="auto" w:sz="4" w:space="0"/>
              <w:left w:val="single" w:color="auto" w:sz="4" w:space="0"/>
              <w:bottom w:val="single" w:color="auto" w:sz="4" w:space="0"/>
              <w:right w:val="single" w:color="auto" w:sz="4" w:space="0"/>
            </w:tcBorders>
            <w:vAlign w:val="center"/>
          </w:tcPr>
          <w:p w14:paraId="5F0F18BA">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（五）包装和运输</w:t>
            </w:r>
          </w:p>
        </w:tc>
        <w:tc>
          <w:tcPr>
            <w:tcW w:w="5722" w:type="dxa"/>
            <w:tcBorders>
              <w:top w:val="single" w:color="auto" w:sz="4" w:space="0"/>
              <w:left w:val="single" w:color="auto" w:sz="4" w:space="0"/>
              <w:bottom w:val="single" w:color="auto" w:sz="4" w:space="0"/>
              <w:right w:val="single" w:color="auto" w:sz="4" w:space="0"/>
            </w:tcBorders>
          </w:tcPr>
          <w:p w14:paraId="61347F0B">
            <w:pPr>
              <w:snapToGrid w:val="0"/>
              <w:spacing w:before="120" w:beforeLines="50"/>
              <w:jc w:val="center"/>
              <w:rPr>
                <w:rFonts w:ascii="宋体" w:hAnsi="宋体" w:cs="宋体"/>
                <w:color w:val="auto"/>
                <w:sz w:val="24"/>
                <w:highlight w:val="none"/>
              </w:rPr>
            </w:pPr>
          </w:p>
        </w:tc>
      </w:tr>
      <w:tr w14:paraId="05BF41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657" w:type="dxa"/>
            <w:tcBorders>
              <w:top w:val="single" w:color="auto" w:sz="4" w:space="0"/>
              <w:left w:val="single" w:color="auto" w:sz="4" w:space="0"/>
              <w:bottom w:val="single" w:color="auto" w:sz="4" w:space="0"/>
              <w:right w:val="single" w:color="auto" w:sz="4" w:space="0"/>
            </w:tcBorders>
            <w:vAlign w:val="center"/>
          </w:tcPr>
          <w:p w14:paraId="7022656A">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（六）保险</w:t>
            </w:r>
          </w:p>
        </w:tc>
        <w:tc>
          <w:tcPr>
            <w:tcW w:w="5722" w:type="dxa"/>
            <w:tcBorders>
              <w:top w:val="single" w:color="auto" w:sz="4" w:space="0"/>
              <w:left w:val="single" w:color="auto" w:sz="4" w:space="0"/>
              <w:bottom w:val="single" w:color="auto" w:sz="4" w:space="0"/>
              <w:right w:val="single" w:color="auto" w:sz="4" w:space="0"/>
            </w:tcBorders>
          </w:tcPr>
          <w:p w14:paraId="72997F8D">
            <w:pPr>
              <w:snapToGrid w:val="0"/>
              <w:spacing w:before="120" w:beforeLines="50"/>
              <w:jc w:val="center"/>
              <w:rPr>
                <w:rFonts w:ascii="宋体" w:hAnsi="宋体" w:cs="宋体"/>
                <w:color w:val="auto"/>
                <w:sz w:val="24"/>
                <w:highlight w:val="none"/>
              </w:rPr>
            </w:pPr>
          </w:p>
        </w:tc>
      </w:tr>
      <w:tr w14:paraId="59C0D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57" w:type="dxa"/>
            <w:tcBorders>
              <w:top w:val="single" w:color="auto" w:sz="4" w:space="0"/>
              <w:left w:val="single" w:color="auto" w:sz="4" w:space="0"/>
              <w:bottom w:val="single" w:color="auto" w:sz="4" w:space="0"/>
              <w:right w:val="single" w:color="auto" w:sz="4" w:space="0"/>
            </w:tcBorders>
            <w:vAlign w:val="center"/>
          </w:tcPr>
          <w:p w14:paraId="15496001">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（七）验收标准</w:t>
            </w:r>
          </w:p>
        </w:tc>
        <w:tc>
          <w:tcPr>
            <w:tcW w:w="5722" w:type="dxa"/>
            <w:tcBorders>
              <w:top w:val="single" w:color="auto" w:sz="4" w:space="0"/>
              <w:left w:val="single" w:color="auto" w:sz="4" w:space="0"/>
              <w:bottom w:val="single" w:color="auto" w:sz="4" w:space="0"/>
              <w:right w:val="single" w:color="auto" w:sz="4" w:space="0"/>
            </w:tcBorders>
          </w:tcPr>
          <w:p w14:paraId="3AF4BB43">
            <w:pPr>
              <w:snapToGrid w:val="0"/>
              <w:spacing w:before="120" w:beforeLines="50"/>
              <w:jc w:val="center"/>
              <w:rPr>
                <w:rFonts w:ascii="宋体" w:hAnsi="宋体" w:cs="宋体"/>
                <w:color w:val="auto"/>
                <w:sz w:val="24"/>
                <w:highlight w:val="none"/>
              </w:rPr>
            </w:pPr>
          </w:p>
        </w:tc>
      </w:tr>
      <w:tr w14:paraId="05358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2657" w:type="dxa"/>
            <w:tcBorders>
              <w:top w:val="single" w:color="auto" w:sz="4" w:space="0"/>
              <w:left w:val="single" w:color="auto" w:sz="4" w:space="0"/>
              <w:bottom w:val="single" w:color="auto" w:sz="4" w:space="0"/>
              <w:right w:val="single" w:color="auto" w:sz="4" w:space="0"/>
            </w:tcBorders>
            <w:vAlign w:val="center"/>
          </w:tcPr>
          <w:p w14:paraId="56D10D9B">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（八）知识产权</w:t>
            </w:r>
          </w:p>
        </w:tc>
        <w:tc>
          <w:tcPr>
            <w:tcW w:w="5722" w:type="dxa"/>
            <w:tcBorders>
              <w:top w:val="single" w:color="auto" w:sz="4" w:space="0"/>
              <w:left w:val="single" w:color="auto" w:sz="4" w:space="0"/>
              <w:bottom w:val="single" w:color="auto" w:sz="4" w:space="0"/>
              <w:right w:val="single" w:color="auto" w:sz="4" w:space="0"/>
            </w:tcBorders>
          </w:tcPr>
          <w:p w14:paraId="2D03C8A7">
            <w:pPr>
              <w:snapToGrid w:val="0"/>
              <w:spacing w:before="120" w:beforeLines="50"/>
              <w:jc w:val="center"/>
              <w:rPr>
                <w:rFonts w:ascii="宋体" w:hAnsi="宋体" w:cs="宋体"/>
                <w:color w:val="auto"/>
                <w:sz w:val="24"/>
                <w:highlight w:val="none"/>
              </w:rPr>
            </w:pPr>
          </w:p>
        </w:tc>
      </w:tr>
      <w:tr w14:paraId="22069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2657" w:type="dxa"/>
            <w:tcBorders>
              <w:top w:val="single" w:color="auto" w:sz="4" w:space="0"/>
              <w:left w:val="single" w:color="auto" w:sz="4" w:space="0"/>
              <w:bottom w:val="single" w:color="auto" w:sz="4" w:space="0"/>
              <w:right w:val="single" w:color="auto" w:sz="4" w:space="0"/>
            </w:tcBorders>
            <w:vAlign w:val="center"/>
          </w:tcPr>
          <w:p w14:paraId="711EDC44">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（九）违约责任</w:t>
            </w:r>
          </w:p>
        </w:tc>
        <w:tc>
          <w:tcPr>
            <w:tcW w:w="5722" w:type="dxa"/>
            <w:tcBorders>
              <w:top w:val="single" w:color="auto" w:sz="4" w:space="0"/>
              <w:left w:val="single" w:color="auto" w:sz="4" w:space="0"/>
              <w:bottom w:val="single" w:color="auto" w:sz="4" w:space="0"/>
              <w:right w:val="single" w:color="auto" w:sz="4" w:space="0"/>
            </w:tcBorders>
          </w:tcPr>
          <w:p w14:paraId="47F5212D">
            <w:pPr>
              <w:snapToGrid w:val="0"/>
              <w:spacing w:before="120" w:beforeLines="50"/>
              <w:jc w:val="center"/>
              <w:rPr>
                <w:rFonts w:ascii="宋体" w:hAnsi="宋体" w:cs="宋体"/>
                <w:color w:val="auto"/>
                <w:sz w:val="24"/>
                <w:highlight w:val="none"/>
              </w:rPr>
            </w:pPr>
          </w:p>
        </w:tc>
      </w:tr>
      <w:tr w14:paraId="48E234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657" w:type="dxa"/>
            <w:tcBorders>
              <w:top w:val="single" w:color="auto" w:sz="4" w:space="0"/>
              <w:left w:val="single" w:color="auto" w:sz="4" w:space="0"/>
              <w:bottom w:val="single" w:color="auto" w:sz="4" w:space="0"/>
              <w:right w:val="single" w:color="auto" w:sz="4" w:space="0"/>
            </w:tcBorders>
            <w:vAlign w:val="center"/>
          </w:tcPr>
          <w:p w14:paraId="72651ACC">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（十）医疗器械管理相应有效证明材料</w:t>
            </w:r>
          </w:p>
        </w:tc>
        <w:tc>
          <w:tcPr>
            <w:tcW w:w="5722" w:type="dxa"/>
            <w:tcBorders>
              <w:top w:val="single" w:color="auto" w:sz="4" w:space="0"/>
              <w:left w:val="single" w:color="auto" w:sz="4" w:space="0"/>
              <w:bottom w:val="single" w:color="auto" w:sz="4" w:space="0"/>
              <w:right w:val="single" w:color="auto" w:sz="4" w:space="0"/>
            </w:tcBorders>
          </w:tcPr>
          <w:p w14:paraId="2BC1E7B1">
            <w:pPr>
              <w:snapToGrid w:val="0"/>
              <w:spacing w:before="120" w:beforeLines="50"/>
              <w:jc w:val="center"/>
              <w:rPr>
                <w:rFonts w:ascii="宋体" w:hAnsi="宋体" w:cs="宋体"/>
                <w:color w:val="auto"/>
                <w:sz w:val="24"/>
                <w:highlight w:val="none"/>
              </w:rPr>
            </w:pPr>
          </w:p>
        </w:tc>
      </w:tr>
      <w:tr w14:paraId="3AC0F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2657" w:type="dxa"/>
            <w:tcBorders>
              <w:top w:val="single" w:color="auto" w:sz="4" w:space="0"/>
              <w:left w:val="single" w:color="auto" w:sz="4" w:space="0"/>
              <w:bottom w:val="single" w:color="auto" w:sz="4" w:space="0"/>
              <w:right w:val="single" w:color="auto" w:sz="4" w:space="0"/>
            </w:tcBorders>
            <w:vAlign w:val="center"/>
          </w:tcPr>
          <w:p w14:paraId="28F9DD53">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（十一）进口产品说明</w:t>
            </w:r>
          </w:p>
        </w:tc>
        <w:tc>
          <w:tcPr>
            <w:tcW w:w="5722" w:type="dxa"/>
            <w:tcBorders>
              <w:top w:val="single" w:color="auto" w:sz="4" w:space="0"/>
              <w:left w:val="single" w:color="auto" w:sz="4" w:space="0"/>
              <w:bottom w:val="single" w:color="auto" w:sz="4" w:space="0"/>
              <w:right w:val="single" w:color="auto" w:sz="4" w:space="0"/>
            </w:tcBorders>
          </w:tcPr>
          <w:p w14:paraId="14AC8D99">
            <w:pPr>
              <w:snapToGrid w:val="0"/>
              <w:spacing w:before="120" w:beforeLines="50"/>
              <w:jc w:val="center"/>
              <w:rPr>
                <w:rFonts w:ascii="宋体" w:hAnsi="宋体" w:cs="宋体"/>
                <w:color w:val="auto"/>
                <w:sz w:val="24"/>
                <w:highlight w:val="none"/>
              </w:rPr>
            </w:pPr>
          </w:p>
        </w:tc>
      </w:tr>
      <w:tr w14:paraId="41DFEF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657" w:type="dxa"/>
            <w:tcBorders>
              <w:top w:val="single" w:color="auto" w:sz="4" w:space="0"/>
              <w:left w:val="single" w:color="auto" w:sz="4" w:space="0"/>
              <w:bottom w:val="single" w:color="auto" w:sz="4" w:space="0"/>
              <w:right w:val="single" w:color="auto" w:sz="4" w:space="0"/>
            </w:tcBorders>
            <w:vAlign w:val="center"/>
          </w:tcPr>
          <w:p w14:paraId="178DB42E">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（十二）采购预算及最高限价</w:t>
            </w:r>
          </w:p>
        </w:tc>
        <w:tc>
          <w:tcPr>
            <w:tcW w:w="5722" w:type="dxa"/>
            <w:tcBorders>
              <w:top w:val="single" w:color="auto" w:sz="4" w:space="0"/>
              <w:left w:val="single" w:color="auto" w:sz="4" w:space="0"/>
              <w:bottom w:val="single" w:color="auto" w:sz="4" w:space="0"/>
              <w:right w:val="single" w:color="auto" w:sz="4" w:space="0"/>
            </w:tcBorders>
          </w:tcPr>
          <w:p w14:paraId="3245FBF7">
            <w:pPr>
              <w:snapToGrid w:val="0"/>
              <w:spacing w:before="120" w:beforeLines="50"/>
              <w:jc w:val="center"/>
              <w:rPr>
                <w:rFonts w:ascii="宋体" w:hAnsi="宋体" w:cs="宋体"/>
                <w:color w:val="auto"/>
                <w:sz w:val="24"/>
                <w:highlight w:val="none"/>
              </w:rPr>
            </w:pPr>
          </w:p>
        </w:tc>
      </w:tr>
    </w:tbl>
    <w:p w14:paraId="46F3C0E4">
      <w:pPr>
        <w:pStyle w:val="18"/>
        <w:spacing w:line="360" w:lineRule="exact"/>
        <w:rPr>
          <w:rFonts w:ascii="宋体" w:hAnsi="宋体" w:cs="宋体"/>
          <w:color w:val="auto"/>
          <w:highlight w:val="none"/>
        </w:rPr>
      </w:pPr>
      <w:r>
        <w:rPr>
          <w:rFonts w:hint="eastAsia" w:ascii="宋体" w:hAnsi="宋体" w:cs="宋体"/>
          <w:color w:val="auto"/>
          <w:highlight w:val="none"/>
        </w:rPr>
        <w:t>注：</w:t>
      </w:r>
    </w:p>
    <w:p w14:paraId="103BB7EF">
      <w:pPr>
        <w:pStyle w:val="19"/>
        <w:spacing w:line="360" w:lineRule="exact"/>
        <w:ind w:firstLine="0" w:firstLineChars="0"/>
        <w:rPr>
          <w:rFonts w:ascii="宋体" w:hAnsi="宋体" w:eastAsia="宋体" w:cs="宋体"/>
          <w:color w:val="auto"/>
          <w:szCs w:val="32"/>
          <w:highlight w:val="none"/>
        </w:rPr>
      </w:pPr>
      <w:r>
        <w:rPr>
          <w:rFonts w:hint="eastAsia" w:ascii="宋体" w:hAnsi="宋体" w:eastAsia="宋体" w:cs="宋体"/>
          <w:color w:val="auto"/>
          <w:sz w:val="24"/>
          <w:szCs w:val="24"/>
          <w:highlight w:val="none"/>
        </w:rPr>
        <w:t>说明：应对照招标文件“第二章 采购需求”中的商务要求逐条作明确的投标响应。</w:t>
      </w:r>
    </w:p>
    <w:p w14:paraId="5E0BFBC7">
      <w:pPr>
        <w:snapToGrid w:val="0"/>
        <w:spacing w:before="50" w:after="50" w:line="360" w:lineRule="exact"/>
        <w:rPr>
          <w:rFonts w:ascii="宋体" w:hAnsi="宋体" w:cs="宋体"/>
          <w:color w:val="auto"/>
          <w:sz w:val="24"/>
          <w:highlight w:val="none"/>
        </w:rPr>
      </w:pPr>
    </w:p>
    <w:p w14:paraId="0CC6E4BA">
      <w:pPr>
        <w:snapToGrid w:val="0"/>
        <w:spacing w:before="50" w:after="50" w:line="360" w:lineRule="exact"/>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45416878">
      <w:pPr>
        <w:snapToGrid w:val="0"/>
        <w:spacing w:before="120" w:beforeLines="50" w:line="360" w:lineRule="exact"/>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7951A692">
      <w:pPr>
        <w:snapToGrid w:val="0"/>
        <w:spacing w:before="120" w:beforeLines="50" w:line="360" w:lineRule="exact"/>
        <w:rPr>
          <w:rFonts w:ascii="宋体" w:hAnsi="宋体" w:cs="宋体"/>
          <w:color w:val="auto"/>
          <w:spacing w:val="20"/>
          <w:sz w:val="24"/>
          <w:highlight w:val="none"/>
        </w:rPr>
      </w:pPr>
      <w:r>
        <w:rPr>
          <w:rFonts w:hint="eastAsia" w:ascii="宋体" w:hAnsi="宋体" w:cs="宋体"/>
          <w:color w:val="auto"/>
          <w:spacing w:val="20"/>
          <w:sz w:val="24"/>
          <w:highlight w:val="none"/>
        </w:rPr>
        <w:t>日  期：</w:t>
      </w:r>
    </w:p>
    <w:p w14:paraId="4C702D38">
      <w:pPr>
        <w:snapToGrid w:val="0"/>
        <w:spacing w:before="120" w:beforeLines="50"/>
        <w:rPr>
          <w:rFonts w:ascii="宋体" w:hAnsi="宋体" w:cs="宋体"/>
          <w:b/>
          <w:color w:val="auto"/>
          <w:sz w:val="24"/>
          <w:highlight w:val="none"/>
        </w:rPr>
      </w:pPr>
    </w:p>
    <w:p w14:paraId="068392B1">
      <w:pPr>
        <w:pStyle w:val="2"/>
        <w:rPr>
          <w:color w:val="auto"/>
          <w:highlight w:val="none"/>
        </w:rPr>
      </w:pPr>
    </w:p>
    <w:p w14:paraId="009F3F83">
      <w:pPr>
        <w:snapToGrid w:val="0"/>
        <w:spacing w:before="120" w:beforeLines="50"/>
        <w:rPr>
          <w:rFonts w:ascii="宋体" w:hAnsi="宋体" w:cs="宋体"/>
          <w:b/>
          <w:color w:val="auto"/>
          <w:sz w:val="24"/>
          <w:highlight w:val="none"/>
        </w:rPr>
      </w:pPr>
    </w:p>
    <w:p w14:paraId="78542255">
      <w:pPr>
        <w:snapToGrid w:val="0"/>
        <w:spacing w:before="120" w:beforeLines="50"/>
        <w:rPr>
          <w:rFonts w:ascii="宋体" w:hAnsi="宋体" w:cs="宋体"/>
          <w:b/>
          <w:color w:val="auto"/>
          <w:sz w:val="24"/>
          <w:highlight w:val="none"/>
        </w:rPr>
      </w:pPr>
      <w:r>
        <w:rPr>
          <w:rFonts w:hint="eastAsia" w:ascii="宋体" w:hAnsi="宋体" w:cs="宋体"/>
          <w:b/>
          <w:color w:val="auto"/>
          <w:sz w:val="24"/>
          <w:highlight w:val="none"/>
        </w:rPr>
        <w:t>安装实施方案格式</w:t>
      </w:r>
    </w:p>
    <w:p w14:paraId="4EB61B5A">
      <w:pPr>
        <w:snapToGrid w:val="0"/>
        <w:spacing w:before="120" w:beforeLines="50"/>
        <w:jc w:val="center"/>
        <w:rPr>
          <w:rFonts w:ascii="宋体" w:hAnsi="宋体" w:cs="宋体"/>
          <w:b/>
          <w:color w:val="auto"/>
          <w:sz w:val="36"/>
          <w:szCs w:val="36"/>
          <w:highlight w:val="none"/>
        </w:rPr>
      </w:pPr>
      <w:r>
        <w:rPr>
          <w:rFonts w:hint="eastAsia" w:ascii="宋体" w:hAnsi="宋体" w:cs="宋体"/>
          <w:b/>
          <w:color w:val="auto"/>
          <w:sz w:val="36"/>
          <w:szCs w:val="36"/>
          <w:highlight w:val="none"/>
        </w:rPr>
        <w:t>安装实施方案</w:t>
      </w:r>
    </w:p>
    <w:p w14:paraId="3B443678">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一、安装方案</w:t>
      </w:r>
    </w:p>
    <w:p w14:paraId="42EA6D37">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w:t>
      </w:r>
    </w:p>
    <w:p w14:paraId="366CA5BB">
      <w:pPr>
        <w:snapToGrid w:val="0"/>
        <w:spacing w:before="120" w:beforeLines="50"/>
        <w:rPr>
          <w:rFonts w:ascii="宋体" w:hAnsi="宋体" w:cs="宋体"/>
          <w:bCs/>
          <w:color w:val="auto"/>
          <w:szCs w:val="21"/>
          <w:highlight w:val="none"/>
        </w:rPr>
      </w:pPr>
    </w:p>
    <w:p w14:paraId="011ECD1B">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二、设备调试方案</w:t>
      </w:r>
    </w:p>
    <w:p w14:paraId="15AF33F1">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w:t>
      </w:r>
    </w:p>
    <w:p w14:paraId="7D6861B1">
      <w:pPr>
        <w:snapToGrid w:val="0"/>
        <w:spacing w:before="120" w:beforeLines="50"/>
        <w:rPr>
          <w:rFonts w:ascii="宋体" w:hAnsi="宋体" w:cs="宋体"/>
          <w:bCs/>
          <w:color w:val="auto"/>
          <w:szCs w:val="21"/>
          <w:highlight w:val="none"/>
        </w:rPr>
      </w:pPr>
    </w:p>
    <w:p w14:paraId="2878B109">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三、设备试运行方案等</w:t>
      </w:r>
    </w:p>
    <w:p w14:paraId="392C6D87">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w:t>
      </w:r>
    </w:p>
    <w:p w14:paraId="7872A3EA">
      <w:pPr>
        <w:snapToGrid w:val="0"/>
        <w:spacing w:before="50" w:after="50"/>
        <w:rPr>
          <w:rFonts w:ascii="宋体" w:hAnsi="宋体" w:cs="宋体"/>
          <w:color w:val="auto"/>
          <w:sz w:val="24"/>
          <w:highlight w:val="none"/>
        </w:rPr>
      </w:pPr>
    </w:p>
    <w:p w14:paraId="610739F9">
      <w:pPr>
        <w:snapToGrid w:val="0"/>
        <w:spacing w:before="50" w:after="50"/>
        <w:rPr>
          <w:rFonts w:ascii="宋体" w:hAnsi="宋体" w:cs="宋体"/>
          <w:color w:val="auto"/>
          <w:sz w:val="24"/>
          <w:highlight w:val="none"/>
        </w:rPr>
      </w:pPr>
    </w:p>
    <w:p w14:paraId="6D47E9EF">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7AE665EA">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73E0B804">
      <w:pPr>
        <w:snapToGrid w:val="0"/>
        <w:spacing w:before="120" w:beforeLines="50"/>
        <w:rPr>
          <w:rFonts w:ascii="宋体" w:hAnsi="宋体" w:cs="宋体"/>
          <w:color w:val="auto"/>
          <w:spacing w:val="20"/>
          <w:sz w:val="24"/>
          <w:highlight w:val="none"/>
          <w:u w:val="single"/>
        </w:rPr>
      </w:pPr>
      <w:r>
        <w:rPr>
          <w:rFonts w:hint="eastAsia" w:ascii="宋体" w:hAnsi="宋体" w:cs="宋体"/>
          <w:color w:val="auto"/>
          <w:spacing w:val="20"/>
          <w:sz w:val="24"/>
          <w:highlight w:val="none"/>
        </w:rPr>
        <w:t>日  期：</w:t>
      </w:r>
    </w:p>
    <w:p w14:paraId="0F0074F5">
      <w:pPr>
        <w:pStyle w:val="57"/>
        <w:ind w:firstLine="420"/>
        <w:rPr>
          <w:rFonts w:ascii="宋体" w:hAnsi="宋体" w:cs="宋体"/>
          <w:color w:val="auto"/>
          <w:highlight w:val="none"/>
        </w:rPr>
      </w:pPr>
    </w:p>
    <w:p w14:paraId="1F938617">
      <w:pPr>
        <w:snapToGrid w:val="0"/>
        <w:spacing w:before="120" w:beforeLines="50"/>
        <w:rPr>
          <w:rFonts w:ascii="宋体" w:hAnsi="宋体" w:cs="宋体"/>
          <w:color w:val="auto"/>
          <w:spacing w:val="20"/>
          <w:sz w:val="24"/>
          <w:highlight w:val="none"/>
          <w:u w:val="single"/>
        </w:rPr>
      </w:pPr>
      <w:r>
        <w:rPr>
          <w:rFonts w:hint="eastAsia" w:ascii="宋体" w:hAnsi="宋体" w:cs="宋体"/>
          <w:b/>
          <w:color w:val="auto"/>
          <w:sz w:val="24"/>
          <w:highlight w:val="none"/>
        </w:rPr>
        <w:t>增值售后服务方案格式</w:t>
      </w:r>
    </w:p>
    <w:p w14:paraId="798BE4D6">
      <w:pPr>
        <w:snapToGrid w:val="0"/>
        <w:spacing w:before="120" w:beforeLines="50"/>
        <w:jc w:val="center"/>
        <w:rPr>
          <w:rFonts w:ascii="宋体" w:hAnsi="宋体" w:cs="宋体"/>
          <w:b/>
          <w:color w:val="auto"/>
          <w:sz w:val="36"/>
          <w:szCs w:val="36"/>
          <w:highlight w:val="none"/>
        </w:rPr>
      </w:pPr>
    </w:p>
    <w:p w14:paraId="06D6E6B3">
      <w:pPr>
        <w:snapToGrid w:val="0"/>
        <w:spacing w:before="120" w:beforeLines="50"/>
        <w:jc w:val="center"/>
        <w:rPr>
          <w:rFonts w:ascii="宋体" w:hAnsi="宋体" w:cs="宋体"/>
          <w:b/>
          <w:color w:val="auto"/>
          <w:spacing w:val="20"/>
          <w:sz w:val="36"/>
          <w:szCs w:val="36"/>
          <w:highlight w:val="none"/>
          <w:u w:val="single"/>
        </w:rPr>
      </w:pPr>
      <w:r>
        <w:rPr>
          <w:rFonts w:hint="eastAsia" w:ascii="宋体" w:hAnsi="宋体" w:cs="宋体"/>
          <w:b/>
          <w:color w:val="auto"/>
          <w:sz w:val="36"/>
          <w:szCs w:val="36"/>
          <w:highlight w:val="none"/>
        </w:rPr>
        <w:t>增值售后服务方案</w:t>
      </w:r>
    </w:p>
    <w:p w14:paraId="7D5D055D">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一、到达故障现场时间、故障出现解决方案</w:t>
      </w:r>
    </w:p>
    <w:p w14:paraId="74A3C4A8">
      <w:pPr>
        <w:snapToGrid w:val="0"/>
        <w:spacing w:before="120" w:beforeLines="50"/>
        <w:rPr>
          <w:rFonts w:ascii="宋体" w:hAnsi="宋体" w:cs="宋体"/>
          <w:bCs/>
          <w:color w:val="auto"/>
          <w:szCs w:val="21"/>
          <w:highlight w:val="none"/>
        </w:rPr>
      </w:pPr>
      <w:r>
        <w:rPr>
          <w:rFonts w:hint="eastAsia" w:ascii="宋体" w:hAnsi="宋体" w:cs="宋体"/>
          <w:b/>
          <w:bCs/>
          <w:color w:val="auto"/>
          <w:szCs w:val="21"/>
          <w:highlight w:val="none"/>
        </w:rPr>
        <w:t>.......</w:t>
      </w:r>
    </w:p>
    <w:p w14:paraId="49BC553F">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二、定期维护 (注明时间)</w:t>
      </w:r>
    </w:p>
    <w:p w14:paraId="591F213C">
      <w:pPr>
        <w:snapToGrid w:val="0"/>
        <w:spacing w:before="120" w:beforeLines="50"/>
        <w:rPr>
          <w:rFonts w:ascii="宋体" w:hAnsi="宋体" w:cs="宋体"/>
          <w:bCs/>
          <w:color w:val="auto"/>
          <w:szCs w:val="21"/>
          <w:highlight w:val="none"/>
        </w:rPr>
      </w:pPr>
      <w:r>
        <w:rPr>
          <w:rFonts w:hint="eastAsia" w:ascii="宋体" w:hAnsi="宋体" w:cs="宋体"/>
          <w:b/>
          <w:bCs/>
          <w:color w:val="auto"/>
          <w:szCs w:val="21"/>
          <w:highlight w:val="none"/>
        </w:rPr>
        <w:t>.......</w:t>
      </w:r>
    </w:p>
    <w:p w14:paraId="1A4AE25A">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三、技术培训方案</w:t>
      </w:r>
    </w:p>
    <w:p w14:paraId="45DA4B38">
      <w:pPr>
        <w:snapToGrid w:val="0"/>
        <w:spacing w:before="120" w:beforeLines="50"/>
        <w:rPr>
          <w:rFonts w:ascii="宋体" w:hAnsi="宋体" w:cs="宋体"/>
          <w:bCs/>
          <w:color w:val="auto"/>
          <w:szCs w:val="21"/>
          <w:highlight w:val="none"/>
        </w:rPr>
      </w:pPr>
      <w:r>
        <w:rPr>
          <w:rFonts w:hint="eastAsia" w:ascii="宋体" w:hAnsi="宋体" w:cs="宋体"/>
          <w:b/>
          <w:bCs/>
          <w:color w:val="auto"/>
          <w:szCs w:val="21"/>
          <w:highlight w:val="none"/>
        </w:rPr>
        <w:t>.......</w:t>
      </w:r>
    </w:p>
    <w:p w14:paraId="628489D8">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四、保修期外维修方案</w:t>
      </w:r>
    </w:p>
    <w:p w14:paraId="11A90FE5">
      <w:pPr>
        <w:snapToGrid w:val="0"/>
        <w:spacing w:before="120" w:beforeLines="50"/>
        <w:rPr>
          <w:rFonts w:ascii="宋体" w:hAnsi="宋体" w:cs="宋体"/>
          <w:bCs/>
          <w:color w:val="auto"/>
          <w:szCs w:val="21"/>
          <w:highlight w:val="none"/>
        </w:rPr>
      </w:pPr>
      <w:r>
        <w:rPr>
          <w:rFonts w:hint="eastAsia" w:ascii="宋体" w:hAnsi="宋体" w:cs="宋体"/>
          <w:b/>
          <w:bCs/>
          <w:color w:val="auto"/>
          <w:szCs w:val="21"/>
          <w:highlight w:val="none"/>
        </w:rPr>
        <w:t>.......</w:t>
      </w:r>
    </w:p>
    <w:p w14:paraId="1DD3714D">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五、售后服务措施及其他优惠措施</w:t>
      </w:r>
    </w:p>
    <w:p w14:paraId="53AE57C9">
      <w:pPr>
        <w:snapToGrid w:val="0"/>
        <w:spacing w:before="120" w:beforeLines="50"/>
        <w:rPr>
          <w:rFonts w:ascii="宋体" w:hAnsi="宋体" w:cs="宋体"/>
          <w:bCs/>
          <w:color w:val="auto"/>
          <w:szCs w:val="21"/>
          <w:highlight w:val="none"/>
        </w:rPr>
      </w:pPr>
      <w:r>
        <w:rPr>
          <w:rFonts w:hint="eastAsia" w:ascii="宋体" w:hAnsi="宋体" w:cs="宋体"/>
          <w:b/>
          <w:bCs/>
          <w:color w:val="auto"/>
          <w:szCs w:val="21"/>
          <w:highlight w:val="none"/>
        </w:rPr>
        <w:t>.......</w:t>
      </w:r>
    </w:p>
    <w:p w14:paraId="626A986D">
      <w:pPr>
        <w:snapToGrid w:val="0"/>
        <w:spacing w:before="120" w:beforeLines="50"/>
        <w:rPr>
          <w:rFonts w:ascii="宋体" w:hAnsi="宋体" w:cs="宋体"/>
          <w:color w:val="auto"/>
          <w:sz w:val="24"/>
          <w:szCs w:val="20"/>
          <w:highlight w:val="none"/>
        </w:rPr>
      </w:pPr>
    </w:p>
    <w:p w14:paraId="2E6688B5">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2E974BF1">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7D491B43">
      <w:pPr>
        <w:snapToGrid w:val="0"/>
        <w:spacing w:before="120" w:beforeLines="50"/>
        <w:rPr>
          <w:rFonts w:ascii="宋体" w:hAnsi="宋体" w:cs="宋体"/>
          <w:color w:val="auto"/>
          <w:spacing w:val="20"/>
          <w:sz w:val="24"/>
          <w:highlight w:val="none"/>
          <w:u w:val="single"/>
        </w:rPr>
      </w:pPr>
      <w:r>
        <w:rPr>
          <w:rFonts w:hint="eastAsia" w:ascii="宋体" w:hAnsi="宋体" w:cs="宋体"/>
          <w:color w:val="auto"/>
          <w:spacing w:val="20"/>
          <w:sz w:val="24"/>
          <w:highlight w:val="none"/>
        </w:rPr>
        <w:t>日  期：</w:t>
      </w:r>
    </w:p>
    <w:p w14:paraId="78A7DAD0">
      <w:pPr>
        <w:snapToGrid w:val="0"/>
        <w:spacing w:before="120" w:beforeLines="50" w:after="50"/>
        <w:jc w:val="left"/>
        <w:rPr>
          <w:rFonts w:ascii="宋体" w:hAnsi="宋体" w:cs="宋体"/>
          <w:b/>
          <w:color w:val="auto"/>
          <w:sz w:val="24"/>
          <w:highlight w:val="none"/>
        </w:rPr>
      </w:pPr>
    </w:p>
    <w:p w14:paraId="5A8258F8">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t>投标人业绩证明材料</w:t>
      </w:r>
    </w:p>
    <w:p w14:paraId="559C023A">
      <w:pPr>
        <w:pStyle w:val="35"/>
        <w:snapToGrid w:val="0"/>
        <w:ind w:left="480" w:hanging="480"/>
        <w:rPr>
          <w:rFonts w:ascii="宋体" w:hAnsi="宋体" w:cs="宋体"/>
          <w:color w:val="auto"/>
          <w:sz w:val="24"/>
          <w:highlight w:val="none"/>
        </w:rPr>
      </w:pPr>
    </w:p>
    <w:p w14:paraId="5D0E46A2">
      <w:pPr>
        <w:pStyle w:val="35"/>
        <w:snapToGrid w:val="0"/>
        <w:ind w:left="480" w:hanging="480"/>
        <w:rPr>
          <w:rFonts w:ascii="宋体" w:hAnsi="宋体" w:cs="宋体"/>
          <w:color w:val="auto"/>
          <w:sz w:val="24"/>
          <w:highlight w:val="none"/>
        </w:rPr>
      </w:pPr>
      <w:r>
        <w:rPr>
          <w:rFonts w:hint="eastAsia" w:ascii="宋体" w:hAnsi="宋体" w:cs="宋体"/>
          <w:color w:val="auto"/>
          <w:sz w:val="24"/>
          <w:highlight w:val="none"/>
        </w:rPr>
        <w:t xml:space="preserve">业绩情况一览表格式： </w:t>
      </w:r>
    </w:p>
    <w:tbl>
      <w:tblPr>
        <w:tblStyle w:val="4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67484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07B88D58">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4E13304D">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5130D0D0">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合同金额</w:t>
            </w:r>
          </w:p>
          <w:p w14:paraId="58C7A968">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7EBADF8E">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w:t>
            </w:r>
          </w:p>
          <w:p w14:paraId="621F568D">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r>
      <w:tr w14:paraId="7C514E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5A82584F">
            <w:pPr>
              <w:jc w:val="left"/>
              <w:rPr>
                <w:rFonts w:ascii="宋体" w:hAnsi="宋体" w:cs="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5582B161">
            <w:pPr>
              <w:jc w:val="left"/>
              <w:rPr>
                <w:rFonts w:ascii="宋体" w:hAnsi="宋体" w:cs="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11DBB88C">
            <w:pPr>
              <w:jc w:val="left"/>
              <w:rPr>
                <w:rFonts w:ascii="宋体" w:hAnsi="宋体" w:cs="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35439253">
            <w:pPr>
              <w:jc w:val="left"/>
              <w:rPr>
                <w:rFonts w:ascii="宋体" w:hAnsi="宋体" w:cs="宋体"/>
                <w:color w:val="auto"/>
                <w:sz w:val="24"/>
                <w:highlight w:val="none"/>
              </w:rPr>
            </w:pPr>
          </w:p>
        </w:tc>
      </w:tr>
      <w:tr w14:paraId="7F836F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5632B2E7">
            <w:pPr>
              <w:snapToGrid w:val="0"/>
              <w:spacing w:line="24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2062BCB">
            <w:pPr>
              <w:snapToGrid w:val="0"/>
              <w:spacing w:line="24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1CB0FD1">
            <w:pPr>
              <w:snapToGrid w:val="0"/>
              <w:spacing w:line="24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162AB58C">
            <w:pPr>
              <w:snapToGrid w:val="0"/>
              <w:spacing w:line="240" w:lineRule="exact"/>
              <w:jc w:val="left"/>
              <w:rPr>
                <w:rFonts w:ascii="宋体" w:hAnsi="宋体" w:cs="宋体"/>
                <w:color w:val="auto"/>
                <w:sz w:val="24"/>
                <w:highlight w:val="none"/>
              </w:rPr>
            </w:pPr>
          </w:p>
        </w:tc>
      </w:tr>
      <w:tr w14:paraId="08BC25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705E8765">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57D1D1B">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BD298E8">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3940DF1D">
            <w:pPr>
              <w:snapToGrid w:val="0"/>
              <w:spacing w:before="50" w:after="120" w:afterLines="50" w:line="400" w:lineRule="exact"/>
              <w:jc w:val="left"/>
              <w:rPr>
                <w:rFonts w:ascii="宋体" w:hAnsi="宋体" w:cs="宋体"/>
                <w:color w:val="auto"/>
                <w:sz w:val="24"/>
                <w:highlight w:val="none"/>
              </w:rPr>
            </w:pPr>
          </w:p>
        </w:tc>
      </w:tr>
      <w:tr w14:paraId="14F633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34F43118">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70C3A8A">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4B2E8B49">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53A2507A">
            <w:pPr>
              <w:snapToGrid w:val="0"/>
              <w:spacing w:before="50" w:after="120" w:afterLines="50" w:line="400" w:lineRule="exact"/>
              <w:jc w:val="left"/>
              <w:rPr>
                <w:rFonts w:ascii="宋体" w:hAnsi="宋体" w:cs="宋体"/>
                <w:color w:val="auto"/>
                <w:sz w:val="24"/>
                <w:highlight w:val="none"/>
              </w:rPr>
            </w:pPr>
          </w:p>
        </w:tc>
      </w:tr>
      <w:tr w14:paraId="4BC640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442E5DB9">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41CE4DA9">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28622DD">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0EF4434B">
            <w:pPr>
              <w:snapToGrid w:val="0"/>
              <w:spacing w:before="50" w:after="120" w:afterLines="50" w:line="400" w:lineRule="exact"/>
              <w:jc w:val="left"/>
              <w:rPr>
                <w:rFonts w:ascii="宋体" w:hAnsi="宋体" w:cs="宋体"/>
                <w:color w:val="auto"/>
                <w:sz w:val="24"/>
                <w:highlight w:val="none"/>
              </w:rPr>
            </w:pPr>
          </w:p>
        </w:tc>
      </w:tr>
      <w:tr w14:paraId="1CFC6E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0FB4C1A7">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475CE14">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66FA7C3">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1483BD28">
            <w:pPr>
              <w:snapToGrid w:val="0"/>
              <w:spacing w:before="50" w:after="120" w:afterLines="50" w:line="400" w:lineRule="exact"/>
              <w:jc w:val="left"/>
              <w:rPr>
                <w:rFonts w:ascii="宋体" w:hAnsi="宋体" w:cs="宋体"/>
                <w:color w:val="auto"/>
                <w:sz w:val="24"/>
                <w:highlight w:val="none"/>
              </w:rPr>
            </w:pPr>
          </w:p>
        </w:tc>
      </w:tr>
    </w:tbl>
    <w:p w14:paraId="1B330B42">
      <w:pPr>
        <w:pStyle w:val="15"/>
        <w:spacing w:before="0" w:after="0" w:line="360" w:lineRule="auto"/>
        <w:contextualSpacing/>
        <w:rPr>
          <w:rFonts w:ascii="宋体" w:hAnsi="宋体" w:eastAsia="宋体" w:cs="宋体"/>
          <w:color w:val="auto"/>
          <w:sz w:val="24"/>
          <w:szCs w:val="24"/>
          <w:highlight w:val="none"/>
        </w:rPr>
      </w:pPr>
    </w:p>
    <w:p w14:paraId="1043AE95">
      <w:pPr>
        <w:pStyle w:val="15"/>
        <w:spacing w:before="0" w:after="0"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highlight w:val="none"/>
        </w:rPr>
        <w:t>投标人根据评标标准具体要求附业绩证明材料。</w:t>
      </w:r>
    </w:p>
    <w:p w14:paraId="0F8D482C">
      <w:pPr>
        <w:pStyle w:val="15"/>
        <w:spacing w:before="0" w:after="0" w:line="360" w:lineRule="auto"/>
        <w:contextualSpacing/>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法定代表人或者委托代理人（签字或者电子签名）：</w:t>
      </w:r>
      <w:r>
        <w:rPr>
          <w:rFonts w:hint="eastAsia" w:ascii="宋体" w:hAnsi="宋体" w:eastAsia="宋体" w:cs="宋体"/>
          <w:color w:val="auto"/>
          <w:sz w:val="24"/>
          <w:szCs w:val="24"/>
          <w:highlight w:val="none"/>
          <w:u w:val="single"/>
        </w:rPr>
        <w:t>　　　　　</w:t>
      </w:r>
    </w:p>
    <w:p w14:paraId="3A1682BF">
      <w:pPr>
        <w:spacing w:line="360" w:lineRule="auto"/>
        <w:ind w:right="480"/>
        <w:contextualSpacing/>
        <w:jc w:val="left"/>
        <w:rPr>
          <w:rFonts w:ascii="宋体" w:hAnsi="宋体" w:cs="宋体"/>
          <w:color w:val="auto"/>
          <w:sz w:val="24"/>
          <w:szCs w:val="20"/>
          <w:highlight w:val="none"/>
        </w:rPr>
      </w:pPr>
      <w:r>
        <w:rPr>
          <w:rFonts w:hint="eastAsia" w:ascii="宋体" w:hAnsi="宋体" w:cs="宋体"/>
          <w:color w:val="auto"/>
          <w:sz w:val="24"/>
          <w:highlight w:val="none"/>
        </w:rPr>
        <w:t>投标人名称（电子签章）：                                                               年    月    日</w:t>
      </w:r>
    </w:p>
    <w:p w14:paraId="0CA2AD29">
      <w:pPr>
        <w:snapToGrid w:val="0"/>
        <w:spacing w:before="50"/>
        <w:ind w:firstLine="480" w:firstLineChars="200"/>
        <w:jc w:val="left"/>
        <w:rPr>
          <w:rFonts w:ascii="宋体" w:hAnsi="宋体" w:cs="宋体"/>
          <w:color w:val="auto"/>
          <w:sz w:val="24"/>
          <w:szCs w:val="20"/>
          <w:highlight w:val="none"/>
        </w:rPr>
      </w:pPr>
    </w:p>
    <w:p w14:paraId="57D9B437">
      <w:pPr>
        <w:snapToGrid w:val="0"/>
        <w:spacing w:before="50"/>
        <w:jc w:val="left"/>
        <w:rPr>
          <w:rFonts w:ascii="宋体" w:hAnsi="宋体" w:cs="宋体"/>
          <w:color w:val="auto"/>
          <w:sz w:val="24"/>
          <w:highlight w:val="none"/>
        </w:rPr>
      </w:pPr>
    </w:p>
    <w:p w14:paraId="55E39645">
      <w:pPr>
        <w:snapToGrid w:val="0"/>
        <w:spacing w:before="120" w:beforeLines="50"/>
        <w:rPr>
          <w:rFonts w:ascii="宋体" w:hAnsi="宋体" w:cs="宋体"/>
          <w:color w:val="auto"/>
          <w:sz w:val="24"/>
          <w:szCs w:val="20"/>
          <w:highlight w:val="none"/>
        </w:rPr>
        <w:sectPr>
          <w:pgSz w:w="11906" w:h="16838"/>
          <w:pgMar w:top="1440" w:right="1797" w:bottom="1440" w:left="1797" w:header="851" w:footer="992" w:gutter="0"/>
          <w:cols w:space="720" w:num="1"/>
          <w:docGrid w:linePitch="312" w:charSpace="0"/>
        </w:sectPr>
      </w:pPr>
    </w:p>
    <w:p w14:paraId="1708AB50">
      <w:pPr>
        <w:rPr>
          <w:rFonts w:ascii="宋体" w:hAnsi="宋体" w:cs="宋体"/>
          <w:b/>
          <w:color w:val="auto"/>
          <w:sz w:val="28"/>
          <w:szCs w:val="28"/>
          <w:highlight w:val="none"/>
        </w:rPr>
      </w:pPr>
      <w:r>
        <w:rPr>
          <w:rFonts w:hint="eastAsia" w:ascii="宋体" w:hAnsi="宋体" w:cs="宋体"/>
          <w:b/>
          <w:color w:val="auto"/>
          <w:sz w:val="28"/>
          <w:szCs w:val="28"/>
          <w:highlight w:val="none"/>
        </w:rPr>
        <w:t>四、技术文件格式</w:t>
      </w:r>
    </w:p>
    <w:p w14:paraId="42A0D229">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 xml:space="preserve">1. 技术文件封面格式： </w:t>
      </w:r>
    </w:p>
    <w:p w14:paraId="2EAB4E48">
      <w:pPr>
        <w:snapToGrid w:val="0"/>
        <w:spacing w:before="120" w:beforeLines="50" w:after="50" w:line="360" w:lineRule="auto"/>
        <w:ind w:left="142"/>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7CE6DC65">
      <w:pPr>
        <w:snapToGrid w:val="0"/>
        <w:spacing w:before="120" w:beforeLines="50" w:after="5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技术文件</w:t>
      </w:r>
    </w:p>
    <w:p w14:paraId="3FA21065">
      <w:pPr>
        <w:snapToGrid w:val="0"/>
        <w:spacing w:before="120" w:beforeLines="50" w:after="50"/>
        <w:rPr>
          <w:rFonts w:ascii="宋体" w:hAnsi="宋体" w:cs="宋体"/>
          <w:bCs/>
          <w:color w:val="auto"/>
          <w:sz w:val="24"/>
          <w:szCs w:val="20"/>
          <w:highlight w:val="none"/>
        </w:rPr>
      </w:pPr>
    </w:p>
    <w:p w14:paraId="475BB65A">
      <w:pPr>
        <w:snapToGrid w:val="0"/>
        <w:spacing w:before="120" w:beforeLines="50" w:after="50" w:line="400" w:lineRule="exact"/>
        <w:ind w:firstLine="360" w:firstLineChars="150"/>
        <w:rPr>
          <w:rFonts w:ascii="宋体" w:hAnsi="宋体" w:cs="宋体"/>
          <w:bCs/>
          <w:color w:val="auto"/>
          <w:sz w:val="24"/>
          <w:szCs w:val="20"/>
          <w:highlight w:val="none"/>
        </w:rPr>
      </w:pPr>
      <w:r>
        <w:rPr>
          <w:rFonts w:hint="eastAsia" w:ascii="宋体" w:hAnsi="宋体" w:cs="宋体"/>
          <w:bCs/>
          <w:color w:val="auto"/>
          <w:sz w:val="24"/>
          <w:highlight w:val="none"/>
        </w:rPr>
        <w:t xml:space="preserve">项目名称： </w:t>
      </w:r>
    </w:p>
    <w:p w14:paraId="246F755C">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62F61C04">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169DBE3E">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3C97FC82">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2DBED29B">
      <w:pPr>
        <w:snapToGrid w:val="0"/>
        <w:spacing w:before="120" w:beforeLines="50" w:after="50"/>
        <w:ind w:firstLine="645"/>
        <w:jc w:val="center"/>
        <w:rPr>
          <w:rFonts w:ascii="宋体" w:hAnsi="宋体" w:cs="宋体"/>
          <w:color w:val="auto"/>
          <w:sz w:val="24"/>
          <w:szCs w:val="20"/>
          <w:highlight w:val="none"/>
        </w:rPr>
      </w:pPr>
    </w:p>
    <w:p w14:paraId="0CA253D0">
      <w:pPr>
        <w:snapToGrid w:val="0"/>
        <w:spacing w:before="120" w:beforeLines="50" w:after="50"/>
        <w:ind w:left="142"/>
        <w:jc w:val="left"/>
        <w:rPr>
          <w:rFonts w:ascii="宋体" w:hAnsi="宋体" w:cs="宋体"/>
          <w:b/>
          <w:color w:val="auto"/>
          <w:sz w:val="24"/>
          <w:highlight w:val="none"/>
        </w:rPr>
      </w:pPr>
      <w:r>
        <w:rPr>
          <w:rFonts w:hint="eastAsia" w:ascii="宋体" w:hAnsi="宋体" w:cs="宋体"/>
          <w:b/>
          <w:bCs/>
          <w:color w:val="auto"/>
          <w:sz w:val="24"/>
          <w:highlight w:val="none"/>
        </w:rPr>
        <w:br w:type="page"/>
      </w:r>
      <w:r>
        <w:rPr>
          <w:rFonts w:hint="eastAsia" w:ascii="宋体" w:hAnsi="宋体" w:cs="宋体"/>
          <w:b/>
          <w:color w:val="auto"/>
          <w:sz w:val="24"/>
          <w:highlight w:val="none"/>
        </w:rPr>
        <w:t>2.技术文件目录</w:t>
      </w:r>
    </w:p>
    <w:p w14:paraId="4A75FB53">
      <w:pPr>
        <w:snapToGrid w:val="0"/>
        <w:spacing w:before="50" w:after="120" w:afterLines="50"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根据招标文件规定及投标人提供的材料自行编写目录。</w:t>
      </w:r>
    </w:p>
    <w:p w14:paraId="2B3771CD">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部分技术文件格式</w:t>
      </w:r>
    </w:p>
    <w:p w14:paraId="0915865D">
      <w:pPr>
        <w:snapToGrid w:val="0"/>
        <w:spacing w:before="120" w:beforeLines="50" w:after="50"/>
        <w:ind w:left="142"/>
        <w:jc w:val="left"/>
        <w:rPr>
          <w:rFonts w:ascii="宋体" w:hAnsi="宋体" w:cs="宋体"/>
          <w:b/>
          <w:color w:val="auto"/>
          <w:sz w:val="24"/>
          <w:highlight w:val="none"/>
        </w:rPr>
      </w:pPr>
    </w:p>
    <w:p w14:paraId="19D05CCD">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技术要求偏离表</w:t>
      </w:r>
    </w:p>
    <w:p w14:paraId="6984F518">
      <w:pPr>
        <w:snapToGrid w:val="0"/>
        <w:spacing w:before="120" w:beforeLines="50" w:after="50"/>
        <w:ind w:left="142"/>
        <w:jc w:val="left"/>
        <w:rPr>
          <w:rFonts w:ascii="宋体" w:hAnsi="宋体" w:cs="宋体"/>
          <w:b/>
          <w:color w:val="auto"/>
          <w:sz w:val="24"/>
          <w:highlight w:val="none"/>
        </w:rPr>
      </w:pPr>
    </w:p>
    <w:p w14:paraId="2CBB84A5">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技术要求偏离表</w:t>
      </w:r>
    </w:p>
    <w:tbl>
      <w:tblPr>
        <w:tblStyle w:val="47"/>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303"/>
        <w:gridCol w:w="1834"/>
        <w:gridCol w:w="2181"/>
        <w:gridCol w:w="1934"/>
      </w:tblGrid>
      <w:tr w14:paraId="73CBA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jc w:val="center"/>
        </w:trPr>
        <w:tc>
          <w:tcPr>
            <w:tcW w:w="655" w:type="dxa"/>
            <w:vAlign w:val="center"/>
          </w:tcPr>
          <w:p w14:paraId="30DC6923">
            <w:pPr>
              <w:pStyle w:val="24"/>
              <w:spacing w:line="400" w:lineRule="exact"/>
              <w:jc w:val="center"/>
              <w:rPr>
                <w:rFonts w:hAnsi="宋体" w:cs="宋体"/>
                <w:color w:val="auto"/>
                <w:kern w:val="2"/>
                <w:sz w:val="24"/>
                <w:highlight w:val="none"/>
              </w:rPr>
            </w:pPr>
            <w:r>
              <w:rPr>
                <w:rFonts w:hint="eastAsia" w:hAnsi="宋体" w:cs="宋体"/>
                <w:color w:val="auto"/>
                <w:kern w:val="2"/>
                <w:sz w:val="24"/>
                <w:highlight w:val="none"/>
              </w:rPr>
              <w:t>项号</w:t>
            </w:r>
          </w:p>
        </w:tc>
        <w:tc>
          <w:tcPr>
            <w:tcW w:w="2303" w:type="dxa"/>
            <w:vAlign w:val="center"/>
          </w:tcPr>
          <w:p w14:paraId="12BA2A3A">
            <w:pPr>
              <w:pStyle w:val="24"/>
              <w:spacing w:line="400" w:lineRule="exact"/>
              <w:jc w:val="center"/>
              <w:rPr>
                <w:rFonts w:hAnsi="宋体" w:cs="宋体"/>
                <w:color w:val="auto"/>
                <w:kern w:val="2"/>
                <w:sz w:val="24"/>
                <w:highlight w:val="none"/>
              </w:rPr>
            </w:pPr>
            <w:r>
              <w:rPr>
                <w:rFonts w:hint="eastAsia" w:hAnsi="宋体" w:cs="宋体"/>
                <w:color w:val="auto"/>
                <w:kern w:val="2"/>
                <w:sz w:val="24"/>
                <w:highlight w:val="none"/>
              </w:rPr>
              <w:t>标的的名称</w:t>
            </w:r>
          </w:p>
        </w:tc>
        <w:tc>
          <w:tcPr>
            <w:tcW w:w="1834" w:type="dxa"/>
            <w:vAlign w:val="center"/>
          </w:tcPr>
          <w:p w14:paraId="0AF2A3A1">
            <w:pPr>
              <w:pStyle w:val="24"/>
              <w:spacing w:line="400" w:lineRule="exact"/>
              <w:jc w:val="center"/>
              <w:rPr>
                <w:rFonts w:hAnsi="宋体" w:cs="宋体"/>
                <w:color w:val="auto"/>
                <w:kern w:val="2"/>
                <w:sz w:val="24"/>
                <w:highlight w:val="none"/>
              </w:rPr>
            </w:pPr>
            <w:r>
              <w:rPr>
                <w:rFonts w:hint="eastAsia" w:hAnsi="宋体" w:cs="宋体"/>
                <w:color w:val="auto"/>
                <w:kern w:val="2"/>
                <w:sz w:val="24"/>
                <w:highlight w:val="none"/>
              </w:rPr>
              <w:t>技术要求</w:t>
            </w:r>
          </w:p>
        </w:tc>
        <w:tc>
          <w:tcPr>
            <w:tcW w:w="2181" w:type="dxa"/>
            <w:vAlign w:val="center"/>
          </w:tcPr>
          <w:p w14:paraId="197BFF94">
            <w:pPr>
              <w:pStyle w:val="24"/>
              <w:spacing w:line="400" w:lineRule="exact"/>
              <w:jc w:val="center"/>
              <w:rPr>
                <w:rFonts w:hAnsi="宋体" w:cs="宋体"/>
                <w:color w:val="auto"/>
                <w:kern w:val="2"/>
                <w:sz w:val="24"/>
                <w:highlight w:val="none"/>
              </w:rPr>
            </w:pPr>
            <w:r>
              <w:rPr>
                <w:rFonts w:hint="eastAsia" w:hAnsi="宋体" w:cs="宋体"/>
                <w:color w:val="auto"/>
                <w:kern w:val="2"/>
                <w:sz w:val="24"/>
                <w:highlight w:val="none"/>
              </w:rPr>
              <w:t>投标响应</w:t>
            </w:r>
          </w:p>
        </w:tc>
        <w:tc>
          <w:tcPr>
            <w:tcW w:w="1934" w:type="dxa"/>
            <w:vAlign w:val="center"/>
          </w:tcPr>
          <w:p w14:paraId="45088B0F">
            <w:pPr>
              <w:pStyle w:val="24"/>
              <w:spacing w:line="400" w:lineRule="exact"/>
              <w:jc w:val="center"/>
              <w:rPr>
                <w:rFonts w:hAnsi="宋体" w:cs="宋体"/>
                <w:color w:val="auto"/>
                <w:kern w:val="2"/>
                <w:sz w:val="24"/>
                <w:highlight w:val="none"/>
              </w:rPr>
            </w:pPr>
            <w:r>
              <w:rPr>
                <w:rFonts w:hint="eastAsia" w:hAnsi="宋体" w:cs="宋体"/>
                <w:color w:val="auto"/>
                <w:kern w:val="2"/>
                <w:sz w:val="24"/>
                <w:highlight w:val="none"/>
              </w:rPr>
              <w:t>偏离说明</w:t>
            </w:r>
          </w:p>
        </w:tc>
      </w:tr>
      <w:tr w14:paraId="6004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666FCB9A">
            <w:pPr>
              <w:pStyle w:val="24"/>
              <w:spacing w:line="600" w:lineRule="exact"/>
              <w:jc w:val="center"/>
              <w:rPr>
                <w:rFonts w:hAnsi="宋体" w:cs="宋体"/>
                <w:color w:val="auto"/>
                <w:kern w:val="2"/>
                <w:sz w:val="24"/>
                <w:highlight w:val="none"/>
              </w:rPr>
            </w:pPr>
            <w:r>
              <w:rPr>
                <w:rFonts w:hint="eastAsia" w:hAnsi="宋体" w:cs="宋体"/>
                <w:color w:val="auto"/>
                <w:kern w:val="2"/>
                <w:sz w:val="24"/>
                <w:highlight w:val="none"/>
              </w:rPr>
              <w:t>1</w:t>
            </w:r>
          </w:p>
        </w:tc>
        <w:tc>
          <w:tcPr>
            <w:tcW w:w="2303" w:type="dxa"/>
            <w:vAlign w:val="center"/>
          </w:tcPr>
          <w:p w14:paraId="69E2C343">
            <w:pPr>
              <w:pStyle w:val="24"/>
              <w:spacing w:line="600" w:lineRule="exact"/>
              <w:jc w:val="center"/>
              <w:rPr>
                <w:rFonts w:hAnsi="宋体" w:cs="宋体"/>
                <w:color w:val="auto"/>
                <w:kern w:val="2"/>
                <w:sz w:val="24"/>
                <w:highlight w:val="none"/>
              </w:rPr>
            </w:pPr>
          </w:p>
        </w:tc>
        <w:tc>
          <w:tcPr>
            <w:tcW w:w="1834" w:type="dxa"/>
            <w:vAlign w:val="center"/>
          </w:tcPr>
          <w:p w14:paraId="3B69C5E5">
            <w:pPr>
              <w:pStyle w:val="24"/>
              <w:spacing w:line="600" w:lineRule="exact"/>
              <w:jc w:val="center"/>
              <w:rPr>
                <w:rFonts w:hAnsi="宋体" w:cs="宋体"/>
                <w:color w:val="auto"/>
                <w:kern w:val="2"/>
                <w:sz w:val="24"/>
                <w:highlight w:val="none"/>
              </w:rPr>
            </w:pPr>
          </w:p>
        </w:tc>
        <w:tc>
          <w:tcPr>
            <w:tcW w:w="2181" w:type="dxa"/>
            <w:vAlign w:val="center"/>
          </w:tcPr>
          <w:p w14:paraId="63D9B2E3">
            <w:pPr>
              <w:pStyle w:val="24"/>
              <w:spacing w:line="600" w:lineRule="exact"/>
              <w:jc w:val="center"/>
              <w:rPr>
                <w:rFonts w:hAnsi="宋体" w:cs="宋体"/>
                <w:color w:val="auto"/>
                <w:kern w:val="2"/>
                <w:sz w:val="24"/>
                <w:highlight w:val="none"/>
              </w:rPr>
            </w:pPr>
          </w:p>
        </w:tc>
        <w:tc>
          <w:tcPr>
            <w:tcW w:w="1934" w:type="dxa"/>
            <w:vAlign w:val="center"/>
          </w:tcPr>
          <w:p w14:paraId="31B0A05B">
            <w:pPr>
              <w:pStyle w:val="24"/>
              <w:spacing w:line="600" w:lineRule="exact"/>
              <w:jc w:val="center"/>
              <w:rPr>
                <w:rFonts w:hAnsi="宋体" w:cs="宋体"/>
                <w:color w:val="auto"/>
                <w:kern w:val="2"/>
                <w:sz w:val="24"/>
                <w:highlight w:val="none"/>
              </w:rPr>
            </w:pPr>
          </w:p>
        </w:tc>
      </w:tr>
      <w:tr w14:paraId="2B23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55" w:type="dxa"/>
            <w:vAlign w:val="center"/>
          </w:tcPr>
          <w:p w14:paraId="2C8DEF05">
            <w:pPr>
              <w:pStyle w:val="24"/>
              <w:spacing w:line="600" w:lineRule="exact"/>
              <w:jc w:val="center"/>
              <w:rPr>
                <w:rFonts w:hAnsi="宋体" w:cs="宋体"/>
                <w:color w:val="auto"/>
                <w:kern w:val="2"/>
                <w:sz w:val="24"/>
                <w:highlight w:val="none"/>
              </w:rPr>
            </w:pPr>
            <w:r>
              <w:rPr>
                <w:rFonts w:hint="eastAsia" w:hAnsi="宋体" w:cs="宋体"/>
                <w:color w:val="auto"/>
                <w:kern w:val="2"/>
                <w:sz w:val="24"/>
                <w:highlight w:val="none"/>
              </w:rPr>
              <w:t>2</w:t>
            </w:r>
          </w:p>
        </w:tc>
        <w:tc>
          <w:tcPr>
            <w:tcW w:w="2303" w:type="dxa"/>
            <w:vAlign w:val="center"/>
          </w:tcPr>
          <w:p w14:paraId="5C176636">
            <w:pPr>
              <w:pStyle w:val="24"/>
              <w:spacing w:line="600" w:lineRule="exact"/>
              <w:jc w:val="center"/>
              <w:rPr>
                <w:rFonts w:hAnsi="宋体" w:cs="宋体"/>
                <w:color w:val="auto"/>
                <w:kern w:val="2"/>
                <w:sz w:val="24"/>
                <w:highlight w:val="none"/>
              </w:rPr>
            </w:pPr>
          </w:p>
        </w:tc>
        <w:tc>
          <w:tcPr>
            <w:tcW w:w="1834" w:type="dxa"/>
            <w:vAlign w:val="center"/>
          </w:tcPr>
          <w:p w14:paraId="08B905D4">
            <w:pPr>
              <w:pStyle w:val="24"/>
              <w:spacing w:line="600" w:lineRule="exact"/>
              <w:jc w:val="center"/>
              <w:rPr>
                <w:rFonts w:hAnsi="宋体" w:cs="宋体"/>
                <w:color w:val="auto"/>
                <w:kern w:val="2"/>
                <w:sz w:val="24"/>
                <w:highlight w:val="none"/>
              </w:rPr>
            </w:pPr>
          </w:p>
        </w:tc>
        <w:tc>
          <w:tcPr>
            <w:tcW w:w="2181" w:type="dxa"/>
            <w:vAlign w:val="center"/>
          </w:tcPr>
          <w:p w14:paraId="3D21522F">
            <w:pPr>
              <w:pStyle w:val="24"/>
              <w:spacing w:line="600" w:lineRule="exact"/>
              <w:jc w:val="center"/>
              <w:rPr>
                <w:rFonts w:hAnsi="宋体" w:cs="宋体"/>
                <w:color w:val="auto"/>
                <w:kern w:val="2"/>
                <w:sz w:val="24"/>
                <w:highlight w:val="none"/>
              </w:rPr>
            </w:pPr>
          </w:p>
        </w:tc>
        <w:tc>
          <w:tcPr>
            <w:tcW w:w="1934" w:type="dxa"/>
            <w:vAlign w:val="center"/>
          </w:tcPr>
          <w:p w14:paraId="425AA972">
            <w:pPr>
              <w:pStyle w:val="24"/>
              <w:spacing w:line="600" w:lineRule="exact"/>
              <w:jc w:val="center"/>
              <w:rPr>
                <w:rFonts w:hAnsi="宋体" w:cs="宋体"/>
                <w:color w:val="auto"/>
                <w:kern w:val="2"/>
                <w:sz w:val="24"/>
                <w:highlight w:val="none"/>
              </w:rPr>
            </w:pPr>
          </w:p>
        </w:tc>
      </w:tr>
      <w:tr w14:paraId="0D53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02AC7296">
            <w:pPr>
              <w:pStyle w:val="24"/>
              <w:spacing w:line="600" w:lineRule="exact"/>
              <w:jc w:val="center"/>
              <w:rPr>
                <w:rFonts w:hAnsi="宋体" w:cs="宋体"/>
                <w:color w:val="auto"/>
                <w:kern w:val="2"/>
                <w:sz w:val="24"/>
                <w:highlight w:val="none"/>
              </w:rPr>
            </w:pPr>
            <w:r>
              <w:rPr>
                <w:rFonts w:hint="eastAsia" w:hAnsi="宋体" w:cs="宋体"/>
                <w:color w:val="auto"/>
                <w:kern w:val="2"/>
                <w:sz w:val="24"/>
                <w:highlight w:val="none"/>
              </w:rPr>
              <w:t>......</w:t>
            </w:r>
          </w:p>
        </w:tc>
        <w:tc>
          <w:tcPr>
            <w:tcW w:w="2303" w:type="dxa"/>
            <w:vAlign w:val="center"/>
          </w:tcPr>
          <w:p w14:paraId="2CB4975F">
            <w:pPr>
              <w:pStyle w:val="24"/>
              <w:spacing w:line="600" w:lineRule="exact"/>
              <w:jc w:val="center"/>
              <w:rPr>
                <w:rFonts w:hAnsi="宋体" w:cs="宋体"/>
                <w:color w:val="auto"/>
                <w:kern w:val="2"/>
                <w:sz w:val="24"/>
                <w:highlight w:val="none"/>
              </w:rPr>
            </w:pPr>
          </w:p>
        </w:tc>
        <w:tc>
          <w:tcPr>
            <w:tcW w:w="1834" w:type="dxa"/>
            <w:vAlign w:val="center"/>
          </w:tcPr>
          <w:p w14:paraId="271FD7CE">
            <w:pPr>
              <w:pStyle w:val="24"/>
              <w:spacing w:line="600" w:lineRule="exact"/>
              <w:jc w:val="center"/>
              <w:rPr>
                <w:rFonts w:hAnsi="宋体" w:cs="宋体"/>
                <w:color w:val="auto"/>
                <w:kern w:val="2"/>
                <w:sz w:val="24"/>
                <w:highlight w:val="none"/>
              </w:rPr>
            </w:pPr>
          </w:p>
        </w:tc>
        <w:tc>
          <w:tcPr>
            <w:tcW w:w="2181" w:type="dxa"/>
            <w:vAlign w:val="center"/>
          </w:tcPr>
          <w:p w14:paraId="0BA6BE79">
            <w:pPr>
              <w:pStyle w:val="24"/>
              <w:spacing w:line="600" w:lineRule="exact"/>
              <w:jc w:val="center"/>
              <w:rPr>
                <w:rFonts w:hAnsi="宋体" w:cs="宋体"/>
                <w:color w:val="auto"/>
                <w:kern w:val="2"/>
                <w:sz w:val="24"/>
                <w:highlight w:val="none"/>
              </w:rPr>
            </w:pPr>
          </w:p>
        </w:tc>
        <w:tc>
          <w:tcPr>
            <w:tcW w:w="1934" w:type="dxa"/>
            <w:vAlign w:val="center"/>
          </w:tcPr>
          <w:p w14:paraId="16E5EA1F">
            <w:pPr>
              <w:pStyle w:val="24"/>
              <w:spacing w:line="600" w:lineRule="exact"/>
              <w:jc w:val="center"/>
              <w:rPr>
                <w:rFonts w:hAnsi="宋体" w:cs="宋体"/>
                <w:color w:val="auto"/>
                <w:kern w:val="2"/>
                <w:sz w:val="24"/>
                <w:highlight w:val="none"/>
              </w:rPr>
            </w:pPr>
          </w:p>
        </w:tc>
      </w:tr>
    </w:tbl>
    <w:p w14:paraId="5408DC98">
      <w:pPr>
        <w:pStyle w:val="18"/>
        <w:rPr>
          <w:rFonts w:ascii="宋体" w:hAnsi="宋体" w:cs="宋体"/>
          <w:color w:val="auto"/>
          <w:highlight w:val="none"/>
        </w:rPr>
      </w:pPr>
      <w:r>
        <w:rPr>
          <w:rFonts w:hint="eastAsia" w:ascii="宋体" w:hAnsi="宋体" w:cs="宋体"/>
          <w:color w:val="auto"/>
          <w:highlight w:val="none"/>
        </w:rPr>
        <w:t>注：</w:t>
      </w:r>
    </w:p>
    <w:p w14:paraId="7303A482">
      <w:pPr>
        <w:pStyle w:val="19"/>
        <w:spacing w:line="360" w:lineRule="auto"/>
        <w:ind w:firstLine="0" w:firstLineChars="0"/>
        <w:rPr>
          <w:rFonts w:ascii="宋体" w:hAnsi="宋体" w:eastAsia="宋体" w:cs="宋体"/>
          <w:color w:val="auto"/>
          <w:szCs w:val="32"/>
          <w:highlight w:val="none"/>
        </w:rPr>
      </w:pPr>
      <w:r>
        <w:rPr>
          <w:rFonts w:hint="eastAsia" w:ascii="宋体" w:hAnsi="宋体" w:eastAsia="宋体" w:cs="宋体"/>
          <w:color w:val="auto"/>
          <w:sz w:val="24"/>
          <w:szCs w:val="24"/>
          <w:highlight w:val="none"/>
        </w:rPr>
        <w:t>1.说明：应对照招标文件“第二章 采购需求”中的“技术要求”逐条作明确的投标响应，并作出偏离说明。</w:t>
      </w:r>
    </w:p>
    <w:p w14:paraId="6DCB01A4">
      <w:pPr>
        <w:pStyle w:val="18"/>
        <w:spacing w:line="360" w:lineRule="auto"/>
        <w:rPr>
          <w:rFonts w:ascii="宋体" w:hAnsi="宋体" w:cs="宋体"/>
          <w:b w:val="0"/>
          <w:bCs w:val="0"/>
          <w:color w:val="auto"/>
          <w:highlight w:val="none"/>
        </w:rPr>
      </w:pPr>
      <w:r>
        <w:rPr>
          <w:rFonts w:hint="eastAsia" w:ascii="宋体" w:hAnsi="宋体" w:cs="宋体"/>
          <w:b w:val="0"/>
          <w:bCs w:val="0"/>
          <w:color w:val="auto"/>
          <w:highlight w:val="none"/>
        </w:rPr>
        <w:t>2.投标人根据投标货物的性能指标，对照招标文件技术要求，在“偏离说明”中注明“</w:t>
      </w:r>
      <w:r>
        <w:rPr>
          <w:rFonts w:hint="eastAsia" w:ascii="宋体" w:hAnsi="宋体" w:cs="宋体"/>
          <w:color w:val="auto"/>
          <w:highlight w:val="none"/>
        </w:rPr>
        <w:t>正偏离</w:t>
      </w:r>
      <w:r>
        <w:rPr>
          <w:rFonts w:hint="eastAsia" w:ascii="宋体" w:hAnsi="宋体" w:cs="宋体"/>
          <w:b w:val="0"/>
          <w:bCs w:val="0"/>
          <w:color w:val="auto"/>
          <w:highlight w:val="none"/>
        </w:rPr>
        <w:t>”、“</w:t>
      </w:r>
      <w:r>
        <w:rPr>
          <w:rFonts w:hint="eastAsia" w:ascii="宋体" w:hAnsi="宋体" w:cs="宋体"/>
          <w:color w:val="auto"/>
          <w:highlight w:val="none"/>
        </w:rPr>
        <w:t>负偏离</w:t>
      </w:r>
      <w:r>
        <w:rPr>
          <w:rFonts w:hint="eastAsia" w:ascii="宋体" w:hAnsi="宋体" w:cs="宋体"/>
          <w:b w:val="0"/>
          <w:bCs w:val="0"/>
          <w:color w:val="auto"/>
          <w:highlight w:val="none"/>
        </w:rPr>
        <w:t>”或者“</w:t>
      </w:r>
      <w:r>
        <w:rPr>
          <w:rFonts w:hint="eastAsia" w:ascii="宋体" w:hAnsi="宋体" w:cs="宋体"/>
          <w:color w:val="auto"/>
          <w:highlight w:val="none"/>
        </w:rPr>
        <w:t>无偏离</w:t>
      </w:r>
      <w:r>
        <w:rPr>
          <w:rFonts w:hint="eastAsia" w:ascii="宋体" w:hAnsi="宋体" w:cs="宋体"/>
          <w:b w:val="0"/>
          <w:bCs w:val="0"/>
          <w:color w:val="auto"/>
          <w:highlight w:val="none"/>
        </w:rPr>
        <w:t>”。既不属于“</w:t>
      </w:r>
      <w:r>
        <w:rPr>
          <w:rFonts w:hint="eastAsia" w:ascii="宋体" w:hAnsi="宋体" w:cs="宋体"/>
          <w:color w:val="auto"/>
          <w:highlight w:val="none"/>
        </w:rPr>
        <w:t>正偏离</w:t>
      </w:r>
      <w:r>
        <w:rPr>
          <w:rFonts w:hint="eastAsia" w:ascii="宋体" w:hAnsi="宋体" w:cs="宋体"/>
          <w:b w:val="0"/>
          <w:bCs w:val="0"/>
          <w:color w:val="auto"/>
          <w:highlight w:val="none"/>
        </w:rPr>
        <w:t>”也不属于“</w:t>
      </w:r>
      <w:r>
        <w:rPr>
          <w:rFonts w:hint="eastAsia" w:ascii="宋体" w:hAnsi="宋体" w:cs="宋体"/>
          <w:color w:val="auto"/>
          <w:highlight w:val="none"/>
        </w:rPr>
        <w:t>负偏离</w:t>
      </w:r>
      <w:r>
        <w:rPr>
          <w:rFonts w:hint="eastAsia" w:ascii="宋体" w:hAnsi="宋体" w:cs="宋体"/>
          <w:b w:val="0"/>
          <w:bCs w:val="0"/>
          <w:color w:val="auto"/>
          <w:highlight w:val="none"/>
        </w:rPr>
        <w:t>”即为“</w:t>
      </w:r>
      <w:r>
        <w:rPr>
          <w:rFonts w:hint="eastAsia" w:ascii="宋体" w:hAnsi="宋体" w:cs="宋体"/>
          <w:color w:val="auto"/>
          <w:highlight w:val="none"/>
        </w:rPr>
        <w:t>无偏离</w:t>
      </w:r>
      <w:r>
        <w:rPr>
          <w:rFonts w:hint="eastAsia" w:ascii="宋体" w:hAnsi="宋体" w:cs="宋体"/>
          <w:b w:val="0"/>
          <w:bCs w:val="0"/>
          <w:color w:val="auto"/>
          <w:highlight w:val="none"/>
        </w:rPr>
        <w:t>”。</w:t>
      </w:r>
    </w:p>
    <w:p w14:paraId="200AD882">
      <w:pPr>
        <w:pStyle w:val="19"/>
        <w:spacing w:line="360" w:lineRule="auto"/>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认为其投标响应有正偏离的，请在技术要求偏离表中列明，且在投标文件中提供投标产品的彩页或国家认可的有资质的第三方检测机构出具的检测报告复印件或产品生产厂家出具的技术参数说明证明作为佐证，以上佐证材料均需加盖生产厂家或代理商（附生产厂家授权资料）公章。</w:t>
      </w:r>
    </w:p>
    <w:p w14:paraId="5B20A44E">
      <w:pPr>
        <w:pStyle w:val="19"/>
        <w:spacing w:line="360" w:lineRule="auto"/>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 如技术要求偏离表中的投标响应与佐证材料不一致的，以佐证材料为准。</w:t>
      </w:r>
    </w:p>
    <w:p w14:paraId="0E4C1D34">
      <w:pPr>
        <w:snapToGrid w:val="0"/>
        <w:spacing w:before="50" w:after="50" w:line="360" w:lineRule="auto"/>
        <w:rPr>
          <w:rFonts w:ascii="宋体" w:hAnsi="宋体" w:cs="宋体"/>
          <w:color w:val="auto"/>
          <w:sz w:val="24"/>
          <w:highlight w:val="none"/>
        </w:rPr>
      </w:pPr>
    </w:p>
    <w:p w14:paraId="190917B4">
      <w:pPr>
        <w:snapToGrid w:val="0"/>
        <w:spacing w:before="50" w:after="50" w:line="360" w:lineRule="auto"/>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0CDF16A1">
      <w:pPr>
        <w:snapToGrid w:val="0"/>
        <w:spacing w:before="50" w:after="50" w:line="360" w:lineRule="auto"/>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6573E7D7">
      <w:pPr>
        <w:snapToGrid w:val="0"/>
        <w:spacing w:before="50" w:after="50" w:line="360" w:lineRule="auto"/>
        <w:rPr>
          <w:rFonts w:ascii="宋体" w:hAnsi="宋体" w:cs="宋体"/>
          <w:color w:val="auto"/>
          <w:spacing w:val="20"/>
          <w:sz w:val="24"/>
          <w:highlight w:val="none"/>
          <w:u w:val="single"/>
        </w:rPr>
      </w:pPr>
      <w:r>
        <w:rPr>
          <w:rFonts w:hint="eastAsia" w:ascii="宋体" w:hAnsi="宋体" w:cs="宋体"/>
          <w:color w:val="auto"/>
          <w:spacing w:val="20"/>
          <w:sz w:val="24"/>
          <w:highlight w:val="none"/>
        </w:rPr>
        <w:t>日 期：</w:t>
      </w:r>
    </w:p>
    <w:p w14:paraId="2A921CA4">
      <w:pPr>
        <w:snapToGrid w:val="0"/>
        <w:spacing w:before="50" w:after="50" w:line="360" w:lineRule="auto"/>
        <w:rPr>
          <w:rFonts w:ascii="宋体" w:hAnsi="宋体" w:cs="宋体"/>
          <w:color w:val="auto"/>
          <w:sz w:val="24"/>
          <w:szCs w:val="20"/>
          <w:highlight w:val="none"/>
        </w:rPr>
      </w:pPr>
    </w:p>
    <w:p w14:paraId="42618AE2">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p>
    <w:p w14:paraId="3319C8A2">
      <w:pPr>
        <w:snapToGrid w:val="0"/>
        <w:spacing w:before="120" w:beforeLines="50" w:after="50"/>
        <w:ind w:left="142"/>
        <w:jc w:val="left"/>
        <w:rPr>
          <w:rFonts w:ascii="宋体" w:hAnsi="宋体" w:cs="宋体"/>
          <w:color w:val="auto"/>
          <w:sz w:val="24"/>
          <w:szCs w:val="20"/>
          <w:highlight w:val="none"/>
        </w:rPr>
      </w:pPr>
      <w:r>
        <w:rPr>
          <w:rFonts w:hint="eastAsia" w:ascii="宋体" w:hAnsi="宋体" w:cs="宋体"/>
          <w:b/>
          <w:color w:val="auto"/>
          <w:sz w:val="24"/>
          <w:highlight w:val="none"/>
        </w:rPr>
        <w:t>设备性能配置清单</w:t>
      </w:r>
    </w:p>
    <w:p w14:paraId="7F32C218">
      <w:pPr>
        <w:snapToGrid w:val="0"/>
        <w:spacing w:before="120" w:beforeLines="50" w:after="50"/>
        <w:ind w:left="142"/>
        <w:jc w:val="left"/>
        <w:rPr>
          <w:rFonts w:ascii="宋体" w:hAnsi="宋体" w:cs="宋体"/>
          <w:b/>
          <w:color w:val="auto"/>
          <w:sz w:val="24"/>
          <w:highlight w:val="none"/>
        </w:rPr>
      </w:pPr>
    </w:p>
    <w:p w14:paraId="594D0B5A">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设备性能配置清单</w:t>
      </w:r>
    </w:p>
    <w:tbl>
      <w:tblPr>
        <w:tblStyle w:val="47"/>
        <w:tblW w:w="457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36"/>
        <w:gridCol w:w="1266"/>
        <w:gridCol w:w="920"/>
        <w:gridCol w:w="828"/>
        <w:gridCol w:w="1413"/>
        <w:gridCol w:w="461"/>
        <w:gridCol w:w="581"/>
        <w:gridCol w:w="1402"/>
      </w:tblGrid>
      <w:tr w14:paraId="6B3150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99" w:type="pct"/>
            <w:tcBorders>
              <w:top w:val="single" w:color="auto" w:sz="4" w:space="0"/>
              <w:left w:val="single" w:color="auto" w:sz="4" w:space="0"/>
              <w:bottom w:val="single" w:color="auto" w:sz="4" w:space="0"/>
              <w:right w:val="single" w:color="auto" w:sz="4" w:space="0"/>
            </w:tcBorders>
            <w:vAlign w:val="center"/>
          </w:tcPr>
          <w:p w14:paraId="7BB9669D">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序号</w:t>
            </w:r>
          </w:p>
        </w:tc>
        <w:tc>
          <w:tcPr>
            <w:tcW w:w="810" w:type="pct"/>
            <w:tcBorders>
              <w:top w:val="single" w:color="auto" w:sz="4" w:space="0"/>
              <w:left w:val="single" w:color="auto" w:sz="4" w:space="0"/>
              <w:bottom w:val="single" w:color="auto" w:sz="4" w:space="0"/>
              <w:right w:val="single" w:color="auto" w:sz="4" w:space="0"/>
            </w:tcBorders>
            <w:vAlign w:val="center"/>
          </w:tcPr>
          <w:p w14:paraId="12A29CF5">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货物名称</w:t>
            </w:r>
          </w:p>
        </w:tc>
        <w:tc>
          <w:tcPr>
            <w:tcW w:w="589" w:type="pct"/>
            <w:tcBorders>
              <w:top w:val="single" w:color="auto" w:sz="4" w:space="0"/>
              <w:left w:val="single" w:color="auto" w:sz="4" w:space="0"/>
              <w:bottom w:val="single" w:color="auto" w:sz="4" w:space="0"/>
              <w:right w:val="single" w:color="auto" w:sz="4" w:space="0"/>
            </w:tcBorders>
            <w:vAlign w:val="center"/>
          </w:tcPr>
          <w:p w14:paraId="036C29AA">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数量及单位</w:t>
            </w:r>
          </w:p>
        </w:tc>
        <w:tc>
          <w:tcPr>
            <w:tcW w:w="530" w:type="pct"/>
            <w:tcBorders>
              <w:top w:val="single" w:color="auto" w:sz="4" w:space="0"/>
              <w:left w:val="single" w:color="auto" w:sz="4" w:space="0"/>
              <w:bottom w:val="single" w:color="auto" w:sz="4" w:space="0"/>
              <w:right w:val="single" w:color="auto" w:sz="4" w:space="0"/>
            </w:tcBorders>
            <w:vAlign w:val="center"/>
          </w:tcPr>
          <w:p w14:paraId="67871D3F">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品牌</w:t>
            </w:r>
          </w:p>
        </w:tc>
        <w:tc>
          <w:tcPr>
            <w:tcW w:w="904" w:type="pct"/>
            <w:tcBorders>
              <w:top w:val="single" w:color="auto" w:sz="4" w:space="0"/>
              <w:left w:val="single" w:color="auto" w:sz="4" w:space="0"/>
              <w:bottom w:val="single" w:color="auto" w:sz="4" w:space="0"/>
              <w:right w:val="single" w:color="auto" w:sz="4" w:space="0"/>
            </w:tcBorders>
          </w:tcPr>
          <w:p w14:paraId="4579E675">
            <w:pPr>
              <w:snapToGrid w:val="0"/>
              <w:spacing w:before="50" w:after="50"/>
              <w:jc w:val="center"/>
              <w:rPr>
                <w:rFonts w:ascii="宋体" w:hAnsi="宋体" w:cs="宋体"/>
                <w:color w:val="auto"/>
                <w:sz w:val="24"/>
                <w:highlight w:val="none"/>
              </w:rPr>
            </w:pPr>
          </w:p>
          <w:p w14:paraId="708AF7E8">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规格型号</w:t>
            </w:r>
          </w:p>
        </w:tc>
        <w:tc>
          <w:tcPr>
            <w:tcW w:w="295" w:type="pct"/>
            <w:tcBorders>
              <w:top w:val="single" w:color="auto" w:sz="4" w:space="0"/>
              <w:left w:val="single" w:color="auto" w:sz="4" w:space="0"/>
              <w:bottom w:val="single" w:color="auto" w:sz="4" w:space="0"/>
              <w:right w:val="single" w:color="auto" w:sz="4" w:space="0"/>
            </w:tcBorders>
            <w:vAlign w:val="center"/>
          </w:tcPr>
          <w:p w14:paraId="1E558495">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制造商</w:t>
            </w:r>
          </w:p>
        </w:tc>
        <w:tc>
          <w:tcPr>
            <w:tcW w:w="372" w:type="pct"/>
            <w:tcBorders>
              <w:top w:val="single" w:color="auto" w:sz="4" w:space="0"/>
              <w:left w:val="single" w:color="auto" w:sz="4" w:space="0"/>
              <w:bottom w:val="single" w:color="auto" w:sz="4" w:space="0"/>
              <w:right w:val="single" w:color="auto" w:sz="4" w:space="0"/>
            </w:tcBorders>
            <w:vAlign w:val="center"/>
          </w:tcPr>
          <w:p w14:paraId="51CC0100">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产地</w:t>
            </w:r>
          </w:p>
        </w:tc>
        <w:tc>
          <w:tcPr>
            <w:tcW w:w="897" w:type="pct"/>
            <w:tcBorders>
              <w:top w:val="single" w:color="auto" w:sz="4" w:space="0"/>
              <w:left w:val="single" w:color="auto" w:sz="4" w:space="0"/>
              <w:bottom w:val="single" w:color="auto" w:sz="4" w:space="0"/>
              <w:right w:val="single" w:color="auto" w:sz="4" w:space="0"/>
            </w:tcBorders>
            <w:vAlign w:val="center"/>
          </w:tcPr>
          <w:p w14:paraId="1A4F31AC">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参数性能、指标及配置</w:t>
            </w:r>
          </w:p>
        </w:tc>
      </w:tr>
      <w:tr w14:paraId="07FFE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599" w:type="pct"/>
            <w:tcBorders>
              <w:top w:val="single" w:color="auto" w:sz="4" w:space="0"/>
              <w:left w:val="single" w:color="auto" w:sz="4" w:space="0"/>
              <w:bottom w:val="single" w:color="auto" w:sz="4" w:space="0"/>
              <w:right w:val="single" w:color="auto" w:sz="4" w:space="0"/>
            </w:tcBorders>
            <w:vAlign w:val="center"/>
          </w:tcPr>
          <w:p w14:paraId="5DF1CC3A">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1</w:t>
            </w:r>
          </w:p>
        </w:tc>
        <w:tc>
          <w:tcPr>
            <w:tcW w:w="810" w:type="pct"/>
            <w:tcBorders>
              <w:top w:val="single" w:color="auto" w:sz="4" w:space="0"/>
              <w:left w:val="single" w:color="auto" w:sz="4" w:space="0"/>
              <w:bottom w:val="single" w:color="auto" w:sz="4" w:space="0"/>
              <w:right w:val="single" w:color="auto" w:sz="4" w:space="0"/>
            </w:tcBorders>
            <w:vAlign w:val="center"/>
          </w:tcPr>
          <w:p w14:paraId="2034A7D0">
            <w:pPr>
              <w:tabs>
                <w:tab w:val="left" w:pos="180"/>
                <w:tab w:val="left" w:pos="1620"/>
              </w:tabs>
              <w:adjustRightInd w:val="0"/>
              <w:snapToGrid w:val="0"/>
              <w:spacing w:line="360" w:lineRule="exact"/>
              <w:jc w:val="center"/>
              <w:rPr>
                <w:rFonts w:ascii="宋体" w:hAnsi="宋体" w:cs="宋体"/>
                <w:color w:val="auto"/>
                <w:sz w:val="24"/>
                <w:highlight w:val="none"/>
              </w:rPr>
            </w:pPr>
          </w:p>
        </w:tc>
        <w:tc>
          <w:tcPr>
            <w:tcW w:w="589" w:type="pct"/>
            <w:tcBorders>
              <w:top w:val="single" w:color="auto" w:sz="4" w:space="0"/>
              <w:left w:val="single" w:color="auto" w:sz="4" w:space="0"/>
              <w:bottom w:val="single" w:color="auto" w:sz="4" w:space="0"/>
              <w:right w:val="single" w:color="auto" w:sz="4" w:space="0"/>
            </w:tcBorders>
          </w:tcPr>
          <w:p w14:paraId="1F1688C4">
            <w:pPr>
              <w:snapToGrid w:val="0"/>
              <w:spacing w:before="50" w:after="50"/>
              <w:jc w:val="center"/>
              <w:rPr>
                <w:rFonts w:ascii="宋体" w:hAnsi="宋体" w:cs="宋体"/>
                <w:color w:val="auto"/>
                <w:sz w:val="24"/>
                <w:highlight w:val="none"/>
              </w:rPr>
            </w:pPr>
          </w:p>
        </w:tc>
        <w:tc>
          <w:tcPr>
            <w:tcW w:w="530" w:type="pct"/>
            <w:tcBorders>
              <w:top w:val="single" w:color="auto" w:sz="4" w:space="0"/>
              <w:left w:val="single" w:color="auto" w:sz="4" w:space="0"/>
              <w:bottom w:val="single" w:color="auto" w:sz="4" w:space="0"/>
              <w:right w:val="single" w:color="auto" w:sz="4" w:space="0"/>
            </w:tcBorders>
            <w:vAlign w:val="center"/>
          </w:tcPr>
          <w:p w14:paraId="3E899581">
            <w:pPr>
              <w:snapToGrid w:val="0"/>
              <w:spacing w:before="50" w:after="50"/>
              <w:jc w:val="center"/>
              <w:rPr>
                <w:rFonts w:ascii="宋体" w:hAnsi="宋体" w:cs="宋体"/>
                <w:color w:val="auto"/>
                <w:sz w:val="24"/>
                <w:highlight w:val="none"/>
              </w:rPr>
            </w:pPr>
          </w:p>
        </w:tc>
        <w:tc>
          <w:tcPr>
            <w:tcW w:w="904" w:type="pct"/>
            <w:tcBorders>
              <w:top w:val="single" w:color="auto" w:sz="4" w:space="0"/>
              <w:left w:val="single" w:color="auto" w:sz="4" w:space="0"/>
              <w:bottom w:val="single" w:color="auto" w:sz="4" w:space="0"/>
              <w:right w:val="single" w:color="auto" w:sz="4" w:space="0"/>
            </w:tcBorders>
          </w:tcPr>
          <w:p w14:paraId="3F394896">
            <w:pPr>
              <w:snapToGrid w:val="0"/>
              <w:spacing w:before="50" w:after="50"/>
              <w:jc w:val="center"/>
              <w:rPr>
                <w:rFonts w:ascii="宋体" w:hAnsi="宋体" w:cs="宋体"/>
                <w:color w:val="auto"/>
                <w:sz w:val="24"/>
                <w:highlight w:val="none"/>
              </w:rPr>
            </w:pPr>
          </w:p>
        </w:tc>
        <w:tc>
          <w:tcPr>
            <w:tcW w:w="295" w:type="pct"/>
            <w:tcBorders>
              <w:top w:val="single" w:color="auto" w:sz="4" w:space="0"/>
              <w:left w:val="single" w:color="auto" w:sz="4" w:space="0"/>
              <w:bottom w:val="single" w:color="auto" w:sz="4" w:space="0"/>
              <w:right w:val="single" w:color="auto" w:sz="4" w:space="0"/>
            </w:tcBorders>
            <w:vAlign w:val="center"/>
          </w:tcPr>
          <w:p w14:paraId="13A26A5A">
            <w:pPr>
              <w:snapToGrid w:val="0"/>
              <w:spacing w:before="50" w:after="50"/>
              <w:jc w:val="center"/>
              <w:rPr>
                <w:rFonts w:ascii="宋体" w:hAnsi="宋体" w:cs="宋体"/>
                <w:color w:val="auto"/>
                <w:sz w:val="24"/>
                <w:highlight w:val="none"/>
              </w:rPr>
            </w:pPr>
          </w:p>
        </w:tc>
        <w:tc>
          <w:tcPr>
            <w:tcW w:w="372" w:type="pct"/>
            <w:tcBorders>
              <w:top w:val="single" w:color="auto" w:sz="4" w:space="0"/>
              <w:left w:val="single" w:color="auto" w:sz="4" w:space="0"/>
              <w:bottom w:val="single" w:color="auto" w:sz="4" w:space="0"/>
              <w:right w:val="single" w:color="auto" w:sz="4" w:space="0"/>
            </w:tcBorders>
            <w:vAlign w:val="center"/>
          </w:tcPr>
          <w:p w14:paraId="58D6B996">
            <w:pPr>
              <w:snapToGrid w:val="0"/>
              <w:spacing w:before="50" w:after="50"/>
              <w:jc w:val="center"/>
              <w:rPr>
                <w:rFonts w:ascii="宋体" w:hAnsi="宋体" w:cs="宋体"/>
                <w:color w:val="auto"/>
                <w:sz w:val="24"/>
                <w:highlight w:val="none"/>
              </w:rPr>
            </w:pPr>
          </w:p>
        </w:tc>
        <w:tc>
          <w:tcPr>
            <w:tcW w:w="897" w:type="pct"/>
            <w:tcBorders>
              <w:top w:val="single" w:color="auto" w:sz="4" w:space="0"/>
              <w:left w:val="single" w:color="auto" w:sz="4" w:space="0"/>
              <w:bottom w:val="single" w:color="auto" w:sz="4" w:space="0"/>
              <w:right w:val="single" w:color="auto" w:sz="4" w:space="0"/>
            </w:tcBorders>
            <w:vAlign w:val="center"/>
          </w:tcPr>
          <w:p w14:paraId="409AA6DA">
            <w:pPr>
              <w:snapToGrid w:val="0"/>
              <w:spacing w:before="50" w:after="50"/>
              <w:jc w:val="center"/>
              <w:rPr>
                <w:rFonts w:ascii="宋体" w:hAnsi="宋体" w:cs="宋体"/>
                <w:color w:val="auto"/>
                <w:sz w:val="24"/>
                <w:highlight w:val="none"/>
              </w:rPr>
            </w:pPr>
          </w:p>
        </w:tc>
      </w:tr>
      <w:tr w14:paraId="2509C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599" w:type="pct"/>
            <w:tcBorders>
              <w:top w:val="single" w:color="auto" w:sz="4" w:space="0"/>
              <w:left w:val="single" w:color="auto" w:sz="4" w:space="0"/>
              <w:bottom w:val="single" w:color="auto" w:sz="4" w:space="0"/>
              <w:right w:val="single" w:color="auto" w:sz="4" w:space="0"/>
            </w:tcBorders>
            <w:vAlign w:val="center"/>
          </w:tcPr>
          <w:p w14:paraId="7E581A88">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2</w:t>
            </w:r>
          </w:p>
        </w:tc>
        <w:tc>
          <w:tcPr>
            <w:tcW w:w="810" w:type="pct"/>
            <w:tcBorders>
              <w:top w:val="single" w:color="auto" w:sz="4" w:space="0"/>
              <w:left w:val="single" w:color="auto" w:sz="4" w:space="0"/>
              <w:bottom w:val="single" w:color="auto" w:sz="4" w:space="0"/>
              <w:right w:val="single" w:color="auto" w:sz="4" w:space="0"/>
            </w:tcBorders>
            <w:vAlign w:val="center"/>
          </w:tcPr>
          <w:p w14:paraId="14FEC227">
            <w:pPr>
              <w:tabs>
                <w:tab w:val="left" w:pos="180"/>
                <w:tab w:val="left" w:pos="1620"/>
              </w:tabs>
              <w:adjustRightInd w:val="0"/>
              <w:snapToGrid w:val="0"/>
              <w:spacing w:line="360" w:lineRule="exact"/>
              <w:jc w:val="center"/>
              <w:rPr>
                <w:rFonts w:ascii="宋体" w:hAnsi="宋体" w:cs="宋体"/>
                <w:color w:val="auto"/>
                <w:sz w:val="24"/>
                <w:highlight w:val="none"/>
              </w:rPr>
            </w:pPr>
          </w:p>
        </w:tc>
        <w:tc>
          <w:tcPr>
            <w:tcW w:w="589" w:type="pct"/>
            <w:tcBorders>
              <w:top w:val="single" w:color="auto" w:sz="4" w:space="0"/>
              <w:left w:val="single" w:color="auto" w:sz="4" w:space="0"/>
              <w:bottom w:val="single" w:color="auto" w:sz="4" w:space="0"/>
              <w:right w:val="single" w:color="auto" w:sz="4" w:space="0"/>
            </w:tcBorders>
          </w:tcPr>
          <w:p w14:paraId="0C6B17A1">
            <w:pPr>
              <w:snapToGrid w:val="0"/>
              <w:spacing w:before="50" w:after="50"/>
              <w:jc w:val="center"/>
              <w:rPr>
                <w:rFonts w:ascii="宋体" w:hAnsi="宋体" w:cs="宋体"/>
                <w:color w:val="auto"/>
                <w:sz w:val="24"/>
                <w:highlight w:val="none"/>
              </w:rPr>
            </w:pPr>
          </w:p>
        </w:tc>
        <w:tc>
          <w:tcPr>
            <w:tcW w:w="530" w:type="pct"/>
            <w:tcBorders>
              <w:top w:val="single" w:color="auto" w:sz="4" w:space="0"/>
              <w:left w:val="single" w:color="auto" w:sz="4" w:space="0"/>
              <w:bottom w:val="single" w:color="auto" w:sz="4" w:space="0"/>
              <w:right w:val="single" w:color="auto" w:sz="4" w:space="0"/>
            </w:tcBorders>
            <w:vAlign w:val="center"/>
          </w:tcPr>
          <w:p w14:paraId="03763D94">
            <w:pPr>
              <w:snapToGrid w:val="0"/>
              <w:spacing w:before="50" w:after="50"/>
              <w:jc w:val="center"/>
              <w:rPr>
                <w:rFonts w:ascii="宋体" w:hAnsi="宋体" w:cs="宋体"/>
                <w:color w:val="auto"/>
                <w:sz w:val="24"/>
                <w:highlight w:val="none"/>
              </w:rPr>
            </w:pPr>
          </w:p>
        </w:tc>
        <w:tc>
          <w:tcPr>
            <w:tcW w:w="904" w:type="pct"/>
            <w:tcBorders>
              <w:top w:val="single" w:color="auto" w:sz="4" w:space="0"/>
              <w:left w:val="single" w:color="auto" w:sz="4" w:space="0"/>
              <w:bottom w:val="single" w:color="auto" w:sz="4" w:space="0"/>
              <w:right w:val="single" w:color="auto" w:sz="4" w:space="0"/>
            </w:tcBorders>
          </w:tcPr>
          <w:p w14:paraId="6A25122E">
            <w:pPr>
              <w:snapToGrid w:val="0"/>
              <w:spacing w:before="50" w:after="50"/>
              <w:jc w:val="center"/>
              <w:rPr>
                <w:rFonts w:ascii="宋体" w:hAnsi="宋体" w:cs="宋体"/>
                <w:color w:val="auto"/>
                <w:sz w:val="24"/>
                <w:highlight w:val="none"/>
              </w:rPr>
            </w:pPr>
          </w:p>
        </w:tc>
        <w:tc>
          <w:tcPr>
            <w:tcW w:w="295" w:type="pct"/>
            <w:tcBorders>
              <w:top w:val="single" w:color="auto" w:sz="4" w:space="0"/>
              <w:left w:val="single" w:color="auto" w:sz="4" w:space="0"/>
              <w:bottom w:val="single" w:color="auto" w:sz="4" w:space="0"/>
              <w:right w:val="single" w:color="auto" w:sz="4" w:space="0"/>
            </w:tcBorders>
            <w:vAlign w:val="center"/>
          </w:tcPr>
          <w:p w14:paraId="2B37707D">
            <w:pPr>
              <w:snapToGrid w:val="0"/>
              <w:spacing w:before="50" w:after="50"/>
              <w:jc w:val="center"/>
              <w:rPr>
                <w:rFonts w:ascii="宋体" w:hAnsi="宋体" w:cs="宋体"/>
                <w:color w:val="auto"/>
                <w:sz w:val="24"/>
                <w:highlight w:val="none"/>
              </w:rPr>
            </w:pPr>
          </w:p>
        </w:tc>
        <w:tc>
          <w:tcPr>
            <w:tcW w:w="372" w:type="pct"/>
            <w:tcBorders>
              <w:top w:val="single" w:color="auto" w:sz="4" w:space="0"/>
              <w:left w:val="single" w:color="auto" w:sz="4" w:space="0"/>
              <w:bottom w:val="single" w:color="auto" w:sz="4" w:space="0"/>
              <w:right w:val="single" w:color="auto" w:sz="4" w:space="0"/>
            </w:tcBorders>
            <w:vAlign w:val="center"/>
          </w:tcPr>
          <w:p w14:paraId="08E335F8">
            <w:pPr>
              <w:snapToGrid w:val="0"/>
              <w:spacing w:before="50" w:after="50"/>
              <w:jc w:val="center"/>
              <w:rPr>
                <w:rFonts w:ascii="宋体" w:hAnsi="宋体" w:cs="宋体"/>
                <w:color w:val="auto"/>
                <w:sz w:val="24"/>
                <w:highlight w:val="none"/>
              </w:rPr>
            </w:pPr>
          </w:p>
        </w:tc>
        <w:tc>
          <w:tcPr>
            <w:tcW w:w="897" w:type="pct"/>
            <w:tcBorders>
              <w:top w:val="single" w:color="auto" w:sz="4" w:space="0"/>
              <w:left w:val="single" w:color="auto" w:sz="4" w:space="0"/>
              <w:bottom w:val="single" w:color="auto" w:sz="4" w:space="0"/>
              <w:right w:val="single" w:color="auto" w:sz="4" w:space="0"/>
            </w:tcBorders>
            <w:vAlign w:val="center"/>
          </w:tcPr>
          <w:p w14:paraId="0F9A144F">
            <w:pPr>
              <w:snapToGrid w:val="0"/>
              <w:spacing w:before="50" w:after="50"/>
              <w:jc w:val="center"/>
              <w:rPr>
                <w:rFonts w:ascii="宋体" w:hAnsi="宋体" w:cs="宋体"/>
                <w:color w:val="auto"/>
                <w:sz w:val="24"/>
                <w:highlight w:val="none"/>
              </w:rPr>
            </w:pPr>
          </w:p>
        </w:tc>
      </w:tr>
      <w:tr w14:paraId="1813C8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599" w:type="pct"/>
            <w:tcBorders>
              <w:top w:val="single" w:color="auto" w:sz="4" w:space="0"/>
              <w:left w:val="single" w:color="auto" w:sz="4" w:space="0"/>
              <w:bottom w:val="single" w:color="auto" w:sz="4" w:space="0"/>
              <w:right w:val="single" w:color="auto" w:sz="4" w:space="0"/>
            </w:tcBorders>
            <w:vAlign w:val="center"/>
          </w:tcPr>
          <w:p w14:paraId="03A7AC7D">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3</w:t>
            </w:r>
          </w:p>
        </w:tc>
        <w:tc>
          <w:tcPr>
            <w:tcW w:w="810" w:type="pct"/>
            <w:tcBorders>
              <w:top w:val="single" w:color="auto" w:sz="4" w:space="0"/>
              <w:left w:val="single" w:color="auto" w:sz="4" w:space="0"/>
              <w:bottom w:val="single" w:color="auto" w:sz="4" w:space="0"/>
              <w:right w:val="single" w:color="auto" w:sz="4" w:space="0"/>
            </w:tcBorders>
            <w:vAlign w:val="center"/>
          </w:tcPr>
          <w:p w14:paraId="5290F8AC">
            <w:pPr>
              <w:tabs>
                <w:tab w:val="left" w:pos="180"/>
                <w:tab w:val="left" w:pos="1620"/>
              </w:tabs>
              <w:adjustRightInd w:val="0"/>
              <w:snapToGrid w:val="0"/>
              <w:spacing w:line="360" w:lineRule="exact"/>
              <w:jc w:val="center"/>
              <w:rPr>
                <w:rFonts w:ascii="宋体" w:hAnsi="宋体" w:cs="宋体"/>
                <w:color w:val="auto"/>
                <w:sz w:val="24"/>
                <w:highlight w:val="none"/>
              </w:rPr>
            </w:pPr>
          </w:p>
        </w:tc>
        <w:tc>
          <w:tcPr>
            <w:tcW w:w="589" w:type="pct"/>
            <w:tcBorders>
              <w:top w:val="single" w:color="auto" w:sz="4" w:space="0"/>
              <w:left w:val="single" w:color="auto" w:sz="4" w:space="0"/>
              <w:bottom w:val="single" w:color="auto" w:sz="4" w:space="0"/>
              <w:right w:val="single" w:color="auto" w:sz="4" w:space="0"/>
            </w:tcBorders>
          </w:tcPr>
          <w:p w14:paraId="1EA0C058">
            <w:pPr>
              <w:snapToGrid w:val="0"/>
              <w:spacing w:before="50" w:after="50"/>
              <w:jc w:val="center"/>
              <w:rPr>
                <w:rFonts w:ascii="宋体" w:hAnsi="宋体" w:cs="宋体"/>
                <w:color w:val="auto"/>
                <w:sz w:val="24"/>
                <w:highlight w:val="none"/>
              </w:rPr>
            </w:pPr>
          </w:p>
        </w:tc>
        <w:tc>
          <w:tcPr>
            <w:tcW w:w="530" w:type="pct"/>
            <w:tcBorders>
              <w:top w:val="single" w:color="auto" w:sz="4" w:space="0"/>
              <w:left w:val="single" w:color="auto" w:sz="4" w:space="0"/>
              <w:bottom w:val="single" w:color="auto" w:sz="4" w:space="0"/>
              <w:right w:val="single" w:color="auto" w:sz="4" w:space="0"/>
            </w:tcBorders>
            <w:vAlign w:val="center"/>
          </w:tcPr>
          <w:p w14:paraId="17FFABFD">
            <w:pPr>
              <w:snapToGrid w:val="0"/>
              <w:spacing w:before="50" w:after="50"/>
              <w:jc w:val="center"/>
              <w:rPr>
                <w:rFonts w:ascii="宋体" w:hAnsi="宋体" w:cs="宋体"/>
                <w:color w:val="auto"/>
                <w:sz w:val="24"/>
                <w:highlight w:val="none"/>
              </w:rPr>
            </w:pPr>
          </w:p>
        </w:tc>
        <w:tc>
          <w:tcPr>
            <w:tcW w:w="904" w:type="pct"/>
            <w:tcBorders>
              <w:top w:val="single" w:color="auto" w:sz="4" w:space="0"/>
              <w:left w:val="single" w:color="auto" w:sz="4" w:space="0"/>
              <w:bottom w:val="single" w:color="auto" w:sz="4" w:space="0"/>
              <w:right w:val="single" w:color="auto" w:sz="4" w:space="0"/>
            </w:tcBorders>
          </w:tcPr>
          <w:p w14:paraId="4675CF58">
            <w:pPr>
              <w:snapToGrid w:val="0"/>
              <w:spacing w:before="50" w:after="50"/>
              <w:jc w:val="center"/>
              <w:rPr>
                <w:rFonts w:ascii="宋体" w:hAnsi="宋体" w:cs="宋体"/>
                <w:color w:val="auto"/>
                <w:sz w:val="24"/>
                <w:highlight w:val="none"/>
              </w:rPr>
            </w:pPr>
          </w:p>
        </w:tc>
        <w:tc>
          <w:tcPr>
            <w:tcW w:w="295" w:type="pct"/>
            <w:tcBorders>
              <w:top w:val="single" w:color="auto" w:sz="4" w:space="0"/>
              <w:left w:val="single" w:color="auto" w:sz="4" w:space="0"/>
              <w:bottom w:val="single" w:color="auto" w:sz="4" w:space="0"/>
              <w:right w:val="single" w:color="auto" w:sz="4" w:space="0"/>
            </w:tcBorders>
            <w:vAlign w:val="center"/>
          </w:tcPr>
          <w:p w14:paraId="30A032EB">
            <w:pPr>
              <w:snapToGrid w:val="0"/>
              <w:spacing w:before="50" w:after="50"/>
              <w:jc w:val="center"/>
              <w:rPr>
                <w:rFonts w:ascii="宋体" w:hAnsi="宋体" w:cs="宋体"/>
                <w:color w:val="auto"/>
                <w:sz w:val="24"/>
                <w:highlight w:val="none"/>
              </w:rPr>
            </w:pPr>
          </w:p>
        </w:tc>
        <w:tc>
          <w:tcPr>
            <w:tcW w:w="372" w:type="pct"/>
            <w:tcBorders>
              <w:top w:val="single" w:color="auto" w:sz="4" w:space="0"/>
              <w:left w:val="single" w:color="auto" w:sz="4" w:space="0"/>
              <w:bottom w:val="single" w:color="auto" w:sz="4" w:space="0"/>
              <w:right w:val="single" w:color="auto" w:sz="4" w:space="0"/>
            </w:tcBorders>
            <w:vAlign w:val="center"/>
          </w:tcPr>
          <w:p w14:paraId="0CCE33F2">
            <w:pPr>
              <w:snapToGrid w:val="0"/>
              <w:spacing w:before="50" w:after="50"/>
              <w:jc w:val="center"/>
              <w:rPr>
                <w:rFonts w:ascii="宋体" w:hAnsi="宋体" w:cs="宋体"/>
                <w:color w:val="auto"/>
                <w:sz w:val="24"/>
                <w:highlight w:val="none"/>
              </w:rPr>
            </w:pPr>
          </w:p>
        </w:tc>
        <w:tc>
          <w:tcPr>
            <w:tcW w:w="897" w:type="pct"/>
            <w:tcBorders>
              <w:top w:val="single" w:color="auto" w:sz="4" w:space="0"/>
              <w:left w:val="single" w:color="auto" w:sz="4" w:space="0"/>
              <w:bottom w:val="single" w:color="auto" w:sz="4" w:space="0"/>
              <w:right w:val="single" w:color="auto" w:sz="4" w:space="0"/>
            </w:tcBorders>
            <w:vAlign w:val="center"/>
          </w:tcPr>
          <w:p w14:paraId="5DAB84D5">
            <w:pPr>
              <w:snapToGrid w:val="0"/>
              <w:spacing w:before="50" w:after="50"/>
              <w:jc w:val="center"/>
              <w:rPr>
                <w:rFonts w:ascii="宋体" w:hAnsi="宋体" w:cs="宋体"/>
                <w:color w:val="auto"/>
                <w:sz w:val="24"/>
                <w:highlight w:val="none"/>
              </w:rPr>
            </w:pPr>
          </w:p>
        </w:tc>
      </w:tr>
      <w:tr w14:paraId="4392F4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599" w:type="pct"/>
            <w:tcBorders>
              <w:top w:val="single" w:color="auto" w:sz="4" w:space="0"/>
              <w:left w:val="single" w:color="auto" w:sz="4" w:space="0"/>
              <w:bottom w:val="single" w:color="auto" w:sz="4" w:space="0"/>
              <w:right w:val="single" w:color="auto" w:sz="4" w:space="0"/>
            </w:tcBorders>
            <w:vAlign w:val="center"/>
          </w:tcPr>
          <w:p w14:paraId="4A0E2FFC">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w:t>
            </w:r>
          </w:p>
        </w:tc>
        <w:tc>
          <w:tcPr>
            <w:tcW w:w="810" w:type="pct"/>
            <w:tcBorders>
              <w:top w:val="single" w:color="auto" w:sz="4" w:space="0"/>
              <w:left w:val="single" w:color="auto" w:sz="4" w:space="0"/>
              <w:bottom w:val="single" w:color="auto" w:sz="4" w:space="0"/>
              <w:right w:val="single" w:color="auto" w:sz="4" w:space="0"/>
            </w:tcBorders>
            <w:vAlign w:val="center"/>
          </w:tcPr>
          <w:p w14:paraId="1D53C4FE">
            <w:pPr>
              <w:snapToGrid w:val="0"/>
              <w:spacing w:line="320" w:lineRule="exact"/>
              <w:jc w:val="center"/>
              <w:rPr>
                <w:rFonts w:ascii="宋体" w:hAnsi="宋体" w:cs="宋体"/>
                <w:color w:val="auto"/>
                <w:sz w:val="24"/>
                <w:highlight w:val="none"/>
              </w:rPr>
            </w:pPr>
          </w:p>
        </w:tc>
        <w:tc>
          <w:tcPr>
            <w:tcW w:w="589" w:type="pct"/>
            <w:tcBorders>
              <w:top w:val="single" w:color="auto" w:sz="4" w:space="0"/>
              <w:left w:val="single" w:color="auto" w:sz="4" w:space="0"/>
              <w:bottom w:val="single" w:color="auto" w:sz="4" w:space="0"/>
              <w:right w:val="single" w:color="auto" w:sz="4" w:space="0"/>
            </w:tcBorders>
          </w:tcPr>
          <w:p w14:paraId="31B91413">
            <w:pPr>
              <w:snapToGrid w:val="0"/>
              <w:spacing w:before="50" w:after="50"/>
              <w:jc w:val="center"/>
              <w:rPr>
                <w:rFonts w:ascii="宋体" w:hAnsi="宋体" w:cs="宋体"/>
                <w:color w:val="auto"/>
                <w:sz w:val="24"/>
                <w:highlight w:val="none"/>
              </w:rPr>
            </w:pPr>
          </w:p>
        </w:tc>
        <w:tc>
          <w:tcPr>
            <w:tcW w:w="530" w:type="pct"/>
            <w:tcBorders>
              <w:top w:val="single" w:color="auto" w:sz="4" w:space="0"/>
              <w:left w:val="single" w:color="auto" w:sz="4" w:space="0"/>
              <w:bottom w:val="single" w:color="auto" w:sz="4" w:space="0"/>
              <w:right w:val="single" w:color="auto" w:sz="4" w:space="0"/>
            </w:tcBorders>
            <w:vAlign w:val="center"/>
          </w:tcPr>
          <w:p w14:paraId="2443E18A">
            <w:pPr>
              <w:snapToGrid w:val="0"/>
              <w:spacing w:before="50" w:after="50"/>
              <w:jc w:val="center"/>
              <w:rPr>
                <w:rFonts w:ascii="宋体" w:hAnsi="宋体" w:cs="宋体"/>
                <w:color w:val="auto"/>
                <w:sz w:val="24"/>
                <w:highlight w:val="none"/>
              </w:rPr>
            </w:pPr>
          </w:p>
        </w:tc>
        <w:tc>
          <w:tcPr>
            <w:tcW w:w="904" w:type="pct"/>
            <w:tcBorders>
              <w:top w:val="single" w:color="auto" w:sz="4" w:space="0"/>
              <w:left w:val="single" w:color="auto" w:sz="4" w:space="0"/>
              <w:bottom w:val="single" w:color="auto" w:sz="4" w:space="0"/>
              <w:right w:val="single" w:color="auto" w:sz="4" w:space="0"/>
            </w:tcBorders>
          </w:tcPr>
          <w:p w14:paraId="5B302D4B">
            <w:pPr>
              <w:snapToGrid w:val="0"/>
              <w:spacing w:before="50" w:after="50"/>
              <w:jc w:val="center"/>
              <w:rPr>
                <w:rFonts w:ascii="宋体" w:hAnsi="宋体" w:cs="宋体"/>
                <w:color w:val="auto"/>
                <w:sz w:val="24"/>
                <w:highlight w:val="none"/>
              </w:rPr>
            </w:pPr>
          </w:p>
        </w:tc>
        <w:tc>
          <w:tcPr>
            <w:tcW w:w="295" w:type="pct"/>
            <w:tcBorders>
              <w:top w:val="single" w:color="auto" w:sz="4" w:space="0"/>
              <w:left w:val="single" w:color="auto" w:sz="4" w:space="0"/>
              <w:bottom w:val="single" w:color="auto" w:sz="4" w:space="0"/>
              <w:right w:val="single" w:color="auto" w:sz="4" w:space="0"/>
            </w:tcBorders>
            <w:vAlign w:val="center"/>
          </w:tcPr>
          <w:p w14:paraId="62467EFE">
            <w:pPr>
              <w:snapToGrid w:val="0"/>
              <w:spacing w:before="50" w:after="50"/>
              <w:jc w:val="center"/>
              <w:rPr>
                <w:rFonts w:ascii="宋体" w:hAnsi="宋体" w:cs="宋体"/>
                <w:color w:val="auto"/>
                <w:sz w:val="24"/>
                <w:highlight w:val="none"/>
              </w:rPr>
            </w:pPr>
          </w:p>
        </w:tc>
        <w:tc>
          <w:tcPr>
            <w:tcW w:w="372" w:type="pct"/>
            <w:tcBorders>
              <w:top w:val="single" w:color="auto" w:sz="4" w:space="0"/>
              <w:left w:val="single" w:color="auto" w:sz="4" w:space="0"/>
              <w:bottom w:val="single" w:color="auto" w:sz="4" w:space="0"/>
              <w:right w:val="single" w:color="auto" w:sz="4" w:space="0"/>
            </w:tcBorders>
            <w:vAlign w:val="center"/>
          </w:tcPr>
          <w:p w14:paraId="4582D3EE">
            <w:pPr>
              <w:snapToGrid w:val="0"/>
              <w:spacing w:before="50" w:after="50"/>
              <w:jc w:val="center"/>
              <w:rPr>
                <w:rFonts w:ascii="宋体" w:hAnsi="宋体" w:cs="宋体"/>
                <w:color w:val="auto"/>
                <w:sz w:val="24"/>
                <w:highlight w:val="none"/>
              </w:rPr>
            </w:pPr>
          </w:p>
        </w:tc>
        <w:tc>
          <w:tcPr>
            <w:tcW w:w="897" w:type="pct"/>
            <w:tcBorders>
              <w:top w:val="single" w:color="auto" w:sz="4" w:space="0"/>
              <w:left w:val="single" w:color="auto" w:sz="4" w:space="0"/>
              <w:bottom w:val="single" w:color="auto" w:sz="4" w:space="0"/>
              <w:right w:val="single" w:color="auto" w:sz="4" w:space="0"/>
            </w:tcBorders>
            <w:vAlign w:val="center"/>
          </w:tcPr>
          <w:p w14:paraId="47091C64">
            <w:pPr>
              <w:snapToGrid w:val="0"/>
              <w:spacing w:before="50" w:after="50"/>
              <w:jc w:val="center"/>
              <w:rPr>
                <w:rFonts w:ascii="宋体" w:hAnsi="宋体" w:cs="宋体"/>
                <w:color w:val="auto"/>
                <w:sz w:val="24"/>
                <w:highlight w:val="none"/>
              </w:rPr>
            </w:pPr>
          </w:p>
        </w:tc>
      </w:tr>
    </w:tbl>
    <w:p w14:paraId="77B61516">
      <w:pPr>
        <w:spacing w:line="360" w:lineRule="auto"/>
        <w:contextualSpacing/>
        <w:rPr>
          <w:rFonts w:ascii="宋体" w:hAnsi="宋体" w:cs="宋体"/>
          <w:color w:val="auto"/>
          <w:sz w:val="24"/>
          <w:highlight w:val="none"/>
        </w:rPr>
      </w:pPr>
    </w:p>
    <w:p w14:paraId="1F53E3C1">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备注：</w:t>
      </w:r>
    </w:p>
    <w:p w14:paraId="70553934">
      <w:pPr>
        <w:spacing w:line="360" w:lineRule="auto"/>
        <w:ind w:firstLine="480" w:firstLineChars="200"/>
        <w:contextualSpacing/>
        <w:rPr>
          <w:rFonts w:ascii="宋体" w:hAnsi="宋体" w:cs="宋体"/>
          <w:b/>
          <w:color w:val="auto"/>
          <w:sz w:val="24"/>
          <w:highlight w:val="none"/>
        </w:rPr>
      </w:pPr>
      <w:r>
        <w:rPr>
          <w:rFonts w:hint="eastAsia" w:ascii="宋体" w:hAnsi="宋体" w:cs="宋体"/>
          <w:color w:val="auto"/>
          <w:sz w:val="24"/>
          <w:highlight w:val="none"/>
        </w:rPr>
        <w:t>以上设备性能配置清单中“货物名称、数量及单位、品牌、规格型号、制造商、产地、参数性能、指标及配置”必须如实填写完整，品牌、规格型号没有则填无</w:t>
      </w:r>
      <w:r>
        <w:rPr>
          <w:rFonts w:hint="eastAsia" w:ascii="宋体" w:hAnsi="宋体" w:cs="宋体"/>
          <w:b/>
          <w:color w:val="auto"/>
          <w:sz w:val="24"/>
          <w:highlight w:val="none"/>
        </w:rPr>
        <w:t>。</w:t>
      </w:r>
    </w:p>
    <w:p w14:paraId="108074C8">
      <w:pPr>
        <w:spacing w:line="360" w:lineRule="auto"/>
        <w:ind w:firstLine="480" w:firstLineChars="200"/>
        <w:contextualSpacing/>
        <w:rPr>
          <w:rFonts w:ascii="宋体" w:hAnsi="宋体" w:cs="宋体"/>
          <w:color w:val="auto"/>
          <w:sz w:val="24"/>
          <w:highlight w:val="none"/>
        </w:rPr>
      </w:pPr>
    </w:p>
    <w:p w14:paraId="2B0CDDEC">
      <w:pPr>
        <w:spacing w:line="360" w:lineRule="auto"/>
        <w:contextualSpacing/>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27AA623B">
      <w:pPr>
        <w:spacing w:line="360" w:lineRule="auto"/>
        <w:contextualSpacing/>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4E872D73">
      <w:pPr>
        <w:spacing w:line="360" w:lineRule="auto"/>
        <w:contextualSpacing/>
        <w:rPr>
          <w:rFonts w:ascii="宋体" w:hAnsi="宋体" w:cs="宋体"/>
          <w:color w:val="auto"/>
          <w:sz w:val="24"/>
          <w:szCs w:val="20"/>
          <w:highlight w:val="none"/>
        </w:rPr>
      </w:pPr>
      <w:r>
        <w:rPr>
          <w:rFonts w:hint="eastAsia" w:ascii="宋体" w:hAnsi="宋体" w:cs="宋体"/>
          <w:color w:val="auto"/>
          <w:spacing w:val="20"/>
          <w:sz w:val="24"/>
          <w:highlight w:val="none"/>
        </w:rPr>
        <w:t>日  期：</w:t>
      </w:r>
    </w:p>
    <w:p w14:paraId="32E78193">
      <w:pPr>
        <w:snapToGrid w:val="0"/>
        <w:spacing w:before="50" w:after="120" w:afterLines="50"/>
        <w:jc w:val="left"/>
        <w:rPr>
          <w:rFonts w:ascii="宋体" w:hAnsi="宋体" w:cs="宋体"/>
          <w:color w:val="auto"/>
          <w:sz w:val="24"/>
          <w:szCs w:val="20"/>
          <w:highlight w:val="none"/>
        </w:rPr>
      </w:pPr>
    </w:p>
    <w:p w14:paraId="7662B459">
      <w:pPr>
        <w:snapToGrid w:val="0"/>
        <w:spacing w:before="50" w:after="120" w:afterLines="50"/>
        <w:jc w:val="left"/>
        <w:rPr>
          <w:rFonts w:ascii="宋体" w:hAnsi="宋体" w:cs="宋体"/>
          <w:color w:val="auto"/>
          <w:sz w:val="24"/>
          <w:szCs w:val="20"/>
          <w:highlight w:val="none"/>
        </w:rPr>
      </w:pPr>
    </w:p>
    <w:p w14:paraId="43ADB344">
      <w:pPr>
        <w:pStyle w:val="2"/>
        <w:rPr>
          <w:rFonts w:ascii="宋体" w:hAnsi="宋体" w:cs="宋体"/>
          <w:color w:val="auto"/>
          <w:szCs w:val="20"/>
          <w:highlight w:val="none"/>
        </w:rPr>
      </w:pPr>
    </w:p>
    <w:p w14:paraId="79C31822">
      <w:pPr>
        <w:pStyle w:val="2"/>
        <w:rPr>
          <w:rFonts w:ascii="宋体" w:hAnsi="宋体" w:cs="宋体"/>
          <w:color w:val="auto"/>
          <w:szCs w:val="20"/>
          <w:highlight w:val="none"/>
        </w:rPr>
      </w:pPr>
    </w:p>
    <w:p w14:paraId="4C81C7C9">
      <w:pPr>
        <w:pStyle w:val="2"/>
        <w:rPr>
          <w:rFonts w:ascii="宋体" w:hAnsi="宋体" w:cs="宋体"/>
          <w:color w:val="auto"/>
          <w:szCs w:val="20"/>
          <w:highlight w:val="none"/>
        </w:rPr>
      </w:pPr>
    </w:p>
    <w:p w14:paraId="29DA588A">
      <w:pPr>
        <w:pStyle w:val="2"/>
        <w:rPr>
          <w:rFonts w:ascii="宋体" w:hAnsi="宋体" w:cs="宋体"/>
          <w:color w:val="auto"/>
          <w:szCs w:val="20"/>
          <w:highlight w:val="none"/>
        </w:rPr>
      </w:pPr>
    </w:p>
    <w:p w14:paraId="38837CE7">
      <w:pPr>
        <w:pStyle w:val="2"/>
        <w:rPr>
          <w:rFonts w:ascii="宋体" w:hAnsi="宋体" w:cs="宋体"/>
          <w:color w:val="auto"/>
          <w:szCs w:val="20"/>
          <w:highlight w:val="none"/>
        </w:rPr>
      </w:pPr>
    </w:p>
    <w:p w14:paraId="275B6A6F">
      <w:pPr>
        <w:pStyle w:val="2"/>
        <w:rPr>
          <w:rFonts w:ascii="宋体" w:hAnsi="宋体" w:cs="宋体"/>
          <w:color w:val="auto"/>
          <w:szCs w:val="20"/>
          <w:highlight w:val="none"/>
        </w:rPr>
      </w:pPr>
    </w:p>
    <w:p w14:paraId="790EE6DB">
      <w:pPr>
        <w:pStyle w:val="2"/>
        <w:rPr>
          <w:rFonts w:ascii="宋体" w:hAnsi="宋体" w:cs="宋体"/>
          <w:color w:val="auto"/>
          <w:szCs w:val="20"/>
          <w:highlight w:val="none"/>
        </w:rPr>
      </w:pPr>
    </w:p>
    <w:p w14:paraId="4BBB6B26">
      <w:pPr>
        <w:pStyle w:val="2"/>
        <w:rPr>
          <w:rFonts w:ascii="宋体" w:hAnsi="宋体" w:cs="宋体"/>
          <w:color w:val="auto"/>
          <w:szCs w:val="20"/>
          <w:highlight w:val="none"/>
        </w:rPr>
      </w:pPr>
    </w:p>
    <w:p w14:paraId="700A79ED">
      <w:pPr>
        <w:pStyle w:val="2"/>
        <w:rPr>
          <w:rFonts w:ascii="宋体" w:hAnsi="宋体" w:cs="宋体"/>
          <w:color w:val="auto"/>
          <w:szCs w:val="20"/>
          <w:highlight w:val="none"/>
        </w:rPr>
      </w:pPr>
    </w:p>
    <w:p w14:paraId="5CF4733B">
      <w:pPr>
        <w:pStyle w:val="2"/>
        <w:rPr>
          <w:rFonts w:ascii="宋体" w:hAnsi="宋体" w:cs="宋体"/>
          <w:color w:val="auto"/>
          <w:highlight w:val="none"/>
        </w:rPr>
      </w:pPr>
    </w:p>
    <w:p w14:paraId="28F57B45">
      <w:pPr>
        <w:rPr>
          <w:rFonts w:ascii="宋体" w:hAnsi="宋体" w:cs="宋体"/>
          <w:color w:val="auto"/>
          <w:highlight w:val="none"/>
        </w:rPr>
      </w:pPr>
    </w:p>
    <w:p w14:paraId="6C86E1ED">
      <w:pPr>
        <w:pStyle w:val="2"/>
        <w:rPr>
          <w:rFonts w:ascii="宋体" w:hAnsi="宋体" w:cs="宋体"/>
          <w:color w:val="auto"/>
          <w:highlight w:val="none"/>
        </w:rPr>
      </w:pPr>
    </w:p>
    <w:p w14:paraId="0D963577">
      <w:pPr>
        <w:rPr>
          <w:rFonts w:ascii="宋体" w:hAnsi="宋体" w:cs="宋体"/>
          <w:color w:val="auto"/>
          <w:highlight w:val="none"/>
        </w:rPr>
      </w:pPr>
    </w:p>
    <w:p w14:paraId="568DCD27">
      <w:pPr>
        <w:pStyle w:val="46"/>
        <w:ind w:firstLine="640"/>
        <w:rPr>
          <w:color w:val="auto"/>
          <w:highlight w:val="none"/>
        </w:rPr>
      </w:pPr>
    </w:p>
    <w:p w14:paraId="1904307B">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t>项目实施人员一览表</w:t>
      </w:r>
    </w:p>
    <w:p w14:paraId="50C493F5">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0180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06CFD77">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09" w:type="dxa"/>
            <w:vAlign w:val="center"/>
          </w:tcPr>
          <w:p w14:paraId="10448172">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701" w:type="dxa"/>
            <w:vAlign w:val="center"/>
          </w:tcPr>
          <w:p w14:paraId="2F26A345">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420" w:type="dxa"/>
            <w:vAlign w:val="center"/>
          </w:tcPr>
          <w:p w14:paraId="78525206">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698" w:type="dxa"/>
            <w:vAlign w:val="center"/>
          </w:tcPr>
          <w:p w14:paraId="0921A6B8">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6B05A21B">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1843" w:type="dxa"/>
            <w:vAlign w:val="center"/>
          </w:tcPr>
          <w:p w14:paraId="5228C7AA">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劳动合同编号</w:t>
            </w:r>
          </w:p>
        </w:tc>
      </w:tr>
      <w:tr w14:paraId="7129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F9E9641">
            <w:pPr>
              <w:snapToGrid w:val="0"/>
              <w:spacing w:before="50" w:after="120" w:afterLines="50"/>
              <w:jc w:val="center"/>
              <w:rPr>
                <w:rFonts w:ascii="宋体" w:hAnsi="宋体" w:cs="宋体"/>
                <w:color w:val="auto"/>
                <w:sz w:val="24"/>
                <w:szCs w:val="20"/>
                <w:highlight w:val="none"/>
              </w:rPr>
            </w:pPr>
          </w:p>
        </w:tc>
        <w:tc>
          <w:tcPr>
            <w:tcW w:w="709" w:type="dxa"/>
            <w:vAlign w:val="center"/>
          </w:tcPr>
          <w:p w14:paraId="41F70352">
            <w:pPr>
              <w:snapToGrid w:val="0"/>
              <w:spacing w:before="50" w:after="120" w:afterLines="50"/>
              <w:jc w:val="center"/>
              <w:rPr>
                <w:rFonts w:ascii="宋体" w:hAnsi="宋体" w:cs="宋体"/>
                <w:color w:val="auto"/>
                <w:sz w:val="24"/>
                <w:szCs w:val="20"/>
                <w:highlight w:val="none"/>
              </w:rPr>
            </w:pPr>
          </w:p>
        </w:tc>
        <w:tc>
          <w:tcPr>
            <w:tcW w:w="1701" w:type="dxa"/>
            <w:vAlign w:val="center"/>
          </w:tcPr>
          <w:p w14:paraId="3C473F93">
            <w:pPr>
              <w:snapToGrid w:val="0"/>
              <w:spacing w:before="50" w:after="120" w:afterLines="50"/>
              <w:jc w:val="center"/>
              <w:rPr>
                <w:rFonts w:ascii="宋体" w:hAnsi="宋体" w:cs="宋体"/>
                <w:color w:val="auto"/>
                <w:sz w:val="24"/>
                <w:szCs w:val="20"/>
                <w:highlight w:val="none"/>
              </w:rPr>
            </w:pPr>
          </w:p>
        </w:tc>
        <w:tc>
          <w:tcPr>
            <w:tcW w:w="1420" w:type="dxa"/>
            <w:vAlign w:val="center"/>
          </w:tcPr>
          <w:p w14:paraId="145EBBA1">
            <w:pPr>
              <w:snapToGrid w:val="0"/>
              <w:spacing w:before="50" w:after="120" w:afterLines="50"/>
              <w:jc w:val="center"/>
              <w:rPr>
                <w:rFonts w:ascii="宋体" w:hAnsi="宋体" w:cs="宋体"/>
                <w:color w:val="auto"/>
                <w:sz w:val="24"/>
                <w:szCs w:val="20"/>
                <w:highlight w:val="none"/>
              </w:rPr>
            </w:pPr>
          </w:p>
        </w:tc>
        <w:tc>
          <w:tcPr>
            <w:tcW w:w="1698" w:type="dxa"/>
            <w:vAlign w:val="center"/>
          </w:tcPr>
          <w:p w14:paraId="1150BF12">
            <w:pPr>
              <w:snapToGrid w:val="0"/>
              <w:spacing w:before="50" w:after="120" w:afterLines="50"/>
              <w:jc w:val="center"/>
              <w:rPr>
                <w:rFonts w:ascii="宋体" w:hAnsi="宋体" w:cs="宋体"/>
                <w:color w:val="auto"/>
                <w:sz w:val="24"/>
                <w:szCs w:val="20"/>
                <w:highlight w:val="none"/>
              </w:rPr>
            </w:pPr>
          </w:p>
        </w:tc>
        <w:tc>
          <w:tcPr>
            <w:tcW w:w="1843" w:type="dxa"/>
            <w:vAlign w:val="center"/>
          </w:tcPr>
          <w:p w14:paraId="61BED620">
            <w:pPr>
              <w:snapToGrid w:val="0"/>
              <w:spacing w:before="50" w:after="120" w:afterLines="50"/>
              <w:jc w:val="center"/>
              <w:rPr>
                <w:rFonts w:ascii="宋体" w:hAnsi="宋体" w:cs="宋体"/>
                <w:color w:val="auto"/>
                <w:sz w:val="24"/>
                <w:szCs w:val="20"/>
                <w:highlight w:val="none"/>
              </w:rPr>
            </w:pPr>
          </w:p>
        </w:tc>
      </w:tr>
      <w:tr w14:paraId="6D20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F26B7E1">
            <w:pPr>
              <w:snapToGrid w:val="0"/>
              <w:spacing w:before="50" w:after="120" w:afterLines="50"/>
              <w:jc w:val="center"/>
              <w:rPr>
                <w:rFonts w:ascii="宋体" w:hAnsi="宋体" w:cs="宋体"/>
                <w:color w:val="auto"/>
                <w:sz w:val="24"/>
                <w:szCs w:val="20"/>
                <w:highlight w:val="none"/>
              </w:rPr>
            </w:pPr>
          </w:p>
        </w:tc>
        <w:tc>
          <w:tcPr>
            <w:tcW w:w="709" w:type="dxa"/>
            <w:vAlign w:val="center"/>
          </w:tcPr>
          <w:p w14:paraId="6B691C29">
            <w:pPr>
              <w:snapToGrid w:val="0"/>
              <w:spacing w:before="50" w:after="120" w:afterLines="50"/>
              <w:jc w:val="center"/>
              <w:rPr>
                <w:rFonts w:ascii="宋体" w:hAnsi="宋体" w:cs="宋体"/>
                <w:color w:val="auto"/>
                <w:sz w:val="24"/>
                <w:szCs w:val="20"/>
                <w:highlight w:val="none"/>
              </w:rPr>
            </w:pPr>
          </w:p>
        </w:tc>
        <w:tc>
          <w:tcPr>
            <w:tcW w:w="1701" w:type="dxa"/>
            <w:vAlign w:val="center"/>
          </w:tcPr>
          <w:p w14:paraId="3A6A408A">
            <w:pPr>
              <w:snapToGrid w:val="0"/>
              <w:spacing w:before="50" w:after="120" w:afterLines="50"/>
              <w:jc w:val="center"/>
              <w:rPr>
                <w:rFonts w:ascii="宋体" w:hAnsi="宋体" w:cs="宋体"/>
                <w:color w:val="auto"/>
                <w:sz w:val="24"/>
                <w:szCs w:val="20"/>
                <w:highlight w:val="none"/>
              </w:rPr>
            </w:pPr>
          </w:p>
        </w:tc>
        <w:tc>
          <w:tcPr>
            <w:tcW w:w="1420" w:type="dxa"/>
            <w:vAlign w:val="center"/>
          </w:tcPr>
          <w:p w14:paraId="193ABA7D">
            <w:pPr>
              <w:snapToGrid w:val="0"/>
              <w:spacing w:before="50" w:after="120" w:afterLines="50"/>
              <w:jc w:val="center"/>
              <w:rPr>
                <w:rFonts w:ascii="宋体" w:hAnsi="宋体" w:cs="宋体"/>
                <w:color w:val="auto"/>
                <w:sz w:val="24"/>
                <w:szCs w:val="20"/>
                <w:highlight w:val="none"/>
              </w:rPr>
            </w:pPr>
          </w:p>
        </w:tc>
        <w:tc>
          <w:tcPr>
            <w:tcW w:w="1698" w:type="dxa"/>
            <w:vAlign w:val="center"/>
          </w:tcPr>
          <w:p w14:paraId="7D110467">
            <w:pPr>
              <w:snapToGrid w:val="0"/>
              <w:spacing w:before="50" w:after="120" w:afterLines="50"/>
              <w:jc w:val="center"/>
              <w:rPr>
                <w:rFonts w:ascii="宋体" w:hAnsi="宋体" w:cs="宋体"/>
                <w:color w:val="auto"/>
                <w:sz w:val="24"/>
                <w:szCs w:val="20"/>
                <w:highlight w:val="none"/>
              </w:rPr>
            </w:pPr>
          </w:p>
        </w:tc>
        <w:tc>
          <w:tcPr>
            <w:tcW w:w="1843" w:type="dxa"/>
            <w:vAlign w:val="center"/>
          </w:tcPr>
          <w:p w14:paraId="10E2F010">
            <w:pPr>
              <w:snapToGrid w:val="0"/>
              <w:spacing w:before="50" w:after="120" w:afterLines="50"/>
              <w:jc w:val="center"/>
              <w:rPr>
                <w:rFonts w:ascii="宋体" w:hAnsi="宋体" w:cs="宋体"/>
                <w:color w:val="auto"/>
                <w:sz w:val="24"/>
                <w:szCs w:val="20"/>
                <w:highlight w:val="none"/>
              </w:rPr>
            </w:pPr>
          </w:p>
        </w:tc>
      </w:tr>
      <w:tr w14:paraId="775D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A523170">
            <w:pPr>
              <w:snapToGrid w:val="0"/>
              <w:spacing w:before="50" w:after="120" w:afterLines="50"/>
              <w:jc w:val="center"/>
              <w:rPr>
                <w:rFonts w:ascii="宋体" w:hAnsi="宋体" w:cs="宋体"/>
                <w:color w:val="auto"/>
                <w:sz w:val="24"/>
                <w:szCs w:val="20"/>
                <w:highlight w:val="none"/>
              </w:rPr>
            </w:pPr>
          </w:p>
        </w:tc>
        <w:tc>
          <w:tcPr>
            <w:tcW w:w="709" w:type="dxa"/>
            <w:vAlign w:val="center"/>
          </w:tcPr>
          <w:p w14:paraId="0E3F5142">
            <w:pPr>
              <w:snapToGrid w:val="0"/>
              <w:spacing w:before="50" w:after="120" w:afterLines="50"/>
              <w:jc w:val="center"/>
              <w:rPr>
                <w:rFonts w:ascii="宋体" w:hAnsi="宋体" w:cs="宋体"/>
                <w:color w:val="auto"/>
                <w:sz w:val="24"/>
                <w:szCs w:val="20"/>
                <w:highlight w:val="none"/>
              </w:rPr>
            </w:pPr>
          </w:p>
        </w:tc>
        <w:tc>
          <w:tcPr>
            <w:tcW w:w="1701" w:type="dxa"/>
            <w:vAlign w:val="center"/>
          </w:tcPr>
          <w:p w14:paraId="2E1D13F7">
            <w:pPr>
              <w:snapToGrid w:val="0"/>
              <w:spacing w:before="50" w:after="120" w:afterLines="50"/>
              <w:jc w:val="center"/>
              <w:rPr>
                <w:rFonts w:ascii="宋体" w:hAnsi="宋体" w:cs="宋体"/>
                <w:color w:val="auto"/>
                <w:sz w:val="24"/>
                <w:szCs w:val="20"/>
                <w:highlight w:val="none"/>
              </w:rPr>
            </w:pPr>
          </w:p>
        </w:tc>
        <w:tc>
          <w:tcPr>
            <w:tcW w:w="1420" w:type="dxa"/>
            <w:vAlign w:val="center"/>
          </w:tcPr>
          <w:p w14:paraId="2C93AD0B">
            <w:pPr>
              <w:snapToGrid w:val="0"/>
              <w:spacing w:before="50" w:after="120" w:afterLines="50"/>
              <w:jc w:val="center"/>
              <w:rPr>
                <w:rFonts w:ascii="宋体" w:hAnsi="宋体" w:cs="宋体"/>
                <w:color w:val="auto"/>
                <w:sz w:val="24"/>
                <w:szCs w:val="20"/>
                <w:highlight w:val="none"/>
              </w:rPr>
            </w:pPr>
          </w:p>
        </w:tc>
        <w:tc>
          <w:tcPr>
            <w:tcW w:w="1698" w:type="dxa"/>
            <w:vAlign w:val="center"/>
          </w:tcPr>
          <w:p w14:paraId="38624F52">
            <w:pPr>
              <w:snapToGrid w:val="0"/>
              <w:spacing w:before="50" w:after="120" w:afterLines="50"/>
              <w:jc w:val="center"/>
              <w:rPr>
                <w:rFonts w:ascii="宋体" w:hAnsi="宋体" w:cs="宋体"/>
                <w:color w:val="auto"/>
                <w:sz w:val="24"/>
                <w:szCs w:val="20"/>
                <w:highlight w:val="none"/>
              </w:rPr>
            </w:pPr>
          </w:p>
        </w:tc>
        <w:tc>
          <w:tcPr>
            <w:tcW w:w="1843" w:type="dxa"/>
            <w:vAlign w:val="center"/>
          </w:tcPr>
          <w:p w14:paraId="2E89CBD7">
            <w:pPr>
              <w:snapToGrid w:val="0"/>
              <w:spacing w:before="50" w:after="120" w:afterLines="50"/>
              <w:jc w:val="center"/>
              <w:rPr>
                <w:rFonts w:ascii="宋体" w:hAnsi="宋体" w:cs="宋体"/>
                <w:color w:val="auto"/>
                <w:sz w:val="24"/>
                <w:szCs w:val="20"/>
                <w:highlight w:val="none"/>
              </w:rPr>
            </w:pPr>
          </w:p>
        </w:tc>
      </w:tr>
    </w:tbl>
    <w:p w14:paraId="63065E07">
      <w:pPr>
        <w:snapToGrid w:val="0"/>
        <w:spacing w:before="50" w:after="120" w:afterLines="50"/>
        <w:jc w:val="left"/>
        <w:rPr>
          <w:rFonts w:ascii="宋体" w:hAnsi="宋体" w:cs="宋体"/>
          <w:color w:val="auto"/>
          <w:sz w:val="24"/>
          <w:szCs w:val="20"/>
          <w:highlight w:val="none"/>
        </w:rPr>
      </w:pPr>
    </w:p>
    <w:p w14:paraId="065217A0">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注：</w:t>
      </w:r>
    </w:p>
    <w:p w14:paraId="166109E1">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1.在填写时，如本表格不适合投标单位的实际情况，可根据本表格式自行制表填写。</w:t>
      </w:r>
    </w:p>
    <w:p w14:paraId="23C4AB6C">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2.投标人应当附本表所列证书的复印件并加盖供应商CA电子签章。</w:t>
      </w:r>
    </w:p>
    <w:p w14:paraId="4AF107EE">
      <w:pPr>
        <w:spacing w:line="360" w:lineRule="auto"/>
        <w:contextualSpacing/>
        <w:jc w:val="left"/>
        <w:rPr>
          <w:rFonts w:ascii="宋体" w:hAnsi="宋体" w:cs="宋体"/>
          <w:color w:val="auto"/>
          <w:sz w:val="24"/>
          <w:szCs w:val="20"/>
          <w:highlight w:val="none"/>
        </w:rPr>
      </w:pPr>
    </w:p>
    <w:p w14:paraId="1BCA0A0F">
      <w:pPr>
        <w:spacing w:line="360" w:lineRule="auto"/>
        <w:contextualSpacing/>
        <w:jc w:val="left"/>
        <w:rPr>
          <w:rFonts w:ascii="宋体" w:hAnsi="宋体" w:cs="宋体"/>
          <w:color w:val="auto"/>
          <w:sz w:val="24"/>
          <w:szCs w:val="20"/>
          <w:highlight w:val="none"/>
        </w:rPr>
      </w:pPr>
    </w:p>
    <w:p w14:paraId="30F097B3">
      <w:pPr>
        <w:spacing w:line="360" w:lineRule="auto"/>
        <w:contextualSpacing/>
        <w:rPr>
          <w:rFonts w:ascii="宋体" w:hAnsi="宋体" w:cs="宋体"/>
          <w:color w:val="auto"/>
          <w:spacing w:val="20"/>
          <w:sz w:val="24"/>
          <w:szCs w:val="20"/>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18F874FD">
      <w:pPr>
        <w:spacing w:line="360" w:lineRule="auto"/>
        <w:contextualSpacing/>
        <w:jc w:val="left"/>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0EACC1EA">
      <w:pPr>
        <w:spacing w:line="360" w:lineRule="auto"/>
        <w:contextualSpacing/>
        <w:jc w:val="left"/>
        <w:rPr>
          <w:rFonts w:ascii="宋体" w:hAnsi="宋体" w:cs="宋体"/>
          <w:color w:val="auto"/>
          <w:sz w:val="24"/>
          <w:szCs w:val="20"/>
          <w:highlight w:val="none"/>
        </w:rPr>
      </w:pPr>
      <w:r>
        <w:rPr>
          <w:rFonts w:hint="eastAsia" w:ascii="宋体" w:hAnsi="宋体" w:cs="宋体"/>
          <w:color w:val="auto"/>
          <w:spacing w:val="20"/>
          <w:sz w:val="24"/>
          <w:highlight w:val="none"/>
        </w:rPr>
        <w:t>日 期：</w:t>
      </w:r>
    </w:p>
    <w:p w14:paraId="1497E3BC">
      <w:pPr>
        <w:snapToGrid w:val="0"/>
        <w:spacing w:before="50" w:after="120" w:afterLines="50"/>
        <w:jc w:val="left"/>
        <w:rPr>
          <w:rFonts w:ascii="宋体" w:hAnsi="宋体" w:cs="宋体"/>
          <w:color w:val="auto"/>
          <w:sz w:val="24"/>
          <w:szCs w:val="20"/>
          <w:highlight w:val="none"/>
        </w:rPr>
      </w:pPr>
    </w:p>
    <w:p w14:paraId="22085FD7">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选配件、专用耗材、售后服务优惠表</w:t>
      </w:r>
    </w:p>
    <w:p w14:paraId="36518BF4">
      <w:pPr>
        <w:snapToGrid w:val="0"/>
        <w:spacing w:before="120" w:beforeLines="50" w:after="50"/>
        <w:ind w:left="142"/>
        <w:jc w:val="left"/>
        <w:rPr>
          <w:rFonts w:ascii="宋体" w:hAnsi="宋体" w:cs="宋体"/>
          <w:b/>
          <w:color w:val="auto"/>
          <w:sz w:val="24"/>
          <w:highlight w:val="none"/>
        </w:rPr>
      </w:pPr>
    </w:p>
    <w:p w14:paraId="7172E91A">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选配件、专用耗材、售后服务优惠表</w:t>
      </w:r>
    </w:p>
    <w:tbl>
      <w:tblPr>
        <w:tblStyle w:val="4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0DE2BB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0658600">
            <w:pPr>
              <w:pStyle w:val="24"/>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31D29C12">
            <w:pPr>
              <w:pStyle w:val="24"/>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77BA31DB">
            <w:pPr>
              <w:pStyle w:val="24"/>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3D179E29">
            <w:pPr>
              <w:pStyle w:val="24"/>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4E1B719F">
            <w:pPr>
              <w:pStyle w:val="24"/>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比市场价优惠率（%）</w:t>
            </w:r>
          </w:p>
        </w:tc>
      </w:tr>
      <w:tr w14:paraId="1ED36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4E4895AD">
            <w:pPr>
              <w:pStyle w:val="24"/>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1</w:t>
            </w:r>
          </w:p>
        </w:tc>
        <w:tc>
          <w:tcPr>
            <w:tcW w:w="2700" w:type="dxa"/>
            <w:tcBorders>
              <w:top w:val="single" w:color="auto" w:sz="2" w:space="0"/>
              <w:left w:val="single" w:color="auto" w:sz="2" w:space="0"/>
              <w:bottom w:val="single" w:color="auto" w:sz="6" w:space="0"/>
              <w:right w:val="single" w:color="auto" w:sz="4" w:space="0"/>
            </w:tcBorders>
            <w:vAlign w:val="center"/>
          </w:tcPr>
          <w:p w14:paraId="51A2F626">
            <w:pPr>
              <w:pStyle w:val="24"/>
              <w:snapToGrid w:val="0"/>
              <w:spacing w:before="295" w:after="295"/>
              <w:jc w:val="center"/>
              <w:rPr>
                <w:rFonts w:hAnsi="宋体" w:cs="宋体"/>
                <w:color w:val="auto"/>
                <w:kern w:val="2"/>
                <w:sz w:val="24"/>
                <w:highlight w:val="none"/>
              </w:rPr>
            </w:pPr>
          </w:p>
        </w:tc>
        <w:tc>
          <w:tcPr>
            <w:tcW w:w="1440" w:type="dxa"/>
            <w:tcBorders>
              <w:top w:val="single" w:color="auto" w:sz="2" w:space="0"/>
              <w:left w:val="single" w:color="auto" w:sz="4" w:space="0"/>
              <w:bottom w:val="single" w:color="auto" w:sz="6" w:space="0"/>
              <w:right w:val="single" w:color="auto" w:sz="6" w:space="0"/>
            </w:tcBorders>
            <w:vAlign w:val="center"/>
          </w:tcPr>
          <w:p w14:paraId="73C9E3A6">
            <w:pPr>
              <w:pStyle w:val="24"/>
              <w:snapToGrid w:val="0"/>
              <w:spacing w:before="295" w:after="295"/>
              <w:jc w:val="center"/>
              <w:rPr>
                <w:rFonts w:hAnsi="宋体" w:cs="宋体"/>
                <w:color w:val="auto"/>
                <w:kern w:val="2"/>
                <w:sz w:val="24"/>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232F3AF6">
            <w:pPr>
              <w:pStyle w:val="24"/>
              <w:snapToGrid w:val="0"/>
              <w:spacing w:before="295" w:after="295"/>
              <w:jc w:val="center"/>
              <w:rPr>
                <w:rFonts w:hAnsi="宋体" w:cs="宋体"/>
                <w:color w:val="auto"/>
                <w:kern w:val="2"/>
                <w:sz w:val="24"/>
                <w:highlight w:val="none"/>
              </w:rPr>
            </w:pPr>
          </w:p>
        </w:tc>
        <w:tc>
          <w:tcPr>
            <w:tcW w:w="2340" w:type="dxa"/>
            <w:tcBorders>
              <w:top w:val="single" w:color="auto" w:sz="2" w:space="0"/>
              <w:left w:val="single" w:color="auto" w:sz="6" w:space="0"/>
              <w:bottom w:val="single" w:color="auto" w:sz="6" w:space="0"/>
              <w:right w:val="single" w:color="auto" w:sz="2" w:space="0"/>
            </w:tcBorders>
            <w:vAlign w:val="center"/>
          </w:tcPr>
          <w:p w14:paraId="65F5B952">
            <w:pPr>
              <w:pStyle w:val="24"/>
              <w:snapToGrid w:val="0"/>
              <w:spacing w:before="295" w:after="295"/>
              <w:jc w:val="center"/>
              <w:rPr>
                <w:rFonts w:hAnsi="宋体" w:cs="宋体"/>
                <w:color w:val="auto"/>
                <w:kern w:val="2"/>
                <w:sz w:val="24"/>
                <w:highlight w:val="none"/>
              </w:rPr>
            </w:pPr>
          </w:p>
        </w:tc>
      </w:tr>
      <w:tr w14:paraId="6CFF1F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E96F7AB">
            <w:pPr>
              <w:pStyle w:val="24"/>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2</w:t>
            </w:r>
          </w:p>
        </w:tc>
        <w:tc>
          <w:tcPr>
            <w:tcW w:w="2700" w:type="dxa"/>
            <w:tcBorders>
              <w:top w:val="single" w:color="auto" w:sz="6" w:space="0"/>
              <w:left w:val="single" w:color="auto" w:sz="2" w:space="0"/>
              <w:bottom w:val="single" w:color="auto" w:sz="6" w:space="0"/>
              <w:right w:val="single" w:color="auto" w:sz="4" w:space="0"/>
            </w:tcBorders>
            <w:vAlign w:val="center"/>
          </w:tcPr>
          <w:p w14:paraId="70A826A5">
            <w:pPr>
              <w:pStyle w:val="24"/>
              <w:snapToGrid w:val="0"/>
              <w:spacing w:before="295" w:after="295"/>
              <w:jc w:val="center"/>
              <w:rPr>
                <w:rFonts w:hAnsi="宋体" w:cs="宋体"/>
                <w:color w:val="auto"/>
                <w:kern w:val="2"/>
                <w:sz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7DDF8BBD">
            <w:pPr>
              <w:pStyle w:val="24"/>
              <w:snapToGrid w:val="0"/>
              <w:spacing w:before="295" w:after="295"/>
              <w:jc w:val="center"/>
              <w:rPr>
                <w:rFonts w:hAnsi="宋体" w:cs="宋体"/>
                <w:color w:val="auto"/>
                <w:kern w:val="2"/>
                <w:sz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0400BEFC">
            <w:pPr>
              <w:pStyle w:val="24"/>
              <w:snapToGrid w:val="0"/>
              <w:spacing w:before="295" w:after="295"/>
              <w:jc w:val="center"/>
              <w:rPr>
                <w:rFonts w:hAnsi="宋体" w:cs="宋体"/>
                <w:color w:val="auto"/>
                <w:kern w:val="2"/>
                <w:sz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2BAB7DA0">
            <w:pPr>
              <w:pStyle w:val="24"/>
              <w:snapToGrid w:val="0"/>
              <w:spacing w:before="295" w:after="295"/>
              <w:jc w:val="center"/>
              <w:rPr>
                <w:rFonts w:hAnsi="宋体" w:cs="宋体"/>
                <w:color w:val="auto"/>
                <w:kern w:val="2"/>
                <w:sz w:val="24"/>
                <w:highlight w:val="none"/>
              </w:rPr>
            </w:pPr>
          </w:p>
        </w:tc>
      </w:tr>
      <w:tr w14:paraId="32B48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127473B7">
            <w:pPr>
              <w:pStyle w:val="24"/>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3</w:t>
            </w:r>
          </w:p>
        </w:tc>
        <w:tc>
          <w:tcPr>
            <w:tcW w:w="2700" w:type="dxa"/>
            <w:tcBorders>
              <w:top w:val="single" w:color="auto" w:sz="6" w:space="0"/>
              <w:left w:val="single" w:color="auto" w:sz="2" w:space="0"/>
              <w:bottom w:val="single" w:color="auto" w:sz="6" w:space="0"/>
              <w:right w:val="single" w:color="auto" w:sz="4" w:space="0"/>
            </w:tcBorders>
            <w:vAlign w:val="center"/>
          </w:tcPr>
          <w:p w14:paraId="1887DE6B">
            <w:pPr>
              <w:pStyle w:val="24"/>
              <w:snapToGrid w:val="0"/>
              <w:spacing w:before="295" w:after="295"/>
              <w:jc w:val="center"/>
              <w:rPr>
                <w:rFonts w:hAnsi="宋体" w:cs="宋体"/>
                <w:color w:val="auto"/>
                <w:kern w:val="2"/>
                <w:sz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2F6C656C">
            <w:pPr>
              <w:pStyle w:val="24"/>
              <w:snapToGrid w:val="0"/>
              <w:spacing w:before="295" w:after="295"/>
              <w:jc w:val="center"/>
              <w:rPr>
                <w:rFonts w:hAnsi="宋体" w:cs="宋体"/>
                <w:color w:val="auto"/>
                <w:kern w:val="2"/>
                <w:sz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6C7B9CB3">
            <w:pPr>
              <w:pStyle w:val="24"/>
              <w:snapToGrid w:val="0"/>
              <w:spacing w:before="295" w:after="295"/>
              <w:jc w:val="center"/>
              <w:rPr>
                <w:rFonts w:hAnsi="宋体" w:cs="宋体"/>
                <w:color w:val="auto"/>
                <w:kern w:val="2"/>
                <w:sz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5D376F45">
            <w:pPr>
              <w:pStyle w:val="24"/>
              <w:snapToGrid w:val="0"/>
              <w:spacing w:before="295" w:after="295"/>
              <w:jc w:val="center"/>
              <w:rPr>
                <w:rFonts w:hAnsi="宋体" w:cs="宋体"/>
                <w:color w:val="auto"/>
                <w:kern w:val="2"/>
                <w:sz w:val="24"/>
                <w:highlight w:val="none"/>
              </w:rPr>
            </w:pPr>
          </w:p>
        </w:tc>
      </w:tr>
    </w:tbl>
    <w:p w14:paraId="52CAA63A">
      <w:pPr>
        <w:spacing w:line="360" w:lineRule="auto"/>
        <w:contextualSpacing/>
        <w:rPr>
          <w:rFonts w:ascii="宋体" w:hAnsi="宋体" w:cs="宋体"/>
          <w:color w:val="auto"/>
          <w:sz w:val="24"/>
          <w:highlight w:val="none"/>
        </w:rPr>
      </w:pPr>
    </w:p>
    <w:p w14:paraId="4357E858">
      <w:pPr>
        <w:spacing w:line="360" w:lineRule="auto"/>
        <w:contextualSpacing/>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1E7959AD">
      <w:pPr>
        <w:spacing w:line="360" w:lineRule="auto"/>
        <w:contextualSpacing/>
        <w:jc w:val="left"/>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3072164B">
      <w:pPr>
        <w:spacing w:line="360" w:lineRule="auto"/>
        <w:contextualSpacing/>
        <w:jc w:val="left"/>
        <w:rPr>
          <w:rFonts w:ascii="宋体" w:hAnsi="宋体" w:cs="宋体"/>
          <w:color w:val="auto"/>
          <w:sz w:val="24"/>
          <w:szCs w:val="20"/>
          <w:highlight w:val="none"/>
        </w:rPr>
      </w:pPr>
      <w:r>
        <w:rPr>
          <w:rFonts w:hint="eastAsia" w:ascii="宋体" w:hAnsi="宋体" w:cs="宋体"/>
          <w:color w:val="auto"/>
          <w:spacing w:val="20"/>
          <w:sz w:val="24"/>
          <w:highlight w:val="none"/>
        </w:rPr>
        <w:t>日 期：</w:t>
      </w:r>
    </w:p>
    <w:p w14:paraId="23CE09EC">
      <w:pPr>
        <w:snapToGrid w:val="0"/>
        <w:spacing w:before="50" w:after="120" w:afterLines="50"/>
        <w:jc w:val="left"/>
        <w:rPr>
          <w:rFonts w:ascii="宋体" w:hAnsi="宋体" w:cs="宋体"/>
          <w:color w:val="auto"/>
          <w:sz w:val="24"/>
          <w:szCs w:val="20"/>
          <w:highlight w:val="none"/>
        </w:rPr>
      </w:pPr>
    </w:p>
    <w:p w14:paraId="325F71EF">
      <w:pPr>
        <w:rPr>
          <w:rFonts w:ascii="宋体" w:hAnsi="宋体" w:cs="宋体"/>
          <w:b/>
          <w:color w:val="auto"/>
          <w:sz w:val="28"/>
          <w:szCs w:val="28"/>
          <w:highlight w:val="none"/>
        </w:rPr>
      </w:pPr>
      <w:r>
        <w:rPr>
          <w:rFonts w:hint="eastAsia" w:ascii="宋体" w:hAnsi="宋体" w:cs="宋体"/>
          <w:b/>
          <w:bCs/>
          <w:color w:val="auto"/>
          <w:sz w:val="24"/>
          <w:highlight w:val="none"/>
        </w:rPr>
        <w:br w:type="page"/>
      </w:r>
      <w:r>
        <w:rPr>
          <w:rFonts w:hint="eastAsia" w:ascii="宋体" w:hAnsi="宋体" w:cs="宋体"/>
          <w:b/>
          <w:color w:val="auto"/>
          <w:sz w:val="28"/>
          <w:szCs w:val="28"/>
          <w:highlight w:val="none"/>
        </w:rPr>
        <w:t>五、其他文书、文件格式</w:t>
      </w:r>
    </w:p>
    <w:p w14:paraId="12A2B771">
      <w:pPr>
        <w:snapToGrid w:val="0"/>
        <w:spacing w:before="120" w:beforeLines="50" w:after="50"/>
        <w:ind w:left="142"/>
        <w:jc w:val="left"/>
        <w:rPr>
          <w:rFonts w:ascii="宋体" w:hAnsi="宋体" w:cs="宋体"/>
          <w:b/>
          <w:color w:val="auto"/>
          <w:spacing w:val="20"/>
          <w:sz w:val="24"/>
          <w:highlight w:val="none"/>
        </w:rPr>
      </w:pPr>
      <w:r>
        <w:rPr>
          <w:rFonts w:hint="eastAsia" w:ascii="宋体" w:hAnsi="宋体" w:cs="宋体"/>
          <w:b/>
          <w:color w:val="auto"/>
          <w:spacing w:val="20"/>
          <w:sz w:val="24"/>
          <w:highlight w:val="none"/>
        </w:rPr>
        <w:t>1.联合投标协议书格式</w:t>
      </w:r>
    </w:p>
    <w:p w14:paraId="076426D2">
      <w:pPr>
        <w:pStyle w:val="7"/>
        <w:overflowPunct w:val="0"/>
        <w:jc w:val="center"/>
        <w:rPr>
          <w:rFonts w:ascii="宋体" w:hAnsi="宋体" w:cs="宋体"/>
          <w:color w:val="auto"/>
          <w:sz w:val="44"/>
          <w:szCs w:val="44"/>
          <w:highlight w:val="none"/>
        </w:rPr>
      </w:pPr>
    </w:p>
    <w:p w14:paraId="283205AE">
      <w:pPr>
        <w:pStyle w:val="7"/>
        <w:overflowPunct w:val="0"/>
        <w:jc w:val="center"/>
        <w:rPr>
          <w:rFonts w:ascii="宋体" w:hAnsi="宋体" w:cs="宋体"/>
          <w:color w:val="auto"/>
          <w:sz w:val="44"/>
          <w:szCs w:val="44"/>
          <w:highlight w:val="none"/>
        </w:rPr>
      </w:pPr>
      <w:r>
        <w:rPr>
          <w:rFonts w:hint="eastAsia" w:ascii="宋体" w:hAnsi="宋体" w:cs="宋体"/>
          <w:color w:val="auto"/>
          <w:sz w:val="44"/>
          <w:szCs w:val="44"/>
          <w:highlight w:val="none"/>
        </w:rPr>
        <w:t>联合体协议书</w:t>
      </w:r>
    </w:p>
    <w:p w14:paraId="2210B150">
      <w:pPr>
        <w:pStyle w:val="7"/>
        <w:overflowPunct w:val="0"/>
        <w:rPr>
          <w:rFonts w:ascii="宋体" w:hAnsi="宋体" w:cs="宋体"/>
          <w:color w:val="auto"/>
          <w:sz w:val="24"/>
          <w:highlight w:val="none"/>
        </w:rPr>
      </w:pPr>
    </w:p>
    <w:p w14:paraId="756F2061">
      <w:pPr>
        <w:pStyle w:val="7"/>
        <w:overflowPunct w:val="0"/>
        <w:spacing w:line="360" w:lineRule="auto"/>
        <w:contextualSpacing/>
        <w:rPr>
          <w:rFonts w:ascii="宋体" w:hAnsi="宋体" w:cs="宋体"/>
          <w:color w:val="auto"/>
          <w:sz w:val="24"/>
          <w:highlight w:val="none"/>
        </w:rPr>
      </w:pPr>
      <w:r>
        <w:rPr>
          <w:rFonts w:hint="eastAsia" w:ascii="宋体" w:hAnsi="宋体" w:cs="宋体"/>
          <w:color w:val="auto"/>
          <w:sz w:val="24"/>
          <w:highlight w:val="none"/>
          <w:u w:val="single"/>
        </w:rPr>
        <w:tab/>
      </w:r>
      <w:r>
        <w:rPr>
          <w:rFonts w:hint="eastAsia" w:ascii="宋体" w:hAnsi="宋体" w:cs="宋体"/>
          <w:color w:val="auto"/>
          <w:sz w:val="24"/>
          <w:highlight w:val="none"/>
        </w:rPr>
        <w:t>（所有成员单位名称）自愿组成</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（联合体名称）联合体，共同参加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采购招标项目投标。现就联合体投标事宜订立如下协议。</w:t>
      </w:r>
    </w:p>
    <w:p w14:paraId="433A0CAB">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 xml:space="preserve">1.  </w:t>
      </w:r>
      <w:r>
        <w:rPr>
          <w:rFonts w:hint="eastAsia" w:ascii="宋体" w:hAnsi="宋体" w:cs="宋体"/>
          <w:color w:val="auto"/>
          <w:sz w:val="24"/>
          <w:highlight w:val="none"/>
          <w:u w:val="single"/>
        </w:rPr>
        <w:tab/>
      </w:r>
      <w:r>
        <w:rPr>
          <w:rFonts w:hint="eastAsia" w:ascii="宋体" w:hAnsi="宋体" w:cs="宋体"/>
          <w:color w:val="auto"/>
          <w:sz w:val="24"/>
          <w:highlight w:val="none"/>
        </w:rPr>
        <w:t>（某成员单位名称）为</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（联合体名称）牵头人。</w:t>
      </w:r>
    </w:p>
    <w:p w14:paraId="2504D776">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2.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45CA8D74">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3.联合体牵头人在本项目中签署和盖章的一切文件和处理的一切事宜，联合体各成员均予以承认。联合体各成员将严格按照招标文件、投标文件和合同的要求全面履行义务，并向招标人承担连带责任。</w:t>
      </w:r>
    </w:p>
    <w:p w14:paraId="06A16ED7">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4.联合体各成员单位内部的职责分工如下：</w:t>
      </w:r>
      <w:r>
        <w:rPr>
          <w:rFonts w:hint="eastAsia" w:ascii="宋体" w:hAnsi="宋体" w:cs="宋体"/>
          <w:color w:val="auto"/>
          <w:sz w:val="24"/>
          <w:highlight w:val="none"/>
          <w:u w:val="single"/>
        </w:rPr>
        <w:tab/>
      </w:r>
      <w:r>
        <w:rPr>
          <w:rFonts w:hint="eastAsia" w:ascii="宋体" w:hAnsi="宋体" w:cs="宋体"/>
          <w:color w:val="auto"/>
          <w:sz w:val="24"/>
          <w:highlight w:val="none"/>
        </w:rPr>
        <w:t>。</w:t>
      </w:r>
    </w:p>
    <w:p w14:paraId="7A25DD75">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5.本协议书自所有成员单位法定代表人或者其委托代理人签字（或者电子签名）或者盖公章之日起生效，合同履行完毕后自动失效。</w:t>
      </w:r>
    </w:p>
    <w:p w14:paraId="19ADC9EB">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6.本协议书一式</w:t>
      </w:r>
      <w:r>
        <w:rPr>
          <w:rFonts w:hint="eastAsia" w:ascii="宋体" w:hAnsi="宋体" w:cs="宋体"/>
          <w:color w:val="auto"/>
          <w:sz w:val="24"/>
          <w:highlight w:val="none"/>
          <w:u w:val="single"/>
        </w:rPr>
        <w:tab/>
      </w:r>
      <w:r>
        <w:rPr>
          <w:rFonts w:hint="eastAsia" w:ascii="宋体" w:hAnsi="宋体" w:cs="宋体"/>
          <w:color w:val="auto"/>
          <w:sz w:val="24"/>
          <w:highlight w:val="none"/>
        </w:rPr>
        <w:t>份，联合体成员和招标人各执一份。</w:t>
      </w:r>
    </w:p>
    <w:p w14:paraId="3B27EBF4">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注：本协议书应附法定代表人身份证明；有委托代理的，应附授权委托书（格式自拟）。</w:t>
      </w:r>
    </w:p>
    <w:p w14:paraId="0593B03C">
      <w:pPr>
        <w:pStyle w:val="7"/>
        <w:overflowPunct w:val="0"/>
        <w:spacing w:line="360" w:lineRule="auto"/>
        <w:ind w:firstLineChars="175"/>
        <w:contextualSpacing/>
        <w:rPr>
          <w:rFonts w:ascii="宋体" w:hAnsi="宋体" w:cs="宋体"/>
          <w:color w:val="auto"/>
          <w:sz w:val="24"/>
          <w:highlight w:val="none"/>
        </w:rPr>
      </w:pPr>
    </w:p>
    <w:p w14:paraId="0DDC90F1">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联合体牵头人名称（电子签章）：</w:t>
      </w:r>
    </w:p>
    <w:p w14:paraId="61B1284B">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w:t>
      </w:r>
      <w:r>
        <w:rPr>
          <w:rFonts w:hint="eastAsia" w:ascii="宋体" w:hAnsi="宋体" w:cs="宋体"/>
          <w:color w:val="auto"/>
          <w:sz w:val="24"/>
          <w:highlight w:val="none"/>
        </w:rPr>
        <w:tab/>
      </w:r>
      <w:r>
        <w:rPr>
          <w:rFonts w:hint="eastAsia" w:ascii="宋体" w:hAnsi="宋体" w:cs="宋体"/>
          <w:color w:val="auto"/>
          <w:sz w:val="24"/>
          <w:highlight w:val="none"/>
        </w:rPr>
        <w:t>（签字或者电子签名）</w:t>
      </w:r>
    </w:p>
    <w:p w14:paraId="6463AEAB">
      <w:pPr>
        <w:pStyle w:val="7"/>
        <w:overflowPunct w:val="0"/>
        <w:spacing w:line="360" w:lineRule="auto"/>
        <w:ind w:firstLineChars="175"/>
        <w:contextualSpacing/>
        <w:rPr>
          <w:rFonts w:ascii="宋体" w:hAnsi="宋体" w:cs="宋体"/>
          <w:color w:val="auto"/>
          <w:sz w:val="24"/>
          <w:highlight w:val="none"/>
        </w:rPr>
      </w:pPr>
    </w:p>
    <w:p w14:paraId="5F30C5C3">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联合体成员名称（盖公章或者电子签章）：</w:t>
      </w:r>
    </w:p>
    <w:p w14:paraId="6D1FBC67">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w:t>
      </w:r>
      <w:r>
        <w:rPr>
          <w:rFonts w:hint="eastAsia" w:ascii="宋体" w:hAnsi="宋体" w:cs="宋体"/>
          <w:color w:val="auto"/>
          <w:sz w:val="24"/>
          <w:highlight w:val="none"/>
        </w:rPr>
        <w:tab/>
      </w:r>
      <w:r>
        <w:rPr>
          <w:rFonts w:hint="eastAsia" w:ascii="宋体" w:hAnsi="宋体" w:cs="宋体"/>
          <w:color w:val="auto"/>
          <w:sz w:val="24"/>
          <w:highlight w:val="none"/>
        </w:rPr>
        <w:t>（签字或者电子签名）</w:t>
      </w:r>
    </w:p>
    <w:p w14:paraId="758BB134">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w:t>
      </w:r>
    </w:p>
    <w:p w14:paraId="0B1A066A">
      <w:pPr>
        <w:pStyle w:val="7"/>
        <w:overflowPunct w:val="0"/>
        <w:spacing w:line="360" w:lineRule="auto"/>
        <w:ind w:firstLineChars="175"/>
        <w:contextualSpacing/>
        <w:rPr>
          <w:rFonts w:ascii="宋体" w:hAnsi="宋体" w:cs="宋体"/>
          <w:color w:val="auto"/>
          <w:sz w:val="24"/>
          <w:highlight w:val="none"/>
        </w:rPr>
      </w:pPr>
    </w:p>
    <w:p w14:paraId="0074C0FE">
      <w:pPr>
        <w:pStyle w:val="7"/>
        <w:overflowPunct w:val="0"/>
        <w:spacing w:line="360" w:lineRule="auto"/>
        <w:ind w:firstLineChars="175"/>
        <w:contextualSpacing/>
        <w:jc w:val="right"/>
        <w:rPr>
          <w:rFonts w:ascii="宋体" w:hAnsi="宋体" w:cs="宋体"/>
          <w:b/>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年</w:t>
      </w:r>
      <w:r>
        <w:rPr>
          <w:rFonts w:hint="eastAsia" w:ascii="宋体" w:hAnsi="宋体" w:cs="宋体"/>
          <w:color w:val="auto"/>
          <w:sz w:val="24"/>
          <w:highlight w:val="none"/>
        </w:rPr>
        <w:tab/>
      </w:r>
      <w:r>
        <w:rPr>
          <w:rFonts w:hint="eastAsia" w:ascii="宋体" w:hAnsi="宋体" w:cs="宋体"/>
          <w:color w:val="auto"/>
          <w:sz w:val="24"/>
          <w:highlight w:val="none"/>
        </w:rPr>
        <w:t>月</w:t>
      </w:r>
      <w:r>
        <w:rPr>
          <w:rFonts w:hint="eastAsia" w:ascii="宋体" w:hAnsi="宋体" w:cs="宋体"/>
          <w:color w:val="auto"/>
          <w:sz w:val="24"/>
          <w:highlight w:val="none"/>
        </w:rPr>
        <w:tab/>
      </w:r>
      <w:r>
        <w:rPr>
          <w:rFonts w:hint="eastAsia" w:ascii="宋体" w:hAnsi="宋体" w:cs="宋体"/>
          <w:color w:val="auto"/>
          <w:sz w:val="24"/>
          <w:highlight w:val="none"/>
        </w:rPr>
        <w:t>日</w:t>
      </w:r>
    </w:p>
    <w:p w14:paraId="1A1C7165">
      <w:pPr>
        <w:snapToGrid w:val="0"/>
        <w:spacing w:before="120" w:beforeLines="50" w:after="50"/>
        <w:jc w:val="left"/>
        <w:rPr>
          <w:rFonts w:ascii="宋体" w:hAnsi="宋体" w:cs="宋体"/>
          <w:b/>
          <w:color w:val="auto"/>
          <w:sz w:val="24"/>
          <w:highlight w:val="none"/>
        </w:rPr>
      </w:pPr>
    </w:p>
    <w:p w14:paraId="5036EE1B">
      <w:pPr>
        <w:snapToGrid w:val="0"/>
        <w:spacing w:before="120" w:beforeLines="50" w:after="50"/>
        <w:jc w:val="left"/>
        <w:rPr>
          <w:rFonts w:ascii="宋体" w:hAnsi="宋体" w:cs="宋体"/>
          <w:color w:val="auto"/>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2.中小企业声明函格式</w:t>
      </w:r>
    </w:p>
    <w:p w14:paraId="665972E9">
      <w:pPr>
        <w:rPr>
          <w:rFonts w:ascii="宋体" w:hAnsi="宋体" w:cs="宋体"/>
          <w:color w:val="auto"/>
          <w:highlight w:val="none"/>
        </w:rPr>
      </w:pPr>
    </w:p>
    <w:p w14:paraId="109A48C9">
      <w:pPr>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中小企业声明函（货物）</w:t>
      </w:r>
    </w:p>
    <w:p w14:paraId="09E70F54">
      <w:pPr>
        <w:spacing w:before="2" w:line="500" w:lineRule="exact"/>
        <w:rPr>
          <w:rFonts w:ascii="宋体" w:hAnsi="宋体" w:cs="宋体"/>
          <w:b/>
          <w:bCs/>
          <w:color w:val="auto"/>
          <w:sz w:val="27"/>
          <w:szCs w:val="27"/>
          <w:highlight w:val="none"/>
        </w:rPr>
      </w:pPr>
    </w:p>
    <w:p w14:paraId="0043C7DC">
      <w:pPr>
        <w:pStyle w:val="2"/>
        <w:spacing w:line="360" w:lineRule="auto"/>
        <w:ind w:left="-426" w:leftChars="-203" w:right="142" w:firstLine="480" w:firstLineChars="200"/>
        <w:contextualSpacing/>
        <w:rPr>
          <w:rFonts w:ascii="宋体" w:hAnsi="宋体" w:cs="宋体"/>
          <w:color w:val="auto"/>
          <w:kern w:val="24"/>
          <w:highlight w:val="none"/>
        </w:rPr>
      </w:pPr>
      <w:r>
        <w:rPr>
          <w:rFonts w:hint="eastAsia" w:ascii="宋体" w:hAnsi="宋体" w:cs="宋体"/>
          <w:color w:val="auto"/>
          <w:kern w:val="24"/>
          <w:highlight w:val="none"/>
        </w:rPr>
        <w:t>本公司（联合体）郑重声明，根据《政府采购促进中小企业发展管理办法》（财库﹝2020﹞46号）的规定，本公司（联合体）参加</w:t>
      </w:r>
      <w:r>
        <w:rPr>
          <w:rFonts w:hint="eastAsia" w:ascii="宋体" w:hAnsi="宋体" w:cs="宋体"/>
          <w:color w:val="auto"/>
          <w:kern w:val="24"/>
          <w:highlight w:val="none"/>
          <w:u w:val="single"/>
        </w:rPr>
        <w:t>（单位名称）</w:t>
      </w:r>
      <w:r>
        <w:rPr>
          <w:rFonts w:hint="eastAsia" w:ascii="宋体" w:hAnsi="宋体" w:cs="宋体"/>
          <w:color w:val="auto"/>
          <w:kern w:val="24"/>
          <w:highlight w:val="none"/>
        </w:rPr>
        <w:t>的</w:t>
      </w:r>
      <w:r>
        <w:rPr>
          <w:rFonts w:hint="eastAsia" w:ascii="宋体" w:hAnsi="宋体" w:cs="宋体"/>
          <w:color w:val="auto"/>
          <w:kern w:val="24"/>
          <w:highlight w:val="none"/>
          <w:u w:val="single"/>
        </w:rPr>
        <w:t>（项目名称）</w:t>
      </w:r>
      <w:r>
        <w:rPr>
          <w:rFonts w:hint="eastAsia" w:ascii="宋体" w:hAnsi="宋体" w:cs="宋体"/>
          <w:color w:val="auto"/>
          <w:kern w:val="24"/>
          <w:highlight w:val="none"/>
        </w:rPr>
        <w:t>采购活动，提供的货物全部由符合政策要求的中小企业制造。相关企业（含联合体中的中小企业、签订分包意向协议的中小企业）的具体情况如下：</w:t>
      </w:r>
    </w:p>
    <w:p w14:paraId="4356FB31">
      <w:pPr>
        <w:tabs>
          <w:tab w:val="left" w:pos="1384"/>
          <w:tab w:val="left" w:pos="4562"/>
          <w:tab w:val="left" w:pos="6803"/>
        </w:tabs>
        <w:spacing w:line="360" w:lineRule="auto"/>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1.</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，从业人员人，营业收入为万元，资产总额为万元，属于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7AEF7073">
      <w:pPr>
        <w:tabs>
          <w:tab w:val="left" w:pos="1065"/>
          <w:tab w:val="left" w:pos="6477"/>
        </w:tabs>
        <w:spacing w:line="360" w:lineRule="auto"/>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2.</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，从业人员人，营业收入为万元，资产总额为万元，属于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4EB9D859">
      <w:pPr>
        <w:pStyle w:val="2"/>
        <w:spacing w:line="360" w:lineRule="auto"/>
        <w:ind w:left="142" w:right="142"/>
        <w:contextualSpacing/>
        <w:rPr>
          <w:rFonts w:ascii="宋体" w:hAnsi="宋体" w:cs="宋体"/>
          <w:color w:val="auto"/>
          <w:kern w:val="24"/>
          <w:highlight w:val="none"/>
        </w:rPr>
      </w:pPr>
      <w:r>
        <w:rPr>
          <w:rFonts w:hint="eastAsia" w:ascii="宋体" w:hAnsi="宋体" w:cs="宋体"/>
          <w:color w:val="auto"/>
          <w:kern w:val="24"/>
          <w:highlight w:val="none"/>
        </w:rPr>
        <w:t xml:space="preserve">…… </w:t>
      </w:r>
    </w:p>
    <w:p w14:paraId="4AADAFD0">
      <w:pPr>
        <w:pStyle w:val="2"/>
        <w:spacing w:line="360" w:lineRule="auto"/>
        <w:ind w:left="-405" w:leftChars="-193" w:right="142" w:firstLine="453" w:firstLineChars="189"/>
        <w:contextualSpacing/>
        <w:rPr>
          <w:rFonts w:ascii="宋体" w:hAnsi="宋体" w:cs="宋体"/>
          <w:color w:val="auto"/>
          <w:kern w:val="24"/>
          <w:highlight w:val="none"/>
        </w:rPr>
      </w:pPr>
      <w:r>
        <w:rPr>
          <w:rFonts w:hint="eastAsia" w:ascii="宋体" w:hAnsi="宋体" w:cs="宋体"/>
          <w:color w:val="auto"/>
          <w:kern w:val="24"/>
          <w:highlight w:val="none"/>
        </w:rPr>
        <w:t>以上企业，不属于大企业的分支机构，不存在控股股东为大企业的情形，也不存在与大企业的负责人为同一人的情形。</w:t>
      </w:r>
    </w:p>
    <w:p w14:paraId="043EA478">
      <w:pPr>
        <w:pStyle w:val="2"/>
        <w:spacing w:line="360" w:lineRule="auto"/>
        <w:ind w:left="-426" w:right="142" w:firstLine="567"/>
        <w:contextualSpacing/>
        <w:rPr>
          <w:rFonts w:ascii="宋体" w:hAnsi="宋体" w:cs="宋体"/>
          <w:color w:val="auto"/>
          <w:kern w:val="24"/>
          <w:highlight w:val="none"/>
        </w:rPr>
      </w:pPr>
      <w:r>
        <w:rPr>
          <w:rFonts w:hint="eastAsia" w:ascii="宋体" w:hAnsi="宋体" w:cs="宋体"/>
          <w:color w:val="auto"/>
          <w:kern w:val="24"/>
          <w:highlight w:val="none"/>
        </w:rPr>
        <w:t>本企业对上述声明内容的真实性负责。如有虚假，将依法承担相应责任。</w:t>
      </w:r>
    </w:p>
    <w:p w14:paraId="72384444">
      <w:pPr>
        <w:pStyle w:val="2"/>
        <w:spacing w:line="360" w:lineRule="auto"/>
        <w:ind w:left="3960" w:right="1808"/>
        <w:contextualSpacing/>
        <w:rPr>
          <w:rFonts w:ascii="宋体" w:hAnsi="宋体" w:cs="宋体"/>
          <w:color w:val="auto"/>
          <w:kern w:val="24"/>
          <w:highlight w:val="none"/>
        </w:rPr>
      </w:pPr>
    </w:p>
    <w:p w14:paraId="739FD924">
      <w:pPr>
        <w:pStyle w:val="2"/>
        <w:spacing w:line="360" w:lineRule="auto"/>
        <w:ind w:left="3960" w:right="1808"/>
        <w:contextualSpacing/>
        <w:rPr>
          <w:rFonts w:ascii="宋体" w:hAnsi="宋体" w:cs="宋体"/>
          <w:color w:val="auto"/>
          <w:kern w:val="24"/>
          <w:highlight w:val="none"/>
        </w:rPr>
      </w:pPr>
      <w:r>
        <w:rPr>
          <w:rFonts w:hint="eastAsia" w:ascii="宋体" w:hAnsi="宋体" w:cs="宋体"/>
          <w:color w:val="auto"/>
          <w:kern w:val="24"/>
          <w:highlight w:val="none"/>
        </w:rPr>
        <w:t xml:space="preserve">企业名称（电子签章）： </w:t>
      </w:r>
    </w:p>
    <w:p w14:paraId="565A1E68">
      <w:pPr>
        <w:pStyle w:val="2"/>
        <w:spacing w:line="360" w:lineRule="auto"/>
        <w:ind w:left="3960" w:right="1808"/>
        <w:contextualSpacing/>
        <w:rPr>
          <w:rFonts w:ascii="宋体" w:hAnsi="宋体" w:cs="宋体"/>
          <w:color w:val="auto"/>
          <w:kern w:val="24"/>
          <w:highlight w:val="none"/>
        </w:rPr>
      </w:pPr>
      <w:r>
        <w:rPr>
          <w:rFonts w:hint="eastAsia" w:ascii="宋体" w:hAnsi="宋体" w:cs="宋体"/>
          <w:color w:val="auto"/>
          <w:kern w:val="24"/>
          <w:highlight w:val="none"/>
        </w:rPr>
        <w:t>日期：</w:t>
      </w:r>
    </w:p>
    <w:p w14:paraId="5A4D5E03">
      <w:pPr>
        <w:pStyle w:val="2"/>
        <w:spacing w:line="360" w:lineRule="auto"/>
        <w:ind w:left="3960" w:right="1808"/>
        <w:contextualSpacing/>
        <w:rPr>
          <w:rFonts w:ascii="宋体" w:hAnsi="宋体" w:cs="宋体"/>
          <w:color w:val="auto"/>
          <w:kern w:val="24"/>
          <w:highlight w:val="none"/>
        </w:rPr>
      </w:pPr>
    </w:p>
    <w:p w14:paraId="651C77F2">
      <w:pPr>
        <w:pStyle w:val="2"/>
        <w:spacing w:line="360" w:lineRule="auto"/>
        <w:ind w:left="3960" w:right="1808"/>
        <w:contextualSpacing/>
        <w:rPr>
          <w:rFonts w:ascii="宋体" w:hAnsi="宋体" w:cs="宋体"/>
          <w:color w:val="auto"/>
          <w:kern w:val="24"/>
          <w:highlight w:val="none"/>
        </w:rPr>
      </w:pPr>
    </w:p>
    <w:p w14:paraId="10327D79">
      <w:pPr>
        <w:pStyle w:val="2"/>
        <w:spacing w:line="360" w:lineRule="auto"/>
        <w:ind w:left="-426" w:right="142" w:firstLine="567"/>
        <w:contextualSpacing/>
        <w:rPr>
          <w:rFonts w:ascii="宋体" w:hAnsi="宋体" w:cs="宋体"/>
          <w:color w:val="auto"/>
          <w:kern w:val="24"/>
          <w:highlight w:val="none"/>
        </w:rPr>
      </w:pPr>
      <w:r>
        <w:rPr>
          <w:rFonts w:hint="eastAsia" w:ascii="宋体" w:hAnsi="宋体" w:cs="宋体"/>
          <w:color w:val="auto"/>
          <w:kern w:val="24"/>
          <w:highlight w:val="none"/>
        </w:rPr>
        <w:t>注：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p>
    <w:p w14:paraId="7C043669">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3.残疾人福利性单位声明函格式</w:t>
      </w:r>
    </w:p>
    <w:p w14:paraId="48A867D5">
      <w:pPr>
        <w:spacing w:line="588" w:lineRule="exact"/>
        <w:jc w:val="center"/>
        <w:rPr>
          <w:rFonts w:ascii="宋体" w:hAnsi="宋体" w:cs="宋体"/>
          <w:b/>
          <w:color w:val="auto"/>
          <w:spacing w:val="6"/>
          <w:sz w:val="32"/>
          <w:szCs w:val="32"/>
          <w:highlight w:val="none"/>
        </w:rPr>
      </w:pPr>
    </w:p>
    <w:p w14:paraId="7FA442CC">
      <w:pPr>
        <w:spacing w:line="588" w:lineRule="exact"/>
        <w:jc w:val="center"/>
        <w:rPr>
          <w:rFonts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残疾人福利性单位声明函</w:t>
      </w:r>
    </w:p>
    <w:p w14:paraId="5BA385F1">
      <w:pPr>
        <w:spacing w:line="360" w:lineRule="auto"/>
        <w:contextualSpacing/>
        <w:rPr>
          <w:rFonts w:ascii="宋体" w:hAnsi="宋体" w:cs="宋体"/>
          <w:bCs/>
          <w:color w:val="auto"/>
          <w:spacing w:val="6"/>
          <w:sz w:val="30"/>
          <w:szCs w:val="30"/>
          <w:highlight w:val="none"/>
        </w:rPr>
      </w:pPr>
    </w:p>
    <w:p w14:paraId="2B5655E1">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 w:val="24"/>
          <w:highlight w:val="none"/>
        </w:rPr>
        <w:t>疾人福利性单位制造的货物（不包括使用非残疾人福利性单位注册商标的货物）。</w:t>
      </w:r>
    </w:p>
    <w:p w14:paraId="2A295EB9">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14:paraId="1023ABB6">
      <w:pPr>
        <w:spacing w:line="360" w:lineRule="auto"/>
        <w:ind w:firstLine="504" w:firstLineChars="200"/>
        <w:contextualSpacing/>
        <w:rPr>
          <w:rFonts w:ascii="宋体" w:hAnsi="宋体" w:cs="宋体"/>
          <w:color w:val="auto"/>
          <w:spacing w:val="6"/>
          <w:sz w:val="24"/>
          <w:highlight w:val="none"/>
        </w:rPr>
      </w:pPr>
    </w:p>
    <w:p w14:paraId="437F2A0D">
      <w:pPr>
        <w:spacing w:line="360" w:lineRule="auto"/>
        <w:ind w:firstLine="504" w:firstLineChars="200"/>
        <w:contextualSpacing/>
        <w:rPr>
          <w:rFonts w:ascii="宋体" w:hAnsi="宋体" w:cs="宋体"/>
          <w:color w:val="auto"/>
          <w:spacing w:val="6"/>
          <w:sz w:val="24"/>
          <w:highlight w:val="none"/>
        </w:rPr>
      </w:pPr>
    </w:p>
    <w:p w14:paraId="007D12C3">
      <w:pPr>
        <w:tabs>
          <w:tab w:val="left" w:pos="4860"/>
        </w:tabs>
        <w:spacing w:line="360" w:lineRule="auto"/>
        <w:ind w:right="1560" w:firstLine="504" w:firstLineChars="200"/>
        <w:contextualSpacing/>
        <w:jc w:val="center"/>
        <w:rPr>
          <w:rFonts w:ascii="宋体" w:hAnsi="宋体" w:cs="宋体"/>
          <w:color w:val="auto"/>
          <w:spacing w:val="6"/>
          <w:sz w:val="24"/>
          <w:highlight w:val="none"/>
        </w:rPr>
      </w:pPr>
      <w:r>
        <w:rPr>
          <w:rFonts w:hint="eastAsia" w:ascii="宋体" w:hAnsi="宋体" w:cs="宋体"/>
          <w:color w:val="auto"/>
          <w:spacing w:val="6"/>
          <w:sz w:val="24"/>
          <w:highlight w:val="none"/>
        </w:rPr>
        <w:t>单位名称（电子签章）：</w:t>
      </w:r>
    </w:p>
    <w:p w14:paraId="594574BE">
      <w:pPr>
        <w:tabs>
          <w:tab w:val="left" w:pos="4860"/>
        </w:tabs>
        <w:spacing w:line="360" w:lineRule="auto"/>
        <w:ind w:right="1560" w:firstLine="504" w:firstLineChars="200"/>
        <w:contextualSpacing/>
        <w:jc w:val="center"/>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589C75D0">
      <w:pPr>
        <w:spacing w:line="360" w:lineRule="auto"/>
        <w:contextualSpacing/>
        <w:rPr>
          <w:rFonts w:ascii="宋体" w:hAnsi="宋体" w:cs="宋体"/>
          <w:color w:val="auto"/>
          <w:sz w:val="24"/>
          <w:highlight w:val="none"/>
        </w:rPr>
      </w:pPr>
    </w:p>
    <w:p w14:paraId="05609B3C">
      <w:pPr>
        <w:spacing w:line="360" w:lineRule="auto"/>
        <w:contextualSpacing/>
        <w:rPr>
          <w:rFonts w:ascii="宋体" w:hAnsi="宋体" w:cs="宋体"/>
          <w:color w:val="auto"/>
          <w:sz w:val="24"/>
          <w:highlight w:val="none"/>
        </w:rPr>
      </w:pPr>
    </w:p>
    <w:p w14:paraId="66300B23">
      <w:pPr>
        <w:spacing w:line="360" w:lineRule="auto"/>
        <w:contextualSpacing/>
        <w:rPr>
          <w:rFonts w:ascii="宋体" w:hAnsi="宋体" w:cs="宋体"/>
          <w:color w:val="auto"/>
          <w:sz w:val="24"/>
          <w:highlight w:val="none"/>
        </w:rPr>
      </w:pPr>
    </w:p>
    <w:p w14:paraId="5C281C59">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21421217">
      <w:pPr>
        <w:pStyle w:val="2"/>
        <w:rPr>
          <w:rFonts w:ascii="宋体" w:hAnsi="宋体"/>
          <w:b/>
          <w:color w:val="auto"/>
          <w:highlight w:val="none"/>
        </w:rPr>
      </w:pPr>
      <w:r>
        <w:rPr>
          <w:rFonts w:hint="eastAsia" w:ascii="宋体" w:hAnsi="宋体" w:cs="宋体"/>
          <w:color w:val="auto"/>
          <w:sz w:val="24"/>
          <w:highlight w:val="none"/>
        </w:rPr>
        <w:br w:type="page"/>
      </w:r>
      <w:r>
        <w:rPr>
          <w:rFonts w:ascii="宋体" w:hAnsi="宋体"/>
          <w:b/>
          <w:color w:val="auto"/>
          <w:highlight w:val="none"/>
        </w:rPr>
        <w:t>4</w:t>
      </w:r>
      <w:r>
        <w:rPr>
          <w:rFonts w:hint="eastAsia" w:ascii="宋体" w:hAnsi="宋体"/>
          <w:b/>
          <w:color w:val="auto"/>
          <w:highlight w:val="none"/>
        </w:rPr>
        <w:t>.</w:t>
      </w:r>
      <w:r>
        <w:rPr>
          <w:rFonts w:hint="eastAsia"/>
          <w:color w:val="auto"/>
          <w:highlight w:val="none"/>
        </w:rPr>
        <w:t xml:space="preserve"> </w:t>
      </w:r>
      <w:r>
        <w:rPr>
          <w:rFonts w:hint="eastAsia" w:ascii="宋体" w:hAnsi="宋体"/>
          <w:b/>
          <w:color w:val="auto"/>
          <w:highlight w:val="none"/>
        </w:rPr>
        <w:t>关于符合本国产品标准的声明函格式</w:t>
      </w:r>
    </w:p>
    <w:p w14:paraId="2C7D8DED">
      <w:pPr>
        <w:pStyle w:val="2"/>
        <w:rPr>
          <w:color w:val="auto"/>
          <w:highlight w:val="none"/>
        </w:rPr>
      </w:pPr>
    </w:p>
    <w:p w14:paraId="4978B809">
      <w:pPr>
        <w:widowControl/>
        <w:shd w:val="clear" w:color="auto" w:fill="FFFFFF"/>
        <w:jc w:val="center"/>
        <w:rPr>
          <w:rFonts w:ascii="宋体" w:hAnsi="宋体" w:cs="宋体"/>
          <w:color w:val="auto"/>
          <w:kern w:val="0"/>
          <w:sz w:val="36"/>
          <w:szCs w:val="36"/>
          <w:highlight w:val="none"/>
        </w:rPr>
      </w:pPr>
      <w:r>
        <w:rPr>
          <w:rFonts w:hint="eastAsia" w:ascii="宋体" w:hAnsi="宋体" w:cs="宋体"/>
          <w:b/>
          <w:bCs/>
          <w:color w:val="auto"/>
          <w:kern w:val="0"/>
          <w:sz w:val="36"/>
          <w:szCs w:val="36"/>
          <w:highlight w:val="none"/>
        </w:rPr>
        <w:t>关于符合本国产品标准的声明函</w:t>
      </w:r>
    </w:p>
    <w:p w14:paraId="57796AFD">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14:paraId="69082E70">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22EABD62">
      <w:pPr>
        <w:widowControl/>
        <w:shd w:val="clear" w:color="auto" w:fill="FFFFFF"/>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i/>
          <w:iCs/>
          <w:color w:val="auto"/>
          <w:kern w:val="0"/>
          <w:sz w:val="24"/>
          <w:highlight w:val="none"/>
        </w:rPr>
        <w:t>（产品名称1）</w:t>
      </w:r>
      <w:r>
        <w:rPr>
          <w:rFonts w:hint="eastAsia" w:ascii="宋体" w:hAnsi="宋体" w:cs="宋体"/>
          <w:i/>
          <w:iCs/>
          <w:color w:val="auto"/>
          <w:kern w:val="0"/>
          <w:sz w:val="18"/>
          <w:szCs w:val="18"/>
          <w:highlight w:val="none"/>
          <w:vertAlign w:val="superscript"/>
        </w:rPr>
        <w:t>1</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rPr>
        <w:t>（厂名）</w:t>
      </w:r>
      <w:r>
        <w:rPr>
          <w:rFonts w:hint="eastAsia" w:ascii="宋体" w:hAnsi="宋体" w:cs="宋体"/>
          <w:i/>
          <w:iCs/>
          <w:color w:val="auto"/>
          <w:kern w:val="0"/>
          <w:sz w:val="18"/>
          <w:szCs w:val="18"/>
          <w:highlight w:val="none"/>
          <w:vertAlign w:val="superscript"/>
        </w:rPr>
        <w:t>2</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rPr>
        <w:t>（规定比例）</w:t>
      </w:r>
      <w:r>
        <w:rPr>
          <w:rFonts w:hint="eastAsia" w:ascii="宋体" w:hAnsi="宋体" w:cs="宋体"/>
          <w:i/>
          <w:iCs/>
          <w:color w:val="auto"/>
          <w:kern w:val="0"/>
          <w:sz w:val="18"/>
          <w:szCs w:val="18"/>
          <w:highlight w:val="none"/>
          <w:vertAlign w:val="superscript"/>
        </w:rPr>
        <w:t>3</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（关键组件）</w:t>
      </w:r>
      <w:r>
        <w:rPr>
          <w:rFonts w:hint="eastAsia" w:ascii="宋体" w:hAnsi="宋体" w:cs="宋体"/>
          <w:i/>
          <w:iCs/>
          <w:color w:val="auto"/>
          <w:kern w:val="0"/>
          <w:sz w:val="18"/>
          <w:szCs w:val="18"/>
          <w:highlight w:val="none"/>
          <w:vertAlign w:val="superscript"/>
        </w:rPr>
        <w:t>4</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（关键工序）</w:t>
      </w:r>
      <w:r>
        <w:rPr>
          <w:rFonts w:hint="eastAsia" w:ascii="宋体" w:hAnsi="宋体" w:cs="宋体"/>
          <w:i/>
          <w:iCs/>
          <w:color w:val="auto"/>
          <w:kern w:val="0"/>
          <w:sz w:val="18"/>
          <w:szCs w:val="18"/>
          <w:highlight w:val="none"/>
          <w:vertAlign w:val="superscript"/>
        </w:rPr>
        <w:t>5</w:t>
      </w:r>
      <w:r>
        <w:rPr>
          <w:rFonts w:hint="eastAsia" w:ascii="宋体" w:hAnsi="宋体" w:cs="宋体"/>
          <w:color w:val="auto"/>
          <w:kern w:val="0"/>
          <w:sz w:val="24"/>
          <w:highlight w:val="none"/>
        </w:rPr>
        <w:t>在中国境内完成。</w:t>
      </w:r>
    </w:p>
    <w:p w14:paraId="3B1DE6CA">
      <w:pPr>
        <w:widowControl/>
        <w:shd w:val="clear" w:color="auto" w:fill="FFFFFF"/>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rPr>
        <w:t>（厂名）</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rPr>
        <w:t>（规定比例）</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（关键组件）</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（关键工序）</w:t>
      </w:r>
      <w:r>
        <w:rPr>
          <w:rFonts w:hint="eastAsia" w:ascii="宋体" w:hAnsi="宋体" w:cs="宋体"/>
          <w:color w:val="auto"/>
          <w:kern w:val="0"/>
          <w:sz w:val="24"/>
          <w:highlight w:val="none"/>
        </w:rPr>
        <w:t>在中国境内完成。</w:t>
      </w:r>
    </w:p>
    <w:p w14:paraId="27E884A5">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28CF0AFA">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本公司（单位）对上述声明内容的真实性负责。如有虚假，愿承担相应法律责任。</w:t>
      </w:r>
    </w:p>
    <w:p w14:paraId="43DD33A8">
      <w:pPr>
        <w:widowControl/>
        <w:shd w:val="clear" w:color="auto" w:fill="FFFFFF"/>
        <w:spacing w:before="30" w:after="3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14:paraId="36AC0B4E">
      <w:pPr>
        <w:widowControl/>
        <w:shd w:val="clear" w:color="auto" w:fill="FFFFFF"/>
        <w:spacing w:before="30" w:after="30"/>
        <w:jc w:val="right"/>
        <w:rPr>
          <w:rFonts w:hint="eastAsia" w:ascii="宋体" w:hAnsi="宋体" w:cs="宋体"/>
          <w:color w:val="auto"/>
          <w:kern w:val="0"/>
          <w:sz w:val="24"/>
          <w:highlight w:val="none"/>
        </w:rPr>
      </w:pPr>
      <w:r>
        <w:rPr>
          <w:rFonts w:hint="eastAsia" w:ascii="宋体" w:hAnsi="宋体" w:cs="宋体"/>
          <w:color w:val="auto"/>
          <w:kern w:val="0"/>
          <w:sz w:val="24"/>
          <w:highlight w:val="none"/>
        </w:rPr>
        <w:t>公司（单位）名称（盖章）：　        </w:t>
      </w:r>
    </w:p>
    <w:p w14:paraId="003EF1DE">
      <w:pPr>
        <w:widowControl/>
        <w:shd w:val="clear" w:color="auto" w:fill="FFFFFF"/>
        <w:jc w:val="right"/>
        <w:rPr>
          <w:rFonts w:hint="eastAsia" w:ascii="宋体" w:hAnsi="宋体" w:cs="宋体"/>
          <w:color w:val="auto"/>
          <w:kern w:val="0"/>
          <w:sz w:val="24"/>
          <w:highlight w:val="none"/>
        </w:rPr>
      </w:pPr>
      <w:r>
        <w:rPr>
          <w:rFonts w:hint="eastAsia" w:ascii="宋体" w:hAnsi="宋体" w:cs="宋体"/>
          <w:color w:val="auto"/>
          <w:kern w:val="0"/>
          <w:sz w:val="24"/>
          <w:highlight w:val="none"/>
        </w:rPr>
        <w:t>日期：　     年　  月　  日         </w:t>
      </w:r>
    </w:p>
    <w:p w14:paraId="6F27F889">
      <w:pPr>
        <w:widowControl/>
        <w:shd w:val="clear" w:color="auto" w:fill="FFFFFF"/>
        <w:spacing w:before="30" w:after="30"/>
        <w:jc w:val="left"/>
        <w:rPr>
          <w:rFonts w:hint="eastAsia" w:ascii="宋体" w:hAnsi="宋体" w:cs="宋体"/>
          <w:color w:val="auto"/>
          <w:kern w:val="0"/>
          <w:sz w:val="24"/>
          <w:highlight w:val="none"/>
        </w:rPr>
      </w:pPr>
      <w:r>
        <w:rPr>
          <w:rFonts w:hint="eastAsia" w:ascii="宋体" w:hAnsi="宋体" w:cs="宋体"/>
          <w:color w:val="auto"/>
          <w:kern w:val="0"/>
          <w:sz w:val="24"/>
          <w:highlight w:val="none"/>
        </w:rPr>
        <w:t>__________________</w:t>
      </w:r>
    </w:p>
    <w:p w14:paraId="42EA4406">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1.产品如有型号，请在“产品名称”栏一并填写。</w:t>
      </w:r>
    </w:p>
    <w:p w14:paraId="7C63AC17">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2.生产厂名与厂址应与生产厂营业执照载明的相关信息保持一致。</w:t>
      </w:r>
    </w:p>
    <w:p w14:paraId="7BEBA7AF">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3.该产品的中国境内生产的组件成本占比相关要求实施前，“规定比例”栏可不填，下同。</w:t>
      </w:r>
    </w:p>
    <w:p w14:paraId="3F4C073C">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4.该产品的关键组件要求实施前，“关键组件”栏可不填，下同。</w:t>
      </w:r>
    </w:p>
    <w:p w14:paraId="75F22A56">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5.该产品的关键工序要求实施前，“关键工序”栏可不填，下同。</w:t>
      </w:r>
    </w:p>
    <w:p w14:paraId="054FE7AF">
      <w:pPr>
        <w:pStyle w:val="2"/>
        <w:rPr>
          <w:color w:val="auto"/>
          <w:highlight w:val="none"/>
          <w:lang w:val="en-US"/>
        </w:rPr>
      </w:pPr>
    </w:p>
    <w:p w14:paraId="134BD34B">
      <w:pPr>
        <w:widowControl/>
        <w:shd w:val="clear" w:color="auto" w:fill="FFFFFF"/>
        <w:ind w:firstLine="480"/>
        <w:jc w:val="left"/>
        <w:rPr>
          <w:rFonts w:hint="eastAsia" w:ascii="宋体" w:hAnsi="宋体" w:cs="宋体"/>
          <w:b/>
          <w:color w:val="auto"/>
          <w:sz w:val="24"/>
          <w:highlight w:val="none"/>
        </w:rPr>
      </w:pPr>
    </w:p>
    <w:p w14:paraId="6815826A">
      <w:pPr>
        <w:widowControl/>
        <w:shd w:val="clear" w:color="auto" w:fill="FFFFFF"/>
        <w:ind w:firstLine="480"/>
        <w:jc w:val="left"/>
        <w:rPr>
          <w:rFonts w:hint="eastAsia" w:ascii="宋体" w:hAnsi="宋体" w:cs="宋体"/>
          <w:b/>
          <w:color w:val="auto"/>
          <w:sz w:val="24"/>
          <w:highlight w:val="none"/>
        </w:rPr>
      </w:pPr>
    </w:p>
    <w:p w14:paraId="45C17ECE">
      <w:pPr>
        <w:widowControl/>
        <w:shd w:val="clear" w:color="auto" w:fill="FFFFFF"/>
        <w:ind w:firstLine="480"/>
        <w:jc w:val="left"/>
        <w:rPr>
          <w:rFonts w:hint="eastAsia" w:ascii="宋体" w:hAnsi="宋体" w:cs="宋体"/>
          <w:b/>
          <w:color w:val="auto"/>
          <w:sz w:val="24"/>
          <w:highlight w:val="none"/>
        </w:rPr>
      </w:pPr>
    </w:p>
    <w:p w14:paraId="237BE190">
      <w:pPr>
        <w:widowControl/>
        <w:shd w:val="clear" w:color="auto" w:fill="FFFFFF"/>
        <w:ind w:firstLine="480"/>
        <w:jc w:val="left"/>
        <w:rPr>
          <w:rFonts w:hint="eastAsia" w:ascii="宋体" w:hAnsi="宋体" w:cs="宋体"/>
          <w:b/>
          <w:color w:val="auto"/>
          <w:sz w:val="24"/>
          <w:highlight w:val="none"/>
        </w:rPr>
      </w:pPr>
    </w:p>
    <w:p w14:paraId="619D9BB0">
      <w:pPr>
        <w:widowControl/>
        <w:shd w:val="clear" w:color="auto" w:fill="FFFFFF"/>
        <w:ind w:firstLine="480"/>
        <w:jc w:val="left"/>
        <w:rPr>
          <w:rFonts w:hint="eastAsia" w:ascii="宋体" w:hAnsi="宋体" w:cs="宋体"/>
          <w:b/>
          <w:color w:val="auto"/>
          <w:sz w:val="24"/>
          <w:highlight w:val="none"/>
        </w:rPr>
      </w:pPr>
    </w:p>
    <w:p w14:paraId="4665AB03">
      <w:pPr>
        <w:widowControl/>
        <w:shd w:val="clear" w:color="auto" w:fill="FFFFFF"/>
        <w:ind w:firstLine="480"/>
        <w:jc w:val="left"/>
        <w:rPr>
          <w:rFonts w:hint="eastAsia" w:ascii="宋体" w:hAnsi="宋体" w:cs="宋体"/>
          <w:b/>
          <w:color w:val="auto"/>
          <w:sz w:val="24"/>
          <w:highlight w:val="none"/>
        </w:rPr>
      </w:pPr>
    </w:p>
    <w:p w14:paraId="06D49D43">
      <w:pPr>
        <w:widowControl/>
        <w:shd w:val="clear" w:color="auto" w:fill="FFFFFF"/>
        <w:ind w:firstLine="480"/>
        <w:jc w:val="left"/>
        <w:rPr>
          <w:rFonts w:hint="eastAsia" w:ascii="宋体" w:hAnsi="宋体" w:cs="宋体"/>
          <w:b/>
          <w:color w:val="auto"/>
          <w:sz w:val="24"/>
          <w:highlight w:val="none"/>
        </w:rPr>
      </w:pPr>
    </w:p>
    <w:p w14:paraId="200A1247">
      <w:pPr>
        <w:widowControl/>
        <w:shd w:val="clear" w:color="auto" w:fill="FFFFFF"/>
        <w:ind w:firstLine="480"/>
        <w:jc w:val="left"/>
        <w:rPr>
          <w:rFonts w:hint="eastAsia" w:ascii="宋体" w:hAnsi="宋体" w:cs="宋体"/>
          <w:b/>
          <w:color w:val="auto"/>
          <w:sz w:val="24"/>
          <w:highlight w:val="none"/>
        </w:rPr>
      </w:pPr>
    </w:p>
    <w:p w14:paraId="00B63ABD">
      <w:pPr>
        <w:widowControl/>
        <w:shd w:val="clear" w:color="auto" w:fill="FFFFFF"/>
        <w:ind w:firstLine="480"/>
        <w:jc w:val="left"/>
        <w:rPr>
          <w:rFonts w:hint="eastAsia" w:ascii="宋体" w:hAnsi="宋体" w:cs="宋体"/>
          <w:b/>
          <w:color w:val="auto"/>
          <w:sz w:val="24"/>
          <w:highlight w:val="none"/>
        </w:rPr>
      </w:pPr>
    </w:p>
    <w:p w14:paraId="743A68F3">
      <w:pPr>
        <w:widowControl/>
        <w:shd w:val="clear" w:color="auto" w:fill="FFFFFF"/>
        <w:ind w:firstLine="480"/>
        <w:jc w:val="left"/>
        <w:rPr>
          <w:rFonts w:hint="eastAsia" w:ascii="宋体" w:hAnsi="宋体" w:cs="宋体"/>
          <w:b/>
          <w:color w:val="auto"/>
          <w:sz w:val="24"/>
          <w:highlight w:val="none"/>
        </w:rPr>
      </w:pPr>
    </w:p>
    <w:p w14:paraId="534FCED4">
      <w:pPr>
        <w:widowControl/>
        <w:shd w:val="clear" w:color="auto" w:fill="FFFFFF"/>
        <w:ind w:firstLine="480"/>
        <w:jc w:val="left"/>
        <w:rPr>
          <w:rFonts w:hint="eastAsia" w:ascii="宋体" w:hAnsi="宋体" w:cs="宋体"/>
          <w:b/>
          <w:color w:val="auto"/>
          <w:sz w:val="24"/>
          <w:highlight w:val="none"/>
        </w:rPr>
      </w:pPr>
    </w:p>
    <w:p w14:paraId="59AF32BF">
      <w:pPr>
        <w:widowControl/>
        <w:shd w:val="clear" w:color="auto" w:fill="FFFFFF"/>
        <w:ind w:firstLine="480"/>
        <w:jc w:val="left"/>
        <w:rPr>
          <w:rFonts w:hint="eastAsia" w:ascii="宋体" w:hAnsi="宋体" w:cs="宋体"/>
          <w:b/>
          <w:color w:val="auto"/>
          <w:sz w:val="24"/>
          <w:highlight w:val="none"/>
        </w:rPr>
      </w:pPr>
    </w:p>
    <w:p w14:paraId="4F4CE52D">
      <w:pPr>
        <w:widowControl/>
        <w:shd w:val="clear" w:color="auto" w:fill="FFFFFF"/>
        <w:ind w:firstLine="480"/>
        <w:jc w:val="left"/>
        <w:rPr>
          <w:rFonts w:hint="eastAsia" w:ascii="宋体" w:hAnsi="宋体" w:cs="宋体"/>
          <w:b/>
          <w:color w:val="auto"/>
          <w:sz w:val="24"/>
          <w:highlight w:val="none"/>
        </w:rPr>
      </w:pPr>
    </w:p>
    <w:p w14:paraId="6DE95505">
      <w:pPr>
        <w:widowControl/>
        <w:shd w:val="clear" w:color="auto" w:fill="FFFFFF"/>
        <w:ind w:firstLine="480"/>
        <w:jc w:val="left"/>
        <w:rPr>
          <w:rFonts w:hint="eastAsia" w:ascii="宋体" w:hAnsi="宋体" w:cs="宋体"/>
          <w:b/>
          <w:color w:val="auto"/>
          <w:sz w:val="24"/>
          <w:highlight w:val="none"/>
        </w:rPr>
      </w:pPr>
    </w:p>
    <w:p w14:paraId="5891BFF8">
      <w:pPr>
        <w:widowControl/>
        <w:shd w:val="clear" w:color="auto" w:fill="FFFFFF"/>
        <w:ind w:firstLine="480"/>
        <w:jc w:val="left"/>
        <w:rPr>
          <w:rFonts w:hint="eastAsia" w:ascii="宋体" w:hAnsi="宋体" w:cs="宋体"/>
          <w:b/>
          <w:color w:val="auto"/>
          <w:sz w:val="24"/>
          <w:highlight w:val="none"/>
        </w:rPr>
      </w:pPr>
    </w:p>
    <w:p w14:paraId="28EEFF2A">
      <w:pPr>
        <w:widowControl/>
        <w:shd w:val="clear" w:color="auto" w:fill="FFFFFF"/>
        <w:ind w:firstLine="480"/>
        <w:jc w:val="left"/>
        <w:rPr>
          <w:rFonts w:hint="eastAsia" w:ascii="宋体" w:hAnsi="宋体" w:cs="宋体"/>
          <w:b/>
          <w:color w:val="auto"/>
          <w:sz w:val="24"/>
          <w:highlight w:val="none"/>
        </w:rPr>
      </w:pPr>
    </w:p>
    <w:p w14:paraId="09D46BFC">
      <w:pPr>
        <w:widowControl/>
        <w:shd w:val="clear" w:color="auto" w:fill="FFFFFF"/>
        <w:ind w:firstLine="480"/>
        <w:jc w:val="left"/>
        <w:rPr>
          <w:rFonts w:ascii="宋体" w:hAnsi="宋体" w:cs="宋体"/>
          <w:color w:val="auto"/>
          <w:sz w:val="24"/>
          <w:highlight w:val="none"/>
        </w:rPr>
      </w:pPr>
      <w:r>
        <w:rPr>
          <w:rFonts w:hint="eastAsia" w:ascii="宋体" w:hAnsi="宋体" w:cs="宋体"/>
          <w:b/>
          <w:color w:val="auto"/>
          <w:sz w:val="24"/>
          <w:highlight w:val="none"/>
        </w:rPr>
        <w:t>5.质疑函（格式）</w:t>
      </w:r>
    </w:p>
    <w:p w14:paraId="353F5A5F">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质疑函（格式）</w:t>
      </w:r>
    </w:p>
    <w:p w14:paraId="5A7AAE59">
      <w:pPr>
        <w:pStyle w:val="24"/>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2F7F833F">
      <w:pPr>
        <w:pStyle w:val="24"/>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color w:val="auto"/>
          <w:sz w:val="24"/>
          <w:szCs w:val="24"/>
          <w:highlight w:val="none"/>
          <w:u w:val="single"/>
        </w:rPr>
        <w:t>　　　　　</w:t>
      </w:r>
    </w:p>
    <w:p w14:paraId="49DAC57A">
      <w:pPr>
        <w:pStyle w:val="24"/>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68D6BEFF">
      <w:pPr>
        <w:pStyle w:val="24"/>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116A2923">
      <w:pPr>
        <w:pStyle w:val="24"/>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color w:val="auto"/>
          <w:sz w:val="24"/>
          <w:szCs w:val="24"/>
          <w:highlight w:val="none"/>
          <w:u w:val="single"/>
        </w:rPr>
        <w:t>　　　　　</w:t>
      </w:r>
    </w:p>
    <w:p w14:paraId="30B8D7CB">
      <w:pPr>
        <w:pStyle w:val="24"/>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3E3B4370">
      <w:pPr>
        <w:pStyle w:val="24"/>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0296FE7A">
      <w:pPr>
        <w:pStyle w:val="24"/>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75AD392D">
      <w:pPr>
        <w:pStyle w:val="24"/>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color w:val="auto"/>
          <w:sz w:val="24"/>
          <w:szCs w:val="24"/>
          <w:highlight w:val="none"/>
          <w:u w:val="single"/>
        </w:rPr>
        <w:t>　　　　　</w:t>
      </w:r>
    </w:p>
    <w:p w14:paraId="11776FA9">
      <w:pPr>
        <w:pStyle w:val="24"/>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color w:val="auto"/>
          <w:sz w:val="24"/>
          <w:szCs w:val="24"/>
          <w:highlight w:val="none"/>
          <w:u w:val="single"/>
        </w:rPr>
        <w:t>　　　　　</w:t>
      </w:r>
    </w:p>
    <w:p w14:paraId="2E0357A0">
      <w:pPr>
        <w:pStyle w:val="2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color w:val="auto"/>
          <w:sz w:val="24"/>
          <w:szCs w:val="24"/>
          <w:highlight w:val="none"/>
          <w:u w:val="single"/>
        </w:rPr>
        <w:t>　　　　　</w:t>
      </w:r>
    </w:p>
    <w:p w14:paraId="51455590">
      <w:pPr>
        <w:pStyle w:val="2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w:t>
      </w:r>
      <w:r>
        <w:rPr>
          <w:rFonts w:hint="eastAsia" w:hAnsi="宋体" w:cs="宋体"/>
          <w:color w:val="auto"/>
          <w:sz w:val="24"/>
          <w:szCs w:val="24"/>
          <w:highlight w:val="none"/>
          <w:u w:val="single"/>
        </w:rPr>
        <w:t>　　　　　</w:t>
      </w:r>
    </w:p>
    <w:p w14:paraId="6BF0573E">
      <w:pPr>
        <w:pStyle w:val="24"/>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□采购文件   采购文件获取日期：</w:t>
      </w:r>
    </w:p>
    <w:p w14:paraId="7E4FCEDF">
      <w:pPr>
        <w:pStyle w:val="24"/>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 xml:space="preserve">□采购过程   </w:t>
      </w:r>
    </w:p>
    <w:p w14:paraId="56C029D6">
      <w:pPr>
        <w:pStyle w:val="24"/>
        <w:spacing w:line="360" w:lineRule="auto"/>
        <w:ind w:left="25" w:leftChars="12" w:firstLine="352" w:firstLineChars="147"/>
        <w:rPr>
          <w:rFonts w:hAnsi="宋体" w:cs="宋体"/>
          <w:bCs/>
          <w:color w:val="auto"/>
          <w:sz w:val="24"/>
          <w:szCs w:val="24"/>
          <w:highlight w:val="none"/>
          <w:u w:val="single"/>
        </w:rPr>
      </w:pPr>
      <w:r>
        <w:rPr>
          <w:rFonts w:hint="eastAsia" w:hAnsi="宋体" w:cs="宋体"/>
          <w:color w:val="auto"/>
          <w:sz w:val="24"/>
          <w:szCs w:val="24"/>
          <w:highlight w:val="none"/>
        </w:rPr>
        <w:t xml:space="preserve">□采购结果   </w:t>
      </w:r>
    </w:p>
    <w:p w14:paraId="2511D514">
      <w:pPr>
        <w:pStyle w:val="24"/>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38282E0B">
      <w:pPr>
        <w:pStyle w:val="2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质疑事项1：</w:t>
      </w:r>
    </w:p>
    <w:p w14:paraId="787B244C">
      <w:pPr>
        <w:pStyle w:val="2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事实依据：</w:t>
      </w:r>
    </w:p>
    <w:p w14:paraId="272C82AE">
      <w:pPr>
        <w:pStyle w:val="2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法律依据：</w:t>
      </w:r>
    </w:p>
    <w:p w14:paraId="719E057B">
      <w:pPr>
        <w:pStyle w:val="2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质疑事项2</w:t>
      </w:r>
    </w:p>
    <w:p w14:paraId="56452955">
      <w:pPr>
        <w:pStyle w:val="2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w:t>
      </w:r>
    </w:p>
    <w:p w14:paraId="364F8037">
      <w:pPr>
        <w:pStyle w:val="2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22F68BC2">
      <w:pPr>
        <w:pStyle w:val="2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p>
    <w:p w14:paraId="675C59C8">
      <w:pPr>
        <w:pStyle w:val="24"/>
        <w:spacing w:line="360" w:lineRule="auto"/>
        <w:ind w:left="25" w:leftChars="12" w:firstLine="352" w:firstLineChars="147"/>
        <w:rPr>
          <w:rFonts w:hAnsi="宋体" w:cs="宋体"/>
          <w:color w:val="auto"/>
          <w:sz w:val="24"/>
          <w:szCs w:val="24"/>
          <w:highlight w:val="none"/>
        </w:rPr>
      </w:pPr>
    </w:p>
    <w:p w14:paraId="5CED325C">
      <w:pPr>
        <w:pStyle w:val="2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12B1D20F">
      <w:pPr>
        <w:pStyle w:val="24"/>
        <w:spacing w:line="360" w:lineRule="auto"/>
        <w:ind w:left="25" w:leftChars="12" w:firstLine="352" w:firstLineChars="147"/>
        <w:rPr>
          <w:rFonts w:hAnsi="宋体" w:cs="宋体"/>
          <w:color w:val="auto"/>
          <w:sz w:val="24"/>
          <w:szCs w:val="24"/>
          <w:highlight w:val="none"/>
        </w:rPr>
      </w:pPr>
    </w:p>
    <w:p w14:paraId="4AD44CBC">
      <w:pPr>
        <w:pStyle w:val="2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4D90A67B">
      <w:pPr>
        <w:pStyle w:val="24"/>
        <w:snapToGrid w:val="0"/>
        <w:spacing w:line="360" w:lineRule="auto"/>
        <w:rPr>
          <w:rFonts w:hAnsi="宋体" w:cs="宋体"/>
          <w:b/>
          <w:color w:val="auto"/>
          <w:sz w:val="24"/>
          <w:szCs w:val="24"/>
          <w:highlight w:val="none"/>
        </w:rPr>
      </w:pPr>
    </w:p>
    <w:p w14:paraId="414FA2E3">
      <w:pPr>
        <w:pStyle w:val="24"/>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2728AF04">
      <w:pPr>
        <w:pStyle w:val="24"/>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5ECEEA0B">
      <w:pPr>
        <w:pStyle w:val="24"/>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2F58DAD">
      <w:pPr>
        <w:pStyle w:val="24"/>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6148EBFB">
      <w:pPr>
        <w:pStyle w:val="24"/>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4591D69F">
      <w:pPr>
        <w:pStyle w:val="24"/>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06E374D2">
      <w:pPr>
        <w:pStyle w:val="24"/>
        <w:snapToGrid w:val="0"/>
        <w:rPr>
          <w:rFonts w:hAnsi="宋体" w:cs="宋体"/>
          <w:b/>
          <w:color w:val="auto"/>
          <w:sz w:val="24"/>
          <w:szCs w:val="24"/>
          <w:highlight w:val="none"/>
        </w:rPr>
      </w:pPr>
    </w:p>
    <w:p w14:paraId="5F0554B5">
      <w:pPr>
        <w:spacing w:line="360" w:lineRule="auto"/>
        <w:jc w:val="left"/>
        <w:rPr>
          <w:rFonts w:ascii="宋体" w:hAnsi="宋体" w:cs="宋体"/>
          <w:b/>
          <w:bCs/>
          <w:color w:val="auto"/>
          <w:sz w:val="32"/>
          <w:szCs w:val="32"/>
          <w:highlight w:val="none"/>
        </w:rPr>
      </w:pPr>
      <w:r>
        <w:rPr>
          <w:rFonts w:hint="eastAsia" w:ascii="宋体" w:hAnsi="宋体" w:cs="宋体"/>
          <w:color w:val="auto"/>
          <w:sz w:val="44"/>
          <w:highlight w:val="none"/>
        </w:rPr>
        <w:br w:type="page"/>
      </w:r>
      <w:r>
        <w:rPr>
          <w:rFonts w:hint="eastAsia" w:ascii="宋体" w:hAnsi="宋体" w:cs="宋体"/>
          <w:b/>
          <w:color w:val="auto"/>
          <w:sz w:val="24"/>
          <w:highlight w:val="none"/>
        </w:rPr>
        <w:t>6.投诉书（格式）</w:t>
      </w:r>
    </w:p>
    <w:p w14:paraId="6A8F9B56">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投诉书（格式）</w:t>
      </w:r>
    </w:p>
    <w:p w14:paraId="22472E8D">
      <w:pPr>
        <w:pStyle w:val="24"/>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1FD197D0">
      <w:pPr>
        <w:pStyle w:val="24"/>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投标人：</w:t>
      </w:r>
      <w:r>
        <w:rPr>
          <w:rFonts w:hint="eastAsia" w:hAnsi="宋体" w:cs="宋体"/>
          <w:color w:val="auto"/>
          <w:sz w:val="24"/>
          <w:szCs w:val="24"/>
          <w:highlight w:val="none"/>
          <w:u w:val="single"/>
        </w:rPr>
        <w:t>　　　　　</w:t>
      </w:r>
    </w:p>
    <w:p w14:paraId="46B9D011">
      <w:pPr>
        <w:pStyle w:val="24"/>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616FFD48">
      <w:pPr>
        <w:pStyle w:val="24"/>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color w:val="auto"/>
          <w:sz w:val="24"/>
          <w:szCs w:val="24"/>
          <w:highlight w:val="none"/>
          <w:u w:val="single"/>
        </w:rPr>
        <w:t>　　　　　</w:t>
      </w:r>
    </w:p>
    <w:p w14:paraId="20549C95">
      <w:pPr>
        <w:pStyle w:val="24"/>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6907C968">
      <w:pPr>
        <w:pStyle w:val="24"/>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6AC68D58">
      <w:pPr>
        <w:pStyle w:val="24"/>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p>
    <w:p w14:paraId="5E295EC1">
      <w:pPr>
        <w:pStyle w:val="24"/>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742500A1">
      <w:pPr>
        <w:pStyle w:val="24"/>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被投诉人1：</w:t>
      </w:r>
      <w:r>
        <w:rPr>
          <w:rFonts w:hint="eastAsia" w:hAnsi="宋体" w:cs="宋体"/>
          <w:color w:val="auto"/>
          <w:sz w:val="24"/>
          <w:szCs w:val="24"/>
          <w:highlight w:val="none"/>
          <w:u w:val="single"/>
        </w:rPr>
        <w:t>　　　　　</w:t>
      </w:r>
    </w:p>
    <w:p w14:paraId="4A961D9E">
      <w:pPr>
        <w:pStyle w:val="24"/>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p>
    <w:p w14:paraId="7BFB1D6C">
      <w:pPr>
        <w:pStyle w:val="24"/>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6BA4AF11">
      <w:pPr>
        <w:pStyle w:val="24"/>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27DD22AD">
      <w:pPr>
        <w:pStyle w:val="24"/>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被投诉人2：</w:t>
      </w:r>
      <w:r>
        <w:rPr>
          <w:rFonts w:hint="eastAsia" w:hAnsi="宋体" w:cs="宋体"/>
          <w:color w:val="auto"/>
          <w:sz w:val="24"/>
          <w:szCs w:val="24"/>
          <w:highlight w:val="none"/>
          <w:u w:val="single"/>
        </w:rPr>
        <w:t>　　　　　</w:t>
      </w:r>
    </w:p>
    <w:p w14:paraId="6988184B">
      <w:pPr>
        <w:pStyle w:val="24"/>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w:t>
      </w:r>
    </w:p>
    <w:p w14:paraId="2518E019">
      <w:pPr>
        <w:pStyle w:val="24"/>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color w:val="auto"/>
          <w:sz w:val="24"/>
          <w:szCs w:val="24"/>
          <w:highlight w:val="none"/>
          <w:u w:val="single"/>
        </w:rPr>
        <w:t>　　　　　</w:t>
      </w:r>
    </w:p>
    <w:p w14:paraId="4659D34F">
      <w:pPr>
        <w:pStyle w:val="24"/>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7F0C4853">
      <w:pPr>
        <w:pStyle w:val="24"/>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153F9510">
      <w:pPr>
        <w:pStyle w:val="24"/>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4346327F">
      <w:pPr>
        <w:pStyle w:val="24"/>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color w:val="auto"/>
          <w:sz w:val="24"/>
          <w:szCs w:val="24"/>
          <w:highlight w:val="none"/>
          <w:u w:val="single"/>
        </w:rPr>
        <w:t>　　　　　</w:t>
      </w:r>
    </w:p>
    <w:p w14:paraId="770C0800">
      <w:pPr>
        <w:pStyle w:val="24"/>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color w:val="auto"/>
          <w:sz w:val="24"/>
          <w:szCs w:val="24"/>
          <w:highlight w:val="none"/>
          <w:u w:val="single"/>
        </w:rPr>
        <w:t>　　　　　</w:t>
      </w:r>
    </w:p>
    <w:p w14:paraId="239BEE59">
      <w:pPr>
        <w:pStyle w:val="24"/>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color w:val="auto"/>
          <w:sz w:val="24"/>
          <w:szCs w:val="24"/>
          <w:highlight w:val="none"/>
          <w:u w:val="single"/>
        </w:rPr>
        <w:t>　　　　　</w:t>
      </w:r>
    </w:p>
    <w:p w14:paraId="30139A09">
      <w:pPr>
        <w:pStyle w:val="24"/>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color w:val="auto"/>
          <w:sz w:val="24"/>
          <w:szCs w:val="24"/>
          <w:highlight w:val="none"/>
          <w:u w:val="single"/>
        </w:rPr>
        <w:t>　　　　　</w:t>
      </w:r>
    </w:p>
    <w:p w14:paraId="7B090C9B">
      <w:pPr>
        <w:pStyle w:val="24"/>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采购文件公告：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 xml:space="preserve">      公告期限：</w:t>
      </w:r>
    </w:p>
    <w:p w14:paraId="25357F23">
      <w:pPr>
        <w:pStyle w:val="24"/>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 xml:space="preserve">是/否 </w:t>
      </w:r>
      <w:r>
        <w:rPr>
          <w:rFonts w:hint="eastAsia" w:hAnsi="宋体" w:cs="宋体"/>
          <w:bCs/>
          <w:color w:val="auto"/>
          <w:sz w:val="24"/>
          <w:szCs w:val="24"/>
          <w:highlight w:val="none"/>
        </w:rPr>
        <w:t xml:space="preserve">     公告期限：</w:t>
      </w:r>
    </w:p>
    <w:p w14:paraId="105B19B1">
      <w:pPr>
        <w:pStyle w:val="24"/>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11F542B7">
      <w:pPr>
        <w:pStyle w:val="24"/>
        <w:spacing w:line="360" w:lineRule="auto"/>
        <w:ind w:left="25" w:leftChars="12" w:firstLine="480" w:firstLineChars="200"/>
        <w:rPr>
          <w:rFonts w:hAnsi="宋体" w:cs="宋体"/>
          <w:color w:val="auto"/>
          <w:sz w:val="24"/>
          <w:szCs w:val="24"/>
          <w:highlight w:val="none"/>
        </w:rPr>
      </w:pPr>
      <w:r>
        <w:rPr>
          <w:rFonts w:hint="eastAsia" w:hAnsi="宋体" w:cs="宋体"/>
          <w:color w:val="auto"/>
          <w:sz w:val="24"/>
          <w:szCs w:val="24"/>
          <w:highlight w:val="none"/>
        </w:rPr>
        <w:t>投诉人于年月日，向提出质疑，质疑事项为：</w:t>
      </w:r>
    </w:p>
    <w:p w14:paraId="090D2ECA">
      <w:pPr>
        <w:pStyle w:val="24"/>
        <w:spacing w:line="360" w:lineRule="auto"/>
        <w:ind w:firstLine="241"/>
        <w:rPr>
          <w:rFonts w:hAnsi="宋体" w:cs="宋体"/>
          <w:bCs/>
          <w:color w:val="auto"/>
          <w:sz w:val="24"/>
          <w:szCs w:val="24"/>
          <w:highlight w:val="none"/>
          <w:u w:val="single"/>
        </w:rPr>
      </w:pPr>
    </w:p>
    <w:p w14:paraId="59C8B9B9">
      <w:pPr>
        <w:pStyle w:val="24"/>
        <w:spacing w:line="360" w:lineRule="auto"/>
        <w:ind w:firstLine="241"/>
        <w:rPr>
          <w:rFonts w:hAnsi="宋体" w:cs="宋体"/>
          <w:bCs/>
          <w:color w:val="auto"/>
          <w:sz w:val="24"/>
          <w:szCs w:val="24"/>
          <w:highlight w:val="none"/>
          <w:u w:val="single"/>
        </w:rPr>
      </w:pPr>
    </w:p>
    <w:p w14:paraId="0489CCD8">
      <w:pPr>
        <w:pStyle w:val="24"/>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rPr>
        <w:t>年月日，</w:t>
      </w:r>
      <w:r>
        <w:rPr>
          <w:rFonts w:hint="eastAsia" w:hAnsi="宋体" w:cs="宋体"/>
          <w:bCs/>
          <w:color w:val="auto"/>
          <w:sz w:val="24"/>
          <w:szCs w:val="24"/>
          <w:highlight w:val="none"/>
        </w:rPr>
        <w:t xml:space="preserve">就质疑事项作出了答复/没有在法定期限内作出答复。                                                                                             </w:t>
      </w:r>
    </w:p>
    <w:p w14:paraId="35843DC1">
      <w:pPr>
        <w:pStyle w:val="24"/>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2D41F34D">
      <w:pPr>
        <w:pStyle w:val="24"/>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p>
    <w:p w14:paraId="561F90CF">
      <w:pPr>
        <w:pStyle w:val="24"/>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p>
    <w:p w14:paraId="14034C1D">
      <w:pPr>
        <w:pStyle w:val="24"/>
        <w:spacing w:line="360" w:lineRule="auto"/>
        <w:ind w:left="25" w:leftChars="12" w:firstLine="472" w:firstLineChars="197"/>
        <w:rPr>
          <w:rFonts w:hAnsi="宋体" w:cs="宋体"/>
          <w:color w:val="auto"/>
          <w:sz w:val="24"/>
          <w:szCs w:val="24"/>
          <w:highlight w:val="none"/>
        </w:rPr>
      </w:pPr>
    </w:p>
    <w:p w14:paraId="5D8BB220">
      <w:pPr>
        <w:pStyle w:val="24"/>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p>
    <w:p w14:paraId="533D5B4D">
      <w:pPr>
        <w:pStyle w:val="24"/>
        <w:spacing w:line="360" w:lineRule="auto"/>
        <w:ind w:left="25" w:leftChars="12" w:firstLine="352" w:firstLineChars="147"/>
        <w:rPr>
          <w:rFonts w:hAnsi="宋体" w:cs="宋体"/>
          <w:bCs/>
          <w:color w:val="auto"/>
          <w:sz w:val="24"/>
          <w:szCs w:val="24"/>
          <w:highlight w:val="none"/>
          <w:u w:val="single"/>
        </w:rPr>
      </w:pPr>
    </w:p>
    <w:p w14:paraId="73E48577">
      <w:pPr>
        <w:pStyle w:val="24"/>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p>
    <w:p w14:paraId="20E12709">
      <w:pPr>
        <w:pStyle w:val="24"/>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78A34109">
      <w:pPr>
        <w:pStyle w:val="24"/>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2A02DC06">
      <w:pPr>
        <w:pStyle w:val="2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p>
    <w:p w14:paraId="4ABF9F6E">
      <w:pPr>
        <w:pStyle w:val="24"/>
        <w:spacing w:line="360" w:lineRule="auto"/>
        <w:ind w:left="25" w:leftChars="12" w:firstLine="352" w:firstLineChars="147"/>
        <w:rPr>
          <w:rFonts w:hAnsi="宋体" w:cs="宋体"/>
          <w:color w:val="auto"/>
          <w:sz w:val="24"/>
          <w:szCs w:val="24"/>
          <w:highlight w:val="none"/>
        </w:rPr>
      </w:pPr>
    </w:p>
    <w:p w14:paraId="34542337">
      <w:pPr>
        <w:pStyle w:val="2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1AD7D02C">
      <w:pPr>
        <w:pStyle w:val="24"/>
        <w:spacing w:line="360" w:lineRule="auto"/>
        <w:ind w:left="25" w:leftChars="12" w:firstLine="352" w:firstLineChars="147"/>
        <w:rPr>
          <w:rFonts w:hAnsi="宋体" w:cs="宋体"/>
          <w:color w:val="auto"/>
          <w:sz w:val="24"/>
          <w:szCs w:val="24"/>
          <w:highlight w:val="none"/>
        </w:rPr>
      </w:pPr>
    </w:p>
    <w:p w14:paraId="6459DDA2">
      <w:pPr>
        <w:pStyle w:val="2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66986BC9">
      <w:pPr>
        <w:pStyle w:val="24"/>
        <w:spacing w:line="360" w:lineRule="auto"/>
        <w:ind w:left="25" w:leftChars="12"/>
        <w:rPr>
          <w:rFonts w:hAnsi="宋体" w:cs="宋体"/>
          <w:b/>
          <w:color w:val="auto"/>
          <w:sz w:val="24"/>
          <w:szCs w:val="24"/>
          <w:highlight w:val="none"/>
        </w:rPr>
      </w:pPr>
      <w:r>
        <w:rPr>
          <w:rFonts w:hint="eastAsia" w:hAnsi="宋体" w:cs="宋体"/>
          <w:b/>
          <w:color w:val="auto"/>
          <w:sz w:val="24"/>
          <w:szCs w:val="24"/>
          <w:highlight w:val="none"/>
        </w:rPr>
        <w:t>说明：</w:t>
      </w:r>
    </w:p>
    <w:p w14:paraId="006BF95B">
      <w:pPr>
        <w:pStyle w:val="24"/>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4949CAC9">
      <w:pPr>
        <w:pStyle w:val="24"/>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EF559BD">
      <w:pPr>
        <w:pStyle w:val="24"/>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15806900">
      <w:pPr>
        <w:pStyle w:val="24"/>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7A48E775">
      <w:pPr>
        <w:pStyle w:val="24"/>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59E47820">
      <w:pPr>
        <w:pStyle w:val="24"/>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sectPr>
      <w:headerReference r:id="rId14" w:type="first"/>
      <w:footerReference r:id="rId17" w:type="first"/>
      <w:headerReference r:id="rId12" w:type="default"/>
      <w:footerReference r:id="rId15" w:type="default"/>
      <w:headerReference r:id="rId13" w:type="even"/>
      <w:footerReference r:id="rId16"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2000009F" w:csb1="DFD70000"/>
  </w:font>
  <w:font w:name="Nyala">
    <w:altName w:val="Segoe Print"/>
    <w:panose1 w:val="00000000000000000000"/>
    <w:charset w:val="00"/>
    <w:family w:val="auto"/>
    <w:pitch w:val="default"/>
    <w:sig w:usb0="00000000" w:usb1="00000000" w:usb2="00000000" w:usb3="00000000" w:csb0="00000000" w:csb1="00000000"/>
  </w:font>
  <w:font w:name="DengXian-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35387">
    <w:pPr>
      <w:pStyle w:val="3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23BD15">
                          <w:pPr>
                            <w:pStyle w:val="3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E23BD15">
                    <w:pPr>
                      <w:pStyle w:val="30"/>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894F2">
    <w:pPr>
      <w:pStyle w:val="3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17714">
                          <w:pPr>
                            <w:pStyle w:val="30"/>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32017714">
                    <w:pPr>
                      <w:pStyle w:val="30"/>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C454C">
    <w:pPr>
      <w:pStyle w:val="3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CB5BD9">
                          <w:pPr>
                            <w:pStyle w:val="30"/>
                            <w:jc w:val="center"/>
                          </w:pPr>
                          <w:r>
                            <w:fldChar w:fldCharType="begin"/>
                          </w:r>
                          <w:r>
                            <w:instrText xml:space="preserve"> PAGE   \* MERGEFORMAT </w:instrText>
                          </w:r>
                          <w:r>
                            <w:fldChar w:fldCharType="separate"/>
                          </w:r>
                          <w:r>
                            <w:rPr>
                              <w:lang w:val="zh-CN"/>
                            </w:rPr>
                            <w:t>92</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79CB5BD9">
                    <w:pPr>
                      <w:pStyle w:val="30"/>
                      <w:jc w:val="center"/>
                    </w:pPr>
                    <w:r>
                      <w:fldChar w:fldCharType="begin"/>
                    </w:r>
                    <w:r>
                      <w:instrText xml:space="preserve"> PAGE   \* MERGEFORMAT </w:instrText>
                    </w:r>
                    <w:r>
                      <w:fldChar w:fldCharType="separate"/>
                    </w:r>
                    <w:r>
                      <w:rPr>
                        <w:lang w:val="zh-CN"/>
                      </w:rPr>
                      <w:t>92</w:t>
                    </w:r>
                    <w:r>
                      <w:rPr>
                        <w:lang w:val="zh-CN"/>
                      </w:rPr>
                      <w:fldChar w:fldCharType="end"/>
                    </w:r>
                  </w:p>
                </w:txbxContent>
              </v:textbox>
            </v:shape>
          </w:pict>
        </mc:Fallback>
      </mc:AlternateContent>
    </w:r>
  </w:p>
  <w:p w14:paraId="41FB4190">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F2B19">
    <w:pPr>
      <w:pStyle w:val="30"/>
      <w:framePr w:wrap="around" w:vAnchor="text" w:hAnchor="margin" w:xAlign="center" w:y="1"/>
      <w:rPr>
        <w:rStyle w:val="52"/>
      </w:rPr>
    </w:pPr>
    <w:r>
      <w:fldChar w:fldCharType="begin"/>
    </w:r>
    <w:r>
      <w:rPr>
        <w:rStyle w:val="52"/>
      </w:rPr>
      <w:instrText xml:space="preserve">PAGE  </w:instrText>
    </w:r>
    <w:r>
      <w:fldChar w:fldCharType="end"/>
    </w:r>
  </w:p>
  <w:p w14:paraId="59255631">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EC1D">
    <w:pPr>
      <w:pStyle w:val="3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3DDF26">
                          <w:pPr>
                            <w:pStyle w:val="30"/>
                            <w:jc w:val="center"/>
                          </w:pPr>
                          <w:r>
                            <w:fldChar w:fldCharType="begin"/>
                          </w:r>
                          <w:r>
                            <w:instrText xml:space="preserve">PAGE   \* MERGEFORMAT</w:instrText>
                          </w:r>
                          <w:r>
                            <w:fldChar w:fldCharType="separate"/>
                          </w:r>
                          <w:r>
                            <w:rPr>
                              <w:lang w:val="zh-CN"/>
                            </w:rPr>
                            <w:t>67</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6B3DDF26">
                    <w:pPr>
                      <w:pStyle w:val="30"/>
                      <w:jc w:val="center"/>
                    </w:pPr>
                    <w:r>
                      <w:fldChar w:fldCharType="begin"/>
                    </w:r>
                    <w:r>
                      <w:instrText xml:space="preserve">PAGE   \* MERGEFORMAT</w:instrText>
                    </w:r>
                    <w:r>
                      <w:fldChar w:fldCharType="separate"/>
                    </w:r>
                    <w:r>
                      <w:rPr>
                        <w:lang w:val="zh-CN"/>
                      </w:rPr>
                      <w:t>67</w:t>
                    </w:r>
                    <w:r>
                      <w:rPr>
                        <w:lang w:val="zh-CN"/>
                      </w:rPr>
                      <w:fldChar w:fldCharType="end"/>
                    </w:r>
                  </w:p>
                </w:txbxContent>
              </v:textbox>
            </v:shape>
          </w:pict>
        </mc:Fallback>
      </mc:AlternateContent>
    </w:r>
  </w:p>
  <w:p w14:paraId="6115158F">
    <w:pPr>
      <w:pStyle w:val="30"/>
      <w:ind w:right="360"/>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B8808">
    <w:pPr>
      <w:pStyle w:val="30"/>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D845B">
                          <w:pPr>
                            <w:pStyle w:val="30"/>
                            <w:jc w:val="center"/>
                          </w:pPr>
                          <w:r>
                            <w:fldChar w:fldCharType="begin"/>
                          </w:r>
                          <w:r>
                            <w:instrText xml:space="preserve"> PAGE   \* MERGEFORMAT </w:instrText>
                          </w:r>
                          <w:r>
                            <w:fldChar w:fldCharType="separate"/>
                          </w:r>
                          <w:r>
                            <w:rPr>
                              <w:lang w:val="zh-CN"/>
                            </w:rPr>
                            <w:t>105</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651D845B">
                    <w:pPr>
                      <w:pStyle w:val="30"/>
                      <w:jc w:val="center"/>
                    </w:pPr>
                    <w:r>
                      <w:fldChar w:fldCharType="begin"/>
                    </w:r>
                    <w:r>
                      <w:instrText xml:space="preserve"> PAGE   \* MERGEFORMAT </w:instrText>
                    </w:r>
                    <w:r>
                      <w:fldChar w:fldCharType="separate"/>
                    </w:r>
                    <w:r>
                      <w:rPr>
                        <w:lang w:val="zh-CN"/>
                      </w:rPr>
                      <w:t>105</w:t>
                    </w:r>
                    <w:r>
                      <w:rPr>
                        <w:lang w:val="zh-CN"/>
                      </w:rPr>
                      <w:fldChar w:fldCharType="end"/>
                    </w:r>
                  </w:p>
                </w:txbxContent>
              </v:textbox>
            </v:shape>
          </w:pict>
        </mc:Fallback>
      </mc:AlternateContent>
    </w:r>
  </w:p>
  <w:p w14:paraId="635E42C4">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5E479">
    <w:pPr>
      <w:pStyle w:val="30"/>
      <w:framePr w:wrap="around" w:vAnchor="text" w:hAnchor="margin" w:xAlign="center" w:y="1"/>
      <w:rPr>
        <w:rStyle w:val="52"/>
      </w:rPr>
    </w:pPr>
    <w:r>
      <w:fldChar w:fldCharType="begin"/>
    </w:r>
    <w:r>
      <w:rPr>
        <w:rStyle w:val="52"/>
      </w:rPr>
      <w:instrText xml:space="preserve">PAGE  </w:instrText>
    </w:r>
    <w:r>
      <w:fldChar w:fldCharType="end"/>
    </w:r>
  </w:p>
  <w:p w14:paraId="5FAAA96E">
    <w:pPr>
      <w:pStyle w:val="3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95483">
    <w:pPr>
      <w:pStyle w:val="30"/>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AAAEF">
    <w:r>
      <w:drawing>
        <wp:anchor distT="0" distB="0" distL="114300" distR="114300" simplePos="0" relativeHeight="251668480" behindDoc="1" locked="0" layoutInCell="1" allowOverlap="1">
          <wp:simplePos x="0" y="0"/>
          <wp:positionH relativeFrom="margin">
            <wp:align>center</wp:align>
          </wp:positionH>
          <wp:positionV relativeFrom="margin">
            <wp:align>center</wp:align>
          </wp:positionV>
          <wp:extent cx="5274310" cy="4674235"/>
          <wp:effectExtent l="0" t="0" r="0" b="0"/>
          <wp:wrapNone/>
          <wp:docPr id="10" name="WordPictureWatermark1544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15449" descr="图片1"/>
                  <pic:cNvPicPr>
                    <a:picLocks noChangeAspect="1"/>
                  </pic:cNvPicPr>
                </pic:nvPicPr>
                <pic:blipFill>
                  <a:blip r:embed="rId1">
                    <a:lum bright="69998" contrast="-70001"/>
                  </a:blip>
                  <a:stretch>
                    <a:fillRect/>
                  </a:stretch>
                </pic:blipFill>
                <pic:spPr>
                  <a:xfrm>
                    <a:off x="0" y="0"/>
                    <a:ext cx="5274310" cy="467423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D3A1F">
    <w:pPr>
      <w:pStyle w:val="32"/>
      <w:pBdr>
        <w:bottom w:val="none" w:color="auto" w:sz="0" w:space="0"/>
      </w:pBdr>
    </w:pPr>
    <w:r>
      <w:rPr>
        <w:sz w:val="18"/>
      </w:rPr>
      <w:drawing>
        <wp:anchor distT="0" distB="0" distL="114300" distR="114300" simplePos="0" relativeHeight="251669504" behindDoc="1" locked="0" layoutInCell="1" allowOverlap="1">
          <wp:simplePos x="0" y="0"/>
          <wp:positionH relativeFrom="margin">
            <wp:align>center</wp:align>
          </wp:positionH>
          <wp:positionV relativeFrom="margin">
            <wp:align>center</wp:align>
          </wp:positionV>
          <wp:extent cx="5274310" cy="4674235"/>
          <wp:effectExtent l="0" t="0" r="0" b="0"/>
          <wp:wrapNone/>
          <wp:docPr id="17" name="WordPictureWatermark1544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PictureWatermark15449" descr="图片1"/>
                  <pic:cNvPicPr>
                    <a:picLocks noChangeAspect="1"/>
                  </pic:cNvPicPr>
                </pic:nvPicPr>
                <pic:blipFill>
                  <a:blip r:embed="rId1">
                    <a:lum bright="69998" contrast="-70001"/>
                  </a:blip>
                  <a:stretch>
                    <a:fillRect/>
                  </a:stretch>
                </pic:blipFill>
                <pic:spPr>
                  <a:xfrm>
                    <a:off x="0" y="0"/>
                    <a:ext cx="5274310" cy="467423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CC66D">
    <w:pPr>
      <w:pStyle w:val="32"/>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396230" cy="4782185"/>
          <wp:effectExtent l="0" t="0" r="13970" b="18415"/>
          <wp:wrapNone/>
          <wp:docPr id="3" name="WordPictureWatermark96546632"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96546632"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DE6F9">
    <w:r>
      <w:rPr>
        <w:sz w:val="18"/>
      </w:rPr>
      <w:drawing>
        <wp:anchor distT="0" distB="0" distL="114300" distR="114300" simplePos="0" relativeHeight="251670528" behindDoc="1" locked="0" layoutInCell="1" allowOverlap="1">
          <wp:simplePos x="0" y="0"/>
          <wp:positionH relativeFrom="margin">
            <wp:align>center</wp:align>
          </wp:positionH>
          <wp:positionV relativeFrom="margin">
            <wp:align>center</wp:align>
          </wp:positionV>
          <wp:extent cx="5274310" cy="4674235"/>
          <wp:effectExtent l="0" t="0" r="0" b="0"/>
          <wp:wrapNone/>
          <wp:docPr id="18" name="WordPictureWatermark1544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PictureWatermark15449" descr="图片1"/>
                  <pic:cNvPicPr>
                    <a:picLocks noChangeAspect="1"/>
                  </pic:cNvPicPr>
                </pic:nvPicPr>
                <pic:blipFill>
                  <a:blip r:embed="rId1">
                    <a:lum bright="69998" contrast="-70001"/>
                  </a:blip>
                  <a:stretch>
                    <a:fillRect/>
                  </a:stretch>
                </pic:blipFill>
                <pic:spPr>
                  <a:xfrm>
                    <a:off x="0" y="0"/>
                    <a:ext cx="5274310" cy="4674235"/>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434F7">
    <w:pPr>
      <w:pStyle w:val="32"/>
      <w:pBdr>
        <w:bottom w:val="none" w:color="auto" w:sz="0" w:space="0"/>
      </w:pBdr>
    </w:pPr>
    <w:r>
      <w:rPr>
        <w:sz w:val="18"/>
      </w:rPr>
      <w:drawing>
        <wp:anchor distT="0" distB="0" distL="114300" distR="114300" simplePos="0" relativeHeight="251671552" behindDoc="1" locked="0" layoutInCell="1" allowOverlap="1">
          <wp:simplePos x="0" y="0"/>
          <wp:positionH relativeFrom="margin">
            <wp:align>center</wp:align>
          </wp:positionH>
          <wp:positionV relativeFrom="margin">
            <wp:align>center</wp:align>
          </wp:positionV>
          <wp:extent cx="5274310" cy="4674235"/>
          <wp:effectExtent l="0" t="0" r="0" b="0"/>
          <wp:wrapNone/>
          <wp:docPr id="19" name="WordPictureWatermark1544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PictureWatermark15449" descr="图片1"/>
                  <pic:cNvPicPr>
                    <a:picLocks noChangeAspect="1"/>
                  </pic:cNvPicPr>
                </pic:nvPicPr>
                <pic:blipFill>
                  <a:blip r:embed="rId1">
                    <a:lum bright="69998" contrast="-70001"/>
                  </a:blip>
                  <a:stretch>
                    <a:fillRect/>
                  </a:stretch>
                </pic:blipFill>
                <pic:spPr>
                  <a:xfrm>
                    <a:off x="0" y="0"/>
                    <a:ext cx="5274310" cy="4674235"/>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0AAD0">
    <w:pPr>
      <w:pStyle w:val="32"/>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396230" cy="4782185"/>
          <wp:effectExtent l="0" t="0" r="13970" b="18415"/>
          <wp:wrapNone/>
          <wp:docPr id="6" name="WordPictureWatermark96546635"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96546635"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A54C5">
    <w:pPr>
      <w:pStyle w:val="32"/>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396230" cy="4782185"/>
          <wp:effectExtent l="0" t="0" r="13970" b="18415"/>
          <wp:wrapNone/>
          <wp:docPr id="5" name="WordPictureWatermark96546634"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96546634"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
    <w:nsid w:val="4C601917"/>
    <w:multiLevelType w:val="singleLevel"/>
    <w:tmpl w:val="4C601917"/>
    <w:lvl w:ilvl="0" w:tentative="0">
      <w:start w:val="1"/>
      <w:numFmt w:val="decimal"/>
      <w:suff w:val="nothing"/>
      <w:lvlText w:val="（%1）"/>
      <w:lvlJc w:val="left"/>
      <w:pPr>
        <w:ind w:left="-2"/>
      </w:pPr>
    </w:lvl>
  </w:abstractNum>
  <w:abstractNum w:abstractNumId="3">
    <w:nsid w:val="5FABD14B"/>
    <w:multiLevelType w:val="singleLevel"/>
    <w:tmpl w:val="5FABD14B"/>
    <w:lvl w:ilvl="0" w:tentative="0">
      <w:start w:val="1"/>
      <w:numFmt w:val="decimal"/>
      <w:suff w:val="nothing"/>
      <w:lvlText w:val="（%1）"/>
      <w:lvlJc w:val="left"/>
    </w:lvl>
  </w:abstractNum>
  <w:abstractNum w:abstractNumId="4">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hideGrammaticalErrors/>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ODMxYTE0ZTc0ZGU3Y2QwODc3MzYzN2Q1YmNiM2EifQ=="/>
    <w:docVar w:name="KY_MEDREF_DOCUID" w:val="{954EC250-98F2-4F1F-97E3-9882CDDFBA91}"/>
    <w:docVar w:name="KY_MEDREF_VERSION" w:val="3"/>
  </w:docVars>
  <w:rsids>
    <w:rsidRoot w:val="00172A27"/>
    <w:rsid w:val="0000085D"/>
    <w:rsid w:val="00006992"/>
    <w:rsid w:val="00010DCE"/>
    <w:rsid w:val="0001215A"/>
    <w:rsid w:val="000132CA"/>
    <w:rsid w:val="000142A5"/>
    <w:rsid w:val="00015B66"/>
    <w:rsid w:val="00015FCE"/>
    <w:rsid w:val="00020F00"/>
    <w:rsid w:val="00021F25"/>
    <w:rsid w:val="00023308"/>
    <w:rsid w:val="00026981"/>
    <w:rsid w:val="00027DBC"/>
    <w:rsid w:val="0003133C"/>
    <w:rsid w:val="000327B8"/>
    <w:rsid w:val="00033446"/>
    <w:rsid w:val="00033B41"/>
    <w:rsid w:val="00034752"/>
    <w:rsid w:val="000353E4"/>
    <w:rsid w:val="00035989"/>
    <w:rsid w:val="00036B9E"/>
    <w:rsid w:val="00040F42"/>
    <w:rsid w:val="00041E6B"/>
    <w:rsid w:val="00042D99"/>
    <w:rsid w:val="00044A6B"/>
    <w:rsid w:val="00047682"/>
    <w:rsid w:val="00050200"/>
    <w:rsid w:val="0005021C"/>
    <w:rsid w:val="0005070D"/>
    <w:rsid w:val="000514D1"/>
    <w:rsid w:val="000528BD"/>
    <w:rsid w:val="00052CC8"/>
    <w:rsid w:val="00056C35"/>
    <w:rsid w:val="000574F6"/>
    <w:rsid w:val="000579FA"/>
    <w:rsid w:val="00060307"/>
    <w:rsid w:val="00063225"/>
    <w:rsid w:val="00063BFA"/>
    <w:rsid w:val="00070C84"/>
    <w:rsid w:val="00071E99"/>
    <w:rsid w:val="00072814"/>
    <w:rsid w:val="00072ABD"/>
    <w:rsid w:val="00080927"/>
    <w:rsid w:val="00087BFC"/>
    <w:rsid w:val="00087E08"/>
    <w:rsid w:val="00091E6C"/>
    <w:rsid w:val="00093253"/>
    <w:rsid w:val="00094BEA"/>
    <w:rsid w:val="00095FB5"/>
    <w:rsid w:val="000A0961"/>
    <w:rsid w:val="000A1E59"/>
    <w:rsid w:val="000A5B6E"/>
    <w:rsid w:val="000A63DC"/>
    <w:rsid w:val="000A69FD"/>
    <w:rsid w:val="000A7BFF"/>
    <w:rsid w:val="000C1598"/>
    <w:rsid w:val="000C277E"/>
    <w:rsid w:val="000C2C36"/>
    <w:rsid w:val="000C4440"/>
    <w:rsid w:val="000C58D5"/>
    <w:rsid w:val="000C75D7"/>
    <w:rsid w:val="000D0251"/>
    <w:rsid w:val="000D48B9"/>
    <w:rsid w:val="000D5418"/>
    <w:rsid w:val="000D6326"/>
    <w:rsid w:val="000E02D5"/>
    <w:rsid w:val="000E098F"/>
    <w:rsid w:val="000E1703"/>
    <w:rsid w:val="000E177C"/>
    <w:rsid w:val="000E3E97"/>
    <w:rsid w:val="000E4D51"/>
    <w:rsid w:val="000E5771"/>
    <w:rsid w:val="000E61A4"/>
    <w:rsid w:val="000F29B5"/>
    <w:rsid w:val="000F3896"/>
    <w:rsid w:val="000F3EF2"/>
    <w:rsid w:val="000F6003"/>
    <w:rsid w:val="000F625A"/>
    <w:rsid w:val="000F7AED"/>
    <w:rsid w:val="00100162"/>
    <w:rsid w:val="001039D2"/>
    <w:rsid w:val="00103C69"/>
    <w:rsid w:val="00105357"/>
    <w:rsid w:val="0010758F"/>
    <w:rsid w:val="00111762"/>
    <w:rsid w:val="00111996"/>
    <w:rsid w:val="00112630"/>
    <w:rsid w:val="001137DD"/>
    <w:rsid w:val="00113980"/>
    <w:rsid w:val="001163B5"/>
    <w:rsid w:val="00120D55"/>
    <w:rsid w:val="001222C7"/>
    <w:rsid w:val="00124C13"/>
    <w:rsid w:val="00127169"/>
    <w:rsid w:val="0013265A"/>
    <w:rsid w:val="00133278"/>
    <w:rsid w:val="00133E97"/>
    <w:rsid w:val="00134464"/>
    <w:rsid w:val="00135F6B"/>
    <w:rsid w:val="001416C9"/>
    <w:rsid w:val="00141DA6"/>
    <w:rsid w:val="00141FC9"/>
    <w:rsid w:val="0014219C"/>
    <w:rsid w:val="001424B8"/>
    <w:rsid w:val="00143A9F"/>
    <w:rsid w:val="0015163C"/>
    <w:rsid w:val="001519A7"/>
    <w:rsid w:val="00152E9A"/>
    <w:rsid w:val="001535B9"/>
    <w:rsid w:val="0015737C"/>
    <w:rsid w:val="00160ADF"/>
    <w:rsid w:val="001629C9"/>
    <w:rsid w:val="00164293"/>
    <w:rsid w:val="00164384"/>
    <w:rsid w:val="001660CD"/>
    <w:rsid w:val="001663CF"/>
    <w:rsid w:val="00171C9C"/>
    <w:rsid w:val="00172A27"/>
    <w:rsid w:val="00177BD1"/>
    <w:rsid w:val="00180580"/>
    <w:rsid w:val="001869E2"/>
    <w:rsid w:val="0019018C"/>
    <w:rsid w:val="00190B0A"/>
    <w:rsid w:val="00190C47"/>
    <w:rsid w:val="00191030"/>
    <w:rsid w:val="00191420"/>
    <w:rsid w:val="00192B8A"/>
    <w:rsid w:val="001A108D"/>
    <w:rsid w:val="001A33FD"/>
    <w:rsid w:val="001A3C80"/>
    <w:rsid w:val="001A758D"/>
    <w:rsid w:val="001B0143"/>
    <w:rsid w:val="001B3624"/>
    <w:rsid w:val="001B3D35"/>
    <w:rsid w:val="001B7D14"/>
    <w:rsid w:val="001C0306"/>
    <w:rsid w:val="001C1E54"/>
    <w:rsid w:val="001C2C0F"/>
    <w:rsid w:val="001C2E55"/>
    <w:rsid w:val="001C3725"/>
    <w:rsid w:val="001C3BA8"/>
    <w:rsid w:val="001C41A3"/>
    <w:rsid w:val="001C61E4"/>
    <w:rsid w:val="001C6EC3"/>
    <w:rsid w:val="001D2553"/>
    <w:rsid w:val="001D2AA1"/>
    <w:rsid w:val="001D33BF"/>
    <w:rsid w:val="001E035E"/>
    <w:rsid w:val="001E0460"/>
    <w:rsid w:val="001E0A6B"/>
    <w:rsid w:val="001E0F94"/>
    <w:rsid w:val="001E1DDC"/>
    <w:rsid w:val="001E2B78"/>
    <w:rsid w:val="001E2D52"/>
    <w:rsid w:val="001E3255"/>
    <w:rsid w:val="001E41CB"/>
    <w:rsid w:val="001E4BA6"/>
    <w:rsid w:val="001E58F4"/>
    <w:rsid w:val="001F0380"/>
    <w:rsid w:val="001F0BFB"/>
    <w:rsid w:val="001F409D"/>
    <w:rsid w:val="001F5ACF"/>
    <w:rsid w:val="001F7C7D"/>
    <w:rsid w:val="00201942"/>
    <w:rsid w:val="00201C6D"/>
    <w:rsid w:val="00201E1C"/>
    <w:rsid w:val="00202426"/>
    <w:rsid w:val="00205421"/>
    <w:rsid w:val="002070B3"/>
    <w:rsid w:val="00213DEC"/>
    <w:rsid w:val="00213FD7"/>
    <w:rsid w:val="0021562B"/>
    <w:rsid w:val="00217530"/>
    <w:rsid w:val="00217891"/>
    <w:rsid w:val="00217A7A"/>
    <w:rsid w:val="002204FF"/>
    <w:rsid w:val="002220C2"/>
    <w:rsid w:val="00224446"/>
    <w:rsid w:val="00225AC8"/>
    <w:rsid w:val="00225B3B"/>
    <w:rsid w:val="00226E5C"/>
    <w:rsid w:val="0022787E"/>
    <w:rsid w:val="00227D6A"/>
    <w:rsid w:val="00230B60"/>
    <w:rsid w:val="002336CC"/>
    <w:rsid w:val="0023388A"/>
    <w:rsid w:val="00235B6A"/>
    <w:rsid w:val="002414D0"/>
    <w:rsid w:val="00241715"/>
    <w:rsid w:val="002425AA"/>
    <w:rsid w:val="00243C04"/>
    <w:rsid w:val="002464A4"/>
    <w:rsid w:val="002465F2"/>
    <w:rsid w:val="00246993"/>
    <w:rsid w:val="00246C53"/>
    <w:rsid w:val="002526EF"/>
    <w:rsid w:val="00252E9B"/>
    <w:rsid w:val="00253FC5"/>
    <w:rsid w:val="00254598"/>
    <w:rsid w:val="002554C8"/>
    <w:rsid w:val="00255656"/>
    <w:rsid w:val="002560BD"/>
    <w:rsid w:val="00260145"/>
    <w:rsid w:val="00265FA2"/>
    <w:rsid w:val="00267915"/>
    <w:rsid w:val="0027060D"/>
    <w:rsid w:val="00270C14"/>
    <w:rsid w:val="00271254"/>
    <w:rsid w:val="00271270"/>
    <w:rsid w:val="00272611"/>
    <w:rsid w:val="00274C3B"/>
    <w:rsid w:val="00276F4B"/>
    <w:rsid w:val="002776BC"/>
    <w:rsid w:val="00277C14"/>
    <w:rsid w:val="002806E7"/>
    <w:rsid w:val="00280A7B"/>
    <w:rsid w:val="00281DE5"/>
    <w:rsid w:val="0028309A"/>
    <w:rsid w:val="00284BE5"/>
    <w:rsid w:val="0028557F"/>
    <w:rsid w:val="00285B0C"/>
    <w:rsid w:val="002868B5"/>
    <w:rsid w:val="0028750A"/>
    <w:rsid w:val="00287535"/>
    <w:rsid w:val="00291BE9"/>
    <w:rsid w:val="00291E2B"/>
    <w:rsid w:val="002932B9"/>
    <w:rsid w:val="00296C17"/>
    <w:rsid w:val="002974BF"/>
    <w:rsid w:val="002A12AE"/>
    <w:rsid w:val="002A1A59"/>
    <w:rsid w:val="002A32CB"/>
    <w:rsid w:val="002A4B46"/>
    <w:rsid w:val="002A7670"/>
    <w:rsid w:val="002B295E"/>
    <w:rsid w:val="002B2E91"/>
    <w:rsid w:val="002B4042"/>
    <w:rsid w:val="002B524C"/>
    <w:rsid w:val="002B56EB"/>
    <w:rsid w:val="002B68EC"/>
    <w:rsid w:val="002C0EAE"/>
    <w:rsid w:val="002C1477"/>
    <w:rsid w:val="002C47D2"/>
    <w:rsid w:val="002C4912"/>
    <w:rsid w:val="002C772D"/>
    <w:rsid w:val="002D033C"/>
    <w:rsid w:val="002D41D5"/>
    <w:rsid w:val="002D468B"/>
    <w:rsid w:val="002D758E"/>
    <w:rsid w:val="002D7F90"/>
    <w:rsid w:val="002E25B5"/>
    <w:rsid w:val="002E484B"/>
    <w:rsid w:val="002E7C69"/>
    <w:rsid w:val="002F1167"/>
    <w:rsid w:val="002F19EE"/>
    <w:rsid w:val="002F1F82"/>
    <w:rsid w:val="002F3360"/>
    <w:rsid w:val="002F4817"/>
    <w:rsid w:val="002F4DD2"/>
    <w:rsid w:val="002F5172"/>
    <w:rsid w:val="002F5BCF"/>
    <w:rsid w:val="002F7114"/>
    <w:rsid w:val="0030133C"/>
    <w:rsid w:val="00301F2E"/>
    <w:rsid w:val="00304303"/>
    <w:rsid w:val="0030459B"/>
    <w:rsid w:val="00304B01"/>
    <w:rsid w:val="00306458"/>
    <w:rsid w:val="003102B7"/>
    <w:rsid w:val="00313126"/>
    <w:rsid w:val="003158F6"/>
    <w:rsid w:val="00315A70"/>
    <w:rsid w:val="003166BB"/>
    <w:rsid w:val="00316826"/>
    <w:rsid w:val="00321CF6"/>
    <w:rsid w:val="00323A95"/>
    <w:rsid w:val="00327489"/>
    <w:rsid w:val="0033087B"/>
    <w:rsid w:val="003327CC"/>
    <w:rsid w:val="00333F85"/>
    <w:rsid w:val="00334114"/>
    <w:rsid w:val="00337929"/>
    <w:rsid w:val="00341A50"/>
    <w:rsid w:val="003420B8"/>
    <w:rsid w:val="00346AA8"/>
    <w:rsid w:val="003479D4"/>
    <w:rsid w:val="00351E02"/>
    <w:rsid w:val="0035205B"/>
    <w:rsid w:val="00352BD6"/>
    <w:rsid w:val="00352C59"/>
    <w:rsid w:val="00352E50"/>
    <w:rsid w:val="00352FD8"/>
    <w:rsid w:val="00353B06"/>
    <w:rsid w:val="003564A4"/>
    <w:rsid w:val="0035659D"/>
    <w:rsid w:val="0035660C"/>
    <w:rsid w:val="00356C18"/>
    <w:rsid w:val="00364131"/>
    <w:rsid w:val="003647D9"/>
    <w:rsid w:val="00366125"/>
    <w:rsid w:val="00366FF2"/>
    <w:rsid w:val="00371E76"/>
    <w:rsid w:val="003729B7"/>
    <w:rsid w:val="003749B7"/>
    <w:rsid w:val="003752CA"/>
    <w:rsid w:val="003762F4"/>
    <w:rsid w:val="003763A4"/>
    <w:rsid w:val="00380273"/>
    <w:rsid w:val="00380528"/>
    <w:rsid w:val="003825AA"/>
    <w:rsid w:val="0038368A"/>
    <w:rsid w:val="00383EDC"/>
    <w:rsid w:val="0038496E"/>
    <w:rsid w:val="00384AB5"/>
    <w:rsid w:val="00385C8D"/>
    <w:rsid w:val="00387BFE"/>
    <w:rsid w:val="00387CB4"/>
    <w:rsid w:val="00392B7B"/>
    <w:rsid w:val="003947CB"/>
    <w:rsid w:val="003A015C"/>
    <w:rsid w:val="003A0AA6"/>
    <w:rsid w:val="003A2D15"/>
    <w:rsid w:val="003A32F4"/>
    <w:rsid w:val="003A5203"/>
    <w:rsid w:val="003A7B59"/>
    <w:rsid w:val="003B156B"/>
    <w:rsid w:val="003B1A2A"/>
    <w:rsid w:val="003B207F"/>
    <w:rsid w:val="003B2979"/>
    <w:rsid w:val="003B41BB"/>
    <w:rsid w:val="003C1979"/>
    <w:rsid w:val="003C37DE"/>
    <w:rsid w:val="003C3C09"/>
    <w:rsid w:val="003C4AC1"/>
    <w:rsid w:val="003C54FF"/>
    <w:rsid w:val="003C5689"/>
    <w:rsid w:val="003C629F"/>
    <w:rsid w:val="003C633B"/>
    <w:rsid w:val="003C7104"/>
    <w:rsid w:val="003D045E"/>
    <w:rsid w:val="003D0534"/>
    <w:rsid w:val="003D3535"/>
    <w:rsid w:val="003D3C4F"/>
    <w:rsid w:val="003D3E61"/>
    <w:rsid w:val="003D47FE"/>
    <w:rsid w:val="003D7203"/>
    <w:rsid w:val="003E0CE2"/>
    <w:rsid w:val="003E2501"/>
    <w:rsid w:val="003E3706"/>
    <w:rsid w:val="003E6DCC"/>
    <w:rsid w:val="003E6E24"/>
    <w:rsid w:val="003F463C"/>
    <w:rsid w:val="003F4FCC"/>
    <w:rsid w:val="003F55EA"/>
    <w:rsid w:val="003F60F3"/>
    <w:rsid w:val="003F7DBC"/>
    <w:rsid w:val="004009F3"/>
    <w:rsid w:val="00401A2E"/>
    <w:rsid w:val="00401A4D"/>
    <w:rsid w:val="00403331"/>
    <w:rsid w:val="00404D5C"/>
    <w:rsid w:val="0040503B"/>
    <w:rsid w:val="004057A1"/>
    <w:rsid w:val="00405A90"/>
    <w:rsid w:val="004064E9"/>
    <w:rsid w:val="004066F2"/>
    <w:rsid w:val="004114A6"/>
    <w:rsid w:val="004120D9"/>
    <w:rsid w:val="00412262"/>
    <w:rsid w:val="0041257C"/>
    <w:rsid w:val="0041301D"/>
    <w:rsid w:val="00415B30"/>
    <w:rsid w:val="00416830"/>
    <w:rsid w:val="00416B33"/>
    <w:rsid w:val="004170FF"/>
    <w:rsid w:val="00417528"/>
    <w:rsid w:val="004245C0"/>
    <w:rsid w:val="00424B15"/>
    <w:rsid w:val="00424BD1"/>
    <w:rsid w:val="0043241E"/>
    <w:rsid w:val="00432B55"/>
    <w:rsid w:val="00436B8A"/>
    <w:rsid w:val="004420E7"/>
    <w:rsid w:val="00442C87"/>
    <w:rsid w:val="0044393D"/>
    <w:rsid w:val="0044412A"/>
    <w:rsid w:val="004450D0"/>
    <w:rsid w:val="0044686D"/>
    <w:rsid w:val="00450D4D"/>
    <w:rsid w:val="00451C52"/>
    <w:rsid w:val="00452648"/>
    <w:rsid w:val="00454CD8"/>
    <w:rsid w:val="0045582A"/>
    <w:rsid w:val="00455948"/>
    <w:rsid w:val="00457A5E"/>
    <w:rsid w:val="00460760"/>
    <w:rsid w:val="004607A8"/>
    <w:rsid w:val="00460C30"/>
    <w:rsid w:val="00460EE6"/>
    <w:rsid w:val="00463318"/>
    <w:rsid w:val="004645FD"/>
    <w:rsid w:val="00465C04"/>
    <w:rsid w:val="00466419"/>
    <w:rsid w:val="00466A2C"/>
    <w:rsid w:val="00466B2E"/>
    <w:rsid w:val="00466E27"/>
    <w:rsid w:val="00470A20"/>
    <w:rsid w:val="00471913"/>
    <w:rsid w:val="0047216E"/>
    <w:rsid w:val="0047230F"/>
    <w:rsid w:val="00472F70"/>
    <w:rsid w:val="004742BD"/>
    <w:rsid w:val="00475481"/>
    <w:rsid w:val="00476FCE"/>
    <w:rsid w:val="004818C0"/>
    <w:rsid w:val="00481F5D"/>
    <w:rsid w:val="00482050"/>
    <w:rsid w:val="00482946"/>
    <w:rsid w:val="00484E7B"/>
    <w:rsid w:val="004861BB"/>
    <w:rsid w:val="004862B8"/>
    <w:rsid w:val="004863FD"/>
    <w:rsid w:val="0048721D"/>
    <w:rsid w:val="00492558"/>
    <w:rsid w:val="0049410C"/>
    <w:rsid w:val="00495CB0"/>
    <w:rsid w:val="004A081D"/>
    <w:rsid w:val="004A3E0C"/>
    <w:rsid w:val="004A3F6D"/>
    <w:rsid w:val="004A3FDF"/>
    <w:rsid w:val="004A4E35"/>
    <w:rsid w:val="004A65D5"/>
    <w:rsid w:val="004A6DF2"/>
    <w:rsid w:val="004A7498"/>
    <w:rsid w:val="004B0612"/>
    <w:rsid w:val="004B10BF"/>
    <w:rsid w:val="004B152A"/>
    <w:rsid w:val="004B3052"/>
    <w:rsid w:val="004B3D83"/>
    <w:rsid w:val="004B69E0"/>
    <w:rsid w:val="004C0162"/>
    <w:rsid w:val="004C1DCA"/>
    <w:rsid w:val="004C4CFB"/>
    <w:rsid w:val="004C628E"/>
    <w:rsid w:val="004D030E"/>
    <w:rsid w:val="004D2E1D"/>
    <w:rsid w:val="004D3259"/>
    <w:rsid w:val="004D3E38"/>
    <w:rsid w:val="004D3FC0"/>
    <w:rsid w:val="004D416F"/>
    <w:rsid w:val="004D6B37"/>
    <w:rsid w:val="004E102E"/>
    <w:rsid w:val="004E2ED2"/>
    <w:rsid w:val="004E3FCA"/>
    <w:rsid w:val="004E444B"/>
    <w:rsid w:val="004E5E43"/>
    <w:rsid w:val="004E6117"/>
    <w:rsid w:val="004F01FD"/>
    <w:rsid w:val="004F0AC5"/>
    <w:rsid w:val="004F0D13"/>
    <w:rsid w:val="004F39D2"/>
    <w:rsid w:val="004F401E"/>
    <w:rsid w:val="004F608C"/>
    <w:rsid w:val="004F7DB4"/>
    <w:rsid w:val="00500A0A"/>
    <w:rsid w:val="00500A81"/>
    <w:rsid w:val="00503F12"/>
    <w:rsid w:val="00506FA9"/>
    <w:rsid w:val="005104FD"/>
    <w:rsid w:val="00511EAC"/>
    <w:rsid w:val="00512F6D"/>
    <w:rsid w:val="00513886"/>
    <w:rsid w:val="0051461C"/>
    <w:rsid w:val="00515C8B"/>
    <w:rsid w:val="00517F6F"/>
    <w:rsid w:val="00523608"/>
    <w:rsid w:val="005239D4"/>
    <w:rsid w:val="00523B45"/>
    <w:rsid w:val="00525767"/>
    <w:rsid w:val="005259CF"/>
    <w:rsid w:val="00525AA4"/>
    <w:rsid w:val="00530EA8"/>
    <w:rsid w:val="005320E5"/>
    <w:rsid w:val="00534C82"/>
    <w:rsid w:val="0053536E"/>
    <w:rsid w:val="00537958"/>
    <w:rsid w:val="00540C26"/>
    <w:rsid w:val="00542887"/>
    <w:rsid w:val="00545668"/>
    <w:rsid w:val="00545A18"/>
    <w:rsid w:val="005462B0"/>
    <w:rsid w:val="00547513"/>
    <w:rsid w:val="00550640"/>
    <w:rsid w:val="00551FDF"/>
    <w:rsid w:val="00552CBA"/>
    <w:rsid w:val="00553A4A"/>
    <w:rsid w:val="00553C26"/>
    <w:rsid w:val="0055453C"/>
    <w:rsid w:val="0055699B"/>
    <w:rsid w:val="00556C5F"/>
    <w:rsid w:val="005622CE"/>
    <w:rsid w:val="005625B0"/>
    <w:rsid w:val="005645B6"/>
    <w:rsid w:val="00564844"/>
    <w:rsid w:val="0056487F"/>
    <w:rsid w:val="005651BD"/>
    <w:rsid w:val="005663AC"/>
    <w:rsid w:val="00572214"/>
    <w:rsid w:val="005736B8"/>
    <w:rsid w:val="00573990"/>
    <w:rsid w:val="0057737E"/>
    <w:rsid w:val="00577408"/>
    <w:rsid w:val="00577479"/>
    <w:rsid w:val="0058151E"/>
    <w:rsid w:val="005816CF"/>
    <w:rsid w:val="005822B6"/>
    <w:rsid w:val="00583AAE"/>
    <w:rsid w:val="0058555B"/>
    <w:rsid w:val="00585B66"/>
    <w:rsid w:val="00587846"/>
    <w:rsid w:val="0059071B"/>
    <w:rsid w:val="00590DBC"/>
    <w:rsid w:val="00590FAF"/>
    <w:rsid w:val="005914DB"/>
    <w:rsid w:val="00592690"/>
    <w:rsid w:val="00592A26"/>
    <w:rsid w:val="00593E48"/>
    <w:rsid w:val="005A0C23"/>
    <w:rsid w:val="005A2DCF"/>
    <w:rsid w:val="005A30A9"/>
    <w:rsid w:val="005A4BBA"/>
    <w:rsid w:val="005A4E33"/>
    <w:rsid w:val="005B0387"/>
    <w:rsid w:val="005B0AA2"/>
    <w:rsid w:val="005B2925"/>
    <w:rsid w:val="005B2C44"/>
    <w:rsid w:val="005B3FD6"/>
    <w:rsid w:val="005B6AF7"/>
    <w:rsid w:val="005C0211"/>
    <w:rsid w:val="005C0742"/>
    <w:rsid w:val="005C4679"/>
    <w:rsid w:val="005C5CFC"/>
    <w:rsid w:val="005C7DDF"/>
    <w:rsid w:val="005D0173"/>
    <w:rsid w:val="005D44B2"/>
    <w:rsid w:val="005D4A9B"/>
    <w:rsid w:val="005D5245"/>
    <w:rsid w:val="005D5EA7"/>
    <w:rsid w:val="005D74D8"/>
    <w:rsid w:val="005D7DCD"/>
    <w:rsid w:val="005D7DDC"/>
    <w:rsid w:val="005E17CF"/>
    <w:rsid w:val="005E1809"/>
    <w:rsid w:val="005E204B"/>
    <w:rsid w:val="005E3275"/>
    <w:rsid w:val="005E5EE9"/>
    <w:rsid w:val="005F1D27"/>
    <w:rsid w:val="005F231D"/>
    <w:rsid w:val="005F2890"/>
    <w:rsid w:val="005F2F88"/>
    <w:rsid w:val="005F3EF8"/>
    <w:rsid w:val="005F44B7"/>
    <w:rsid w:val="005F481F"/>
    <w:rsid w:val="005F53E6"/>
    <w:rsid w:val="005F6B05"/>
    <w:rsid w:val="005F6C8A"/>
    <w:rsid w:val="005F75A7"/>
    <w:rsid w:val="005F7B62"/>
    <w:rsid w:val="006001E4"/>
    <w:rsid w:val="00602FBF"/>
    <w:rsid w:val="00603898"/>
    <w:rsid w:val="00604105"/>
    <w:rsid w:val="006053F7"/>
    <w:rsid w:val="00607CC4"/>
    <w:rsid w:val="006100D2"/>
    <w:rsid w:val="00610A28"/>
    <w:rsid w:val="006127A4"/>
    <w:rsid w:val="006128D0"/>
    <w:rsid w:val="00613F99"/>
    <w:rsid w:val="00615673"/>
    <w:rsid w:val="00615972"/>
    <w:rsid w:val="0061687E"/>
    <w:rsid w:val="006169CB"/>
    <w:rsid w:val="0062063C"/>
    <w:rsid w:val="00621153"/>
    <w:rsid w:val="00621CB7"/>
    <w:rsid w:val="00622D8A"/>
    <w:rsid w:val="0062323D"/>
    <w:rsid w:val="00623C55"/>
    <w:rsid w:val="00625812"/>
    <w:rsid w:val="006265ED"/>
    <w:rsid w:val="00630220"/>
    <w:rsid w:val="006310EB"/>
    <w:rsid w:val="006313F3"/>
    <w:rsid w:val="006348BB"/>
    <w:rsid w:val="00635519"/>
    <w:rsid w:val="006363EF"/>
    <w:rsid w:val="00636416"/>
    <w:rsid w:val="006374BD"/>
    <w:rsid w:val="00640DBC"/>
    <w:rsid w:val="00643590"/>
    <w:rsid w:val="00646433"/>
    <w:rsid w:val="00651D62"/>
    <w:rsid w:val="006522FC"/>
    <w:rsid w:val="00652944"/>
    <w:rsid w:val="00654283"/>
    <w:rsid w:val="0065547E"/>
    <w:rsid w:val="00655BCB"/>
    <w:rsid w:val="00657BB4"/>
    <w:rsid w:val="006601C3"/>
    <w:rsid w:val="006622D5"/>
    <w:rsid w:val="0066267A"/>
    <w:rsid w:val="0066447A"/>
    <w:rsid w:val="00666353"/>
    <w:rsid w:val="00670C2C"/>
    <w:rsid w:val="0067387D"/>
    <w:rsid w:val="00676091"/>
    <w:rsid w:val="00676258"/>
    <w:rsid w:val="0068003D"/>
    <w:rsid w:val="00681585"/>
    <w:rsid w:val="00681F9A"/>
    <w:rsid w:val="006828F8"/>
    <w:rsid w:val="006835DD"/>
    <w:rsid w:val="00683C55"/>
    <w:rsid w:val="00684B8B"/>
    <w:rsid w:val="006856CA"/>
    <w:rsid w:val="00687BD4"/>
    <w:rsid w:val="00691241"/>
    <w:rsid w:val="006927BE"/>
    <w:rsid w:val="00694196"/>
    <w:rsid w:val="00695292"/>
    <w:rsid w:val="006952B2"/>
    <w:rsid w:val="00695650"/>
    <w:rsid w:val="00695F25"/>
    <w:rsid w:val="00696442"/>
    <w:rsid w:val="00696C05"/>
    <w:rsid w:val="006A0129"/>
    <w:rsid w:val="006A162E"/>
    <w:rsid w:val="006A2E08"/>
    <w:rsid w:val="006A49A6"/>
    <w:rsid w:val="006A4A82"/>
    <w:rsid w:val="006B4415"/>
    <w:rsid w:val="006B7965"/>
    <w:rsid w:val="006C1A41"/>
    <w:rsid w:val="006C1A8D"/>
    <w:rsid w:val="006C1AE5"/>
    <w:rsid w:val="006C3C17"/>
    <w:rsid w:val="006C690E"/>
    <w:rsid w:val="006C76FE"/>
    <w:rsid w:val="006D19EA"/>
    <w:rsid w:val="006D2F8B"/>
    <w:rsid w:val="006D3182"/>
    <w:rsid w:val="006D5A39"/>
    <w:rsid w:val="006D6A33"/>
    <w:rsid w:val="006E0743"/>
    <w:rsid w:val="006E10CA"/>
    <w:rsid w:val="006E34EA"/>
    <w:rsid w:val="006E3D89"/>
    <w:rsid w:val="006E657A"/>
    <w:rsid w:val="006E6711"/>
    <w:rsid w:val="006F0C90"/>
    <w:rsid w:val="006F1628"/>
    <w:rsid w:val="006F625E"/>
    <w:rsid w:val="007046FB"/>
    <w:rsid w:val="00704D13"/>
    <w:rsid w:val="007054B1"/>
    <w:rsid w:val="007079A6"/>
    <w:rsid w:val="00707BC9"/>
    <w:rsid w:val="00707F41"/>
    <w:rsid w:val="00711A7B"/>
    <w:rsid w:val="007142FD"/>
    <w:rsid w:val="0071636D"/>
    <w:rsid w:val="007163D5"/>
    <w:rsid w:val="007166B0"/>
    <w:rsid w:val="00717972"/>
    <w:rsid w:val="00720481"/>
    <w:rsid w:val="00721574"/>
    <w:rsid w:val="0072234C"/>
    <w:rsid w:val="00724530"/>
    <w:rsid w:val="00727097"/>
    <w:rsid w:val="00727976"/>
    <w:rsid w:val="00730E3D"/>
    <w:rsid w:val="00733221"/>
    <w:rsid w:val="0073377D"/>
    <w:rsid w:val="00734C28"/>
    <w:rsid w:val="00737852"/>
    <w:rsid w:val="00737CB9"/>
    <w:rsid w:val="007406FD"/>
    <w:rsid w:val="00745A9A"/>
    <w:rsid w:val="00746921"/>
    <w:rsid w:val="007475D6"/>
    <w:rsid w:val="00750C8D"/>
    <w:rsid w:val="007518A3"/>
    <w:rsid w:val="00752101"/>
    <w:rsid w:val="00752ED9"/>
    <w:rsid w:val="007532DD"/>
    <w:rsid w:val="00755548"/>
    <w:rsid w:val="00755867"/>
    <w:rsid w:val="007558FE"/>
    <w:rsid w:val="00756394"/>
    <w:rsid w:val="00756542"/>
    <w:rsid w:val="00757C10"/>
    <w:rsid w:val="00760693"/>
    <w:rsid w:val="00762896"/>
    <w:rsid w:val="00762B4A"/>
    <w:rsid w:val="007637B3"/>
    <w:rsid w:val="0076545F"/>
    <w:rsid w:val="00765989"/>
    <w:rsid w:val="00767E6E"/>
    <w:rsid w:val="00770ADA"/>
    <w:rsid w:val="0077301F"/>
    <w:rsid w:val="007735FA"/>
    <w:rsid w:val="00773C03"/>
    <w:rsid w:val="00774C34"/>
    <w:rsid w:val="007750A3"/>
    <w:rsid w:val="00776A3F"/>
    <w:rsid w:val="00776BE2"/>
    <w:rsid w:val="007770D0"/>
    <w:rsid w:val="00780099"/>
    <w:rsid w:val="007802E6"/>
    <w:rsid w:val="007818B5"/>
    <w:rsid w:val="0078202F"/>
    <w:rsid w:val="007836C2"/>
    <w:rsid w:val="00787981"/>
    <w:rsid w:val="00790071"/>
    <w:rsid w:val="00791B02"/>
    <w:rsid w:val="0079306F"/>
    <w:rsid w:val="00793546"/>
    <w:rsid w:val="00793FEA"/>
    <w:rsid w:val="00794807"/>
    <w:rsid w:val="0079575B"/>
    <w:rsid w:val="0079733D"/>
    <w:rsid w:val="007A2349"/>
    <w:rsid w:val="007A2FB7"/>
    <w:rsid w:val="007A4178"/>
    <w:rsid w:val="007A5050"/>
    <w:rsid w:val="007A59AA"/>
    <w:rsid w:val="007A602D"/>
    <w:rsid w:val="007A6BBA"/>
    <w:rsid w:val="007A7CC7"/>
    <w:rsid w:val="007B0CF6"/>
    <w:rsid w:val="007B0D3F"/>
    <w:rsid w:val="007B1185"/>
    <w:rsid w:val="007B2519"/>
    <w:rsid w:val="007B36A8"/>
    <w:rsid w:val="007B3A10"/>
    <w:rsid w:val="007B4FF9"/>
    <w:rsid w:val="007C04A2"/>
    <w:rsid w:val="007C1104"/>
    <w:rsid w:val="007C15DE"/>
    <w:rsid w:val="007C4685"/>
    <w:rsid w:val="007C4D66"/>
    <w:rsid w:val="007C51BD"/>
    <w:rsid w:val="007C58C6"/>
    <w:rsid w:val="007C5D1D"/>
    <w:rsid w:val="007C790B"/>
    <w:rsid w:val="007D18B5"/>
    <w:rsid w:val="007D1C33"/>
    <w:rsid w:val="007D2E1E"/>
    <w:rsid w:val="007D4CD4"/>
    <w:rsid w:val="007D51EC"/>
    <w:rsid w:val="007D5490"/>
    <w:rsid w:val="007D56FB"/>
    <w:rsid w:val="007D725E"/>
    <w:rsid w:val="007D7E23"/>
    <w:rsid w:val="007E3885"/>
    <w:rsid w:val="007E53F4"/>
    <w:rsid w:val="007E7832"/>
    <w:rsid w:val="007F1FD2"/>
    <w:rsid w:val="007F493B"/>
    <w:rsid w:val="007F5670"/>
    <w:rsid w:val="007F5AF4"/>
    <w:rsid w:val="007F671C"/>
    <w:rsid w:val="00800546"/>
    <w:rsid w:val="0080111A"/>
    <w:rsid w:val="00801E5F"/>
    <w:rsid w:val="008023EE"/>
    <w:rsid w:val="00802446"/>
    <w:rsid w:val="0080328C"/>
    <w:rsid w:val="00803F48"/>
    <w:rsid w:val="00804520"/>
    <w:rsid w:val="00804F0D"/>
    <w:rsid w:val="00805A64"/>
    <w:rsid w:val="00805E5B"/>
    <w:rsid w:val="00805F2A"/>
    <w:rsid w:val="00807728"/>
    <w:rsid w:val="008117F7"/>
    <w:rsid w:val="00813FCD"/>
    <w:rsid w:val="00815C12"/>
    <w:rsid w:val="00816FCD"/>
    <w:rsid w:val="008206F4"/>
    <w:rsid w:val="0082290A"/>
    <w:rsid w:val="008246D8"/>
    <w:rsid w:val="00825BFE"/>
    <w:rsid w:val="00826A24"/>
    <w:rsid w:val="0083161F"/>
    <w:rsid w:val="008354DA"/>
    <w:rsid w:val="008374A5"/>
    <w:rsid w:val="00837F59"/>
    <w:rsid w:val="008419D4"/>
    <w:rsid w:val="00846176"/>
    <w:rsid w:val="00846959"/>
    <w:rsid w:val="00846D58"/>
    <w:rsid w:val="00847112"/>
    <w:rsid w:val="00850A76"/>
    <w:rsid w:val="008518E9"/>
    <w:rsid w:val="00851F77"/>
    <w:rsid w:val="00853CF1"/>
    <w:rsid w:val="00853F90"/>
    <w:rsid w:val="00854287"/>
    <w:rsid w:val="00854CD7"/>
    <w:rsid w:val="008560DC"/>
    <w:rsid w:val="0085675E"/>
    <w:rsid w:val="008608CE"/>
    <w:rsid w:val="00863FA0"/>
    <w:rsid w:val="008642AD"/>
    <w:rsid w:val="00864767"/>
    <w:rsid w:val="008658C1"/>
    <w:rsid w:val="00871420"/>
    <w:rsid w:val="0087284F"/>
    <w:rsid w:val="00873B39"/>
    <w:rsid w:val="00874F0A"/>
    <w:rsid w:val="0087537F"/>
    <w:rsid w:val="00875790"/>
    <w:rsid w:val="0088274C"/>
    <w:rsid w:val="0088553F"/>
    <w:rsid w:val="0088566E"/>
    <w:rsid w:val="00887AE8"/>
    <w:rsid w:val="00890A44"/>
    <w:rsid w:val="008952B1"/>
    <w:rsid w:val="00895D42"/>
    <w:rsid w:val="008A092E"/>
    <w:rsid w:val="008A0A21"/>
    <w:rsid w:val="008A0A2B"/>
    <w:rsid w:val="008A1271"/>
    <w:rsid w:val="008A139B"/>
    <w:rsid w:val="008A19CC"/>
    <w:rsid w:val="008A34A5"/>
    <w:rsid w:val="008A65A0"/>
    <w:rsid w:val="008B0AE4"/>
    <w:rsid w:val="008B386D"/>
    <w:rsid w:val="008B419D"/>
    <w:rsid w:val="008B49BE"/>
    <w:rsid w:val="008B5E1A"/>
    <w:rsid w:val="008C01CC"/>
    <w:rsid w:val="008C0841"/>
    <w:rsid w:val="008C320E"/>
    <w:rsid w:val="008C39B7"/>
    <w:rsid w:val="008C41BA"/>
    <w:rsid w:val="008C4745"/>
    <w:rsid w:val="008C4853"/>
    <w:rsid w:val="008C6CE3"/>
    <w:rsid w:val="008C70A4"/>
    <w:rsid w:val="008D61F0"/>
    <w:rsid w:val="008D6230"/>
    <w:rsid w:val="008E0BC0"/>
    <w:rsid w:val="008E0D93"/>
    <w:rsid w:val="008E1730"/>
    <w:rsid w:val="008E396D"/>
    <w:rsid w:val="008E5D9B"/>
    <w:rsid w:val="008E6BBD"/>
    <w:rsid w:val="008F1A37"/>
    <w:rsid w:val="008F1C7A"/>
    <w:rsid w:val="008F451C"/>
    <w:rsid w:val="008F68A8"/>
    <w:rsid w:val="009002D9"/>
    <w:rsid w:val="0090030F"/>
    <w:rsid w:val="00901117"/>
    <w:rsid w:val="00901F02"/>
    <w:rsid w:val="00901FAF"/>
    <w:rsid w:val="00903821"/>
    <w:rsid w:val="00903E8B"/>
    <w:rsid w:val="00904039"/>
    <w:rsid w:val="00906B23"/>
    <w:rsid w:val="009076DA"/>
    <w:rsid w:val="00907A72"/>
    <w:rsid w:val="00907FC8"/>
    <w:rsid w:val="00912121"/>
    <w:rsid w:val="00912206"/>
    <w:rsid w:val="00912500"/>
    <w:rsid w:val="009130B6"/>
    <w:rsid w:val="009137DE"/>
    <w:rsid w:val="0091551B"/>
    <w:rsid w:val="0091583A"/>
    <w:rsid w:val="00915DBE"/>
    <w:rsid w:val="00916271"/>
    <w:rsid w:val="00921ECE"/>
    <w:rsid w:val="00922188"/>
    <w:rsid w:val="00923524"/>
    <w:rsid w:val="00924DE2"/>
    <w:rsid w:val="00925B65"/>
    <w:rsid w:val="0092697C"/>
    <w:rsid w:val="00927437"/>
    <w:rsid w:val="00927CEA"/>
    <w:rsid w:val="0093183D"/>
    <w:rsid w:val="009324BB"/>
    <w:rsid w:val="0093345B"/>
    <w:rsid w:val="009365FC"/>
    <w:rsid w:val="009373A8"/>
    <w:rsid w:val="0094046D"/>
    <w:rsid w:val="009404DF"/>
    <w:rsid w:val="009425C8"/>
    <w:rsid w:val="009457D8"/>
    <w:rsid w:val="00951493"/>
    <w:rsid w:val="009517BB"/>
    <w:rsid w:val="00953B67"/>
    <w:rsid w:val="009552B5"/>
    <w:rsid w:val="00955DCE"/>
    <w:rsid w:val="00957384"/>
    <w:rsid w:val="009573D8"/>
    <w:rsid w:val="00957E28"/>
    <w:rsid w:val="00961749"/>
    <w:rsid w:val="00962015"/>
    <w:rsid w:val="00973168"/>
    <w:rsid w:val="00974DF1"/>
    <w:rsid w:val="009818AD"/>
    <w:rsid w:val="00981B72"/>
    <w:rsid w:val="009845EA"/>
    <w:rsid w:val="00984CC4"/>
    <w:rsid w:val="00986494"/>
    <w:rsid w:val="00990067"/>
    <w:rsid w:val="0099202B"/>
    <w:rsid w:val="00992DE9"/>
    <w:rsid w:val="009941A7"/>
    <w:rsid w:val="00994284"/>
    <w:rsid w:val="009A3960"/>
    <w:rsid w:val="009A3A59"/>
    <w:rsid w:val="009A45A8"/>
    <w:rsid w:val="009B13B5"/>
    <w:rsid w:val="009B2101"/>
    <w:rsid w:val="009B3489"/>
    <w:rsid w:val="009B55B3"/>
    <w:rsid w:val="009B620F"/>
    <w:rsid w:val="009B6850"/>
    <w:rsid w:val="009B6E58"/>
    <w:rsid w:val="009B6E7D"/>
    <w:rsid w:val="009B73FD"/>
    <w:rsid w:val="009B7A8F"/>
    <w:rsid w:val="009C0EA9"/>
    <w:rsid w:val="009C3F3C"/>
    <w:rsid w:val="009C56AE"/>
    <w:rsid w:val="009C5841"/>
    <w:rsid w:val="009C6617"/>
    <w:rsid w:val="009C7D1E"/>
    <w:rsid w:val="009D127F"/>
    <w:rsid w:val="009D4A4F"/>
    <w:rsid w:val="009D56DA"/>
    <w:rsid w:val="009E3F57"/>
    <w:rsid w:val="009E4836"/>
    <w:rsid w:val="009E4BDC"/>
    <w:rsid w:val="009E7F2B"/>
    <w:rsid w:val="009F1690"/>
    <w:rsid w:val="009F1EAD"/>
    <w:rsid w:val="009F37F6"/>
    <w:rsid w:val="009F425E"/>
    <w:rsid w:val="009F64A7"/>
    <w:rsid w:val="009F6559"/>
    <w:rsid w:val="009F734C"/>
    <w:rsid w:val="00A02076"/>
    <w:rsid w:val="00A023C8"/>
    <w:rsid w:val="00A02514"/>
    <w:rsid w:val="00A0420D"/>
    <w:rsid w:val="00A04629"/>
    <w:rsid w:val="00A05D8A"/>
    <w:rsid w:val="00A07C88"/>
    <w:rsid w:val="00A117BD"/>
    <w:rsid w:val="00A11CFA"/>
    <w:rsid w:val="00A1241B"/>
    <w:rsid w:val="00A12961"/>
    <w:rsid w:val="00A12CA4"/>
    <w:rsid w:val="00A138AE"/>
    <w:rsid w:val="00A13C40"/>
    <w:rsid w:val="00A142C3"/>
    <w:rsid w:val="00A14CD2"/>
    <w:rsid w:val="00A16817"/>
    <w:rsid w:val="00A21D38"/>
    <w:rsid w:val="00A225E2"/>
    <w:rsid w:val="00A22B96"/>
    <w:rsid w:val="00A24EC8"/>
    <w:rsid w:val="00A27D0B"/>
    <w:rsid w:val="00A31012"/>
    <w:rsid w:val="00A33FDF"/>
    <w:rsid w:val="00A34E30"/>
    <w:rsid w:val="00A3582D"/>
    <w:rsid w:val="00A35A46"/>
    <w:rsid w:val="00A35CCD"/>
    <w:rsid w:val="00A37807"/>
    <w:rsid w:val="00A37EDB"/>
    <w:rsid w:val="00A4051A"/>
    <w:rsid w:val="00A42E4E"/>
    <w:rsid w:val="00A45060"/>
    <w:rsid w:val="00A456B5"/>
    <w:rsid w:val="00A45F5F"/>
    <w:rsid w:val="00A46AE6"/>
    <w:rsid w:val="00A4765F"/>
    <w:rsid w:val="00A47FE7"/>
    <w:rsid w:val="00A51CC8"/>
    <w:rsid w:val="00A55E24"/>
    <w:rsid w:val="00A562C1"/>
    <w:rsid w:val="00A576CB"/>
    <w:rsid w:val="00A617AF"/>
    <w:rsid w:val="00A61B65"/>
    <w:rsid w:val="00A62967"/>
    <w:rsid w:val="00A638A7"/>
    <w:rsid w:val="00A63947"/>
    <w:rsid w:val="00A6462A"/>
    <w:rsid w:val="00A64861"/>
    <w:rsid w:val="00A65855"/>
    <w:rsid w:val="00A658A4"/>
    <w:rsid w:val="00A65F03"/>
    <w:rsid w:val="00A663C7"/>
    <w:rsid w:val="00A666B1"/>
    <w:rsid w:val="00A71C4A"/>
    <w:rsid w:val="00A723DE"/>
    <w:rsid w:val="00A72E9B"/>
    <w:rsid w:val="00A757EB"/>
    <w:rsid w:val="00A759C2"/>
    <w:rsid w:val="00A76022"/>
    <w:rsid w:val="00A85C54"/>
    <w:rsid w:val="00A87139"/>
    <w:rsid w:val="00A90A7A"/>
    <w:rsid w:val="00A91E23"/>
    <w:rsid w:val="00A92724"/>
    <w:rsid w:val="00A927F9"/>
    <w:rsid w:val="00A92C8F"/>
    <w:rsid w:val="00A92F8C"/>
    <w:rsid w:val="00A95E23"/>
    <w:rsid w:val="00A97042"/>
    <w:rsid w:val="00AA2F00"/>
    <w:rsid w:val="00AA3273"/>
    <w:rsid w:val="00AA3D6A"/>
    <w:rsid w:val="00AA4349"/>
    <w:rsid w:val="00AA5266"/>
    <w:rsid w:val="00AA5C73"/>
    <w:rsid w:val="00AA686D"/>
    <w:rsid w:val="00AB28AC"/>
    <w:rsid w:val="00AB4015"/>
    <w:rsid w:val="00AB422A"/>
    <w:rsid w:val="00AC13BE"/>
    <w:rsid w:val="00AC2F87"/>
    <w:rsid w:val="00AC314D"/>
    <w:rsid w:val="00AD0DCD"/>
    <w:rsid w:val="00AD167E"/>
    <w:rsid w:val="00AD5B97"/>
    <w:rsid w:val="00AD6D51"/>
    <w:rsid w:val="00AE02EE"/>
    <w:rsid w:val="00AE28C9"/>
    <w:rsid w:val="00AE4AC6"/>
    <w:rsid w:val="00AE506F"/>
    <w:rsid w:val="00AE5141"/>
    <w:rsid w:val="00AE7119"/>
    <w:rsid w:val="00AF0435"/>
    <w:rsid w:val="00AF368A"/>
    <w:rsid w:val="00AF4012"/>
    <w:rsid w:val="00AF46B2"/>
    <w:rsid w:val="00AF55B6"/>
    <w:rsid w:val="00AF5602"/>
    <w:rsid w:val="00AF5768"/>
    <w:rsid w:val="00B02A5A"/>
    <w:rsid w:val="00B10C19"/>
    <w:rsid w:val="00B16A84"/>
    <w:rsid w:val="00B16E4B"/>
    <w:rsid w:val="00B1770A"/>
    <w:rsid w:val="00B27A1F"/>
    <w:rsid w:val="00B31898"/>
    <w:rsid w:val="00B32265"/>
    <w:rsid w:val="00B3614C"/>
    <w:rsid w:val="00B37238"/>
    <w:rsid w:val="00B378C5"/>
    <w:rsid w:val="00B4035F"/>
    <w:rsid w:val="00B40FE4"/>
    <w:rsid w:val="00B447F2"/>
    <w:rsid w:val="00B44D86"/>
    <w:rsid w:val="00B47B47"/>
    <w:rsid w:val="00B51149"/>
    <w:rsid w:val="00B52D3C"/>
    <w:rsid w:val="00B54004"/>
    <w:rsid w:val="00B54646"/>
    <w:rsid w:val="00B55E93"/>
    <w:rsid w:val="00B62626"/>
    <w:rsid w:val="00B6394D"/>
    <w:rsid w:val="00B71C81"/>
    <w:rsid w:val="00B72B8D"/>
    <w:rsid w:val="00B72DAA"/>
    <w:rsid w:val="00B747A6"/>
    <w:rsid w:val="00B82FA4"/>
    <w:rsid w:val="00B8541F"/>
    <w:rsid w:val="00B86F8C"/>
    <w:rsid w:val="00B87258"/>
    <w:rsid w:val="00B8751A"/>
    <w:rsid w:val="00B90035"/>
    <w:rsid w:val="00B905F1"/>
    <w:rsid w:val="00B9416D"/>
    <w:rsid w:val="00B9542F"/>
    <w:rsid w:val="00B96475"/>
    <w:rsid w:val="00BA311B"/>
    <w:rsid w:val="00BA3A97"/>
    <w:rsid w:val="00BA5121"/>
    <w:rsid w:val="00BA62AC"/>
    <w:rsid w:val="00BB182D"/>
    <w:rsid w:val="00BB216D"/>
    <w:rsid w:val="00BB2F6A"/>
    <w:rsid w:val="00BB2FA9"/>
    <w:rsid w:val="00BB396C"/>
    <w:rsid w:val="00BB40A6"/>
    <w:rsid w:val="00BB4804"/>
    <w:rsid w:val="00BB4F18"/>
    <w:rsid w:val="00BB54B7"/>
    <w:rsid w:val="00BB62A8"/>
    <w:rsid w:val="00BC05AC"/>
    <w:rsid w:val="00BC3993"/>
    <w:rsid w:val="00BC424D"/>
    <w:rsid w:val="00BD4AAD"/>
    <w:rsid w:val="00BD7444"/>
    <w:rsid w:val="00BE08D4"/>
    <w:rsid w:val="00BE1AF5"/>
    <w:rsid w:val="00BE1B6D"/>
    <w:rsid w:val="00BE4184"/>
    <w:rsid w:val="00BE469F"/>
    <w:rsid w:val="00BE58A0"/>
    <w:rsid w:val="00BE5A21"/>
    <w:rsid w:val="00BE746B"/>
    <w:rsid w:val="00BE7DEE"/>
    <w:rsid w:val="00BF02E1"/>
    <w:rsid w:val="00BF1929"/>
    <w:rsid w:val="00BF3DD0"/>
    <w:rsid w:val="00BF4B68"/>
    <w:rsid w:val="00BF5C31"/>
    <w:rsid w:val="00BF696E"/>
    <w:rsid w:val="00BF6FFF"/>
    <w:rsid w:val="00C00DB6"/>
    <w:rsid w:val="00C014E8"/>
    <w:rsid w:val="00C01E63"/>
    <w:rsid w:val="00C02CA6"/>
    <w:rsid w:val="00C03421"/>
    <w:rsid w:val="00C036DA"/>
    <w:rsid w:val="00C039E0"/>
    <w:rsid w:val="00C042B1"/>
    <w:rsid w:val="00C0542E"/>
    <w:rsid w:val="00C05CD7"/>
    <w:rsid w:val="00C06218"/>
    <w:rsid w:val="00C07E75"/>
    <w:rsid w:val="00C07EC6"/>
    <w:rsid w:val="00C118F5"/>
    <w:rsid w:val="00C136DD"/>
    <w:rsid w:val="00C154D8"/>
    <w:rsid w:val="00C23D63"/>
    <w:rsid w:val="00C26BCF"/>
    <w:rsid w:val="00C276E8"/>
    <w:rsid w:val="00C30B74"/>
    <w:rsid w:val="00C33F3A"/>
    <w:rsid w:val="00C34B52"/>
    <w:rsid w:val="00C34CD7"/>
    <w:rsid w:val="00C36413"/>
    <w:rsid w:val="00C3681E"/>
    <w:rsid w:val="00C42F86"/>
    <w:rsid w:val="00C43C5D"/>
    <w:rsid w:val="00C47A4A"/>
    <w:rsid w:val="00C51156"/>
    <w:rsid w:val="00C5152D"/>
    <w:rsid w:val="00C5198C"/>
    <w:rsid w:val="00C53AD3"/>
    <w:rsid w:val="00C56D87"/>
    <w:rsid w:val="00C574D8"/>
    <w:rsid w:val="00C607F8"/>
    <w:rsid w:val="00C6551F"/>
    <w:rsid w:val="00C65DAC"/>
    <w:rsid w:val="00C664AD"/>
    <w:rsid w:val="00C7192B"/>
    <w:rsid w:val="00C72DDD"/>
    <w:rsid w:val="00C7457C"/>
    <w:rsid w:val="00C74E9D"/>
    <w:rsid w:val="00C74EC8"/>
    <w:rsid w:val="00C760F3"/>
    <w:rsid w:val="00C76823"/>
    <w:rsid w:val="00C82523"/>
    <w:rsid w:val="00C83214"/>
    <w:rsid w:val="00C83D1A"/>
    <w:rsid w:val="00C927F1"/>
    <w:rsid w:val="00C930AB"/>
    <w:rsid w:val="00C93BE5"/>
    <w:rsid w:val="00C947C9"/>
    <w:rsid w:val="00C95856"/>
    <w:rsid w:val="00C96128"/>
    <w:rsid w:val="00C97E67"/>
    <w:rsid w:val="00CA0552"/>
    <w:rsid w:val="00CA36CB"/>
    <w:rsid w:val="00CA3E1D"/>
    <w:rsid w:val="00CA508A"/>
    <w:rsid w:val="00CA5817"/>
    <w:rsid w:val="00CA613C"/>
    <w:rsid w:val="00CB00A4"/>
    <w:rsid w:val="00CB1189"/>
    <w:rsid w:val="00CB1649"/>
    <w:rsid w:val="00CB29D5"/>
    <w:rsid w:val="00CB46B3"/>
    <w:rsid w:val="00CB7073"/>
    <w:rsid w:val="00CB7B2E"/>
    <w:rsid w:val="00CC0B70"/>
    <w:rsid w:val="00CC1E85"/>
    <w:rsid w:val="00CC30F7"/>
    <w:rsid w:val="00CC3211"/>
    <w:rsid w:val="00CC38C8"/>
    <w:rsid w:val="00CD01D3"/>
    <w:rsid w:val="00CD5961"/>
    <w:rsid w:val="00CD74A6"/>
    <w:rsid w:val="00CD79A1"/>
    <w:rsid w:val="00CE4DC8"/>
    <w:rsid w:val="00CE6308"/>
    <w:rsid w:val="00CE7975"/>
    <w:rsid w:val="00CF0E93"/>
    <w:rsid w:val="00CF23C5"/>
    <w:rsid w:val="00CF6073"/>
    <w:rsid w:val="00CF6327"/>
    <w:rsid w:val="00CF7303"/>
    <w:rsid w:val="00CF7979"/>
    <w:rsid w:val="00CF7C03"/>
    <w:rsid w:val="00D03DC4"/>
    <w:rsid w:val="00D04BD2"/>
    <w:rsid w:val="00D05DD5"/>
    <w:rsid w:val="00D06304"/>
    <w:rsid w:val="00D07E2D"/>
    <w:rsid w:val="00D1130B"/>
    <w:rsid w:val="00D11A9A"/>
    <w:rsid w:val="00D158FC"/>
    <w:rsid w:val="00D15FCF"/>
    <w:rsid w:val="00D20CCC"/>
    <w:rsid w:val="00D21B02"/>
    <w:rsid w:val="00D22467"/>
    <w:rsid w:val="00D24653"/>
    <w:rsid w:val="00D25CE8"/>
    <w:rsid w:val="00D25D06"/>
    <w:rsid w:val="00D276B3"/>
    <w:rsid w:val="00D30254"/>
    <w:rsid w:val="00D316B7"/>
    <w:rsid w:val="00D33A34"/>
    <w:rsid w:val="00D34227"/>
    <w:rsid w:val="00D35428"/>
    <w:rsid w:val="00D3620C"/>
    <w:rsid w:val="00D3705F"/>
    <w:rsid w:val="00D40802"/>
    <w:rsid w:val="00D40A62"/>
    <w:rsid w:val="00D427F0"/>
    <w:rsid w:val="00D44680"/>
    <w:rsid w:val="00D45A2F"/>
    <w:rsid w:val="00D516FB"/>
    <w:rsid w:val="00D51D5E"/>
    <w:rsid w:val="00D54D84"/>
    <w:rsid w:val="00D5544D"/>
    <w:rsid w:val="00D55503"/>
    <w:rsid w:val="00D612F1"/>
    <w:rsid w:val="00D6249A"/>
    <w:rsid w:val="00D66EB9"/>
    <w:rsid w:val="00D670C6"/>
    <w:rsid w:val="00D70763"/>
    <w:rsid w:val="00D71277"/>
    <w:rsid w:val="00D71555"/>
    <w:rsid w:val="00D72155"/>
    <w:rsid w:val="00D74D94"/>
    <w:rsid w:val="00D775EE"/>
    <w:rsid w:val="00D81150"/>
    <w:rsid w:val="00D82D69"/>
    <w:rsid w:val="00D82E2D"/>
    <w:rsid w:val="00D832E5"/>
    <w:rsid w:val="00D858B6"/>
    <w:rsid w:val="00D85C50"/>
    <w:rsid w:val="00D85E10"/>
    <w:rsid w:val="00D85E81"/>
    <w:rsid w:val="00D9557F"/>
    <w:rsid w:val="00D972C4"/>
    <w:rsid w:val="00D9750B"/>
    <w:rsid w:val="00D97610"/>
    <w:rsid w:val="00D9781A"/>
    <w:rsid w:val="00DA174B"/>
    <w:rsid w:val="00DA2776"/>
    <w:rsid w:val="00DA2F12"/>
    <w:rsid w:val="00DA2FDA"/>
    <w:rsid w:val="00DB0259"/>
    <w:rsid w:val="00DB0529"/>
    <w:rsid w:val="00DB193C"/>
    <w:rsid w:val="00DB1F40"/>
    <w:rsid w:val="00DB3488"/>
    <w:rsid w:val="00DB4111"/>
    <w:rsid w:val="00DB45E4"/>
    <w:rsid w:val="00DB561B"/>
    <w:rsid w:val="00DB7DFD"/>
    <w:rsid w:val="00DC7B32"/>
    <w:rsid w:val="00DD0136"/>
    <w:rsid w:val="00DD01CE"/>
    <w:rsid w:val="00DD2C52"/>
    <w:rsid w:val="00DD42B6"/>
    <w:rsid w:val="00DD4F14"/>
    <w:rsid w:val="00DD53BA"/>
    <w:rsid w:val="00DD7223"/>
    <w:rsid w:val="00DD7362"/>
    <w:rsid w:val="00DD788B"/>
    <w:rsid w:val="00DE0C89"/>
    <w:rsid w:val="00DE10E7"/>
    <w:rsid w:val="00DE1A90"/>
    <w:rsid w:val="00DE217A"/>
    <w:rsid w:val="00DE253F"/>
    <w:rsid w:val="00DE4E8F"/>
    <w:rsid w:val="00DE7445"/>
    <w:rsid w:val="00DF04EE"/>
    <w:rsid w:val="00DF1115"/>
    <w:rsid w:val="00DF1EA8"/>
    <w:rsid w:val="00DF2C6B"/>
    <w:rsid w:val="00DF2CAC"/>
    <w:rsid w:val="00DF75D3"/>
    <w:rsid w:val="00E02D5E"/>
    <w:rsid w:val="00E04C70"/>
    <w:rsid w:val="00E0567F"/>
    <w:rsid w:val="00E0626B"/>
    <w:rsid w:val="00E1182F"/>
    <w:rsid w:val="00E126A3"/>
    <w:rsid w:val="00E155BD"/>
    <w:rsid w:val="00E16F4C"/>
    <w:rsid w:val="00E16FEB"/>
    <w:rsid w:val="00E1736F"/>
    <w:rsid w:val="00E2070D"/>
    <w:rsid w:val="00E213B8"/>
    <w:rsid w:val="00E23758"/>
    <w:rsid w:val="00E238A1"/>
    <w:rsid w:val="00E2602A"/>
    <w:rsid w:val="00E26BB6"/>
    <w:rsid w:val="00E30FF0"/>
    <w:rsid w:val="00E31154"/>
    <w:rsid w:val="00E32733"/>
    <w:rsid w:val="00E32F65"/>
    <w:rsid w:val="00E36B48"/>
    <w:rsid w:val="00E40A60"/>
    <w:rsid w:val="00E430E9"/>
    <w:rsid w:val="00E4325F"/>
    <w:rsid w:val="00E47CCC"/>
    <w:rsid w:val="00E50E2C"/>
    <w:rsid w:val="00E51C43"/>
    <w:rsid w:val="00E52ABE"/>
    <w:rsid w:val="00E60088"/>
    <w:rsid w:val="00E64072"/>
    <w:rsid w:val="00E64A44"/>
    <w:rsid w:val="00E6627D"/>
    <w:rsid w:val="00E6741F"/>
    <w:rsid w:val="00E67A1A"/>
    <w:rsid w:val="00E771F3"/>
    <w:rsid w:val="00E779E7"/>
    <w:rsid w:val="00E77B17"/>
    <w:rsid w:val="00E81313"/>
    <w:rsid w:val="00E81B31"/>
    <w:rsid w:val="00E832A8"/>
    <w:rsid w:val="00E873D1"/>
    <w:rsid w:val="00E87C36"/>
    <w:rsid w:val="00E900C5"/>
    <w:rsid w:val="00E90A01"/>
    <w:rsid w:val="00E90ACF"/>
    <w:rsid w:val="00E948E6"/>
    <w:rsid w:val="00E9666A"/>
    <w:rsid w:val="00E97135"/>
    <w:rsid w:val="00EA1C86"/>
    <w:rsid w:val="00EA2CB4"/>
    <w:rsid w:val="00EA54FD"/>
    <w:rsid w:val="00EB01B2"/>
    <w:rsid w:val="00EB01FB"/>
    <w:rsid w:val="00EB0261"/>
    <w:rsid w:val="00EB1BD6"/>
    <w:rsid w:val="00EB4776"/>
    <w:rsid w:val="00EB4C40"/>
    <w:rsid w:val="00EB74BB"/>
    <w:rsid w:val="00EC16B4"/>
    <w:rsid w:val="00EC1E28"/>
    <w:rsid w:val="00EC2415"/>
    <w:rsid w:val="00EC34E7"/>
    <w:rsid w:val="00EC42BD"/>
    <w:rsid w:val="00EC5ED0"/>
    <w:rsid w:val="00EC63AE"/>
    <w:rsid w:val="00EC6C21"/>
    <w:rsid w:val="00EC7658"/>
    <w:rsid w:val="00ED0593"/>
    <w:rsid w:val="00ED4D13"/>
    <w:rsid w:val="00EE0E49"/>
    <w:rsid w:val="00EE1169"/>
    <w:rsid w:val="00EE5615"/>
    <w:rsid w:val="00EF1B3C"/>
    <w:rsid w:val="00EF3454"/>
    <w:rsid w:val="00EF5559"/>
    <w:rsid w:val="00EF64B1"/>
    <w:rsid w:val="00EF7B0D"/>
    <w:rsid w:val="00F007C9"/>
    <w:rsid w:val="00F009DB"/>
    <w:rsid w:val="00F02762"/>
    <w:rsid w:val="00F041D5"/>
    <w:rsid w:val="00F043F4"/>
    <w:rsid w:val="00F04CFF"/>
    <w:rsid w:val="00F0501C"/>
    <w:rsid w:val="00F05770"/>
    <w:rsid w:val="00F120B7"/>
    <w:rsid w:val="00F14B76"/>
    <w:rsid w:val="00F244B7"/>
    <w:rsid w:val="00F3082A"/>
    <w:rsid w:val="00F31C57"/>
    <w:rsid w:val="00F36674"/>
    <w:rsid w:val="00F402B5"/>
    <w:rsid w:val="00F40959"/>
    <w:rsid w:val="00F40B12"/>
    <w:rsid w:val="00F40F93"/>
    <w:rsid w:val="00F42CAA"/>
    <w:rsid w:val="00F43B88"/>
    <w:rsid w:val="00F442EF"/>
    <w:rsid w:val="00F47D7C"/>
    <w:rsid w:val="00F50010"/>
    <w:rsid w:val="00F506D1"/>
    <w:rsid w:val="00F51045"/>
    <w:rsid w:val="00F5404F"/>
    <w:rsid w:val="00F54A7F"/>
    <w:rsid w:val="00F55D50"/>
    <w:rsid w:val="00F57D77"/>
    <w:rsid w:val="00F604D8"/>
    <w:rsid w:val="00F62B70"/>
    <w:rsid w:val="00F6395A"/>
    <w:rsid w:val="00F651C1"/>
    <w:rsid w:val="00F67CE7"/>
    <w:rsid w:val="00F70643"/>
    <w:rsid w:val="00F70707"/>
    <w:rsid w:val="00F717E7"/>
    <w:rsid w:val="00F71EA6"/>
    <w:rsid w:val="00F7395A"/>
    <w:rsid w:val="00F74997"/>
    <w:rsid w:val="00F762C7"/>
    <w:rsid w:val="00F76C86"/>
    <w:rsid w:val="00F77918"/>
    <w:rsid w:val="00F77A44"/>
    <w:rsid w:val="00F8058C"/>
    <w:rsid w:val="00F8077A"/>
    <w:rsid w:val="00F818BB"/>
    <w:rsid w:val="00F81A8C"/>
    <w:rsid w:val="00F81C16"/>
    <w:rsid w:val="00F82039"/>
    <w:rsid w:val="00F8283E"/>
    <w:rsid w:val="00F85470"/>
    <w:rsid w:val="00F86412"/>
    <w:rsid w:val="00F87E31"/>
    <w:rsid w:val="00F9594B"/>
    <w:rsid w:val="00F9598B"/>
    <w:rsid w:val="00F97844"/>
    <w:rsid w:val="00FA52F1"/>
    <w:rsid w:val="00FA617F"/>
    <w:rsid w:val="00FA7280"/>
    <w:rsid w:val="00FB0F48"/>
    <w:rsid w:val="00FB1CB7"/>
    <w:rsid w:val="00FB2377"/>
    <w:rsid w:val="00FB2A4D"/>
    <w:rsid w:val="00FB2BE6"/>
    <w:rsid w:val="00FB37B5"/>
    <w:rsid w:val="00FB4052"/>
    <w:rsid w:val="00FB446C"/>
    <w:rsid w:val="00FB7DB8"/>
    <w:rsid w:val="00FC1158"/>
    <w:rsid w:val="00FC1203"/>
    <w:rsid w:val="00FC4947"/>
    <w:rsid w:val="00FC4A0A"/>
    <w:rsid w:val="00FC5050"/>
    <w:rsid w:val="00FC675A"/>
    <w:rsid w:val="00FC68A3"/>
    <w:rsid w:val="00FD0B54"/>
    <w:rsid w:val="00FD15A4"/>
    <w:rsid w:val="00FD3D19"/>
    <w:rsid w:val="00FD6403"/>
    <w:rsid w:val="00FD7B95"/>
    <w:rsid w:val="00FE1340"/>
    <w:rsid w:val="00FE3E7B"/>
    <w:rsid w:val="00FE435C"/>
    <w:rsid w:val="00FE7CC5"/>
    <w:rsid w:val="00FF2782"/>
    <w:rsid w:val="00FF295A"/>
    <w:rsid w:val="00FF2A6F"/>
    <w:rsid w:val="00FF3FCD"/>
    <w:rsid w:val="00FF4C02"/>
    <w:rsid w:val="00FF5B50"/>
    <w:rsid w:val="00FF5EF9"/>
    <w:rsid w:val="00FF6B9B"/>
    <w:rsid w:val="00FF6F0A"/>
    <w:rsid w:val="00FF729B"/>
    <w:rsid w:val="010957A7"/>
    <w:rsid w:val="010E70F1"/>
    <w:rsid w:val="011B0745"/>
    <w:rsid w:val="0129403A"/>
    <w:rsid w:val="01693DA9"/>
    <w:rsid w:val="01814321"/>
    <w:rsid w:val="01826A17"/>
    <w:rsid w:val="01B77866"/>
    <w:rsid w:val="01C33986"/>
    <w:rsid w:val="01CF2F0F"/>
    <w:rsid w:val="01DC2959"/>
    <w:rsid w:val="022C2E9B"/>
    <w:rsid w:val="025837A5"/>
    <w:rsid w:val="025909DE"/>
    <w:rsid w:val="029E24B5"/>
    <w:rsid w:val="02D13D4F"/>
    <w:rsid w:val="02E377CF"/>
    <w:rsid w:val="02F456F2"/>
    <w:rsid w:val="032441FD"/>
    <w:rsid w:val="039504BE"/>
    <w:rsid w:val="0398674A"/>
    <w:rsid w:val="03CB0F7B"/>
    <w:rsid w:val="045A77D7"/>
    <w:rsid w:val="049251C3"/>
    <w:rsid w:val="04BE1CC2"/>
    <w:rsid w:val="04FF11CA"/>
    <w:rsid w:val="05424FE6"/>
    <w:rsid w:val="054B711F"/>
    <w:rsid w:val="05692F42"/>
    <w:rsid w:val="05921EE8"/>
    <w:rsid w:val="05BC1DCB"/>
    <w:rsid w:val="05F11169"/>
    <w:rsid w:val="06527826"/>
    <w:rsid w:val="06556C41"/>
    <w:rsid w:val="06870A20"/>
    <w:rsid w:val="06A718B6"/>
    <w:rsid w:val="06AB256C"/>
    <w:rsid w:val="06B036DE"/>
    <w:rsid w:val="07027CB2"/>
    <w:rsid w:val="07346F7A"/>
    <w:rsid w:val="0736768B"/>
    <w:rsid w:val="075860A1"/>
    <w:rsid w:val="07866B35"/>
    <w:rsid w:val="07F341CA"/>
    <w:rsid w:val="082A5712"/>
    <w:rsid w:val="0858117E"/>
    <w:rsid w:val="086A32AC"/>
    <w:rsid w:val="086B7BE9"/>
    <w:rsid w:val="089247D2"/>
    <w:rsid w:val="08A22C7C"/>
    <w:rsid w:val="08DD2784"/>
    <w:rsid w:val="090B5587"/>
    <w:rsid w:val="091A588A"/>
    <w:rsid w:val="092F01B8"/>
    <w:rsid w:val="097C6801"/>
    <w:rsid w:val="098552F6"/>
    <w:rsid w:val="09CC7F17"/>
    <w:rsid w:val="09E366F4"/>
    <w:rsid w:val="09FC2CA4"/>
    <w:rsid w:val="0A14667A"/>
    <w:rsid w:val="0A217411"/>
    <w:rsid w:val="0A462BC7"/>
    <w:rsid w:val="0A663F6C"/>
    <w:rsid w:val="0A911A78"/>
    <w:rsid w:val="0AD1239D"/>
    <w:rsid w:val="0B1F4989"/>
    <w:rsid w:val="0B227CC9"/>
    <w:rsid w:val="0B2F58BB"/>
    <w:rsid w:val="0B45252D"/>
    <w:rsid w:val="0B452CDC"/>
    <w:rsid w:val="0B536D2E"/>
    <w:rsid w:val="0B626F71"/>
    <w:rsid w:val="0B7F5D75"/>
    <w:rsid w:val="0B9E10CF"/>
    <w:rsid w:val="0BA54C21"/>
    <w:rsid w:val="0BA56541"/>
    <w:rsid w:val="0BE845BB"/>
    <w:rsid w:val="0BE934DD"/>
    <w:rsid w:val="0C186B74"/>
    <w:rsid w:val="0C6C1935"/>
    <w:rsid w:val="0C6C62F9"/>
    <w:rsid w:val="0C85317D"/>
    <w:rsid w:val="0C853538"/>
    <w:rsid w:val="0C905263"/>
    <w:rsid w:val="0CA05CB1"/>
    <w:rsid w:val="0CB24163"/>
    <w:rsid w:val="0CDE5118"/>
    <w:rsid w:val="0CE106DB"/>
    <w:rsid w:val="0CE75973"/>
    <w:rsid w:val="0CF663AE"/>
    <w:rsid w:val="0D2B61B4"/>
    <w:rsid w:val="0D6B4803"/>
    <w:rsid w:val="0D942D77"/>
    <w:rsid w:val="0D9D1AE5"/>
    <w:rsid w:val="0DB10079"/>
    <w:rsid w:val="0DFB64F3"/>
    <w:rsid w:val="0DFC36AD"/>
    <w:rsid w:val="0DFE49A3"/>
    <w:rsid w:val="0DFF3918"/>
    <w:rsid w:val="0E11418C"/>
    <w:rsid w:val="0E1A7E28"/>
    <w:rsid w:val="0E4A05AE"/>
    <w:rsid w:val="0E4D11C2"/>
    <w:rsid w:val="0E63372C"/>
    <w:rsid w:val="0E652AC5"/>
    <w:rsid w:val="0E682A23"/>
    <w:rsid w:val="0E8973CD"/>
    <w:rsid w:val="0EC06B1B"/>
    <w:rsid w:val="0EE651DB"/>
    <w:rsid w:val="0EF3685E"/>
    <w:rsid w:val="0EFB3810"/>
    <w:rsid w:val="0EFD76DC"/>
    <w:rsid w:val="0F3330FE"/>
    <w:rsid w:val="0F7756E1"/>
    <w:rsid w:val="0F7D6A6F"/>
    <w:rsid w:val="0FBD7CB1"/>
    <w:rsid w:val="0FBE6C35"/>
    <w:rsid w:val="0FD216B3"/>
    <w:rsid w:val="0FF52AA9"/>
    <w:rsid w:val="0FF8315F"/>
    <w:rsid w:val="100A29AA"/>
    <w:rsid w:val="10112315"/>
    <w:rsid w:val="102E4B93"/>
    <w:rsid w:val="103112F5"/>
    <w:rsid w:val="104D01F0"/>
    <w:rsid w:val="106A7434"/>
    <w:rsid w:val="10732363"/>
    <w:rsid w:val="1083295A"/>
    <w:rsid w:val="10937656"/>
    <w:rsid w:val="10BB784F"/>
    <w:rsid w:val="10CF45DA"/>
    <w:rsid w:val="10DB414B"/>
    <w:rsid w:val="10EA1EE2"/>
    <w:rsid w:val="110A251D"/>
    <w:rsid w:val="111E393A"/>
    <w:rsid w:val="115A6B37"/>
    <w:rsid w:val="11666897"/>
    <w:rsid w:val="11683CF4"/>
    <w:rsid w:val="11756831"/>
    <w:rsid w:val="11F8418B"/>
    <w:rsid w:val="123A0C48"/>
    <w:rsid w:val="12483364"/>
    <w:rsid w:val="127736F8"/>
    <w:rsid w:val="128F4AEF"/>
    <w:rsid w:val="12A16CFE"/>
    <w:rsid w:val="12A433B1"/>
    <w:rsid w:val="12BB58E4"/>
    <w:rsid w:val="12D816E7"/>
    <w:rsid w:val="12E75B94"/>
    <w:rsid w:val="13563DAA"/>
    <w:rsid w:val="136F1C20"/>
    <w:rsid w:val="13877D68"/>
    <w:rsid w:val="139F3BE4"/>
    <w:rsid w:val="13BA2040"/>
    <w:rsid w:val="13C147CE"/>
    <w:rsid w:val="13D3452B"/>
    <w:rsid w:val="140774AD"/>
    <w:rsid w:val="14154836"/>
    <w:rsid w:val="14A34882"/>
    <w:rsid w:val="14D94773"/>
    <w:rsid w:val="15051099"/>
    <w:rsid w:val="1517701E"/>
    <w:rsid w:val="1519357C"/>
    <w:rsid w:val="152605A1"/>
    <w:rsid w:val="15842905"/>
    <w:rsid w:val="15CC66A1"/>
    <w:rsid w:val="15F95B22"/>
    <w:rsid w:val="16166064"/>
    <w:rsid w:val="163E57AE"/>
    <w:rsid w:val="164976AB"/>
    <w:rsid w:val="16505C99"/>
    <w:rsid w:val="16575312"/>
    <w:rsid w:val="167F4558"/>
    <w:rsid w:val="16AF4771"/>
    <w:rsid w:val="16BA0495"/>
    <w:rsid w:val="16D34E8F"/>
    <w:rsid w:val="16E46EF0"/>
    <w:rsid w:val="17033CFE"/>
    <w:rsid w:val="17215F32"/>
    <w:rsid w:val="1734382F"/>
    <w:rsid w:val="173C5B66"/>
    <w:rsid w:val="173E19E7"/>
    <w:rsid w:val="175470E6"/>
    <w:rsid w:val="17597546"/>
    <w:rsid w:val="17B9223F"/>
    <w:rsid w:val="17BE19D3"/>
    <w:rsid w:val="17D1198B"/>
    <w:rsid w:val="18067E8E"/>
    <w:rsid w:val="18176DF0"/>
    <w:rsid w:val="182013D2"/>
    <w:rsid w:val="182C5C1D"/>
    <w:rsid w:val="18616383"/>
    <w:rsid w:val="186758E2"/>
    <w:rsid w:val="18720C84"/>
    <w:rsid w:val="18972950"/>
    <w:rsid w:val="18AB01A9"/>
    <w:rsid w:val="18F51424"/>
    <w:rsid w:val="19244BA8"/>
    <w:rsid w:val="19445F08"/>
    <w:rsid w:val="197B7B7C"/>
    <w:rsid w:val="19B337B9"/>
    <w:rsid w:val="19D744CE"/>
    <w:rsid w:val="19EF7AF9"/>
    <w:rsid w:val="19FA027C"/>
    <w:rsid w:val="1A2521DD"/>
    <w:rsid w:val="1A2F6A1A"/>
    <w:rsid w:val="1A371634"/>
    <w:rsid w:val="1A920590"/>
    <w:rsid w:val="1AA41550"/>
    <w:rsid w:val="1B050485"/>
    <w:rsid w:val="1B0B13D3"/>
    <w:rsid w:val="1B304838"/>
    <w:rsid w:val="1B495A57"/>
    <w:rsid w:val="1B4E3485"/>
    <w:rsid w:val="1B634D6B"/>
    <w:rsid w:val="1B803B6F"/>
    <w:rsid w:val="1B9746C1"/>
    <w:rsid w:val="1BC9403A"/>
    <w:rsid w:val="1BF146E4"/>
    <w:rsid w:val="1C050957"/>
    <w:rsid w:val="1C0556D0"/>
    <w:rsid w:val="1C2C7853"/>
    <w:rsid w:val="1C3D1528"/>
    <w:rsid w:val="1C487D99"/>
    <w:rsid w:val="1C4955DC"/>
    <w:rsid w:val="1C5847A3"/>
    <w:rsid w:val="1C5C30AE"/>
    <w:rsid w:val="1C6E2185"/>
    <w:rsid w:val="1C7D3C0B"/>
    <w:rsid w:val="1C8C6544"/>
    <w:rsid w:val="1C9176B6"/>
    <w:rsid w:val="1C9920A6"/>
    <w:rsid w:val="1C9B1DF2"/>
    <w:rsid w:val="1CB05C33"/>
    <w:rsid w:val="1CE066BD"/>
    <w:rsid w:val="1CF10155"/>
    <w:rsid w:val="1D563DBF"/>
    <w:rsid w:val="1D914C03"/>
    <w:rsid w:val="1DD51824"/>
    <w:rsid w:val="1DE44FAA"/>
    <w:rsid w:val="1DEE08FE"/>
    <w:rsid w:val="1E3C40E9"/>
    <w:rsid w:val="1E72495B"/>
    <w:rsid w:val="1E786D7F"/>
    <w:rsid w:val="1E7F49B4"/>
    <w:rsid w:val="1EC47882"/>
    <w:rsid w:val="1ECE4BF1"/>
    <w:rsid w:val="1F150595"/>
    <w:rsid w:val="1F182A70"/>
    <w:rsid w:val="1F1F5B3A"/>
    <w:rsid w:val="1F5F3A9B"/>
    <w:rsid w:val="1F856AAA"/>
    <w:rsid w:val="1FA3607E"/>
    <w:rsid w:val="1FBD6951"/>
    <w:rsid w:val="1FD24B33"/>
    <w:rsid w:val="1FD91AA0"/>
    <w:rsid w:val="1FF22B62"/>
    <w:rsid w:val="20303E66"/>
    <w:rsid w:val="207D242B"/>
    <w:rsid w:val="20AD5964"/>
    <w:rsid w:val="20BF43BB"/>
    <w:rsid w:val="20F25A2B"/>
    <w:rsid w:val="20F66299"/>
    <w:rsid w:val="20F85F56"/>
    <w:rsid w:val="212B00D9"/>
    <w:rsid w:val="213B2A0B"/>
    <w:rsid w:val="21413899"/>
    <w:rsid w:val="21433208"/>
    <w:rsid w:val="218755AB"/>
    <w:rsid w:val="218A2C80"/>
    <w:rsid w:val="21E6657A"/>
    <w:rsid w:val="22010E3A"/>
    <w:rsid w:val="223942B3"/>
    <w:rsid w:val="223C6316"/>
    <w:rsid w:val="2296771B"/>
    <w:rsid w:val="22F02729"/>
    <w:rsid w:val="22F4507B"/>
    <w:rsid w:val="23005130"/>
    <w:rsid w:val="232B2612"/>
    <w:rsid w:val="233012E3"/>
    <w:rsid w:val="23924B55"/>
    <w:rsid w:val="23C6058D"/>
    <w:rsid w:val="23FB1E25"/>
    <w:rsid w:val="23FD66CE"/>
    <w:rsid w:val="244D325D"/>
    <w:rsid w:val="24A15EE2"/>
    <w:rsid w:val="24AB715F"/>
    <w:rsid w:val="24AF5500"/>
    <w:rsid w:val="24B97925"/>
    <w:rsid w:val="24C85C3F"/>
    <w:rsid w:val="24D03CD9"/>
    <w:rsid w:val="24F77D44"/>
    <w:rsid w:val="24FB6FE0"/>
    <w:rsid w:val="25115DEC"/>
    <w:rsid w:val="251E084D"/>
    <w:rsid w:val="255B1D92"/>
    <w:rsid w:val="258278D2"/>
    <w:rsid w:val="25A14E0E"/>
    <w:rsid w:val="25AE3087"/>
    <w:rsid w:val="25AF7C37"/>
    <w:rsid w:val="25CF468D"/>
    <w:rsid w:val="25E65AE0"/>
    <w:rsid w:val="25F81110"/>
    <w:rsid w:val="25FA35BC"/>
    <w:rsid w:val="26555728"/>
    <w:rsid w:val="26A7706F"/>
    <w:rsid w:val="26AC279E"/>
    <w:rsid w:val="26F34F21"/>
    <w:rsid w:val="270D0F81"/>
    <w:rsid w:val="27117D71"/>
    <w:rsid w:val="27167136"/>
    <w:rsid w:val="27286E54"/>
    <w:rsid w:val="272F6449"/>
    <w:rsid w:val="277420AE"/>
    <w:rsid w:val="27814EF7"/>
    <w:rsid w:val="278D7C5E"/>
    <w:rsid w:val="2797417A"/>
    <w:rsid w:val="27A04C51"/>
    <w:rsid w:val="27C01197"/>
    <w:rsid w:val="27CC07A7"/>
    <w:rsid w:val="27CD66D3"/>
    <w:rsid w:val="27DC212D"/>
    <w:rsid w:val="28081174"/>
    <w:rsid w:val="2816238B"/>
    <w:rsid w:val="28181576"/>
    <w:rsid w:val="282854BD"/>
    <w:rsid w:val="28530E0E"/>
    <w:rsid w:val="28810F26"/>
    <w:rsid w:val="289447B6"/>
    <w:rsid w:val="289D21F4"/>
    <w:rsid w:val="289F15C5"/>
    <w:rsid w:val="28E868B0"/>
    <w:rsid w:val="28EF1322"/>
    <w:rsid w:val="290C1785"/>
    <w:rsid w:val="29553F04"/>
    <w:rsid w:val="29B2144F"/>
    <w:rsid w:val="29B2271B"/>
    <w:rsid w:val="29C323D4"/>
    <w:rsid w:val="29D0210E"/>
    <w:rsid w:val="29D67050"/>
    <w:rsid w:val="29D82521"/>
    <w:rsid w:val="29EB6C0A"/>
    <w:rsid w:val="29EB7B9D"/>
    <w:rsid w:val="29F32937"/>
    <w:rsid w:val="29F714A0"/>
    <w:rsid w:val="2A1D495C"/>
    <w:rsid w:val="2A364396"/>
    <w:rsid w:val="2A47342D"/>
    <w:rsid w:val="2A5F6759"/>
    <w:rsid w:val="2A7F4FF2"/>
    <w:rsid w:val="2A8E16D9"/>
    <w:rsid w:val="2A9475EB"/>
    <w:rsid w:val="2A9665C1"/>
    <w:rsid w:val="2ACA1805"/>
    <w:rsid w:val="2AEC6B2B"/>
    <w:rsid w:val="2B0A0673"/>
    <w:rsid w:val="2B2D4A4E"/>
    <w:rsid w:val="2B370FA1"/>
    <w:rsid w:val="2B3F0A71"/>
    <w:rsid w:val="2B5050CE"/>
    <w:rsid w:val="2B5E540C"/>
    <w:rsid w:val="2B626DED"/>
    <w:rsid w:val="2B6C5576"/>
    <w:rsid w:val="2B726905"/>
    <w:rsid w:val="2B867023"/>
    <w:rsid w:val="2C5001FE"/>
    <w:rsid w:val="2C66290D"/>
    <w:rsid w:val="2C74637D"/>
    <w:rsid w:val="2C8C17BB"/>
    <w:rsid w:val="2C9C1C42"/>
    <w:rsid w:val="2CDB453F"/>
    <w:rsid w:val="2DA76D39"/>
    <w:rsid w:val="2DA84860"/>
    <w:rsid w:val="2DDB2F86"/>
    <w:rsid w:val="2DED6CD6"/>
    <w:rsid w:val="2E0B03C5"/>
    <w:rsid w:val="2E455B12"/>
    <w:rsid w:val="2E4E753A"/>
    <w:rsid w:val="2E9574DA"/>
    <w:rsid w:val="2E9F12BE"/>
    <w:rsid w:val="2EA14510"/>
    <w:rsid w:val="2EA27D06"/>
    <w:rsid w:val="2EA74B17"/>
    <w:rsid w:val="2EB5368F"/>
    <w:rsid w:val="2EBA7481"/>
    <w:rsid w:val="2EC025F4"/>
    <w:rsid w:val="2EC67693"/>
    <w:rsid w:val="2EC810F1"/>
    <w:rsid w:val="2ED753FC"/>
    <w:rsid w:val="2EF069F5"/>
    <w:rsid w:val="2F294338"/>
    <w:rsid w:val="2F302D5E"/>
    <w:rsid w:val="2F4862FA"/>
    <w:rsid w:val="2F5E1492"/>
    <w:rsid w:val="2F6C2EA4"/>
    <w:rsid w:val="2F6D2892"/>
    <w:rsid w:val="2F77273B"/>
    <w:rsid w:val="2F86309A"/>
    <w:rsid w:val="2F9A46C5"/>
    <w:rsid w:val="2FD56E94"/>
    <w:rsid w:val="2FD90D3F"/>
    <w:rsid w:val="2FF65D56"/>
    <w:rsid w:val="302E5E9B"/>
    <w:rsid w:val="305D2219"/>
    <w:rsid w:val="306D72C1"/>
    <w:rsid w:val="30704CE7"/>
    <w:rsid w:val="309A162C"/>
    <w:rsid w:val="316239A1"/>
    <w:rsid w:val="316B15CD"/>
    <w:rsid w:val="3216448E"/>
    <w:rsid w:val="322B56BF"/>
    <w:rsid w:val="328D2024"/>
    <w:rsid w:val="32BD2B5B"/>
    <w:rsid w:val="32C31F24"/>
    <w:rsid w:val="32D83826"/>
    <w:rsid w:val="32FD7572"/>
    <w:rsid w:val="33481DF5"/>
    <w:rsid w:val="337771AE"/>
    <w:rsid w:val="338C5852"/>
    <w:rsid w:val="339F7A0C"/>
    <w:rsid w:val="33AE6A5E"/>
    <w:rsid w:val="33B3141F"/>
    <w:rsid w:val="33C42C0A"/>
    <w:rsid w:val="33D264BB"/>
    <w:rsid w:val="33E11727"/>
    <w:rsid w:val="341C3E29"/>
    <w:rsid w:val="342463B4"/>
    <w:rsid w:val="34427402"/>
    <w:rsid w:val="346E6803"/>
    <w:rsid w:val="347100A1"/>
    <w:rsid w:val="348222AE"/>
    <w:rsid w:val="348A4CBF"/>
    <w:rsid w:val="34931DC5"/>
    <w:rsid w:val="34A477BF"/>
    <w:rsid w:val="34AF401B"/>
    <w:rsid w:val="34D80120"/>
    <w:rsid w:val="350933CD"/>
    <w:rsid w:val="353F29DC"/>
    <w:rsid w:val="35635963"/>
    <w:rsid w:val="35753BC1"/>
    <w:rsid w:val="35B5609F"/>
    <w:rsid w:val="35CB5AD6"/>
    <w:rsid w:val="35E13AD9"/>
    <w:rsid w:val="35E30B2B"/>
    <w:rsid w:val="35FC00A6"/>
    <w:rsid w:val="362829E1"/>
    <w:rsid w:val="36316394"/>
    <w:rsid w:val="36AC53C0"/>
    <w:rsid w:val="36AF52E1"/>
    <w:rsid w:val="36D55BA7"/>
    <w:rsid w:val="36E71A96"/>
    <w:rsid w:val="36EE262B"/>
    <w:rsid w:val="36FF2FBF"/>
    <w:rsid w:val="37166820"/>
    <w:rsid w:val="37313B18"/>
    <w:rsid w:val="37455821"/>
    <w:rsid w:val="3748158D"/>
    <w:rsid w:val="375D3FE4"/>
    <w:rsid w:val="376932B2"/>
    <w:rsid w:val="379F3EED"/>
    <w:rsid w:val="37AB1B1C"/>
    <w:rsid w:val="37BA1D5F"/>
    <w:rsid w:val="37CA3EDB"/>
    <w:rsid w:val="37E9704B"/>
    <w:rsid w:val="380939E1"/>
    <w:rsid w:val="383C2774"/>
    <w:rsid w:val="3845264E"/>
    <w:rsid w:val="385C6972"/>
    <w:rsid w:val="38C34BC3"/>
    <w:rsid w:val="38CD161E"/>
    <w:rsid w:val="38D2636E"/>
    <w:rsid w:val="38FF5FAB"/>
    <w:rsid w:val="39095129"/>
    <w:rsid w:val="391361DB"/>
    <w:rsid w:val="391B71E0"/>
    <w:rsid w:val="393A3F57"/>
    <w:rsid w:val="394B35D9"/>
    <w:rsid w:val="395343DC"/>
    <w:rsid w:val="395D1F82"/>
    <w:rsid w:val="397D4EE4"/>
    <w:rsid w:val="399049A3"/>
    <w:rsid w:val="399A6DBB"/>
    <w:rsid w:val="39EC2D56"/>
    <w:rsid w:val="39F41558"/>
    <w:rsid w:val="3A00548E"/>
    <w:rsid w:val="3A1E3B4B"/>
    <w:rsid w:val="3A7B5F3D"/>
    <w:rsid w:val="3A8F74D3"/>
    <w:rsid w:val="3AAB46ED"/>
    <w:rsid w:val="3AC60BDB"/>
    <w:rsid w:val="3AD067E5"/>
    <w:rsid w:val="3AD97E6F"/>
    <w:rsid w:val="3AE77EE0"/>
    <w:rsid w:val="3AEC19EF"/>
    <w:rsid w:val="3B1A3241"/>
    <w:rsid w:val="3B493953"/>
    <w:rsid w:val="3B60266D"/>
    <w:rsid w:val="3B7364AD"/>
    <w:rsid w:val="3B847179"/>
    <w:rsid w:val="3B991666"/>
    <w:rsid w:val="3BB6736F"/>
    <w:rsid w:val="3BD31641"/>
    <w:rsid w:val="3BD57167"/>
    <w:rsid w:val="3BD769FD"/>
    <w:rsid w:val="3C037EF5"/>
    <w:rsid w:val="3C403923"/>
    <w:rsid w:val="3C4D4F50"/>
    <w:rsid w:val="3CE9395D"/>
    <w:rsid w:val="3CFF7E49"/>
    <w:rsid w:val="3D077723"/>
    <w:rsid w:val="3D453E79"/>
    <w:rsid w:val="3D8A3020"/>
    <w:rsid w:val="3DE11AA5"/>
    <w:rsid w:val="3E577856"/>
    <w:rsid w:val="3E646581"/>
    <w:rsid w:val="3E825552"/>
    <w:rsid w:val="3E8517C5"/>
    <w:rsid w:val="3EB61701"/>
    <w:rsid w:val="3EBA6451"/>
    <w:rsid w:val="3EBB26CC"/>
    <w:rsid w:val="3EC05EAD"/>
    <w:rsid w:val="3ECA545B"/>
    <w:rsid w:val="3F2521B4"/>
    <w:rsid w:val="3F43263A"/>
    <w:rsid w:val="3F516836"/>
    <w:rsid w:val="3F566811"/>
    <w:rsid w:val="3F6E1604"/>
    <w:rsid w:val="3F995B77"/>
    <w:rsid w:val="3FD05D64"/>
    <w:rsid w:val="400215FE"/>
    <w:rsid w:val="401455C3"/>
    <w:rsid w:val="405B4D28"/>
    <w:rsid w:val="4094294D"/>
    <w:rsid w:val="40A3733C"/>
    <w:rsid w:val="40B530C4"/>
    <w:rsid w:val="411029F0"/>
    <w:rsid w:val="41195D48"/>
    <w:rsid w:val="41872CB2"/>
    <w:rsid w:val="41B80C5C"/>
    <w:rsid w:val="421656C4"/>
    <w:rsid w:val="42193252"/>
    <w:rsid w:val="42277EF7"/>
    <w:rsid w:val="42411CEA"/>
    <w:rsid w:val="425B0CB6"/>
    <w:rsid w:val="425C0A3B"/>
    <w:rsid w:val="426B76F0"/>
    <w:rsid w:val="42A96C58"/>
    <w:rsid w:val="42DA6C55"/>
    <w:rsid w:val="42F56341"/>
    <w:rsid w:val="43103916"/>
    <w:rsid w:val="432431A4"/>
    <w:rsid w:val="43371E77"/>
    <w:rsid w:val="43B46EA6"/>
    <w:rsid w:val="43E066A9"/>
    <w:rsid w:val="43E16008"/>
    <w:rsid w:val="43F0701E"/>
    <w:rsid w:val="43F55B48"/>
    <w:rsid w:val="4410037A"/>
    <w:rsid w:val="44136A7F"/>
    <w:rsid w:val="44426641"/>
    <w:rsid w:val="44633262"/>
    <w:rsid w:val="448B4867"/>
    <w:rsid w:val="448C45F8"/>
    <w:rsid w:val="44D53D34"/>
    <w:rsid w:val="44F92940"/>
    <w:rsid w:val="4501063B"/>
    <w:rsid w:val="45132AAF"/>
    <w:rsid w:val="451D02E5"/>
    <w:rsid w:val="451F1C84"/>
    <w:rsid w:val="451F649D"/>
    <w:rsid w:val="452E6B76"/>
    <w:rsid w:val="455D4E4D"/>
    <w:rsid w:val="45BE6EBE"/>
    <w:rsid w:val="465346DC"/>
    <w:rsid w:val="46CD03D6"/>
    <w:rsid w:val="47001852"/>
    <w:rsid w:val="47131AAE"/>
    <w:rsid w:val="478236DD"/>
    <w:rsid w:val="47A948D0"/>
    <w:rsid w:val="47B65A57"/>
    <w:rsid w:val="47DB01D8"/>
    <w:rsid w:val="47EA6BCA"/>
    <w:rsid w:val="480F755D"/>
    <w:rsid w:val="48194880"/>
    <w:rsid w:val="483C3E0E"/>
    <w:rsid w:val="487973A3"/>
    <w:rsid w:val="489D2DBB"/>
    <w:rsid w:val="48D12A65"/>
    <w:rsid w:val="48E94252"/>
    <w:rsid w:val="48FB15B1"/>
    <w:rsid w:val="492E1C8A"/>
    <w:rsid w:val="49806504"/>
    <w:rsid w:val="49C13E32"/>
    <w:rsid w:val="4A193EF2"/>
    <w:rsid w:val="4A5B1180"/>
    <w:rsid w:val="4A5C41EE"/>
    <w:rsid w:val="4A6B59BD"/>
    <w:rsid w:val="4A730277"/>
    <w:rsid w:val="4A8B47B9"/>
    <w:rsid w:val="4A8C0C78"/>
    <w:rsid w:val="4A911DE8"/>
    <w:rsid w:val="4AB20618"/>
    <w:rsid w:val="4AC44A5C"/>
    <w:rsid w:val="4AD056CA"/>
    <w:rsid w:val="4AEC09FB"/>
    <w:rsid w:val="4B2C6678"/>
    <w:rsid w:val="4B3D1D4B"/>
    <w:rsid w:val="4B841AD9"/>
    <w:rsid w:val="4B922D11"/>
    <w:rsid w:val="4BF878B7"/>
    <w:rsid w:val="4BF9040A"/>
    <w:rsid w:val="4C0B61D0"/>
    <w:rsid w:val="4C716A38"/>
    <w:rsid w:val="4CBC4A0C"/>
    <w:rsid w:val="4CC26F13"/>
    <w:rsid w:val="4D021D86"/>
    <w:rsid w:val="4D041B29"/>
    <w:rsid w:val="4D1D0B56"/>
    <w:rsid w:val="4D216D20"/>
    <w:rsid w:val="4D2E66D8"/>
    <w:rsid w:val="4D4B13F3"/>
    <w:rsid w:val="4D6B7D84"/>
    <w:rsid w:val="4D743336"/>
    <w:rsid w:val="4D761F49"/>
    <w:rsid w:val="4D7E765F"/>
    <w:rsid w:val="4DB536B0"/>
    <w:rsid w:val="4DC04FE3"/>
    <w:rsid w:val="4DF530F4"/>
    <w:rsid w:val="4E031D7A"/>
    <w:rsid w:val="4E250514"/>
    <w:rsid w:val="4E2A50F1"/>
    <w:rsid w:val="4E3C3FC8"/>
    <w:rsid w:val="4E524648"/>
    <w:rsid w:val="4E5E0219"/>
    <w:rsid w:val="4E7A439B"/>
    <w:rsid w:val="4E7A7301"/>
    <w:rsid w:val="4E8567CB"/>
    <w:rsid w:val="4E873E5B"/>
    <w:rsid w:val="4EB4266F"/>
    <w:rsid w:val="4EC13713"/>
    <w:rsid w:val="4ECC0B5C"/>
    <w:rsid w:val="4EDF237F"/>
    <w:rsid w:val="4EF37BD9"/>
    <w:rsid w:val="4EF85CE6"/>
    <w:rsid w:val="4F075432"/>
    <w:rsid w:val="4F0E056F"/>
    <w:rsid w:val="4F46070C"/>
    <w:rsid w:val="4F477F24"/>
    <w:rsid w:val="4F506DD9"/>
    <w:rsid w:val="4F5603B0"/>
    <w:rsid w:val="4F7B372A"/>
    <w:rsid w:val="4FB11D0A"/>
    <w:rsid w:val="4FFC0E5A"/>
    <w:rsid w:val="4FFF2864"/>
    <w:rsid w:val="50383E81"/>
    <w:rsid w:val="50492ED6"/>
    <w:rsid w:val="50594E5E"/>
    <w:rsid w:val="506A549A"/>
    <w:rsid w:val="50895528"/>
    <w:rsid w:val="5091587B"/>
    <w:rsid w:val="50AA427B"/>
    <w:rsid w:val="50E27D28"/>
    <w:rsid w:val="50F30CAD"/>
    <w:rsid w:val="50F33EC0"/>
    <w:rsid w:val="510460CD"/>
    <w:rsid w:val="51390634"/>
    <w:rsid w:val="516D352B"/>
    <w:rsid w:val="51733EAB"/>
    <w:rsid w:val="51A26F77"/>
    <w:rsid w:val="51BD44CE"/>
    <w:rsid w:val="51BE5C1E"/>
    <w:rsid w:val="51CA6197"/>
    <w:rsid w:val="51CB640B"/>
    <w:rsid w:val="51D21E7F"/>
    <w:rsid w:val="51E1029C"/>
    <w:rsid w:val="522B1A1A"/>
    <w:rsid w:val="523B0D32"/>
    <w:rsid w:val="524B2DC8"/>
    <w:rsid w:val="52946694"/>
    <w:rsid w:val="52A47596"/>
    <w:rsid w:val="52AF2B74"/>
    <w:rsid w:val="52D11EE3"/>
    <w:rsid w:val="52F61A46"/>
    <w:rsid w:val="530110AB"/>
    <w:rsid w:val="53171B77"/>
    <w:rsid w:val="531D551D"/>
    <w:rsid w:val="534E1882"/>
    <w:rsid w:val="53E478AF"/>
    <w:rsid w:val="540A6CA8"/>
    <w:rsid w:val="541128AF"/>
    <w:rsid w:val="541D443E"/>
    <w:rsid w:val="54307E41"/>
    <w:rsid w:val="543563F0"/>
    <w:rsid w:val="547846DC"/>
    <w:rsid w:val="5488245D"/>
    <w:rsid w:val="54CB6F02"/>
    <w:rsid w:val="54D6640B"/>
    <w:rsid w:val="54F63F7F"/>
    <w:rsid w:val="551E1D72"/>
    <w:rsid w:val="55204C11"/>
    <w:rsid w:val="55306D65"/>
    <w:rsid w:val="553841BF"/>
    <w:rsid w:val="556E388B"/>
    <w:rsid w:val="55806D8B"/>
    <w:rsid w:val="55CC0587"/>
    <w:rsid w:val="55D77168"/>
    <w:rsid w:val="55D93BC1"/>
    <w:rsid w:val="560C77D2"/>
    <w:rsid w:val="56142BD0"/>
    <w:rsid w:val="56304A34"/>
    <w:rsid w:val="5643193D"/>
    <w:rsid w:val="56462CE4"/>
    <w:rsid w:val="565D0FCE"/>
    <w:rsid w:val="56867584"/>
    <w:rsid w:val="569A6B8C"/>
    <w:rsid w:val="56EA7B13"/>
    <w:rsid w:val="56EE0A49"/>
    <w:rsid w:val="56F05B65"/>
    <w:rsid w:val="5715598F"/>
    <w:rsid w:val="572D5C52"/>
    <w:rsid w:val="57473B22"/>
    <w:rsid w:val="575D4AEE"/>
    <w:rsid w:val="57736AB0"/>
    <w:rsid w:val="577D699F"/>
    <w:rsid w:val="57C07912"/>
    <w:rsid w:val="58092A1B"/>
    <w:rsid w:val="580F7106"/>
    <w:rsid w:val="58133B49"/>
    <w:rsid w:val="584720E0"/>
    <w:rsid w:val="585A0885"/>
    <w:rsid w:val="585E590B"/>
    <w:rsid w:val="58A514AB"/>
    <w:rsid w:val="58D27FB8"/>
    <w:rsid w:val="58F9524E"/>
    <w:rsid w:val="59306158"/>
    <w:rsid w:val="594B23BF"/>
    <w:rsid w:val="59A3777C"/>
    <w:rsid w:val="59DB7BE7"/>
    <w:rsid w:val="59E529BF"/>
    <w:rsid w:val="5A1D6EB3"/>
    <w:rsid w:val="5A352FBE"/>
    <w:rsid w:val="5A390534"/>
    <w:rsid w:val="5A4A63D7"/>
    <w:rsid w:val="5A715E56"/>
    <w:rsid w:val="5A901AAA"/>
    <w:rsid w:val="5A9B04D6"/>
    <w:rsid w:val="5AA55BB7"/>
    <w:rsid w:val="5AF513D3"/>
    <w:rsid w:val="5B2E4D4E"/>
    <w:rsid w:val="5B6F4A8B"/>
    <w:rsid w:val="5B8D2B5D"/>
    <w:rsid w:val="5BF74EC7"/>
    <w:rsid w:val="5C1F50E4"/>
    <w:rsid w:val="5C205BA2"/>
    <w:rsid w:val="5C9C2725"/>
    <w:rsid w:val="5CC96302"/>
    <w:rsid w:val="5CCC1228"/>
    <w:rsid w:val="5CF93B2D"/>
    <w:rsid w:val="5D124D61"/>
    <w:rsid w:val="5D83037A"/>
    <w:rsid w:val="5DA90013"/>
    <w:rsid w:val="5DB03139"/>
    <w:rsid w:val="5DB9023F"/>
    <w:rsid w:val="5DE057B4"/>
    <w:rsid w:val="5DED7EE9"/>
    <w:rsid w:val="5DFF6F42"/>
    <w:rsid w:val="5E4443F8"/>
    <w:rsid w:val="5E914D18"/>
    <w:rsid w:val="5EBB21E3"/>
    <w:rsid w:val="5EC71A4F"/>
    <w:rsid w:val="5ED811C0"/>
    <w:rsid w:val="5EFE78C9"/>
    <w:rsid w:val="5F04319F"/>
    <w:rsid w:val="5F230C6E"/>
    <w:rsid w:val="5F6D55CC"/>
    <w:rsid w:val="5F826B1D"/>
    <w:rsid w:val="5F8C1EAA"/>
    <w:rsid w:val="5F8F74AA"/>
    <w:rsid w:val="5FE559CD"/>
    <w:rsid w:val="5FEB71DA"/>
    <w:rsid w:val="5FF13C7F"/>
    <w:rsid w:val="601A326A"/>
    <w:rsid w:val="606B6E69"/>
    <w:rsid w:val="607A491A"/>
    <w:rsid w:val="607E0D2F"/>
    <w:rsid w:val="60932FCA"/>
    <w:rsid w:val="60A33482"/>
    <w:rsid w:val="60B52CF3"/>
    <w:rsid w:val="60D9470F"/>
    <w:rsid w:val="611742AB"/>
    <w:rsid w:val="612049BB"/>
    <w:rsid w:val="614F614E"/>
    <w:rsid w:val="6151253D"/>
    <w:rsid w:val="615841C4"/>
    <w:rsid w:val="615978D1"/>
    <w:rsid w:val="615C785F"/>
    <w:rsid w:val="616A387B"/>
    <w:rsid w:val="61A24411"/>
    <w:rsid w:val="61B16610"/>
    <w:rsid w:val="61CD3451"/>
    <w:rsid w:val="61DD2A6C"/>
    <w:rsid w:val="61E6479E"/>
    <w:rsid w:val="61E77A3F"/>
    <w:rsid w:val="62486582"/>
    <w:rsid w:val="624B0417"/>
    <w:rsid w:val="625E7607"/>
    <w:rsid w:val="62614A02"/>
    <w:rsid w:val="62625805"/>
    <w:rsid w:val="62AC1A0A"/>
    <w:rsid w:val="62F85366"/>
    <w:rsid w:val="631E68A0"/>
    <w:rsid w:val="632C0E54"/>
    <w:rsid w:val="63862972"/>
    <w:rsid w:val="639F1C85"/>
    <w:rsid w:val="63FC4110"/>
    <w:rsid w:val="641066D8"/>
    <w:rsid w:val="6411743B"/>
    <w:rsid w:val="642C15E5"/>
    <w:rsid w:val="64301C12"/>
    <w:rsid w:val="643207A1"/>
    <w:rsid w:val="64346469"/>
    <w:rsid w:val="647805F8"/>
    <w:rsid w:val="64835103"/>
    <w:rsid w:val="64877D3C"/>
    <w:rsid w:val="649829A9"/>
    <w:rsid w:val="64AD03D2"/>
    <w:rsid w:val="64C42F83"/>
    <w:rsid w:val="64C74ED6"/>
    <w:rsid w:val="64EB67CE"/>
    <w:rsid w:val="6524523D"/>
    <w:rsid w:val="653F690B"/>
    <w:rsid w:val="658729D1"/>
    <w:rsid w:val="65A11CE5"/>
    <w:rsid w:val="6614060F"/>
    <w:rsid w:val="6639016F"/>
    <w:rsid w:val="66392D9A"/>
    <w:rsid w:val="66415276"/>
    <w:rsid w:val="664240C0"/>
    <w:rsid w:val="6663635F"/>
    <w:rsid w:val="66754F1F"/>
    <w:rsid w:val="669058B5"/>
    <w:rsid w:val="66993F11"/>
    <w:rsid w:val="66B772E6"/>
    <w:rsid w:val="66CE13EF"/>
    <w:rsid w:val="66D7138E"/>
    <w:rsid w:val="66DB4D83"/>
    <w:rsid w:val="67123A99"/>
    <w:rsid w:val="67346614"/>
    <w:rsid w:val="674120F2"/>
    <w:rsid w:val="6744501E"/>
    <w:rsid w:val="674E7C3D"/>
    <w:rsid w:val="67674868"/>
    <w:rsid w:val="678151D6"/>
    <w:rsid w:val="678C7A88"/>
    <w:rsid w:val="67BD6B7E"/>
    <w:rsid w:val="67C27D3C"/>
    <w:rsid w:val="67E70D23"/>
    <w:rsid w:val="67EB2EF9"/>
    <w:rsid w:val="688C2BE0"/>
    <w:rsid w:val="688F1299"/>
    <w:rsid w:val="68994EF5"/>
    <w:rsid w:val="689F14E3"/>
    <w:rsid w:val="68A739F7"/>
    <w:rsid w:val="68BB777D"/>
    <w:rsid w:val="68EF29E6"/>
    <w:rsid w:val="690D50F9"/>
    <w:rsid w:val="692740F9"/>
    <w:rsid w:val="695A0B28"/>
    <w:rsid w:val="697C498C"/>
    <w:rsid w:val="69927E5F"/>
    <w:rsid w:val="69D0221D"/>
    <w:rsid w:val="6A4242B5"/>
    <w:rsid w:val="6A652072"/>
    <w:rsid w:val="6A8272FB"/>
    <w:rsid w:val="6A834BEA"/>
    <w:rsid w:val="6A912B8B"/>
    <w:rsid w:val="6AA172B3"/>
    <w:rsid w:val="6AA22EF5"/>
    <w:rsid w:val="6AC341F7"/>
    <w:rsid w:val="6AC72C42"/>
    <w:rsid w:val="6AD6099F"/>
    <w:rsid w:val="6AF44665"/>
    <w:rsid w:val="6B1713A0"/>
    <w:rsid w:val="6B1D6721"/>
    <w:rsid w:val="6B6E08BB"/>
    <w:rsid w:val="6B710969"/>
    <w:rsid w:val="6B9E135C"/>
    <w:rsid w:val="6BBA58AE"/>
    <w:rsid w:val="6BD47F4C"/>
    <w:rsid w:val="6BDA5FDD"/>
    <w:rsid w:val="6BF32B6E"/>
    <w:rsid w:val="6C082324"/>
    <w:rsid w:val="6C19259F"/>
    <w:rsid w:val="6C1B20C5"/>
    <w:rsid w:val="6C8634FA"/>
    <w:rsid w:val="6C8D4D71"/>
    <w:rsid w:val="6CCF3B4B"/>
    <w:rsid w:val="6D1F7993"/>
    <w:rsid w:val="6D427557"/>
    <w:rsid w:val="6D6C470B"/>
    <w:rsid w:val="6D7018D3"/>
    <w:rsid w:val="6D724E66"/>
    <w:rsid w:val="6DB36A59"/>
    <w:rsid w:val="6E027D32"/>
    <w:rsid w:val="6E276AFF"/>
    <w:rsid w:val="6E331948"/>
    <w:rsid w:val="6E533D98"/>
    <w:rsid w:val="6E5B0E2F"/>
    <w:rsid w:val="6E5C35A4"/>
    <w:rsid w:val="6EC32ED5"/>
    <w:rsid w:val="6ECA6E2D"/>
    <w:rsid w:val="6ED352FB"/>
    <w:rsid w:val="6EEE0796"/>
    <w:rsid w:val="6F154861"/>
    <w:rsid w:val="6F486B64"/>
    <w:rsid w:val="6F814220"/>
    <w:rsid w:val="6F8B1310"/>
    <w:rsid w:val="6FA3261F"/>
    <w:rsid w:val="6FAE2A7D"/>
    <w:rsid w:val="6FAF5830"/>
    <w:rsid w:val="6FB7452E"/>
    <w:rsid w:val="6FEA732C"/>
    <w:rsid w:val="6FFC43C3"/>
    <w:rsid w:val="701D4BDE"/>
    <w:rsid w:val="70204F9A"/>
    <w:rsid w:val="704240C4"/>
    <w:rsid w:val="705D4A5A"/>
    <w:rsid w:val="70897BFE"/>
    <w:rsid w:val="70911BAC"/>
    <w:rsid w:val="70A02736"/>
    <w:rsid w:val="70B43760"/>
    <w:rsid w:val="70C108B5"/>
    <w:rsid w:val="70CB47E1"/>
    <w:rsid w:val="71482A17"/>
    <w:rsid w:val="71701401"/>
    <w:rsid w:val="718129CA"/>
    <w:rsid w:val="71C0365F"/>
    <w:rsid w:val="71C1201B"/>
    <w:rsid w:val="71C32FA0"/>
    <w:rsid w:val="71E865E8"/>
    <w:rsid w:val="7202642B"/>
    <w:rsid w:val="722153EB"/>
    <w:rsid w:val="723247C9"/>
    <w:rsid w:val="727D464C"/>
    <w:rsid w:val="72801E0E"/>
    <w:rsid w:val="728A58AF"/>
    <w:rsid w:val="728D72D4"/>
    <w:rsid w:val="72F6424D"/>
    <w:rsid w:val="72FF004B"/>
    <w:rsid w:val="734168B5"/>
    <w:rsid w:val="7351143E"/>
    <w:rsid w:val="73591E51"/>
    <w:rsid w:val="736305DA"/>
    <w:rsid w:val="736507F6"/>
    <w:rsid w:val="736B7666"/>
    <w:rsid w:val="7379604F"/>
    <w:rsid w:val="73CC1D39"/>
    <w:rsid w:val="73CD213F"/>
    <w:rsid w:val="73D43285"/>
    <w:rsid w:val="73D94D40"/>
    <w:rsid w:val="740F250F"/>
    <w:rsid w:val="74160B04"/>
    <w:rsid w:val="74205BD2"/>
    <w:rsid w:val="74671F38"/>
    <w:rsid w:val="746C7962"/>
    <w:rsid w:val="746F0BDF"/>
    <w:rsid w:val="747254F0"/>
    <w:rsid w:val="747B1BB4"/>
    <w:rsid w:val="74B3090C"/>
    <w:rsid w:val="74B72AE2"/>
    <w:rsid w:val="74C66DDF"/>
    <w:rsid w:val="74FD4A5E"/>
    <w:rsid w:val="750000AA"/>
    <w:rsid w:val="750C18C2"/>
    <w:rsid w:val="759C55AE"/>
    <w:rsid w:val="75A35605"/>
    <w:rsid w:val="75A62A4E"/>
    <w:rsid w:val="75C438F9"/>
    <w:rsid w:val="75CC2052"/>
    <w:rsid w:val="75D01109"/>
    <w:rsid w:val="75D61CF2"/>
    <w:rsid w:val="760342F6"/>
    <w:rsid w:val="76054C7B"/>
    <w:rsid w:val="766E5C13"/>
    <w:rsid w:val="76B61368"/>
    <w:rsid w:val="76C03F95"/>
    <w:rsid w:val="76D33CC8"/>
    <w:rsid w:val="76DE134D"/>
    <w:rsid w:val="76EC24BB"/>
    <w:rsid w:val="76F33ECC"/>
    <w:rsid w:val="77004391"/>
    <w:rsid w:val="770B0336"/>
    <w:rsid w:val="772876AC"/>
    <w:rsid w:val="773418AC"/>
    <w:rsid w:val="7745495D"/>
    <w:rsid w:val="77814BC8"/>
    <w:rsid w:val="778C4E61"/>
    <w:rsid w:val="77B25FEB"/>
    <w:rsid w:val="77BC77E7"/>
    <w:rsid w:val="77C96E79"/>
    <w:rsid w:val="77C979EF"/>
    <w:rsid w:val="780266F5"/>
    <w:rsid w:val="78203E33"/>
    <w:rsid w:val="783E05E3"/>
    <w:rsid w:val="78590CF3"/>
    <w:rsid w:val="7881218E"/>
    <w:rsid w:val="788B576D"/>
    <w:rsid w:val="78AD0549"/>
    <w:rsid w:val="78B418D7"/>
    <w:rsid w:val="78D31B66"/>
    <w:rsid w:val="78E81443"/>
    <w:rsid w:val="78F910FB"/>
    <w:rsid w:val="79137054"/>
    <w:rsid w:val="795F234F"/>
    <w:rsid w:val="796729CC"/>
    <w:rsid w:val="796A0C20"/>
    <w:rsid w:val="79721340"/>
    <w:rsid w:val="797B0E8E"/>
    <w:rsid w:val="79A35740"/>
    <w:rsid w:val="79AD4A5C"/>
    <w:rsid w:val="79AD7538"/>
    <w:rsid w:val="79B078F9"/>
    <w:rsid w:val="79D00993"/>
    <w:rsid w:val="79DB3109"/>
    <w:rsid w:val="7A0519F3"/>
    <w:rsid w:val="7A0E68EE"/>
    <w:rsid w:val="7A290AAC"/>
    <w:rsid w:val="7A3F5061"/>
    <w:rsid w:val="7A6F5AB6"/>
    <w:rsid w:val="7A854377"/>
    <w:rsid w:val="7AC23EDC"/>
    <w:rsid w:val="7ACA6D89"/>
    <w:rsid w:val="7AF35895"/>
    <w:rsid w:val="7B2173E8"/>
    <w:rsid w:val="7B336A83"/>
    <w:rsid w:val="7B5B428C"/>
    <w:rsid w:val="7B774DF6"/>
    <w:rsid w:val="7B9A2164"/>
    <w:rsid w:val="7B9D6653"/>
    <w:rsid w:val="7BCB4C79"/>
    <w:rsid w:val="7BD42F30"/>
    <w:rsid w:val="7BF5648F"/>
    <w:rsid w:val="7C3E59B8"/>
    <w:rsid w:val="7C806757"/>
    <w:rsid w:val="7C9E2682"/>
    <w:rsid w:val="7CC44922"/>
    <w:rsid w:val="7CCF7DA9"/>
    <w:rsid w:val="7CD41616"/>
    <w:rsid w:val="7CF160B0"/>
    <w:rsid w:val="7D39684F"/>
    <w:rsid w:val="7D761851"/>
    <w:rsid w:val="7D8379F3"/>
    <w:rsid w:val="7D8A547F"/>
    <w:rsid w:val="7D9879F5"/>
    <w:rsid w:val="7DBD71A6"/>
    <w:rsid w:val="7DC336AA"/>
    <w:rsid w:val="7DCF1BFE"/>
    <w:rsid w:val="7E050960"/>
    <w:rsid w:val="7E0712F2"/>
    <w:rsid w:val="7E5A4710"/>
    <w:rsid w:val="7E7C2950"/>
    <w:rsid w:val="7E9D0CF2"/>
    <w:rsid w:val="7EB57E1E"/>
    <w:rsid w:val="7EBA56AC"/>
    <w:rsid w:val="7EC04E5E"/>
    <w:rsid w:val="7F0D7F93"/>
    <w:rsid w:val="7F0F03A1"/>
    <w:rsid w:val="7F1955B0"/>
    <w:rsid w:val="7F3217A8"/>
    <w:rsid w:val="7F611488"/>
    <w:rsid w:val="7F7818B1"/>
    <w:rsid w:val="7F952167"/>
    <w:rsid w:val="7FAB629E"/>
    <w:rsid w:val="7FBC19D7"/>
    <w:rsid w:val="7FCA06E4"/>
    <w:rsid w:val="7FDD1714"/>
    <w:rsid w:val="8FF359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60"/>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61"/>
    <w:qFormat/>
    <w:uiPriority w:val="0"/>
    <w:pPr>
      <w:keepNext/>
      <w:keepLines/>
      <w:spacing w:before="260" w:after="260" w:line="416" w:lineRule="auto"/>
      <w:outlineLvl w:val="2"/>
    </w:pPr>
    <w:rPr>
      <w:b/>
      <w:bCs/>
      <w:kern w:val="0"/>
      <w:sz w:val="32"/>
      <w:szCs w:val="32"/>
    </w:rPr>
  </w:style>
  <w:style w:type="paragraph" w:styleId="6">
    <w:name w:val="heading 5"/>
    <w:basedOn w:val="1"/>
    <w:next w:val="7"/>
    <w:link w:val="62"/>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3"/>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4"/>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5"/>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6"/>
    <w:qFormat/>
    <w:uiPriority w:val="0"/>
    <w:pPr>
      <w:keepNext/>
      <w:keepLines/>
      <w:numPr>
        <w:ilvl w:val="8"/>
        <w:numId w:val="1"/>
      </w:numPr>
      <w:spacing w:before="240" w:after="64" w:line="320" w:lineRule="auto"/>
      <w:outlineLvl w:val="8"/>
    </w:pPr>
    <w:rPr>
      <w:rFonts w:ascii="Arial" w:hAnsi="Arial" w:eastAsia="黑体"/>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0"/>
    <w:qFormat/>
    <w:uiPriority w:val="0"/>
    <w:pPr>
      <w:spacing w:line="380" w:lineRule="exact"/>
    </w:pPr>
    <w:rPr>
      <w:kern w:val="0"/>
      <w:sz w:val="24"/>
    </w:r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index 8"/>
    <w:basedOn w:val="1"/>
    <w:next w:val="1"/>
    <w:qFormat/>
    <w:uiPriority w:val="0"/>
    <w:pPr>
      <w:spacing w:line="400" w:lineRule="exact"/>
      <w:ind w:left="2940" w:firstLine="1044" w:firstLineChars="200"/>
      <w:jc w:val="left"/>
    </w:p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67"/>
    <w:unhideWhenUsed/>
    <w:qFormat/>
    <w:uiPriority w:val="0"/>
    <w:pPr>
      <w:shd w:val="clear" w:color="auto" w:fill="000080"/>
    </w:pPr>
    <w:rPr>
      <w:rFonts w:hint="eastAsia" w:ascii="宋体" w:hAnsi="宋体"/>
      <w:kern w:val="0"/>
      <w:sz w:val="20"/>
      <w:szCs w:val="20"/>
    </w:rPr>
  </w:style>
  <w:style w:type="paragraph" w:styleId="17">
    <w:name w:val="annotation text"/>
    <w:basedOn w:val="1"/>
    <w:link w:val="68"/>
    <w:unhideWhenUsed/>
    <w:qFormat/>
    <w:uiPriority w:val="99"/>
    <w:pPr>
      <w:jc w:val="left"/>
    </w:pPr>
  </w:style>
  <w:style w:type="paragraph" w:styleId="18">
    <w:name w:val="Body Text 3"/>
    <w:basedOn w:val="1"/>
    <w:link w:val="69"/>
    <w:qFormat/>
    <w:uiPriority w:val="0"/>
    <w:pPr>
      <w:spacing w:line="500" w:lineRule="exact"/>
    </w:pPr>
    <w:rPr>
      <w:b/>
      <w:bCs/>
      <w:kern w:val="0"/>
      <w:sz w:val="24"/>
    </w:rPr>
  </w:style>
  <w:style w:type="paragraph" w:styleId="19">
    <w:name w:val="Body Text Indent"/>
    <w:basedOn w:val="1"/>
    <w:link w:val="71"/>
    <w:qFormat/>
    <w:uiPriority w:val="0"/>
    <w:pPr>
      <w:ind w:firstLine="830" w:firstLineChars="352"/>
    </w:pPr>
    <w:rPr>
      <w:rFonts w:ascii="仿宋_GB2312" w:eastAsia="仿宋_GB2312"/>
      <w:kern w:val="0"/>
      <w:sz w:val="32"/>
      <w:szCs w:val="20"/>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toc 5"/>
    <w:basedOn w:val="1"/>
    <w:next w:val="1"/>
    <w:unhideWhenUsed/>
    <w:qFormat/>
    <w:uiPriority w:val="39"/>
    <w:pPr>
      <w:ind w:left="1680" w:leftChars="800"/>
    </w:pPr>
    <w:rPr>
      <w:rFonts w:ascii="Calibri" w:hAnsi="Calibri"/>
      <w:szCs w:val="22"/>
    </w:rPr>
  </w:style>
  <w:style w:type="paragraph" w:styleId="23">
    <w:name w:val="toc 3"/>
    <w:basedOn w:val="1"/>
    <w:next w:val="1"/>
    <w:unhideWhenUsed/>
    <w:qFormat/>
    <w:uiPriority w:val="39"/>
    <w:pPr>
      <w:ind w:left="840" w:leftChars="400"/>
    </w:pPr>
    <w:rPr>
      <w:rFonts w:ascii="Calibri" w:hAnsi="Calibri"/>
      <w:szCs w:val="22"/>
    </w:rPr>
  </w:style>
  <w:style w:type="paragraph" w:styleId="24">
    <w:name w:val="Plain Text"/>
    <w:basedOn w:val="1"/>
    <w:link w:val="72"/>
    <w:qFormat/>
    <w:uiPriority w:val="99"/>
    <w:rPr>
      <w:rFonts w:ascii="宋体" w:hAnsi="Courier New"/>
      <w:kern w:val="0"/>
      <w:sz w:val="20"/>
      <w:szCs w:val="21"/>
    </w:rPr>
  </w:style>
  <w:style w:type="paragraph" w:styleId="25">
    <w:name w:val="toc 8"/>
    <w:basedOn w:val="1"/>
    <w:next w:val="1"/>
    <w:unhideWhenUsed/>
    <w:qFormat/>
    <w:uiPriority w:val="39"/>
    <w:pPr>
      <w:ind w:left="2940" w:leftChars="1400"/>
    </w:pPr>
    <w:rPr>
      <w:rFonts w:ascii="Calibri" w:hAnsi="Calibri"/>
      <w:szCs w:val="22"/>
    </w:rPr>
  </w:style>
  <w:style w:type="paragraph" w:styleId="26">
    <w:name w:val="Date"/>
    <w:basedOn w:val="1"/>
    <w:next w:val="1"/>
    <w:link w:val="73"/>
    <w:qFormat/>
    <w:uiPriority w:val="0"/>
    <w:pPr>
      <w:ind w:left="100" w:leftChars="2500"/>
    </w:pPr>
    <w:rPr>
      <w:rFonts w:ascii="宋体" w:hAnsi="Courier New"/>
      <w:kern w:val="0"/>
      <w:sz w:val="20"/>
      <w:szCs w:val="21"/>
    </w:rPr>
  </w:style>
  <w:style w:type="paragraph" w:styleId="27">
    <w:name w:val="Body Text Indent 2"/>
    <w:basedOn w:val="1"/>
    <w:link w:val="74"/>
    <w:qFormat/>
    <w:uiPriority w:val="0"/>
    <w:pPr>
      <w:ind w:firstLine="630"/>
    </w:pPr>
    <w:rPr>
      <w:kern w:val="0"/>
      <w:sz w:val="32"/>
      <w:szCs w:val="20"/>
    </w:rPr>
  </w:style>
  <w:style w:type="paragraph" w:styleId="28">
    <w:name w:val="endnote text"/>
    <w:basedOn w:val="1"/>
    <w:link w:val="75"/>
    <w:unhideWhenUsed/>
    <w:qFormat/>
    <w:uiPriority w:val="99"/>
    <w:pPr>
      <w:snapToGrid w:val="0"/>
      <w:jc w:val="left"/>
    </w:pPr>
  </w:style>
  <w:style w:type="paragraph" w:styleId="29">
    <w:name w:val="Balloon Text"/>
    <w:basedOn w:val="1"/>
    <w:link w:val="76"/>
    <w:semiHidden/>
    <w:qFormat/>
    <w:uiPriority w:val="0"/>
    <w:rPr>
      <w:kern w:val="0"/>
      <w:sz w:val="18"/>
      <w:szCs w:val="18"/>
    </w:rPr>
  </w:style>
  <w:style w:type="paragraph" w:styleId="30">
    <w:name w:val="footer"/>
    <w:basedOn w:val="1"/>
    <w:link w:val="77"/>
    <w:unhideWhenUsed/>
    <w:qFormat/>
    <w:uiPriority w:val="99"/>
    <w:pPr>
      <w:tabs>
        <w:tab w:val="center" w:pos="4153"/>
        <w:tab w:val="right" w:pos="8306"/>
      </w:tabs>
      <w:snapToGrid w:val="0"/>
      <w:jc w:val="left"/>
    </w:pPr>
    <w:rPr>
      <w:kern w:val="0"/>
      <w:sz w:val="18"/>
      <w:szCs w:val="18"/>
    </w:rPr>
  </w:style>
  <w:style w:type="paragraph" w:styleId="31">
    <w:name w:val="envelope return"/>
    <w:basedOn w:val="1"/>
    <w:qFormat/>
    <w:uiPriority w:val="0"/>
    <w:pPr>
      <w:snapToGrid w:val="0"/>
    </w:pPr>
    <w:rPr>
      <w:rFonts w:ascii="Arial" w:hAnsi="Arial"/>
    </w:rPr>
  </w:style>
  <w:style w:type="paragraph" w:styleId="32">
    <w:name w:val="header"/>
    <w:basedOn w:val="1"/>
    <w:link w:val="78"/>
    <w:unhideWhenUsed/>
    <w:qFormat/>
    <w:uiPriority w:val="0"/>
    <w:pPr>
      <w:pBdr>
        <w:bottom w:val="single" w:color="auto" w:sz="6" w:space="1"/>
      </w:pBdr>
      <w:tabs>
        <w:tab w:val="center" w:pos="0"/>
        <w:tab w:val="lef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unhideWhenUsed/>
    <w:qFormat/>
    <w:uiPriority w:val="39"/>
    <w:pPr>
      <w:ind w:left="1260" w:leftChars="600"/>
    </w:pPr>
    <w:rPr>
      <w:rFonts w:ascii="Calibri" w:hAnsi="Calibri"/>
      <w:szCs w:val="22"/>
    </w:rPr>
  </w:style>
  <w:style w:type="paragraph" w:styleId="35">
    <w:name w:val="List"/>
    <w:basedOn w:val="1"/>
    <w:qFormat/>
    <w:uiPriority w:val="0"/>
    <w:pPr>
      <w:ind w:left="200" w:hanging="200" w:hangingChars="200"/>
    </w:pPr>
    <w:rPr>
      <w:sz w:val="28"/>
    </w:rPr>
  </w:style>
  <w:style w:type="paragraph" w:styleId="36">
    <w:name w:val="footnote text"/>
    <w:basedOn w:val="1"/>
    <w:link w:val="79"/>
    <w:unhideWhenUsed/>
    <w:qFormat/>
    <w:uiPriority w:val="99"/>
    <w:pPr>
      <w:snapToGrid w:val="0"/>
      <w:jc w:val="left"/>
    </w:pPr>
    <w:rPr>
      <w:sz w:val="18"/>
      <w:szCs w:val="18"/>
    </w:rPr>
  </w:style>
  <w:style w:type="paragraph" w:styleId="37">
    <w:name w:val="toc 6"/>
    <w:basedOn w:val="1"/>
    <w:next w:val="1"/>
    <w:unhideWhenUsed/>
    <w:qFormat/>
    <w:uiPriority w:val="39"/>
    <w:pPr>
      <w:ind w:left="2100" w:leftChars="1000"/>
    </w:pPr>
    <w:rPr>
      <w:rFonts w:ascii="Calibri" w:hAnsi="Calibri"/>
      <w:szCs w:val="22"/>
    </w:rPr>
  </w:style>
  <w:style w:type="paragraph" w:styleId="38">
    <w:name w:val="Body Text Indent 3"/>
    <w:basedOn w:val="1"/>
    <w:link w:val="80"/>
    <w:qFormat/>
    <w:uiPriority w:val="0"/>
    <w:pPr>
      <w:spacing w:after="120"/>
      <w:ind w:left="420" w:leftChars="200"/>
    </w:pPr>
    <w:rPr>
      <w:kern w:val="0"/>
      <w:sz w:val="16"/>
      <w:szCs w:val="16"/>
    </w:rPr>
  </w:style>
  <w:style w:type="paragraph" w:styleId="39">
    <w:name w:val="toc 2"/>
    <w:basedOn w:val="1"/>
    <w:next w:val="1"/>
    <w:unhideWhenUsed/>
    <w:qFormat/>
    <w:uiPriority w:val="39"/>
    <w:pPr>
      <w:ind w:left="420" w:leftChars="200"/>
    </w:pPr>
  </w:style>
  <w:style w:type="paragraph" w:styleId="40">
    <w:name w:val="toc 9"/>
    <w:basedOn w:val="1"/>
    <w:next w:val="1"/>
    <w:unhideWhenUsed/>
    <w:qFormat/>
    <w:uiPriority w:val="39"/>
    <w:pPr>
      <w:ind w:left="3360" w:leftChars="1600"/>
    </w:pPr>
    <w:rPr>
      <w:rFonts w:ascii="Calibri" w:hAnsi="Calibri"/>
      <w:szCs w:val="22"/>
    </w:rPr>
  </w:style>
  <w:style w:type="paragraph" w:styleId="41">
    <w:name w:val="Body Text 2"/>
    <w:basedOn w:val="1"/>
    <w:link w:val="81"/>
    <w:qFormat/>
    <w:uiPriority w:val="0"/>
    <w:pPr>
      <w:spacing w:after="120" w:line="480" w:lineRule="auto"/>
    </w:pPr>
    <w:rPr>
      <w:kern w:val="0"/>
      <w:sz w:val="20"/>
    </w:rPr>
  </w:style>
  <w:style w:type="paragraph" w:styleId="42">
    <w:name w:val="Normal (Web)"/>
    <w:basedOn w:val="1"/>
    <w:qFormat/>
    <w:uiPriority w:val="99"/>
    <w:pPr>
      <w:widowControl/>
      <w:spacing w:before="100" w:beforeAutospacing="1" w:after="100" w:afterAutospacing="1"/>
      <w:jc w:val="left"/>
    </w:pPr>
    <w:rPr>
      <w:rFonts w:ascii="宋体" w:hAnsi="宋体"/>
      <w:kern w:val="0"/>
      <w:sz w:val="24"/>
    </w:rPr>
  </w:style>
  <w:style w:type="paragraph" w:styleId="43">
    <w:name w:val="index 1"/>
    <w:basedOn w:val="1"/>
    <w:next w:val="1"/>
    <w:semiHidden/>
    <w:qFormat/>
    <w:uiPriority w:val="0"/>
    <w:pPr>
      <w:spacing w:line="400" w:lineRule="exact"/>
      <w:ind w:firstLine="420" w:firstLineChars="200"/>
    </w:pPr>
    <w:rPr>
      <w:rFonts w:ascii="宋体" w:hAnsi="Courier New"/>
      <w:b/>
      <w:szCs w:val="20"/>
    </w:rPr>
  </w:style>
  <w:style w:type="paragraph" w:styleId="44">
    <w:name w:val="Title"/>
    <w:basedOn w:val="1"/>
    <w:next w:val="1"/>
    <w:link w:val="82"/>
    <w:qFormat/>
    <w:uiPriority w:val="10"/>
    <w:pPr>
      <w:spacing w:before="240" w:after="60"/>
      <w:jc w:val="center"/>
      <w:outlineLvl w:val="0"/>
    </w:pPr>
    <w:rPr>
      <w:rFonts w:ascii="Cambria" w:hAnsi="Cambria"/>
      <w:b/>
      <w:bCs/>
      <w:sz w:val="32"/>
      <w:szCs w:val="32"/>
    </w:rPr>
  </w:style>
  <w:style w:type="paragraph" w:styleId="45">
    <w:name w:val="annotation subject"/>
    <w:basedOn w:val="17"/>
    <w:next w:val="17"/>
    <w:link w:val="83"/>
    <w:unhideWhenUsed/>
    <w:qFormat/>
    <w:uiPriority w:val="99"/>
    <w:rPr>
      <w:b/>
      <w:bCs/>
    </w:rPr>
  </w:style>
  <w:style w:type="paragraph" w:styleId="46">
    <w:name w:val="Body Text First Indent 2"/>
    <w:basedOn w:val="19"/>
    <w:unhideWhenUsed/>
    <w:qFormat/>
    <w:uiPriority w:val="0"/>
    <w:pPr>
      <w:ind w:firstLine="420" w:firstLineChars="2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22"/>
    <w:rPr>
      <w:b/>
    </w:rPr>
  </w:style>
  <w:style w:type="character" w:styleId="51">
    <w:name w:val="endnote reference"/>
    <w:unhideWhenUsed/>
    <w:qFormat/>
    <w:uiPriority w:val="99"/>
    <w:rPr>
      <w:vertAlign w:val="superscript"/>
    </w:rPr>
  </w:style>
  <w:style w:type="character" w:styleId="52">
    <w:name w:val="page number"/>
    <w:qFormat/>
    <w:uiPriority w:val="0"/>
  </w:style>
  <w:style w:type="character" w:styleId="53">
    <w:name w:val="FollowedHyperlink"/>
    <w:qFormat/>
    <w:uiPriority w:val="0"/>
    <w:rPr>
      <w:color w:val="800080"/>
      <w:u w:val="single"/>
    </w:rPr>
  </w:style>
  <w:style w:type="character" w:styleId="54">
    <w:name w:val="Hyperlink"/>
    <w:qFormat/>
    <w:uiPriority w:val="99"/>
    <w:rPr>
      <w:color w:val="0000FF"/>
      <w:u w:val="single"/>
    </w:rPr>
  </w:style>
  <w:style w:type="character" w:styleId="55">
    <w:name w:val="annotation reference"/>
    <w:unhideWhenUsed/>
    <w:qFormat/>
    <w:uiPriority w:val="0"/>
    <w:rPr>
      <w:sz w:val="21"/>
      <w:szCs w:val="21"/>
    </w:rPr>
  </w:style>
  <w:style w:type="character" w:styleId="56">
    <w:name w:val="footnote reference"/>
    <w:unhideWhenUsed/>
    <w:qFormat/>
    <w:uiPriority w:val="99"/>
    <w:rPr>
      <w:vertAlign w:val="superscript"/>
    </w:rPr>
  </w:style>
  <w:style w:type="paragraph" w:customStyle="1" w:styleId="57">
    <w:name w:val="首行缩进"/>
    <w:basedOn w:val="1"/>
    <w:qFormat/>
    <w:uiPriority w:val="0"/>
    <w:pPr>
      <w:ind w:firstLine="480" w:firstLineChars="200"/>
    </w:pPr>
  </w:style>
  <w:style w:type="paragraph" w:customStyle="1" w:styleId="5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59">
    <w:name w:val="标题 1 Char1"/>
    <w:link w:val="3"/>
    <w:qFormat/>
    <w:uiPriority w:val="0"/>
    <w:rPr>
      <w:rFonts w:ascii="Times New Roman" w:hAnsi="Times New Roman" w:eastAsia="宋体" w:cs="Times New Roman"/>
      <w:b/>
      <w:bCs/>
      <w:kern w:val="44"/>
      <w:sz w:val="44"/>
      <w:szCs w:val="44"/>
    </w:rPr>
  </w:style>
  <w:style w:type="character" w:customStyle="1" w:styleId="60">
    <w:name w:val="标题 2 Char1"/>
    <w:link w:val="4"/>
    <w:qFormat/>
    <w:uiPriority w:val="0"/>
    <w:rPr>
      <w:rFonts w:ascii="Arial" w:hAnsi="Arial" w:eastAsia="黑体" w:cs="Times New Roman"/>
      <w:b/>
      <w:bCs/>
      <w:sz w:val="32"/>
      <w:szCs w:val="32"/>
    </w:rPr>
  </w:style>
  <w:style w:type="character" w:customStyle="1" w:styleId="61">
    <w:name w:val="标题 3 Char1"/>
    <w:link w:val="5"/>
    <w:qFormat/>
    <w:uiPriority w:val="0"/>
    <w:rPr>
      <w:rFonts w:ascii="Times New Roman" w:hAnsi="Times New Roman" w:eastAsia="宋体" w:cs="Times New Roman"/>
      <w:b/>
      <w:bCs/>
      <w:sz w:val="32"/>
      <w:szCs w:val="32"/>
    </w:rPr>
  </w:style>
  <w:style w:type="character" w:customStyle="1" w:styleId="62">
    <w:name w:val="标题 5 Char2"/>
    <w:link w:val="6"/>
    <w:qFormat/>
    <w:uiPriority w:val="0"/>
    <w:rPr>
      <w:b/>
      <w:kern w:val="2"/>
      <w:sz w:val="28"/>
      <w:szCs w:val="24"/>
    </w:rPr>
  </w:style>
  <w:style w:type="character" w:customStyle="1" w:styleId="63">
    <w:name w:val="标题 6 Char1"/>
    <w:link w:val="8"/>
    <w:qFormat/>
    <w:uiPriority w:val="0"/>
    <w:rPr>
      <w:rFonts w:ascii="Arial" w:hAnsi="Arial" w:eastAsia="黑体"/>
      <w:b/>
      <w:kern w:val="2"/>
      <w:sz w:val="24"/>
      <w:szCs w:val="24"/>
    </w:rPr>
  </w:style>
  <w:style w:type="character" w:customStyle="1" w:styleId="64">
    <w:name w:val="标题 7 Char1"/>
    <w:link w:val="9"/>
    <w:qFormat/>
    <w:uiPriority w:val="0"/>
    <w:rPr>
      <w:rFonts w:ascii="Times New Roman" w:hAnsi="Times New Roman"/>
      <w:b/>
      <w:kern w:val="2"/>
      <w:sz w:val="24"/>
      <w:szCs w:val="24"/>
    </w:rPr>
  </w:style>
  <w:style w:type="character" w:customStyle="1" w:styleId="65">
    <w:name w:val="标题 8 Char1"/>
    <w:link w:val="10"/>
    <w:qFormat/>
    <w:uiPriority w:val="0"/>
    <w:rPr>
      <w:rFonts w:ascii="Arial" w:hAnsi="Arial" w:eastAsia="黑体"/>
      <w:kern w:val="2"/>
      <w:sz w:val="24"/>
      <w:szCs w:val="24"/>
    </w:rPr>
  </w:style>
  <w:style w:type="character" w:customStyle="1" w:styleId="66">
    <w:name w:val="标题 9 Char1"/>
    <w:link w:val="11"/>
    <w:qFormat/>
    <w:uiPriority w:val="0"/>
    <w:rPr>
      <w:rFonts w:ascii="Arial" w:hAnsi="Arial" w:eastAsia="黑体"/>
      <w:kern w:val="2"/>
      <w:sz w:val="21"/>
      <w:szCs w:val="24"/>
    </w:rPr>
  </w:style>
  <w:style w:type="character" w:customStyle="1" w:styleId="67">
    <w:name w:val="文档结构图 Char1"/>
    <w:link w:val="16"/>
    <w:qFormat/>
    <w:uiPriority w:val="0"/>
    <w:rPr>
      <w:rFonts w:hint="eastAsia" w:ascii="宋体" w:hAnsi="宋体" w:eastAsia="宋体" w:cs="宋体"/>
    </w:rPr>
  </w:style>
  <w:style w:type="character" w:customStyle="1" w:styleId="68">
    <w:name w:val="批注文字 Char3"/>
    <w:link w:val="17"/>
    <w:qFormat/>
    <w:uiPriority w:val="0"/>
    <w:rPr>
      <w:rFonts w:ascii="Times New Roman" w:hAnsi="Times New Roman"/>
      <w:kern w:val="2"/>
      <w:sz w:val="21"/>
      <w:szCs w:val="24"/>
    </w:rPr>
  </w:style>
  <w:style w:type="character" w:customStyle="1" w:styleId="69">
    <w:name w:val="正文文本 3 Char1"/>
    <w:link w:val="18"/>
    <w:qFormat/>
    <w:uiPriority w:val="0"/>
    <w:rPr>
      <w:rFonts w:ascii="Times New Roman" w:hAnsi="Times New Roman" w:eastAsia="宋体" w:cs="Times New Roman"/>
      <w:b/>
      <w:bCs/>
      <w:sz w:val="24"/>
      <w:szCs w:val="24"/>
    </w:rPr>
  </w:style>
  <w:style w:type="character" w:customStyle="1" w:styleId="70">
    <w:name w:val="正文文本 Char2"/>
    <w:link w:val="2"/>
    <w:qFormat/>
    <w:uiPriority w:val="0"/>
    <w:rPr>
      <w:rFonts w:ascii="Times New Roman" w:hAnsi="Times New Roman" w:eastAsia="宋体" w:cs="Times New Roman"/>
      <w:sz w:val="24"/>
      <w:szCs w:val="24"/>
    </w:rPr>
  </w:style>
  <w:style w:type="character" w:customStyle="1" w:styleId="71">
    <w:name w:val="正文文本缩进 Char1"/>
    <w:link w:val="19"/>
    <w:qFormat/>
    <w:uiPriority w:val="0"/>
    <w:rPr>
      <w:rFonts w:ascii="仿宋_GB2312" w:hAnsi="Times New Roman" w:eastAsia="仿宋_GB2312" w:cs="Times New Roman"/>
      <w:sz w:val="32"/>
      <w:szCs w:val="20"/>
    </w:rPr>
  </w:style>
  <w:style w:type="character" w:customStyle="1" w:styleId="72">
    <w:name w:val="纯文本 Char3"/>
    <w:link w:val="24"/>
    <w:qFormat/>
    <w:uiPriority w:val="0"/>
    <w:rPr>
      <w:rFonts w:ascii="宋体" w:hAnsi="Courier New" w:eastAsia="宋体" w:cs="Courier New"/>
      <w:szCs w:val="21"/>
    </w:rPr>
  </w:style>
  <w:style w:type="character" w:customStyle="1" w:styleId="73">
    <w:name w:val="日期 Char1"/>
    <w:link w:val="26"/>
    <w:qFormat/>
    <w:uiPriority w:val="0"/>
    <w:rPr>
      <w:rFonts w:ascii="宋体" w:hAnsi="Courier New" w:eastAsia="宋体" w:cs="Courier New"/>
      <w:szCs w:val="21"/>
    </w:rPr>
  </w:style>
  <w:style w:type="character" w:customStyle="1" w:styleId="74">
    <w:name w:val="正文文本缩进 2 Char1"/>
    <w:link w:val="27"/>
    <w:qFormat/>
    <w:uiPriority w:val="0"/>
    <w:rPr>
      <w:rFonts w:ascii="Times New Roman" w:hAnsi="Times New Roman" w:eastAsia="宋体" w:cs="Times New Roman"/>
      <w:sz w:val="32"/>
      <w:szCs w:val="20"/>
    </w:rPr>
  </w:style>
  <w:style w:type="character" w:customStyle="1" w:styleId="75">
    <w:name w:val="尾注文本 Char1"/>
    <w:link w:val="28"/>
    <w:qFormat/>
    <w:uiPriority w:val="99"/>
    <w:rPr>
      <w:rFonts w:ascii="Times New Roman" w:hAnsi="Times New Roman"/>
      <w:kern w:val="2"/>
      <w:sz w:val="21"/>
      <w:szCs w:val="24"/>
    </w:rPr>
  </w:style>
  <w:style w:type="character" w:customStyle="1" w:styleId="76">
    <w:name w:val="批注框文本 Char1"/>
    <w:link w:val="29"/>
    <w:semiHidden/>
    <w:qFormat/>
    <w:uiPriority w:val="0"/>
    <w:rPr>
      <w:rFonts w:ascii="Times New Roman" w:hAnsi="Times New Roman" w:eastAsia="宋体" w:cs="Times New Roman"/>
      <w:sz w:val="18"/>
      <w:szCs w:val="18"/>
    </w:rPr>
  </w:style>
  <w:style w:type="character" w:customStyle="1" w:styleId="77">
    <w:name w:val="页脚 Char1"/>
    <w:link w:val="30"/>
    <w:qFormat/>
    <w:uiPriority w:val="99"/>
    <w:rPr>
      <w:sz w:val="18"/>
      <w:szCs w:val="18"/>
    </w:rPr>
  </w:style>
  <w:style w:type="character" w:customStyle="1" w:styleId="78">
    <w:name w:val="页眉 Char1"/>
    <w:link w:val="32"/>
    <w:qFormat/>
    <w:uiPriority w:val="99"/>
    <w:rPr>
      <w:rFonts w:ascii="Times New Roman" w:hAnsi="Times New Roman"/>
      <w:kern w:val="2"/>
      <w:sz w:val="18"/>
      <w:szCs w:val="18"/>
    </w:rPr>
  </w:style>
  <w:style w:type="character" w:customStyle="1" w:styleId="79">
    <w:name w:val="脚注文本 Char1"/>
    <w:link w:val="36"/>
    <w:qFormat/>
    <w:uiPriority w:val="99"/>
    <w:rPr>
      <w:rFonts w:ascii="Times New Roman" w:hAnsi="Times New Roman"/>
      <w:kern w:val="2"/>
      <w:sz w:val="18"/>
      <w:szCs w:val="18"/>
    </w:rPr>
  </w:style>
  <w:style w:type="character" w:customStyle="1" w:styleId="80">
    <w:name w:val="正文文本缩进 3 Char1"/>
    <w:link w:val="38"/>
    <w:qFormat/>
    <w:uiPriority w:val="0"/>
    <w:rPr>
      <w:rFonts w:ascii="Times New Roman" w:hAnsi="Times New Roman" w:eastAsia="宋体" w:cs="Times New Roman"/>
      <w:sz w:val="16"/>
      <w:szCs w:val="16"/>
    </w:rPr>
  </w:style>
  <w:style w:type="character" w:customStyle="1" w:styleId="81">
    <w:name w:val="正文文本 2 Char1"/>
    <w:link w:val="41"/>
    <w:qFormat/>
    <w:uiPriority w:val="0"/>
    <w:rPr>
      <w:rFonts w:ascii="Times New Roman" w:hAnsi="Times New Roman" w:eastAsia="宋体" w:cs="Times New Roman"/>
      <w:szCs w:val="24"/>
    </w:rPr>
  </w:style>
  <w:style w:type="character" w:customStyle="1" w:styleId="82">
    <w:name w:val="标题 Char1"/>
    <w:link w:val="44"/>
    <w:qFormat/>
    <w:uiPriority w:val="10"/>
    <w:rPr>
      <w:rFonts w:ascii="Cambria" w:hAnsi="Cambria" w:cs="Times New Roman"/>
      <w:b/>
      <w:bCs/>
      <w:kern w:val="2"/>
      <w:sz w:val="32"/>
      <w:szCs w:val="32"/>
    </w:rPr>
  </w:style>
  <w:style w:type="character" w:customStyle="1" w:styleId="83">
    <w:name w:val="批注主题 Char1"/>
    <w:link w:val="45"/>
    <w:qFormat/>
    <w:uiPriority w:val="99"/>
    <w:rPr>
      <w:rFonts w:ascii="Times New Roman" w:hAnsi="Times New Roman"/>
      <w:b/>
      <w:bCs/>
      <w:kern w:val="2"/>
      <w:sz w:val="21"/>
      <w:szCs w:val="24"/>
    </w:rPr>
  </w:style>
  <w:style w:type="character" w:customStyle="1" w:styleId="84">
    <w:name w:val="font11"/>
    <w:qFormat/>
    <w:uiPriority w:val="0"/>
    <w:rPr>
      <w:rFonts w:hint="eastAsia" w:ascii="宋体" w:hAnsi="宋体" w:eastAsia="宋体" w:cs="宋体"/>
      <w:color w:val="000000"/>
      <w:sz w:val="20"/>
      <w:szCs w:val="20"/>
      <w:u w:val="none"/>
    </w:rPr>
  </w:style>
  <w:style w:type="character" w:customStyle="1" w:styleId="85">
    <w:name w:val="批注文字 字符1"/>
    <w:qFormat/>
    <w:uiPriority w:val="0"/>
    <w:rPr>
      <w:rFonts w:ascii="Times New Roman" w:hAnsi="Times New Roman"/>
      <w:kern w:val="2"/>
      <w:sz w:val="21"/>
      <w:szCs w:val="24"/>
    </w:rPr>
  </w:style>
  <w:style w:type="character" w:customStyle="1" w:styleId="86">
    <w:name w:val="标题 2 字符"/>
    <w:qFormat/>
    <w:uiPriority w:val="0"/>
    <w:rPr>
      <w:rFonts w:ascii="Arial" w:hAnsi="Arial" w:eastAsia="黑体" w:cs="Times New Roman"/>
      <w:b/>
      <w:bCs/>
      <w:sz w:val="32"/>
      <w:szCs w:val="32"/>
    </w:rPr>
  </w:style>
  <w:style w:type="character" w:customStyle="1" w:styleId="8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8">
    <w:name w:val="批注文字 Char1"/>
    <w:semiHidden/>
    <w:qFormat/>
    <w:locked/>
    <w:uiPriority w:val="0"/>
    <w:rPr>
      <w:rFonts w:ascii="Times New Roman" w:hAnsi="Times New Roman"/>
      <w:kern w:val="2"/>
      <w:sz w:val="21"/>
      <w:szCs w:val="24"/>
    </w:rPr>
  </w:style>
  <w:style w:type="character" w:customStyle="1" w:styleId="89">
    <w:name w:val="页眉 字符"/>
    <w:qFormat/>
    <w:uiPriority w:val="0"/>
    <w:rPr>
      <w:rFonts w:ascii="Times New Roman" w:hAnsi="Times New Roman"/>
      <w:kern w:val="2"/>
      <w:sz w:val="18"/>
      <w:szCs w:val="18"/>
    </w:rPr>
  </w:style>
  <w:style w:type="character" w:customStyle="1" w:styleId="90">
    <w:name w:val="apple-style-span"/>
    <w:qFormat/>
    <w:uiPriority w:val="0"/>
  </w:style>
  <w:style w:type="character" w:customStyle="1" w:styleId="91">
    <w:name w:val="尾注文本 字符"/>
    <w:qFormat/>
    <w:uiPriority w:val="99"/>
    <w:rPr>
      <w:rFonts w:ascii="Times New Roman" w:hAnsi="Times New Roman"/>
      <w:kern w:val="2"/>
      <w:sz w:val="21"/>
      <w:szCs w:val="24"/>
    </w:rPr>
  </w:style>
  <w:style w:type="character" w:customStyle="1" w:styleId="92">
    <w:name w:val="正文文本缩进 字符"/>
    <w:qFormat/>
    <w:uiPriority w:val="0"/>
    <w:rPr>
      <w:rFonts w:ascii="仿宋_GB2312" w:hAnsi="Times New Roman" w:eastAsia="仿宋_GB2312" w:cs="Times New Roman"/>
      <w:sz w:val="32"/>
      <w:szCs w:val="20"/>
    </w:rPr>
  </w:style>
  <w:style w:type="character" w:customStyle="1" w:styleId="93">
    <w:name w:val="普通文字 Char Char2"/>
    <w:qFormat/>
    <w:uiPriority w:val="0"/>
    <w:rPr>
      <w:rFonts w:ascii="宋体" w:hAnsi="Courier New" w:eastAsia="宋体"/>
      <w:kern w:val="2"/>
      <w:sz w:val="21"/>
      <w:lang w:val="en-US" w:eastAsia="zh-CN" w:bidi="ar-SA"/>
    </w:rPr>
  </w:style>
  <w:style w:type="character" w:customStyle="1" w:styleId="94">
    <w:name w:val="正文文本缩进 3 字符"/>
    <w:qFormat/>
    <w:uiPriority w:val="0"/>
    <w:rPr>
      <w:rFonts w:ascii="Times New Roman" w:hAnsi="Times New Roman" w:eastAsia="宋体" w:cs="Times New Roman"/>
      <w:sz w:val="16"/>
      <w:szCs w:val="16"/>
    </w:rPr>
  </w:style>
  <w:style w:type="character" w:customStyle="1" w:styleId="95">
    <w:name w:val="font21"/>
    <w:basedOn w:val="49"/>
    <w:qFormat/>
    <w:uiPriority w:val="0"/>
    <w:rPr>
      <w:rFonts w:hint="eastAsia" w:ascii="宋体" w:hAnsi="宋体" w:eastAsia="宋体" w:cs="宋体"/>
      <w:color w:val="FF0000"/>
      <w:sz w:val="20"/>
      <w:szCs w:val="20"/>
      <w:u w:val="none"/>
    </w:rPr>
  </w:style>
  <w:style w:type="character" w:customStyle="1" w:styleId="96">
    <w:name w:val="页脚 字符"/>
    <w:qFormat/>
    <w:uiPriority w:val="99"/>
  </w:style>
  <w:style w:type="character" w:customStyle="1" w:styleId="97">
    <w:name w:val="标题 7 字符"/>
    <w:qFormat/>
    <w:uiPriority w:val="0"/>
    <w:rPr>
      <w:rFonts w:ascii="Times New Roman" w:hAnsi="Times New Roman"/>
      <w:b/>
      <w:kern w:val="2"/>
      <w:sz w:val="24"/>
      <w:szCs w:val="24"/>
    </w:rPr>
  </w:style>
  <w:style w:type="character" w:customStyle="1" w:styleId="98">
    <w:name w:val="标题 3 字符"/>
    <w:qFormat/>
    <w:uiPriority w:val="0"/>
    <w:rPr>
      <w:rFonts w:ascii="Times New Roman" w:hAnsi="Times New Roman" w:eastAsia="宋体" w:cs="Times New Roman"/>
      <w:b/>
      <w:bCs/>
      <w:sz w:val="32"/>
      <w:szCs w:val="32"/>
    </w:rPr>
  </w:style>
  <w:style w:type="character" w:customStyle="1" w:styleId="99">
    <w:name w:val="正文文本缩进 字符1"/>
    <w:qFormat/>
    <w:uiPriority w:val="0"/>
    <w:rPr>
      <w:rFonts w:ascii="仿宋_GB2312" w:hAnsi="Times New Roman" w:eastAsia="仿宋_GB2312" w:cs="Times New Roman"/>
      <w:sz w:val="32"/>
      <w:szCs w:val="20"/>
    </w:rPr>
  </w:style>
  <w:style w:type="character" w:customStyle="1" w:styleId="100">
    <w:name w:val="批注文字 字符"/>
    <w:qFormat/>
    <w:uiPriority w:val="0"/>
    <w:rPr>
      <w:rFonts w:ascii="Times New Roman" w:hAnsi="Times New Roman"/>
      <w:kern w:val="2"/>
      <w:sz w:val="21"/>
      <w:szCs w:val="24"/>
    </w:rPr>
  </w:style>
  <w:style w:type="character" w:customStyle="1" w:styleId="101">
    <w:name w:val="标题 8 字符"/>
    <w:qFormat/>
    <w:uiPriority w:val="0"/>
    <w:rPr>
      <w:rFonts w:ascii="Arial" w:hAnsi="Arial" w:eastAsia="黑体"/>
      <w:kern w:val="2"/>
      <w:sz w:val="24"/>
      <w:szCs w:val="24"/>
    </w:rPr>
  </w:style>
  <w:style w:type="character" w:customStyle="1" w:styleId="102">
    <w:name w:val="UserStyle_9"/>
    <w:link w:val="103"/>
    <w:qFormat/>
    <w:locked/>
    <w:uiPriority w:val="0"/>
    <w:rPr>
      <w:kern w:val="2"/>
      <w:sz w:val="21"/>
      <w:szCs w:val="24"/>
    </w:rPr>
  </w:style>
  <w:style w:type="paragraph" w:customStyle="1" w:styleId="103">
    <w:name w:val="AnnotationText"/>
    <w:basedOn w:val="1"/>
    <w:link w:val="102"/>
    <w:qFormat/>
    <w:uiPriority w:val="0"/>
    <w:pPr>
      <w:widowControl/>
      <w:jc w:val="left"/>
    </w:pPr>
  </w:style>
  <w:style w:type="character" w:customStyle="1" w:styleId="104">
    <w:name w:val="textcontents"/>
    <w:qFormat/>
    <w:uiPriority w:val="0"/>
  </w:style>
  <w:style w:type="character" w:customStyle="1" w:styleId="105">
    <w:name w:val="批注框文本 字符"/>
    <w:semiHidden/>
    <w:qFormat/>
    <w:uiPriority w:val="0"/>
    <w:rPr>
      <w:rFonts w:ascii="Times New Roman" w:hAnsi="Times New Roman" w:eastAsia="宋体" w:cs="Times New Roman"/>
      <w:sz w:val="18"/>
      <w:szCs w:val="18"/>
    </w:rPr>
  </w:style>
  <w:style w:type="character" w:customStyle="1" w:styleId="106">
    <w:name w:val="批注文字 Char"/>
    <w:qFormat/>
    <w:uiPriority w:val="99"/>
    <w:rPr>
      <w:rFonts w:ascii="Times New Roman" w:hAnsi="Times New Roman"/>
      <w:kern w:val="2"/>
      <w:sz w:val="21"/>
      <w:szCs w:val="24"/>
    </w:rPr>
  </w:style>
  <w:style w:type="character" w:customStyle="1" w:styleId="107">
    <w:name w:val="纯文本 字符"/>
    <w:qFormat/>
    <w:uiPriority w:val="99"/>
    <w:rPr>
      <w:rFonts w:ascii="宋体" w:hAnsi="Courier New" w:eastAsia="宋体" w:cs="Courier New"/>
      <w:szCs w:val="21"/>
    </w:rPr>
  </w:style>
  <w:style w:type="character" w:customStyle="1" w:styleId="108">
    <w:name w:val="正文文本 2 字符"/>
    <w:qFormat/>
    <w:uiPriority w:val="0"/>
    <w:rPr>
      <w:rFonts w:ascii="Times New Roman" w:hAnsi="Times New Roman" w:eastAsia="宋体" w:cs="Times New Roman"/>
      <w:szCs w:val="24"/>
    </w:rPr>
  </w:style>
  <w:style w:type="character" w:customStyle="1" w:styleId="109">
    <w:name w:val="标题 6 字符"/>
    <w:qFormat/>
    <w:uiPriority w:val="0"/>
    <w:rPr>
      <w:rFonts w:ascii="Arial" w:hAnsi="Arial" w:eastAsia="黑体"/>
      <w:b/>
      <w:kern w:val="2"/>
      <w:sz w:val="24"/>
      <w:szCs w:val="24"/>
    </w:rPr>
  </w:style>
  <w:style w:type="character" w:customStyle="1" w:styleId="110">
    <w:name w:val="批注主题 字符"/>
    <w:qFormat/>
    <w:uiPriority w:val="99"/>
    <w:rPr>
      <w:rFonts w:ascii="Times New Roman" w:hAnsi="Times New Roman"/>
      <w:b/>
      <w:bCs/>
      <w:kern w:val="2"/>
      <w:sz w:val="21"/>
      <w:szCs w:val="24"/>
    </w:rPr>
  </w:style>
  <w:style w:type="character" w:customStyle="1" w:styleId="111">
    <w:name w:val="正文2 Char Char"/>
    <w:link w:val="112"/>
    <w:qFormat/>
    <w:uiPriority w:val="0"/>
    <w:rPr>
      <w:kern w:val="2"/>
      <w:sz w:val="24"/>
    </w:rPr>
  </w:style>
  <w:style w:type="paragraph" w:customStyle="1" w:styleId="112">
    <w:name w:val="正文2"/>
    <w:basedOn w:val="1"/>
    <w:link w:val="111"/>
    <w:qFormat/>
    <w:uiPriority w:val="0"/>
    <w:pPr>
      <w:adjustRightInd w:val="0"/>
      <w:spacing w:before="156" w:line="360" w:lineRule="auto"/>
      <w:ind w:firstLine="510" w:firstLineChars="200"/>
    </w:pPr>
    <w:rPr>
      <w:sz w:val="24"/>
      <w:szCs w:val="20"/>
    </w:rPr>
  </w:style>
  <w:style w:type="character" w:customStyle="1" w:styleId="113">
    <w:name w:val="脚注文本 字符"/>
    <w:qFormat/>
    <w:uiPriority w:val="99"/>
    <w:rPr>
      <w:rFonts w:ascii="Times New Roman" w:hAnsi="Times New Roman"/>
      <w:kern w:val="2"/>
      <w:sz w:val="18"/>
      <w:szCs w:val="18"/>
    </w:rPr>
  </w:style>
  <w:style w:type="character" w:customStyle="1" w:styleId="114">
    <w:name w:val="纯文本 Char"/>
    <w:qFormat/>
    <w:uiPriority w:val="99"/>
    <w:rPr>
      <w:rFonts w:ascii="宋体" w:hAnsi="Courier New" w:eastAsia="宋体"/>
      <w:kern w:val="2"/>
      <w:sz w:val="21"/>
      <w:lang w:val="en-US" w:eastAsia="zh-CN" w:bidi="ar-SA"/>
    </w:rPr>
  </w:style>
  <w:style w:type="character" w:customStyle="1" w:styleId="115">
    <w:name w:val="页脚 字符1"/>
    <w:qFormat/>
    <w:uiPriority w:val="99"/>
    <w:rPr>
      <w:sz w:val="18"/>
      <w:szCs w:val="18"/>
    </w:rPr>
  </w:style>
  <w:style w:type="character" w:customStyle="1" w:styleId="116">
    <w:name w:val="font31"/>
    <w:qFormat/>
    <w:uiPriority w:val="0"/>
    <w:rPr>
      <w:rFonts w:hint="eastAsia" w:ascii="宋体" w:hAnsi="宋体" w:eastAsia="宋体" w:cs="宋体"/>
      <w:color w:val="FF0000"/>
      <w:sz w:val="20"/>
      <w:szCs w:val="20"/>
      <w:u w:val="none"/>
    </w:rPr>
  </w:style>
  <w:style w:type="character" w:customStyle="1" w:styleId="117">
    <w:name w:val="正文文本 Char1"/>
    <w:qFormat/>
    <w:locked/>
    <w:uiPriority w:val="0"/>
    <w:rPr>
      <w:sz w:val="24"/>
      <w:szCs w:val="24"/>
    </w:rPr>
  </w:style>
  <w:style w:type="character" w:customStyle="1" w:styleId="118">
    <w:name w:val="标题 5 Char"/>
    <w:qFormat/>
    <w:uiPriority w:val="0"/>
    <w:rPr>
      <w:b/>
      <w:kern w:val="2"/>
      <w:sz w:val="28"/>
      <w:szCs w:val="24"/>
    </w:rPr>
  </w:style>
  <w:style w:type="character" w:customStyle="1" w:styleId="119">
    <w:name w:val="标题 字符"/>
    <w:qFormat/>
    <w:uiPriority w:val="10"/>
    <w:rPr>
      <w:rFonts w:ascii="Cambria" w:hAnsi="Cambria" w:cs="Times New Roman"/>
      <w:b/>
      <w:bCs/>
      <w:kern w:val="2"/>
      <w:sz w:val="32"/>
      <w:szCs w:val="32"/>
    </w:rPr>
  </w:style>
  <w:style w:type="character" w:customStyle="1" w:styleId="120">
    <w:name w:val="标题 1 字符1"/>
    <w:qFormat/>
    <w:uiPriority w:val="0"/>
    <w:rPr>
      <w:rFonts w:ascii="Times New Roman" w:hAnsi="Times New Roman" w:eastAsia="宋体" w:cs="Times New Roman"/>
      <w:b/>
      <w:bCs/>
      <w:kern w:val="44"/>
      <w:sz w:val="44"/>
      <w:szCs w:val="44"/>
    </w:rPr>
  </w:style>
  <w:style w:type="character" w:customStyle="1" w:styleId="121">
    <w:name w:val="批注文字 字符2"/>
    <w:qFormat/>
    <w:uiPriority w:val="0"/>
    <w:rPr>
      <w:rFonts w:ascii="Times New Roman" w:hAnsi="Times New Roman"/>
      <w:kern w:val="2"/>
      <w:sz w:val="21"/>
      <w:szCs w:val="24"/>
    </w:rPr>
  </w:style>
  <w:style w:type="character" w:customStyle="1" w:styleId="122">
    <w:name w:val="正文文本 3 字符"/>
    <w:qFormat/>
    <w:uiPriority w:val="0"/>
    <w:rPr>
      <w:rFonts w:ascii="Times New Roman" w:hAnsi="Times New Roman" w:eastAsia="宋体" w:cs="Times New Roman"/>
      <w:b/>
      <w:bCs/>
      <w:sz w:val="24"/>
      <w:szCs w:val="24"/>
    </w:rPr>
  </w:style>
  <w:style w:type="character" w:customStyle="1" w:styleId="123">
    <w:name w:val="纯文本 字符1"/>
    <w:qFormat/>
    <w:uiPriority w:val="0"/>
    <w:rPr>
      <w:rFonts w:ascii="宋体" w:hAnsi="Courier New"/>
    </w:rPr>
  </w:style>
  <w:style w:type="character" w:customStyle="1" w:styleId="124">
    <w:name w:val="headline-content4"/>
    <w:qFormat/>
    <w:uiPriority w:val="0"/>
  </w:style>
  <w:style w:type="character" w:customStyle="1" w:styleId="125">
    <w:name w:val="正文文本缩进 2 字符"/>
    <w:qFormat/>
    <w:uiPriority w:val="0"/>
    <w:rPr>
      <w:rFonts w:ascii="Times New Roman" w:hAnsi="Times New Roman" w:eastAsia="宋体" w:cs="Times New Roman"/>
      <w:sz w:val="32"/>
      <w:szCs w:val="20"/>
    </w:rPr>
  </w:style>
  <w:style w:type="character" w:customStyle="1" w:styleId="126">
    <w:name w:val="标题 1 字符"/>
    <w:qFormat/>
    <w:uiPriority w:val="9"/>
    <w:rPr>
      <w:rFonts w:ascii="Times New Roman" w:hAnsi="Times New Roman" w:eastAsia="宋体" w:cs="Times New Roman"/>
      <w:b/>
      <w:bCs/>
      <w:kern w:val="44"/>
      <w:sz w:val="44"/>
      <w:szCs w:val="44"/>
    </w:rPr>
  </w:style>
  <w:style w:type="character" w:customStyle="1" w:styleId="127">
    <w:name w:val="文档结构图 字符"/>
    <w:qFormat/>
    <w:uiPriority w:val="0"/>
    <w:rPr>
      <w:rFonts w:hint="eastAsia" w:ascii="宋体" w:hAnsi="宋体" w:eastAsia="宋体" w:cs="宋体"/>
    </w:rPr>
  </w:style>
  <w:style w:type="character" w:customStyle="1" w:styleId="128">
    <w:name w:val="case31"/>
    <w:qFormat/>
    <w:uiPriority w:val="0"/>
    <w:rPr>
      <w:rFonts w:hint="default"/>
      <w:sz w:val="21"/>
      <w:szCs w:val="21"/>
    </w:rPr>
  </w:style>
  <w:style w:type="character" w:customStyle="1" w:styleId="129">
    <w:name w:val="纯文本 字符2"/>
    <w:qFormat/>
    <w:uiPriority w:val="0"/>
    <w:rPr>
      <w:rFonts w:ascii="宋体" w:hAnsi="Courier New" w:eastAsia="宋体" w:cs="Courier New"/>
      <w:szCs w:val="21"/>
    </w:rPr>
  </w:style>
  <w:style w:type="character" w:customStyle="1" w:styleId="130">
    <w:name w:val="NormalCharacter"/>
    <w:qFormat/>
    <w:uiPriority w:val="0"/>
  </w:style>
  <w:style w:type="character" w:customStyle="1" w:styleId="131">
    <w:name w:val="日期 字符"/>
    <w:qFormat/>
    <w:uiPriority w:val="0"/>
    <w:rPr>
      <w:rFonts w:ascii="宋体" w:hAnsi="Courier New" w:eastAsia="宋体" w:cs="Courier New"/>
      <w:szCs w:val="21"/>
    </w:rPr>
  </w:style>
  <w:style w:type="character" w:customStyle="1" w:styleId="132">
    <w:name w:val="正文文本 字符"/>
    <w:qFormat/>
    <w:uiPriority w:val="99"/>
    <w:rPr>
      <w:rFonts w:ascii="Times New Roman" w:hAnsi="Times New Roman" w:eastAsia="宋体" w:cs="Times New Roman"/>
      <w:sz w:val="24"/>
      <w:szCs w:val="24"/>
    </w:rPr>
  </w:style>
  <w:style w:type="character" w:customStyle="1" w:styleId="133">
    <w:name w:val="标题 5 字符"/>
    <w:qFormat/>
    <w:uiPriority w:val="0"/>
    <w:rPr>
      <w:b/>
      <w:kern w:val="2"/>
      <w:sz w:val="28"/>
      <w:szCs w:val="24"/>
    </w:rPr>
  </w:style>
  <w:style w:type="character" w:customStyle="1" w:styleId="134">
    <w:name w:val="标题 9 字符"/>
    <w:qFormat/>
    <w:uiPriority w:val="0"/>
    <w:rPr>
      <w:rFonts w:ascii="Arial" w:hAnsi="Arial" w:eastAsia="黑体"/>
      <w:kern w:val="2"/>
      <w:sz w:val="21"/>
      <w:szCs w:val="24"/>
    </w:rPr>
  </w:style>
  <w:style w:type="paragraph" w:customStyle="1" w:styleId="135">
    <w:name w:val="Table Paragraph"/>
    <w:basedOn w:val="1"/>
    <w:qFormat/>
    <w:uiPriority w:val="1"/>
    <w:pPr>
      <w:jc w:val="left"/>
    </w:pPr>
    <w:rPr>
      <w:rFonts w:ascii="Calibri" w:hAnsi="Calibri"/>
      <w:kern w:val="0"/>
      <w:sz w:val="22"/>
      <w:szCs w:val="22"/>
      <w:lang w:eastAsia="en-US"/>
    </w:rPr>
  </w:style>
  <w:style w:type="paragraph" w:customStyle="1" w:styleId="13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37">
    <w:name w:val="样式 首行缩进:  2 字符"/>
    <w:basedOn w:val="1"/>
    <w:qFormat/>
    <w:uiPriority w:val="0"/>
    <w:pPr>
      <w:spacing w:line="400" w:lineRule="exact"/>
      <w:ind w:firstLine="200" w:firstLineChars="200"/>
    </w:pPr>
    <w:rPr>
      <w:rFonts w:cs="宋体"/>
      <w:sz w:val="24"/>
    </w:rPr>
  </w:style>
  <w:style w:type="paragraph" w:styleId="138">
    <w:name w:val="List Paragraph"/>
    <w:basedOn w:val="1"/>
    <w:qFormat/>
    <w:uiPriority w:val="34"/>
    <w:pPr>
      <w:ind w:firstLine="420" w:firstLineChars="200"/>
    </w:pPr>
  </w:style>
  <w:style w:type="paragraph" w:customStyle="1" w:styleId="139">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40">
    <w:name w:val="正文段"/>
    <w:basedOn w:val="1"/>
    <w:qFormat/>
    <w:uiPriority w:val="0"/>
    <w:pPr>
      <w:widowControl/>
      <w:snapToGrid w:val="0"/>
      <w:spacing w:afterLines="50"/>
      <w:ind w:firstLine="200" w:firstLineChars="200"/>
    </w:pPr>
    <w:rPr>
      <w:kern w:val="0"/>
      <w:sz w:val="24"/>
      <w:szCs w:val="20"/>
    </w:rPr>
  </w:style>
  <w:style w:type="paragraph" w:customStyle="1" w:styleId="141">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42">
    <w:name w:val="正文正"/>
    <w:basedOn w:val="1"/>
    <w:qFormat/>
    <w:uiPriority w:val="99"/>
    <w:pPr>
      <w:spacing w:line="560" w:lineRule="exact"/>
      <w:ind w:firstLine="561"/>
    </w:pPr>
    <w:rPr>
      <w:rFonts w:eastAsia="仿宋_GB2312"/>
      <w:sz w:val="28"/>
    </w:rPr>
  </w:style>
  <w:style w:type="paragraph" w:customStyle="1" w:styleId="143">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44">
    <w:name w:val="默认段落字体 Para Char Char Char Char Char Char Char Char Char1 Char Char Char Char"/>
    <w:basedOn w:val="1"/>
    <w:qFormat/>
    <w:uiPriority w:val="0"/>
    <w:rPr>
      <w:rFonts w:ascii="Tahoma" w:hAnsi="Tahoma"/>
      <w:sz w:val="24"/>
      <w:szCs w:val="20"/>
    </w:rPr>
  </w:style>
  <w:style w:type="paragraph" w:customStyle="1" w:styleId="145">
    <w:name w:val="表格"/>
    <w:basedOn w:val="1"/>
    <w:qFormat/>
    <w:uiPriority w:val="0"/>
    <w:pPr>
      <w:spacing w:line="400" w:lineRule="exact"/>
    </w:pPr>
    <w:rPr>
      <w:sz w:val="24"/>
    </w:rPr>
  </w:style>
  <w:style w:type="paragraph" w:customStyle="1" w:styleId="146">
    <w:name w:val="纯文本1"/>
    <w:basedOn w:val="1"/>
    <w:qFormat/>
    <w:uiPriority w:val="0"/>
    <w:rPr>
      <w:rFonts w:ascii="宋体" w:hAnsi="Courier New" w:cs="Century"/>
      <w:szCs w:val="21"/>
    </w:rPr>
  </w:style>
  <w:style w:type="paragraph" w:customStyle="1" w:styleId="147">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8">
    <w:name w:val="Char1"/>
    <w:basedOn w:val="1"/>
    <w:qFormat/>
    <w:uiPriority w:val="0"/>
    <w:rPr>
      <w:szCs w:val="21"/>
    </w:rPr>
  </w:style>
  <w:style w:type="paragraph" w:customStyle="1" w:styleId="149">
    <w:name w:val="正文首行缩进两字符"/>
    <w:basedOn w:val="1"/>
    <w:qFormat/>
    <w:uiPriority w:val="0"/>
    <w:pPr>
      <w:spacing w:line="360" w:lineRule="auto"/>
      <w:ind w:firstLine="200" w:firstLineChars="200"/>
    </w:pPr>
  </w:style>
  <w:style w:type="paragraph" w:customStyle="1" w:styleId="15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51">
    <w:name w:val="_Style 60"/>
    <w:basedOn w:val="1"/>
    <w:next w:val="138"/>
    <w:qFormat/>
    <w:uiPriority w:val="99"/>
    <w:pPr>
      <w:ind w:firstLine="420" w:firstLineChars="200"/>
    </w:pPr>
  </w:style>
  <w:style w:type="table" w:customStyle="1" w:styleId="152">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paragraph" w:customStyle="1" w:styleId="153">
    <w:name w:val="_Style 129"/>
    <w:basedOn w:val="1"/>
    <w:next w:val="138"/>
    <w:qFormat/>
    <w:uiPriority w:val="99"/>
    <w:pPr>
      <w:ind w:firstLine="420" w:firstLineChars="200"/>
    </w:pPr>
  </w:style>
  <w:style w:type="character" w:customStyle="1" w:styleId="154">
    <w:name w:val="纯文本 Char1"/>
    <w:qFormat/>
    <w:locked/>
    <w:uiPriority w:val="0"/>
    <w:rPr>
      <w:rFonts w:ascii="宋体" w:hAnsi="Courier New" w:cs="Courier New"/>
      <w:szCs w:val="21"/>
    </w:rPr>
  </w:style>
  <w:style w:type="character" w:customStyle="1" w:styleId="155">
    <w:name w:val="正文文本 Char"/>
    <w:qFormat/>
    <w:uiPriority w:val="0"/>
    <w:rPr>
      <w:rFonts w:ascii="Times New Roman" w:hAnsi="Times New Roman" w:eastAsia="宋体" w:cs="Times New Roman"/>
      <w:sz w:val="24"/>
      <w:szCs w:val="24"/>
    </w:rPr>
  </w:style>
  <w:style w:type="character" w:customStyle="1" w:styleId="156">
    <w:name w:val="标题 1 Char"/>
    <w:qFormat/>
    <w:uiPriority w:val="9"/>
    <w:rPr>
      <w:rFonts w:ascii="Times New Roman" w:hAnsi="Times New Roman" w:eastAsia="宋体" w:cs="Times New Roman"/>
      <w:b/>
      <w:bCs/>
      <w:kern w:val="44"/>
      <w:sz w:val="44"/>
      <w:szCs w:val="44"/>
    </w:rPr>
  </w:style>
  <w:style w:type="character" w:customStyle="1" w:styleId="157">
    <w:name w:val="标题 2 Char"/>
    <w:qFormat/>
    <w:uiPriority w:val="0"/>
    <w:rPr>
      <w:rFonts w:ascii="Arial" w:hAnsi="Arial" w:eastAsia="黑体" w:cs="Times New Roman"/>
      <w:b/>
      <w:bCs/>
      <w:sz w:val="32"/>
      <w:szCs w:val="32"/>
    </w:rPr>
  </w:style>
  <w:style w:type="character" w:customStyle="1" w:styleId="158">
    <w:name w:val="标题 3 Char"/>
    <w:qFormat/>
    <w:uiPriority w:val="0"/>
    <w:rPr>
      <w:rFonts w:ascii="Times New Roman" w:hAnsi="Times New Roman" w:eastAsia="宋体" w:cs="Times New Roman"/>
      <w:b/>
      <w:bCs/>
      <w:sz w:val="32"/>
      <w:szCs w:val="32"/>
    </w:rPr>
  </w:style>
  <w:style w:type="character" w:customStyle="1" w:styleId="159">
    <w:name w:val="标题 5 Char1"/>
    <w:qFormat/>
    <w:uiPriority w:val="0"/>
    <w:rPr>
      <w:b/>
      <w:kern w:val="2"/>
      <w:sz w:val="28"/>
      <w:szCs w:val="24"/>
    </w:rPr>
  </w:style>
  <w:style w:type="character" w:customStyle="1" w:styleId="160">
    <w:name w:val="标题 6 Char"/>
    <w:qFormat/>
    <w:uiPriority w:val="0"/>
    <w:rPr>
      <w:rFonts w:ascii="Arial" w:hAnsi="Arial" w:eastAsia="黑体"/>
      <w:b/>
      <w:kern w:val="2"/>
      <w:sz w:val="24"/>
      <w:szCs w:val="24"/>
    </w:rPr>
  </w:style>
  <w:style w:type="character" w:customStyle="1" w:styleId="161">
    <w:name w:val="标题 7 Char"/>
    <w:qFormat/>
    <w:uiPriority w:val="0"/>
    <w:rPr>
      <w:rFonts w:ascii="Times New Roman" w:hAnsi="Times New Roman"/>
      <w:b/>
      <w:kern w:val="2"/>
      <w:sz w:val="24"/>
      <w:szCs w:val="24"/>
    </w:rPr>
  </w:style>
  <w:style w:type="character" w:customStyle="1" w:styleId="162">
    <w:name w:val="标题 8 Char"/>
    <w:qFormat/>
    <w:uiPriority w:val="0"/>
    <w:rPr>
      <w:rFonts w:ascii="Arial" w:hAnsi="Arial" w:eastAsia="黑体"/>
      <w:kern w:val="2"/>
      <w:sz w:val="24"/>
      <w:szCs w:val="24"/>
    </w:rPr>
  </w:style>
  <w:style w:type="character" w:customStyle="1" w:styleId="163">
    <w:name w:val="标题 9 Char"/>
    <w:qFormat/>
    <w:uiPriority w:val="0"/>
    <w:rPr>
      <w:rFonts w:ascii="Arial" w:hAnsi="Arial" w:eastAsia="黑体"/>
      <w:kern w:val="2"/>
      <w:sz w:val="21"/>
      <w:szCs w:val="24"/>
    </w:rPr>
  </w:style>
  <w:style w:type="paragraph" w:customStyle="1" w:styleId="164">
    <w:name w:val="_Style 161"/>
    <w:basedOn w:val="1"/>
    <w:next w:val="138"/>
    <w:qFormat/>
    <w:uiPriority w:val="99"/>
    <w:pPr>
      <w:ind w:firstLine="420" w:firstLineChars="200"/>
    </w:pPr>
  </w:style>
  <w:style w:type="character" w:customStyle="1" w:styleId="165">
    <w:name w:val="文档结构图 Char"/>
    <w:qFormat/>
    <w:uiPriority w:val="0"/>
    <w:rPr>
      <w:rFonts w:hint="eastAsia" w:ascii="宋体" w:hAnsi="宋体" w:eastAsia="宋体" w:cs="宋体"/>
    </w:rPr>
  </w:style>
  <w:style w:type="character" w:customStyle="1" w:styleId="166">
    <w:name w:val="批注文字 Char2"/>
    <w:qFormat/>
    <w:uiPriority w:val="0"/>
    <w:rPr>
      <w:rFonts w:ascii="Times New Roman" w:hAnsi="Times New Roman"/>
      <w:kern w:val="2"/>
      <w:sz w:val="21"/>
      <w:szCs w:val="24"/>
    </w:rPr>
  </w:style>
  <w:style w:type="character" w:customStyle="1" w:styleId="167">
    <w:name w:val="正文文本 3 Char"/>
    <w:qFormat/>
    <w:uiPriority w:val="0"/>
    <w:rPr>
      <w:rFonts w:ascii="Times New Roman" w:hAnsi="Times New Roman" w:eastAsia="宋体" w:cs="Times New Roman"/>
      <w:b/>
      <w:bCs/>
      <w:sz w:val="24"/>
      <w:szCs w:val="24"/>
    </w:rPr>
  </w:style>
  <w:style w:type="character" w:customStyle="1" w:styleId="168">
    <w:name w:val="正文文本缩进 Char"/>
    <w:qFormat/>
    <w:uiPriority w:val="0"/>
    <w:rPr>
      <w:rFonts w:ascii="仿宋_GB2312" w:hAnsi="Times New Roman" w:eastAsia="仿宋_GB2312" w:cs="Times New Roman"/>
      <w:sz w:val="32"/>
      <w:szCs w:val="20"/>
    </w:rPr>
  </w:style>
  <w:style w:type="character" w:customStyle="1" w:styleId="169">
    <w:name w:val="纯文本 Char2"/>
    <w:qFormat/>
    <w:uiPriority w:val="0"/>
    <w:rPr>
      <w:rFonts w:ascii="宋体" w:hAnsi="Courier New" w:eastAsia="宋体" w:cs="Courier New"/>
      <w:szCs w:val="21"/>
    </w:rPr>
  </w:style>
  <w:style w:type="character" w:customStyle="1" w:styleId="170">
    <w:name w:val="日期 Char"/>
    <w:qFormat/>
    <w:uiPriority w:val="0"/>
    <w:rPr>
      <w:rFonts w:ascii="宋体" w:hAnsi="Courier New" w:eastAsia="宋体" w:cs="Courier New"/>
      <w:szCs w:val="21"/>
    </w:rPr>
  </w:style>
  <w:style w:type="character" w:customStyle="1" w:styleId="171">
    <w:name w:val="正文文本缩进 2 Char"/>
    <w:qFormat/>
    <w:uiPriority w:val="0"/>
    <w:rPr>
      <w:rFonts w:ascii="Times New Roman" w:hAnsi="Times New Roman" w:eastAsia="宋体" w:cs="Times New Roman"/>
      <w:sz w:val="32"/>
      <w:szCs w:val="20"/>
    </w:rPr>
  </w:style>
  <w:style w:type="character" w:customStyle="1" w:styleId="172">
    <w:name w:val="尾注文本 Char"/>
    <w:qFormat/>
    <w:uiPriority w:val="99"/>
    <w:rPr>
      <w:rFonts w:ascii="Times New Roman" w:hAnsi="Times New Roman"/>
      <w:kern w:val="2"/>
      <w:sz w:val="21"/>
      <w:szCs w:val="24"/>
    </w:rPr>
  </w:style>
  <w:style w:type="character" w:customStyle="1" w:styleId="173">
    <w:name w:val="批注框文本 Char"/>
    <w:semiHidden/>
    <w:qFormat/>
    <w:uiPriority w:val="0"/>
    <w:rPr>
      <w:rFonts w:ascii="Times New Roman" w:hAnsi="Times New Roman" w:eastAsia="宋体" w:cs="Times New Roman"/>
      <w:sz w:val="18"/>
      <w:szCs w:val="18"/>
    </w:rPr>
  </w:style>
  <w:style w:type="character" w:customStyle="1" w:styleId="174">
    <w:name w:val="页脚 Char"/>
    <w:qFormat/>
    <w:uiPriority w:val="99"/>
    <w:rPr>
      <w:sz w:val="18"/>
      <w:szCs w:val="18"/>
    </w:rPr>
  </w:style>
  <w:style w:type="character" w:customStyle="1" w:styleId="175">
    <w:name w:val="页眉 Char"/>
    <w:qFormat/>
    <w:uiPriority w:val="99"/>
    <w:rPr>
      <w:rFonts w:ascii="Times New Roman" w:hAnsi="Times New Roman"/>
      <w:kern w:val="2"/>
      <w:sz w:val="18"/>
      <w:szCs w:val="18"/>
    </w:rPr>
  </w:style>
  <w:style w:type="character" w:customStyle="1" w:styleId="176">
    <w:name w:val="脚注文本 Char"/>
    <w:qFormat/>
    <w:uiPriority w:val="99"/>
    <w:rPr>
      <w:rFonts w:ascii="Times New Roman" w:hAnsi="Times New Roman"/>
      <w:kern w:val="2"/>
      <w:sz w:val="18"/>
      <w:szCs w:val="18"/>
    </w:rPr>
  </w:style>
  <w:style w:type="character" w:customStyle="1" w:styleId="177">
    <w:name w:val="正文文本缩进 3 Char"/>
    <w:qFormat/>
    <w:uiPriority w:val="0"/>
    <w:rPr>
      <w:rFonts w:ascii="Times New Roman" w:hAnsi="Times New Roman" w:eastAsia="宋体" w:cs="Times New Roman"/>
      <w:sz w:val="16"/>
      <w:szCs w:val="16"/>
    </w:rPr>
  </w:style>
  <w:style w:type="character" w:customStyle="1" w:styleId="178">
    <w:name w:val="正文文本 2 Char"/>
    <w:qFormat/>
    <w:uiPriority w:val="0"/>
    <w:rPr>
      <w:rFonts w:ascii="Times New Roman" w:hAnsi="Times New Roman" w:eastAsia="宋体" w:cs="Times New Roman"/>
      <w:szCs w:val="24"/>
    </w:rPr>
  </w:style>
  <w:style w:type="character" w:customStyle="1" w:styleId="179">
    <w:name w:val="标题 Char"/>
    <w:qFormat/>
    <w:uiPriority w:val="10"/>
    <w:rPr>
      <w:rFonts w:ascii="Cambria" w:hAnsi="Cambria" w:cs="Times New Roman"/>
      <w:b/>
      <w:bCs/>
      <w:kern w:val="2"/>
      <w:sz w:val="32"/>
      <w:szCs w:val="32"/>
    </w:rPr>
  </w:style>
  <w:style w:type="character" w:customStyle="1" w:styleId="180">
    <w:name w:val="批注主题 Char"/>
    <w:qFormat/>
    <w:uiPriority w:val="99"/>
    <w:rPr>
      <w:rFonts w:ascii="Times New Roman" w:hAnsi="Times New Roman"/>
      <w:b/>
      <w:bCs/>
      <w:kern w:val="2"/>
      <w:sz w:val="21"/>
      <w:szCs w:val="24"/>
    </w:rPr>
  </w:style>
  <w:style w:type="character" w:customStyle="1" w:styleId="181">
    <w:name w:val="vxe-cell--label"/>
    <w:basedOn w:val="49"/>
    <w:qFormat/>
    <w:uiPriority w:val="0"/>
  </w:style>
  <w:style w:type="character" w:customStyle="1" w:styleId="182">
    <w:name w:val="未处理的提及1"/>
    <w:basedOn w:val="49"/>
    <w:semiHidden/>
    <w:unhideWhenUsed/>
    <w:qFormat/>
    <w:uiPriority w:val="99"/>
    <w:rPr>
      <w:color w:val="605E5C"/>
      <w:shd w:val="clear" w:color="auto" w:fill="E1DFDD"/>
    </w:rPr>
  </w:style>
  <w:style w:type="character" w:customStyle="1" w:styleId="183">
    <w:name w:val="样式1 Char"/>
    <w:link w:val="184"/>
    <w:qFormat/>
    <w:uiPriority w:val="0"/>
    <w:rPr>
      <w:rFonts w:ascii="宋体" w:hAnsi="宋体"/>
      <w:b/>
      <w:kern w:val="2"/>
      <w:sz w:val="24"/>
    </w:rPr>
  </w:style>
  <w:style w:type="paragraph" w:customStyle="1" w:styleId="184">
    <w:name w:val="样式1"/>
    <w:basedOn w:val="1"/>
    <w:link w:val="183"/>
    <w:qFormat/>
    <w:uiPriority w:val="0"/>
    <w:pPr>
      <w:spacing w:before="120" w:after="120" w:line="300" w:lineRule="auto"/>
    </w:pPr>
    <w:rPr>
      <w:rFonts w:ascii="宋体" w:hAnsi="宋体"/>
      <w:b/>
      <w:sz w:val="24"/>
      <w:szCs w:val="20"/>
    </w:rPr>
  </w:style>
  <w:style w:type="paragraph" w:customStyle="1" w:styleId="185">
    <w:name w:val="msolistparagraph"/>
    <w:basedOn w:val="1"/>
    <w:qFormat/>
    <w:uiPriority w:val="0"/>
    <w:pPr>
      <w:ind w:firstLine="420" w:firstLineChars="200"/>
    </w:pPr>
  </w:style>
  <w:style w:type="paragraph" w:customStyle="1" w:styleId="186">
    <w:name w:val="Char"/>
    <w:basedOn w:val="1"/>
    <w:qFormat/>
    <w:uiPriority w:val="99"/>
  </w:style>
  <w:style w:type="paragraph" w:customStyle="1" w:styleId="187">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Table Text"/>
    <w:basedOn w:val="1"/>
    <w:semiHidden/>
    <w:qFormat/>
    <w:uiPriority w:val="0"/>
  </w:style>
  <w:style w:type="paragraph" w:customStyle="1" w:styleId="18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0">
    <w:name w:val="正文缩进1"/>
    <w:basedOn w:val="1"/>
    <w:qFormat/>
    <w:uiPriority w:val="0"/>
    <w:pPr>
      <w:ind w:firstLine="420"/>
    </w:pPr>
    <w:rPr>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file:///C:\Users\Administrator\AppData\Roaming\Tencent\Users\84332323\QQ\WinTemp\RichOle\IBTSMDNQID2EUB%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7b1%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5d6~PD(5.png" TargetMode="External"/><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109</Pages>
  <Words>15806</Words>
  <Characters>18299</Characters>
  <Lines>487</Lines>
  <Paragraphs>137</Paragraphs>
  <TotalTime>0</TotalTime>
  <ScaleCrop>false</ScaleCrop>
  <LinksUpToDate>false</LinksUpToDate>
  <CharactersWithSpaces>18547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2025-06-18T10:39:00Z</dcterms:created>
  <dc:creator>番茄花园</dc:creator>
  <cp:lastModifiedBy>wps</cp:lastModifiedBy>
  <cp:lastPrinted>2024-12-11T16:58:00Z</cp:lastPrinted>
  <dcterms:modified xsi:type="dcterms:W3CDTF">2026-06-10T10:14:47Z</dcterms:modified>
  <dc:title>公开招标采购文件范本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820A945BABB25EB2B048016AC660468C_43</vt:lpwstr>
  </property>
  <property fmtid="{D5CDD505-2E9C-101B-9397-08002B2CF9AE}" pid="4" name="KSOTemplateDocerSaveRecord">
    <vt:lpwstr>eyJoZGlkIjoiMzdiMzgxMDY2YjA1M2Y5NGY0ZjhjNTIwM2ZjMjA4NzUiLCJ1c2VySWQiOiI4MDU1NDc2MDIifQ==</vt:lpwstr>
  </property>
</Properties>
</file>