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14536AD">
      <w:pPr>
        <w:pStyle w:val="19"/>
        <w:kinsoku w:val="0"/>
        <w:overflowPunct w:val="0"/>
      </w:pPr>
      <w:bookmarkStart w:id="0" w:name="_Toc183682338"/>
      <w:bookmarkStart w:id="1" w:name="_Toc217446030"/>
      <w:r>
        <w:rPr>
          <w:rFonts w:hint="eastAsia"/>
        </w:rPr>
        <w:drawing>
          <wp:anchor distT="0" distB="0" distL="114300" distR="114300" simplePos="0" relativeHeight="251662336" behindDoc="1" locked="0" layoutInCell="1" allowOverlap="1">
            <wp:simplePos x="0" y="0"/>
            <wp:positionH relativeFrom="column">
              <wp:posOffset>-1005205</wp:posOffset>
            </wp:positionH>
            <wp:positionV relativeFrom="paragraph">
              <wp:posOffset>-948055</wp:posOffset>
            </wp:positionV>
            <wp:extent cx="7639050" cy="10854690"/>
            <wp:effectExtent l="0" t="0" r="0" b="3810"/>
            <wp:wrapNone/>
            <wp:docPr id="5" name="图片 5" descr="2-2-3辅助图形3白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2-3辅助图形3白底"/>
                    <pic:cNvPicPr>
                      <a:picLocks noChangeAspect="1"/>
                    </pic:cNvPicPr>
                  </pic:nvPicPr>
                  <pic:blipFill>
                    <a:blip r:embed="rId17"/>
                    <a:stretch>
                      <a:fillRect/>
                    </a:stretch>
                  </pic:blipFill>
                  <pic:spPr>
                    <a:xfrm>
                      <a:off x="0" y="0"/>
                      <a:ext cx="7639050" cy="10854690"/>
                    </a:xfrm>
                    <a:prstGeom prst="rect">
                      <a:avLst/>
                    </a:prstGeom>
                  </pic:spPr>
                </pic:pic>
              </a:graphicData>
            </a:graphic>
          </wp:anchor>
        </w:drawing>
      </w:r>
    </w:p>
    <w:p w14:paraId="474F4584">
      <w:pPr>
        <w:tabs>
          <w:tab w:val="left" w:pos="1710"/>
        </w:tabs>
      </w:pPr>
    </w:p>
    <w:p w14:paraId="472ABB69">
      <w:pPr>
        <w:tabs>
          <w:tab w:val="left" w:pos="1710"/>
        </w:tabs>
      </w:pPr>
    </w:p>
    <w:p w14:paraId="4D64788C">
      <w:pPr>
        <w:tabs>
          <w:tab w:val="left" w:pos="1710"/>
        </w:tabs>
      </w:pPr>
    </w:p>
    <w:p w14:paraId="22715EB0">
      <w:pPr>
        <w:tabs>
          <w:tab w:val="left" w:pos="1710"/>
        </w:tabs>
      </w:pPr>
    </w:p>
    <w:p w14:paraId="724A58E1">
      <w:pPr>
        <w:tabs>
          <w:tab w:val="left" w:pos="1710"/>
        </w:tabs>
      </w:pPr>
      <w:r>
        <w:rPr>
          <w:rFonts w:hint="eastAsia"/>
        </w:rPr>
        <w:drawing>
          <wp:anchor distT="0" distB="0" distL="114300" distR="114300" simplePos="0" relativeHeight="251661312" behindDoc="0" locked="0" layoutInCell="1" allowOverlap="1">
            <wp:simplePos x="0" y="0"/>
            <wp:positionH relativeFrom="column">
              <wp:posOffset>534035</wp:posOffset>
            </wp:positionH>
            <wp:positionV relativeFrom="paragraph">
              <wp:posOffset>34290</wp:posOffset>
            </wp:positionV>
            <wp:extent cx="4654550" cy="584200"/>
            <wp:effectExtent l="0" t="0" r="12700" b="6350"/>
            <wp:wrapNone/>
            <wp:docPr id="7" name="图片 7" descr="1-2-1LOGO中英文全称横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2-1LOGO中英文全称横式"/>
                    <pic:cNvPicPr>
                      <a:picLocks noChangeAspect="1"/>
                    </pic:cNvPicPr>
                  </pic:nvPicPr>
                  <pic:blipFill>
                    <a:blip r:embed="rId18"/>
                    <a:stretch>
                      <a:fillRect/>
                    </a:stretch>
                  </pic:blipFill>
                  <pic:spPr>
                    <a:xfrm>
                      <a:off x="0" y="0"/>
                      <a:ext cx="4654550" cy="584200"/>
                    </a:xfrm>
                    <a:prstGeom prst="rect">
                      <a:avLst/>
                    </a:prstGeom>
                  </pic:spPr>
                </pic:pic>
              </a:graphicData>
            </a:graphic>
          </wp:anchor>
        </w:drawing>
      </w:r>
    </w:p>
    <w:p w14:paraId="2940B2DD">
      <w:pPr>
        <w:tabs>
          <w:tab w:val="left" w:pos="1710"/>
        </w:tabs>
      </w:pPr>
    </w:p>
    <w:p w14:paraId="321A9D54">
      <w:pPr>
        <w:tabs>
          <w:tab w:val="left" w:pos="1710"/>
        </w:tabs>
      </w:pPr>
    </w:p>
    <w:p w14:paraId="42127F93">
      <w:pPr>
        <w:tabs>
          <w:tab w:val="left" w:pos="1710"/>
        </w:tabs>
      </w:pPr>
    </w:p>
    <w:p w14:paraId="5AB4FEFF">
      <w:pPr>
        <w:tabs>
          <w:tab w:val="left" w:pos="1710"/>
        </w:tabs>
      </w:pPr>
    </w:p>
    <w:p w14:paraId="6CA7593F">
      <w:pPr>
        <w:tabs>
          <w:tab w:val="left" w:pos="1710"/>
        </w:tabs>
      </w:pPr>
    </w:p>
    <w:p w14:paraId="6B17B334">
      <w:pPr>
        <w:tabs>
          <w:tab w:val="left" w:pos="1710"/>
        </w:tabs>
      </w:pPr>
    </w:p>
    <w:p w14:paraId="0742D2B2">
      <w:pPr>
        <w:tabs>
          <w:tab w:val="left" w:pos="1710"/>
        </w:tabs>
      </w:pPr>
    </w:p>
    <w:p w14:paraId="2999B36F">
      <w:pPr>
        <w:tabs>
          <w:tab w:val="left" w:pos="1710"/>
        </w:tabs>
      </w:pPr>
    </w:p>
    <w:p w14:paraId="088568B8">
      <w:pPr>
        <w:tabs>
          <w:tab w:val="left" w:pos="1710"/>
        </w:tabs>
      </w:pPr>
    </w:p>
    <w:tbl>
      <w:tblPr>
        <w:tblStyle w:val="5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4"/>
        <w:gridCol w:w="4811"/>
      </w:tblGrid>
      <w:tr w14:paraId="37BC8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6665" w:type="dxa"/>
            <w:gridSpan w:val="2"/>
            <w:tcBorders>
              <w:top w:val="nil"/>
              <w:left w:val="nil"/>
              <w:right w:val="nil"/>
            </w:tcBorders>
          </w:tcPr>
          <w:p w14:paraId="010F0196">
            <w:pPr>
              <w:snapToGrid w:val="0"/>
              <w:spacing w:line="240" w:lineRule="atLeast"/>
              <w:jc w:val="center"/>
              <w:rPr>
                <w:b/>
                <w:sz w:val="60"/>
                <w:szCs w:val="60"/>
              </w:rPr>
            </w:pPr>
            <w:r>
              <w:rPr>
                <w:rFonts w:hint="eastAsia"/>
                <w:b/>
                <w:sz w:val="60"/>
                <w:szCs w:val="60"/>
              </w:rPr>
              <w:t>招标</w:t>
            </w:r>
            <w:r>
              <w:rPr>
                <w:b/>
                <w:sz w:val="60"/>
                <w:szCs w:val="60"/>
              </w:rPr>
              <w:t>文件</w:t>
            </w:r>
          </w:p>
        </w:tc>
      </w:tr>
      <w:tr w14:paraId="4A8AC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854" w:type="dxa"/>
            <w:vAlign w:val="center"/>
          </w:tcPr>
          <w:p w14:paraId="56A503D8">
            <w:pPr>
              <w:rPr>
                <w:b/>
                <w:sz w:val="32"/>
                <w:szCs w:val="32"/>
              </w:rPr>
            </w:pPr>
            <w:r>
              <w:rPr>
                <w:b/>
                <w:sz w:val="32"/>
                <w:szCs w:val="32"/>
              </w:rPr>
              <w:t>项目名称：</w:t>
            </w:r>
          </w:p>
        </w:tc>
        <w:tc>
          <w:tcPr>
            <w:tcW w:w="4811" w:type="dxa"/>
            <w:vAlign w:val="center"/>
          </w:tcPr>
          <w:p w14:paraId="13915C33">
            <w:pPr>
              <w:rPr>
                <w:b/>
                <w:sz w:val="32"/>
                <w:szCs w:val="32"/>
              </w:rPr>
            </w:pPr>
            <w:r>
              <w:rPr>
                <w:rFonts w:hint="eastAsia"/>
                <w:b/>
                <w:sz w:val="32"/>
                <w:szCs w:val="32"/>
              </w:rPr>
              <w:t>中渡监狱罪犯生活物资采购项目</w:t>
            </w:r>
          </w:p>
        </w:tc>
      </w:tr>
      <w:tr w14:paraId="7E4F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854" w:type="dxa"/>
            <w:vAlign w:val="center"/>
          </w:tcPr>
          <w:p w14:paraId="48B94A18">
            <w:pPr>
              <w:rPr>
                <w:b/>
                <w:sz w:val="32"/>
                <w:szCs w:val="32"/>
              </w:rPr>
            </w:pPr>
            <w:r>
              <w:rPr>
                <w:b/>
                <w:sz w:val="32"/>
                <w:szCs w:val="32"/>
              </w:rPr>
              <w:t>项目编号：</w:t>
            </w:r>
          </w:p>
        </w:tc>
        <w:tc>
          <w:tcPr>
            <w:tcW w:w="4811" w:type="dxa"/>
            <w:vAlign w:val="center"/>
          </w:tcPr>
          <w:p w14:paraId="075C6306">
            <w:pPr>
              <w:rPr>
                <w:b/>
                <w:sz w:val="32"/>
                <w:szCs w:val="32"/>
              </w:rPr>
            </w:pPr>
            <w:r>
              <w:rPr>
                <w:rFonts w:hint="eastAsia"/>
                <w:b/>
                <w:sz w:val="32"/>
                <w:szCs w:val="32"/>
              </w:rPr>
              <w:t>GXZC2026-G3-002279-JDZB</w:t>
            </w:r>
          </w:p>
        </w:tc>
      </w:tr>
      <w:tr w14:paraId="0962F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854" w:type="dxa"/>
            <w:vAlign w:val="center"/>
          </w:tcPr>
          <w:p w14:paraId="4C87590C">
            <w:pPr>
              <w:rPr>
                <w:b/>
                <w:sz w:val="32"/>
                <w:szCs w:val="32"/>
              </w:rPr>
            </w:pPr>
            <w:r>
              <w:rPr>
                <w:b/>
                <w:sz w:val="32"/>
                <w:szCs w:val="32"/>
              </w:rPr>
              <w:t>联系电话：</w:t>
            </w:r>
          </w:p>
        </w:tc>
        <w:tc>
          <w:tcPr>
            <w:tcW w:w="4811" w:type="dxa"/>
            <w:vAlign w:val="center"/>
          </w:tcPr>
          <w:p w14:paraId="7F7011AC">
            <w:pPr>
              <w:rPr>
                <w:b/>
                <w:sz w:val="32"/>
                <w:szCs w:val="32"/>
              </w:rPr>
            </w:pPr>
            <w:r>
              <w:rPr>
                <w:rFonts w:hint="eastAsia"/>
                <w:b/>
                <w:sz w:val="32"/>
                <w:szCs w:val="32"/>
              </w:rPr>
              <w:t>13737071446</w:t>
            </w:r>
          </w:p>
        </w:tc>
      </w:tr>
    </w:tbl>
    <w:p w14:paraId="35C68644">
      <w:pPr>
        <w:tabs>
          <w:tab w:val="left" w:pos="1710"/>
        </w:tabs>
      </w:pPr>
    </w:p>
    <w:p w14:paraId="1C19B82C"/>
    <w:p w14:paraId="21BB1ED1"/>
    <w:p w14:paraId="2299FF8F">
      <w:pPr>
        <w:widowControl/>
        <w:jc w:val="left"/>
        <w:rPr>
          <w:rFonts w:ascii="宋体" w:hAnsi="宋体" w:cs="宋体"/>
          <w:kern w:val="0"/>
          <w:sz w:val="24"/>
        </w:rPr>
      </w:pPr>
    </w:p>
    <w:p w14:paraId="08EDDD4E"/>
    <w:p w14:paraId="284FB056"/>
    <w:p w14:paraId="142C9329"/>
    <w:p w14:paraId="0D163D0D"/>
    <w:p w14:paraId="2930D532"/>
    <w:p w14:paraId="516F9EDA"/>
    <w:p w14:paraId="422DFA2C"/>
    <w:p w14:paraId="78E32FD0"/>
    <w:p w14:paraId="3EAE49DB"/>
    <w:p w14:paraId="3F5423CF"/>
    <w:p w14:paraId="19EEA075"/>
    <w:tbl>
      <w:tblPr>
        <w:tblStyle w:val="51"/>
        <w:tblW w:w="0" w:type="auto"/>
        <w:jc w:val="center"/>
        <w:tblLayout w:type="fixed"/>
        <w:tblCellMar>
          <w:top w:w="0" w:type="dxa"/>
          <w:left w:w="108" w:type="dxa"/>
          <w:bottom w:w="0" w:type="dxa"/>
          <w:right w:w="108" w:type="dxa"/>
        </w:tblCellMar>
      </w:tblPr>
      <w:tblGrid>
        <w:gridCol w:w="2707"/>
        <w:gridCol w:w="6"/>
        <w:gridCol w:w="5571"/>
      </w:tblGrid>
      <w:tr w14:paraId="29BB85FB">
        <w:tblPrEx>
          <w:tblCellMar>
            <w:top w:w="0" w:type="dxa"/>
            <w:left w:w="108" w:type="dxa"/>
            <w:bottom w:w="0" w:type="dxa"/>
            <w:right w:w="108" w:type="dxa"/>
          </w:tblCellMar>
        </w:tblPrEx>
        <w:trPr>
          <w:trHeight w:val="703" w:hRule="atLeast"/>
          <w:jc w:val="center"/>
        </w:trPr>
        <w:tc>
          <w:tcPr>
            <w:tcW w:w="2707" w:type="dxa"/>
            <w:vAlign w:val="center"/>
          </w:tcPr>
          <w:p w14:paraId="728E5D53">
            <w:pPr>
              <w:autoSpaceDE w:val="0"/>
              <w:autoSpaceDN w:val="0"/>
              <w:adjustRightInd w:val="0"/>
              <w:jc w:val="right"/>
              <w:rPr>
                <w:b/>
                <w:sz w:val="32"/>
                <w:szCs w:val="32"/>
              </w:rPr>
            </w:pPr>
            <w:r>
              <w:rPr>
                <w:b/>
                <w:sz w:val="32"/>
                <w:szCs w:val="32"/>
              </w:rPr>
              <w:t xml:space="preserve">  采购人：</w:t>
            </w:r>
          </w:p>
        </w:tc>
        <w:tc>
          <w:tcPr>
            <w:tcW w:w="5577" w:type="dxa"/>
            <w:gridSpan w:val="2"/>
            <w:vAlign w:val="center"/>
          </w:tcPr>
          <w:p w14:paraId="5A9F3B87">
            <w:pPr>
              <w:autoSpaceDE w:val="0"/>
              <w:autoSpaceDN w:val="0"/>
              <w:adjustRightInd w:val="0"/>
              <w:jc w:val="left"/>
              <w:rPr>
                <w:b/>
                <w:sz w:val="32"/>
                <w:szCs w:val="32"/>
              </w:rPr>
            </w:pPr>
            <w:r>
              <w:rPr>
                <w:rFonts w:hint="eastAsia"/>
                <w:b/>
                <w:sz w:val="32"/>
                <w:szCs w:val="32"/>
              </w:rPr>
              <w:t>广西壮族自治区中渡监狱</w:t>
            </w:r>
          </w:p>
        </w:tc>
      </w:tr>
      <w:tr w14:paraId="4D7E24B1">
        <w:tblPrEx>
          <w:tblCellMar>
            <w:top w:w="0" w:type="dxa"/>
            <w:left w:w="108" w:type="dxa"/>
            <w:bottom w:w="0" w:type="dxa"/>
            <w:right w:w="108" w:type="dxa"/>
          </w:tblCellMar>
        </w:tblPrEx>
        <w:trPr>
          <w:trHeight w:val="703" w:hRule="atLeast"/>
          <w:jc w:val="center"/>
        </w:trPr>
        <w:tc>
          <w:tcPr>
            <w:tcW w:w="2713" w:type="dxa"/>
            <w:gridSpan w:val="2"/>
          </w:tcPr>
          <w:p w14:paraId="1A0FC328">
            <w:pPr>
              <w:autoSpaceDE w:val="0"/>
              <w:autoSpaceDN w:val="0"/>
              <w:adjustRightInd w:val="0"/>
              <w:jc w:val="right"/>
              <w:rPr>
                <w:b/>
                <w:sz w:val="32"/>
                <w:szCs w:val="32"/>
              </w:rPr>
            </w:pPr>
            <w:r>
              <w:rPr>
                <w:b/>
                <w:sz w:val="32"/>
                <w:szCs w:val="32"/>
              </w:rPr>
              <w:t>采购代理机构：</w:t>
            </w:r>
          </w:p>
        </w:tc>
        <w:tc>
          <w:tcPr>
            <w:tcW w:w="5571" w:type="dxa"/>
          </w:tcPr>
          <w:p w14:paraId="69BE8841">
            <w:pPr>
              <w:autoSpaceDE w:val="0"/>
              <w:autoSpaceDN w:val="0"/>
              <w:adjustRightInd w:val="0"/>
              <w:rPr>
                <w:b/>
                <w:sz w:val="32"/>
                <w:szCs w:val="32"/>
                <w:u w:val="single"/>
              </w:rPr>
            </w:pPr>
            <w:r>
              <w:rPr>
                <w:b/>
                <w:sz w:val="32"/>
                <w:szCs w:val="32"/>
              </w:rPr>
              <w:t>广西机电设备招标有限公司</w:t>
            </w:r>
          </w:p>
        </w:tc>
      </w:tr>
    </w:tbl>
    <w:p w14:paraId="7B527689"/>
    <w:p w14:paraId="259A569D">
      <w:pPr>
        <w:ind w:firstLine="321" w:firstLineChars="100"/>
        <w:jc w:val="center"/>
        <w:rPr>
          <w:b/>
          <w:sz w:val="32"/>
          <w:szCs w:val="32"/>
        </w:rPr>
        <w:sectPr>
          <w:headerReference r:id="rId4" w:type="first"/>
          <w:footerReference r:id="rId6" w:type="first"/>
          <w:headerReference r:id="rId3" w:type="default"/>
          <w:footerReference r:id="rId5" w:type="default"/>
          <w:pgSz w:w="11906" w:h="16838"/>
          <w:pgMar w:top="1418" w:right="1418" w:bottom="1246" w:left="1418" w:header="851" w:footer="992" w:gutter="0"/>
          <w:pgNumType w:start="0"/>
          <w:cols w:space="720" w:num="1"/>
          <w:titlePg/>
          <w:docGrid w:linePitch="312" w:charSpace="0"/>
        </w:sectPr>
      </w:pPr>
      <w:r>
        <w:rPr>
          <w:b/>
          <w:sz w:val="32"/>
          <w:szCs w:val="32"/>
        </w:rPr>
        <w:t>202</w:t>
      </w:r>
      <w:r>
        <w:rPr>
          <w:rFonts w:hint="eastAsia"/>
          <w:b/>
          <w:sz w:val="32"/>
          <w:szCs w:val="32"/>
        </w:rPr>
        <w:t>6</w:t>
      </w:r>
      <w:r>
        <w:rPr>
          <w:b/>
          <w:sz w:val="32"/>
          <w:szCs w:val="32"/>
        </w:rPr>
        <w:t>年X月</w:t>
      </w:r>
    </w:p>
    <w:p w14:paraId="2CF98DCB">
      <w:pPr>
        <w:spacing w:line="360" w:lineRule="auto"/>
        <w:rPr>
          <w:b/>
          <w:sz w:val="24"/>
        </w:rPr>
      </w:pPr>
    </w:p>
    <w:p w14:paraId="7CC16688">
      <w:pPr>
        <w:pStyle w:val="26"/>
        <w:snapToGrid w:val="0"/>
        <w:spacing w:before="120" w:after="120" w:line="320" w:lineRule="exact"/>
        <w:jc w:val="center"/>
        <w:outlineLvl w:val="0"/>
        <w:rPr>
          <w:rFonts w:ascii="Times New Roman" w:hAnsi="Times New Roman" w:cs="Times New Roman"/>
          <w:sz w:val="32"/>
          <w:szCs w:val="32"/>
        </w:rPr>
      </w:pPr>
      <w:bookmarkStart w:id="2" w:name="_Toc6931"/>
      <w:bookmarkStart w:id="3" w:name="_Toc10015"/>
      <w:r>
        <w:rPr>
          <w:rFonts w:ascii="Times New Roman" w:hAnsi="Times New Roman" w:cs="Times New Roman"/>
          <w:sz w:val="32"/>
          <w:szCs w:val="32"/>
        </w:rPr>
        <w:t>目    录</w:t>
      </w:r>
      <w:bookmarkEnd w:id="2"/>
      <w:bookmarkEnd w:id="3"/>
    </w:p>
    <w:p w14:paraId="22875BAE">
      <w:pPr>
        <w:pStyle w:val="33"/>
        <w:tabs>
          <w:tab w:val="right" w:leader="dot" w:pos="9354"/>
          <w:tab w:val="clear" w:pos="8398"/>
        </w:tabs>
        <w:ind w:firstLine="241"/>
      </w:pPr>
      <w:r>
        <w:rPr>
          <w:rFonts w:ascii="Times New Roman" w:hAnsi="Times New Roman"/>
        </w:rPr>
        <w:fldChar w:fldCharType="begin"/>
      </w:r>
      <w:r>
        <w:rPr>
          <w:rStyle w:val="57"/>
          <w:rFonts w:ascii="Times New Roman" w:hAnsi="Times New Roman"/>
          <w:color w:val="auto"/>
        </w:rPr>
        <w:instrText xml:space="preserve"> TOC \o "1-1" \h \z \u </w:instrText>
      </w:r>
      <w:r>
        <w:rPr>
          <w:rFonts w:ascii="Times New Roman" w:hAnsi="Times New Roman"/>
        </w:rPr>
        <w:fldChar w:fldCharType="separate"/>
      </w:r>
      <w:r>
        <w:fldChar w:fldCharType="begin"/>
      </w:r>
      <w:r>
        <w:instrText xml:space="preserve"> HYPERLINK \l "_Toc11761" </w:instrText>
      </w:r>
      <w:r>
        <w:fldChar w:fldCharType="separate"/>
      </w:r>
      <w:r>
        <w:rPr>
          <w:rFonts w:ascii="Times New Roman" w:hAnsi="Times New Roman"/>
          <w:szCs w:val="32"/>
        </w:rPr>
        <w:t>第</w:t>
      </w:r>
      <w:r>
        <w:rPr>
          <w:rFonts w:hint="eastAsia" w:ascii="Times New Roman" w:hAnsi="Times New Roman"/>
          <w:szCs w:val="32"/>
        </w:rPr>
        <w:t>一</w:t>
      </w:r>
      <w:r>
        <w:rPr>
          <w:rFonts w:ascii="Times New Roman" w:hAnsi="Times New Roman"/>
          <w:szCs w:val="32"/>
        </w:rPr>
        <w:t xml:space="preserve">章  </w:t>
      </w:r>
      <w:r>
        <w:rPr>
          <w:rFonts w:hint="eastAsia" w:ascii="Times New Roman" w:hAnsi="Times New Roman"/>
          <w:szCs w:val="32"/>
        </w:rPr>
        <w:t>招标公告</w:t>
      </w:r>
      <w:r>
        <w:tab/>
      </w:r>
      <w:r>
        <w:fldChar w:fldCharType="begin"/>
      </w:r>
      <w:r>
        <w:instrText xml:space="preserve"> PAGEREF _Toc11761 \h </w:instrText>
      </w:r>
      <w:r>
        <w:fldChar w:fldCharType="separate"/>
      </w:r>
      <w:r>
        <w:t>1</w:t>
      </w:r>
      <w:r>
        <w:fldChar w:fldCharType="end"/>
      </w:r>
      <w:r>
        <w:fldChar w:fldCharType="end"/>
      </w:r>
    </w:p>
    <w:p w14:paraId="3DD4E7D2">
      <w:pPr>
        <w:pStyle w:val="33"/>
        <w:tabs>
          <w:tab w:val="right" w:leader="dot" w:pos="9354"/>
          <w:tab w:val="clear" w:pos="8398"/>
        </w:tabs>
        <w:ind w:firstLine="241"/>
      </w:pPr>
      <w:r>
        <w:fldChar w:fldCharType="begin"/>
      </w:r>
      <w:r>
        <w:instrText xml:space="preserve"> HYPERLINK \l "_Toc4574" </w:instrText>
      </w:r>
      <w:r>
        <w:fldChar w:fldCharType="separate"/>
      </w:r>
      <w:r>
        <w:rPr>
          <w:rFonts w:ascii="Times New Roman" w:hAnsi="Times New Roman"/>
          <w:szCs w:val="32"/>
        </w:rPr>
        <w:t>第二章  采购需求</w:t>
      </w:r>
      <w:r>
        <w:tab/>
      </w:r>
      <w:r>
        <w:fldChar w:fldCharType="begin"/>
      </w:r>
      <w:r>
        <w:instrText xml:space="preserve"> PAGEREF _Toc4574 \h </w:instrText>
      </w:r>
      <w:r>
        <w:fldChar w:fldCharType="separate"/>
      </w:r>
      <w:r>
        <w:t>5</w:t>
      </w:r>
      <w:r>
        <w:fldChar w:fldCharType="end"/>
      </w:r>
      <w:r>
        <w:fldChar w:fldCharType="end"/>
      </w:r>
    </w:p>
    <w:p w14:paraId="2BCE3350">
      <w:pPr>
        <w:pStyle w:val="33"/>
        <w:tabs>
          <w:tab w:val="right" w:leader="dot" w:pos="9354"/>
          <w:tab w:val="clear" w:pos="8398"/>
        </w:tabs>
        <w:ind w:firstLine="241"/>
      </w:pPr>
      <w:r>
        <w:fldChar w:fldCharType="begin"/>
      </w:r>
      <w:r>
        <w:instrText xml:space="preserve"> HYPERLINK \l "_Toc3292" </w:instrText>
      </w:r>
      <w:r>
        <w:fldChar w:fldCharType="separate"/>
      </w:r>
      <w:r>
        <w:rPr>
          <w:rFonts w:ascii="Times New Roman" w:hAnsi="Times New Roman"/>
          <w:szCs w:val="32"/>
        </w:rPr>
        <w:t xml:space="preserve">第三章  </w:t>
      </w:r>
      <w:r>
        <w:rPr>
          <w:rFonts w:hint="eastAsia" w:ascii="Times New Roman" w:hAnsi="Times New Roman"/>
          <w:szCs w:val="32"/>
        </w:rPr>
        <w:t>投标人</w:t>
      </w:r>
      <w:r>
        <w:rPr>
          <w:rFonts w:ascii="Times New Roman" w:hAnsi="Times New Roman"/>
          <w:szCs w:val="32"/>
        </w:rPr>
        <w:t>须知</w:t>
      </w:r>
      <w:r>
        <w:tab/>
      </w:r>
      <w:r>
        <w:fldChar w:fldCharType="begin"/>
      </w:r>
      <w:r>
        <w:instrText xml:space="preserve"> PAGEREF _Toc3292 \h </w:instrText>
      </w:r>
      <w:r>
        <w:fldChar w:fldCharType="separate"/>
      </w:r>
      <w:r>
        <w:t>29</w:t>
      </w:r>
      <w:r>
        <w:fldChar w:fldCharType="end"/>
      </w:r>
      <w:r>
        <w:fldChar w:fldCharType="end"/>
      </w:r>
    </w:p>
    <w:p w14:paraId="20935D9B">
      <w:pPr>
        <w:pStyle w:val="33"/>
        <w:tabs>
          <w:tab w:val="right" w:leader="dot" w:pos="9354"/>
          <w:tab w:val="clear" w:pos="8398"/>
        </w:tabs>
        <w:ind w:firstLine="241"/>
      </w:pPr>
      <w:r>
        <w:fldChar w:fldCharType="begin"/>
      </w:r>
      <w:r>
        <w:instrText xml:space="preserve"> HYPERLINK \l "_Toc14272" </w:instrText>
      </w:r>
      <w:r>
        <w:fldChar w:fldCharType="separate"/>
      </w:r>
      <w:r>
        <w:rPr>
          <w:rFonts w:ascii="Times New Roman" w:hAnsi="Times New Roman"/>
          <w:szCs w:val="32"/>
        </w:rPr>
        <w:t>第四章  评审方法及标准</w:t>
      </w:r>
      <w:r>
        <w:tab/>
      </w:r>
      <w:r>
        <w:fldChar w:fldCharType="begin"/>
      </w:r>
      <w:r>
        <w:instrText xml:space="preserve"> PAGEREF _Toc14272 \h </w:instrText>
      </w:r>
      <w:r>
        <w:fldChar w:fldCharType="separate"/>
      </w:r>
      <w:r>
        <w:t>52</w:t>
      </w:r>
      <w:r>
        <w:fldChar w:fldCharType="end"/>
      </w:r>
      <w:r>
        <w:fldChar w:fldCharType="end"/>
      </w:r>
    </w:p>
    <w:p w14:paraId="507AB91B">
      <w:pPr>
        <w:pStyle w:val="33"/>
        <w:tabs>
          <w:tab w:val="right" w:leader="dot" w:pos="9354"/>
          <w:tab w:val="clear" w:pos="8398"/>
        </w:tabs>
        <w:ind w:firstLine="241"/>
      </w:pPr>
      <w:r>
        <w:fldChar w:fldCharType="begin"/>
      </w:r>
      <w:r>
        <w:instrText xml:space="preserve"> HYPERLINK \l "_Toc29421" </w:instrText>
      </w:r>
      <w:r>
        <w:fldChar w:fldCharType="separate"/>
      </w:r>
      <w:r>
        <w:rPr>
          <w:rFonts w:ascii="Times New Roman" w:hAnsi="Times New Roman"/>
          <w:szCs w:val="32"/>
        </w:rPr>
        <w:t>第五章  合同主要条款格式</w:t>
      </w:r>
      <w:r>
        <w:tab/>
      </w:r>
      <w:r>
        <w:fldChar w:fldCharType="begin"/>
      </w:r>
      <w:r>
        <w:instrText xml:space="preserve"> PAGEREF _Toc29421 \h </w:instrText>
      </w:r>
      <w:r>
        <w:fldChar w:fldCharType="separate"/>
      </w:r>
      <w:r>
        <w:t>58</w:t>
      </w:r>
      <w:r>
        <w:fldChar w:fldCharType="end"/>
      </w:r>
      <w:r>
        <w:fldChar w:fldCharType="end"/>
      </w:r>
    </w:p>
    <w:p w14:paraId="0F1C2AB0">
      <w:pPr>
        <w:pStyle w:val="33"/>
        <w:tabs>
          <w:tab w:val="right" w:leader="dot" w:pos="9354"/>
          <w:tab w:val="clear" w:pos="8398"/>
        </w:tabs>
        <w:ind w:firstLine="241"/>
      </w:pPr>
      <w:r>
        <w:fldChar w:fldCharType="begin"/>
      </w:r>
      <w:r>
        <w:instrText xml:space="preserve"> HYPERLINK \l "_Toc2605" </w:instrText>
      </w:r>
      <w:r>
        <w:fldChar w:fldCharType="separate"/>
      </w:r>
      <w:r>
        <w:rPr>
          <w:rFonts w:ascii="Times New Roman" w:hAnsi="Times New Roman"/>
          <w:szCs w:val="32"/>
        </w:rPr>
        <w:t>第六章  投标文件格式</w:t>
      </w:r>
      <w:r>
        <w:tab/>
      </w:r>
      <w:r>
        <w:rPr>
          <w:rFonts w:hint="eastAsia"/>
        </w:rPr>
        <w:t>7</w:t>
      </w:r>
      <w:r>
        <w:rPr>
          <w:rFonts w:hint="eastAsia"/>
        </w:rPr>
        <w:fldChar w:fldCharType="end"/>
      </w:r>
      <w:r>
        <w:rPr>
          <w:rFonts w:hint="eastAsia"/>
        </w:rPr>
        <w:t>1</w:t>
      </w:r>
    </w:p>
    <w:p w14:paraId="469E484D">
      <w:pPr>
        <w:pStyle w:val="33"/>
        <w:ind w:firstLine="241"/>
        <w:rPr>
          <w:rFonts w:ascii="Times New Roman" w:hAnsi="Times New Roman"/>
        </w:rPr>
      </w:pPr>
      <w:r>
        <w:rPr>
          <w:rFonts w:ascii="Times New Roman" w:hAnsi="Times New Roman"/>
        </w:rPr>
        <w:fldChar w:fldCharType="end"/>
      </w:r>
    </w:p>
    <w:p w14:paraId="41488BD0">
      <w:pPr>
        <w:spacing w:before="120" w:beforeLines="50" w:line="480" w:lineRule="exact"/>
        <w:rPr>
          <w:sz w:val="28"/>
          <w:szCs w:val="28"/>
        </w:rPr>
      </w:pPr>
    </w:p>
    <w:p w14:paraId="17287C3D">
      <w:pPr>
        <w:spacing w:before="120" w:beforeLines="50" w:line="480" w:lineRule="exact"/>
        <w:rPr>
          <w:sz w:val="30"/>
        </w:rPr>
        <w:sectPr>
          <w:headerReference r:id="rId7" w:type="first"/>
          <w:footerReference r:id="rId8" w:type="first"/>
          <w:pgSz w:w="11906" w:h="16838"/>
          <w:pgMar w:top="1418" w:right="1134" w:bottom="1247" w:left="1418" w:header="851" w:footer="992" w:gutter="0"/>
          <w:pgNumType w:start="0"/>
          <w:cols w:space="720" w:num="1"/>
          <w:docGrid w:linePitch="312" w:charSpace="0"/>
        </w:sectPr>
      </w:pPr>
    </w:p>
    <w:p w14:paraId="0732E331">
      <w:pPr>
        <w:pStyle w:val="26"/>
        <w:snapToGrid w:val="0"/>
        <w:spacing w:before="120" w:after="120" w:line="320" w:lineRule="exact"/>
        <w:jc w:val="center"/>
        <w:outlineLvl w:val="0"/>
        <w:rPr>
          <w:rFonts w:ascii="Times New Roman" w:hAnsi="Times New Roman" w:cs="Times New Roman"/>
          <w:sz w:val="32"/>
          <w:szCs w:val="32"/>
        </w:rPr>
      </w:pPr>
      <w:bookmarkStart w:id="4" w:name="_Toc11761"/>
      <w:bookmarkStart w:id="5" w:name="_Toc254970489"/>
      <w:bookmarkStart w:id="6" w:name="_Toc254970630"/>
      <w:r>
        <w:rPr>
          <w:rFonts w:ascii="Times New Roman" w:hAnsi="Times New Roman" w:cs="Times New Roman"/>
          <w:sz w:val="32"/>
          <w:szCs w:val="32"/>
        </w:rPr>
        <w:t>第</w:t>
      </w:r>
      <w:r>
        <w:rPr>
          <w:rFonts w:hint="eastAsia" w:ascii="Times New Roman" w:hAnsi="Times New Roman" w:cs="Times New Roman"/>
          <w:sz w:val="32"/>
          <w:szCs w:val="32"/>
        </w:rPr>
        <w:t>一</w:t>
      </w:r>
      <w:r>
        <w:rPr>
          <w:rFonts w:ascii="Times New Roman" w:hAnsi="Times New Roman" w:cs="Times New Roman"/>
          <w:sz w:val="32"/>
          <w:szCs w:val="32"/>
        </w:rPr>
        <w:t xml:space="preserve">章  </w:t>
      </w:r>
      <w:r>
        <w:rPr>
          <w:rFonts w:hint="eastAsia" w:ascii="Times New Roman" w:hAnsi="Times New Roman" w:cs="Times New Roman"/>
          <w:sz w:val="32"/>
          <w:szCs w:val="32"/>
        </w:rPr>
        <w:t>招标公告</w:t>
      </w:r>
      <w:bookmarkEnd w:id="4"/>
    </w:p>
    <w:bookmarkEnd w:id="5"/>
    <w:bookmarkEnd w:id="6"/>
    <w:p w14:paraId="464276AA">
      <w:pPr>
        <w:spacing w:line="400" w:lineRule="exact"/>
        <w:jc w:val="center"/>
        <w:rPr>
          <w:b/>
          <w:sz w:val="24"/>
        </w:rPr>
      </w:pPr>
      <w:r>
        <w:rPr>
          <w:kern w:val="0"/>
          <w:sz w:val="24"/>
        </w:rPr>
        <w:t>广西机电设备招标有限公司关于</w:t>
      </w:r>
      <w:r>
        <w:rPr>
          <w:rFonts w:hint="eastAsia"/>
          <w:kern w:val="0"/>
          <w:sz w:val="24"/>
        </w:rPr>
        <w:t>中渡监狱罪犯生活物资采购项目</w:t>
      </w:r>
      <w:r>
        <w:rPr>
          <w:sz w:val="24"/>
        </w:rPr>
        <w:t>(</w:t>
      </w:r>
      <w:r>
        <w:rPr>
          <w:rFonts w:hint="eastAsia"/>
          <w:sz w:val="24"/>
        </w:rPr>
        <w:t>GXZC2026-G3-002279-JDZB</w:t>
      </w:r>
      <w:r>
        <w:rPr>
          <w:sz w:val="24"/>
        </w:rPr>
        <w:t>)</w:t>
      </w:r>
      <w:r>
        <w:rPr>
          <w:kern w:val="0"/>
          <w:sz w:val="24"/>
        </w:rPr>
        <w:t>公开招标公告</w:t>
      </w:r>
    </w:p>
    <w:p w14:paraId="7ECF2382">
      <w:pPr>
        <w:ind w:firstLine="409" w:firstLineChars="195"/>
        <w:jc w:val="left"/>
        <w:rPr>
          <w:kern w:val="0"/>
          <w:szCs w:val="21"/>
        </w:rPr>
      </w:pPr>
    </w:p>
    <w:p w14:paraId="6B922491">
      <w:pPr>
        <w:spacing w:line="312" w:lineRule="auto"/>
        <w:ind w:firstLine="420" w:firstLineChars="200"/>
        <w:jc w:val="left"/>
        <w:rPr>
          <w:b/>
          <w:bCs/>
          <w:kern w:val="0"/>
          <w:sz w:val="22"/>
          <w:szCs w:val="22"/>
        </w:rPr>
      </w:pPr>
      <w:bookmarkStart w:id="7" w:name="_Hlk132795121"/>
      <w:bookmarkStart w:id="8" w:name="_Hlk132877709"/>
      <w:r>
        <w:rPr>
          <w:rFonts w:hint="eastAsia"/>
          <w:szCs w:val="21"/>
        </w:rPr>
        <w:t>项目概况：</w:t>
      </w:r>
      <w:r>
        <w:rPr>
          <w:rFonts w:hint="eastAsia"/>
          <w:kern w:val="0"/>
          <w:szCs w:val="21"/>
        </w:rPr>
        <w:t>中渡监狱罪犯生活物资采购项目</w:t>
      </w:r>
      <w:r>
        <w:rPr>
          <w:rFonts w:hint="eastAsia"/>
          <w:szCs w:val="21"/>
        </w:rPr>
        <w:t xml:space="preserve">的潜在投标人应在广西政府采购云平台（https://www.gcy.zfcg.gxzf.gov.cn/）获取招标文件，并于 </w:t>
      </w:r>
      <w:r>
        <w:rPr>
          <w:szCs w:val="21"/>
        </w:rPr>
        <w:t>xxx</w:t>
      </w:r>
      <w:r>
        <w:rPr>
          <w:rFonts w:hint="eastAsia"/>
          <w:szCs w:val="21"/>
        </w:rPr>
        <w:t>年</w:t>
      </w:r>
      <w:r>
        <w:rPr>
          <w:szCs w:val="21"/>
        </w:rPr>
        <w:t>x</w:t>
      </w:r>
      <w:r>
        <w:rPr>
          <w:rFonts w:hint="eastAsia"/>
          <w:szCs w:val="21"/>
        </w:rPr>
        <w:t>月</w:t>
      </w:r>
      <w:r>
        <w:rPr>
          <w:szCs w:val="21"/>
        </w:rPr>
        <w:t>x</w:t>
      </w:r>
      <w:r>
        <w:rPr>
          <w:rFonts w:hint="eastAsia"/>
          <w:szCs w:val="21"/>
        </w:rPr>
        <w:t>日 09:30（北京时间）前递交投标文件。</w:t>
      </w:r>
      <w:bookmarkEnd w:id="7"/>
    </w:p>
    <w:bookmarkEnd w:id="8"/>
    <w:p w14:paraId="6091AFB5">
      <w:pPr>
        <w:spacing w:line="312" w:lineRule="auto"/>
        <w:ind w:firstLine="442" w:firstLineChars="200"/>
        <w:jc w:val="left"/>
        <w:rPr>
          <w:b/>
          <w:bCs/>
          <w:kern w:val="0"/>
          <w:sz w:val="22"/>
          <w:szCs w:val="22"/>
        </w:rPr>
      </w:pPr>
      <w:r>
        <w:rPr>
          <w:rFonts w:hint="eastAsia"/>
          <w:b/>
          <w:bCs/>
          <w:kern w:val="0"/>
          <w:sz w:val="22"/>
          <w:szCs w:val="22"/>
        </w:rPr>
        <w:t>一、项目基本情况</w:t>
      </w:r>
    </w:p>
    <w:p w14:paraId="500E9549">
      <w:pPr>
        <w:spacing w:line="312" w:lineRule="auto"/>
        <w:ind w:firstLine="420" w:firstLineChars="200"/>
        <w:jc w:val="left"/>
        <w:rPr>
          <w:kern w:val="0"/>
          <w:szCs w:val="21"/>
        </w:rPr>
      </w:pPr>
      <w:r>
        <w:rPr>
          <w:kern w:val="0"/>
          <w:szCs w:val="21"/>
        </w:rPr>
        <w:t>项目编号：</w:t>
      </w:r>
      <w:r>
        <w:rPr>
          <w:rFonts w:hint="eastAsia"/>
          <w:kern w:val="0"/>
          <w:szCs w:val="21"/>
        </w:rPr>
        <w:t>GXZC2026-G3-002279-JDZB</w:t>
      </w:r>
    </w:p>
    <w:p w14:paraId="5A81E5E3">
      <w:pPr>
        <w:spacing w:line="312" w:lineRule="auto"/>
        <w:ind w:firstLine="420" w:firstLineChars="200"/>
        <w:jc w:val="left"/>
        <w:rPr>
          <w:kern w:val="0"/>
          <w:szCs w:val="21"/>
        </w:rPr>
      </w:pPr>
      <w:r>
        <w:rPr>
          <w:kern w:val="0"/>
          <w:szCs w:val="21"/>
        </w:rPr>
        <w:t>项目名称：</w:t>
      </w:r>
      <w:r>
        <w:rPr>
          <w:rFonts w:hint="eastAsia"/>
          <w:kern w:val="0"/>
          <w:szCs w:val="21"/>
        </w:rPr>
        <w:t>中渡监狱罪犯生活物资采购项目</w:t>
      </w:r>
    </w:p>
    <w:p w14:paraId="445D2389">
      <w:pPr>
        <w:spacing w:line="312" w:lineRule="auto"/>
        <w:ind w:firstLine="420" w:firstLineChars="200"/>
        <w:jc w:val="left"/>
        <w:rPr>
          <w:kern w:val="0"/>
          <w:szCs w:val="21"/>
        </w:rPr>
      </w:pPr>
      <w:bookmarkStart w:id="9" w:name="_Hlk132878038"/>
      <w:r>
        <w:rPr>
          <w:kern w:val="0"/>
          <w:szCs w:val="21"/>
        </w:rPr>
        <w:t>预算</w:t>
      </w:r>
      <w:r>
        <w:rPr>
          <w:rFonts w:hint="eastAsia"/>
          <w:kern w:val="0"/>
          <w:szCs w:val="21"/>
        </w:rPr>
        <w:t>总</w:t>
      </w:r>
      <w:r>
        <w:rPr>
          <w:kern w:val="0"/>
          <w:szCs w:val="21"/>
        </w:rPr>
        <w:t>金额</w:t>
      </w:r>
      <w:r>
        <w:rPr>
          <w:rFonts w:hint="eastAsia"/>
          <w:kern w:val="0"/>
          <w:szCs w:val="21"/>
        </w:rPr>
        <w:t>（元）</w:t>
      </w:r>
      <w:r>
        <w:rPr>
          <w:kern w:val="0"/>
          <w:szCs w:val="21"/>
        </w:rPr>
        <w:t>：</w:t>
      </w:r>
      <w:r>
        <w:rPr>
          <w:rFonts w:hint="eastAsia"/>
          <w:kern w:val="0"/>
          <w:szCs w:val="21"/>
        </w:rPr>
        <w:t>8298000.00</w:t>
      </w:r>
    </w:p>
    <w:bookmarkEnd w:id="9"/>
    <w:p w14:paraId="44291217">
      <w:pPr>
        <w:spacing w:line="312" w:lineRule="auto"/>
        <w:ind w:firstLine="420" w:firstLineChars="200"/>
        <w:jc w:val="left"/>
        <w:rPr>
          <w:kern w:val="0"/>
          <w:szCs w:val="21"/>
        </w:rPr>
      </w:pPr>
      <w:r>
        <w:rPr>
          <w:rFonts w:hint="eastAsia"/>
          <w:kern w:val="0"/>
          <w:szCs w:val="21"/>
        </w:rPr>
        <w:t>采购需求</w:t>
      </w:r>
      <w:r>
        <w:rPr>
          <w:kern w:val="0"/>
          <w:szCs w:val="21"/>
        </w:rPr>
        <w:t>：</w:t>
      </w:r>
    </w:p>
    <w:p w14:paraId="76A7D598">
      <w:pPr>
        <w:spacing w:line="312" w:lineRule="auto"/>
        <w:ind w:firstLine="420" w:firstLineChars="200"/>
        <w:jc w:val="left"/>
      </w:pPr>
      <w:r>
        <w:rPr>
          <w:rFonts w:hint="eastAsia" w:ascii="宋体" w:hAnsi="宋体" w:cs="宋体"/>
          <w:kern w:val="0"/>
          <w:szCs w:val="21"/>
        </w:rPr>
        <w:t>标项一</w:t>
      </w:r>
    </w:p>
    <w:p w14:paraId="1FBA0EDF">
      <w:pPr>
        <w:spacing w:line="312" w:lineRule="auto"/>
        <w:ind w:firstLine="735" w:firstLineChars="350"/>
        <w:jc w:val="left"/>
        <w:rPr>
          <w:kern w:val="0"/>
          <w:szCs w:val="21"/>
        </w:rPr>
      </w:pPr>
      <w:r>
        <w:rPr>
          <w:rFonts w:hint="eastAsia"/>
          <w:kern w:val="0"/>
          <w:szCs w:val="21"/>
        </w:rPr>
        <w:t>标项名称：中渡监狱罪犯生活物资采购项目其他类采购</w:t>
      </w:r>
    </w:p>
    <w:p w14:paraId="3FD95528">
      <w:pPr>
        <w:spacing w:line="312" w:lineRule="auto"/>
        <w:ind w:firstLine="735" w:firstLineChars="350"/>
        <w:jc w:val="left"/>
        <w:rPr>
          <w:kern w:val="0"/>
          <w:szCs w:val="21"/>
        </w:rPr>
      </w:pPr>
      <w:r>
        <w:rPr>
          <w:rFonts w:hint="eastAsia"/>
          <w:kern w:val="0"/>
          <w:szCs w:val="21"/>
        </w:rPr>
        <w:t>数量：1</w:t>
      </w:r>
    </w:p>
    <w:p w14:paraId="0FA4B8B3">
      <w:pPr>
        <w:spacing w:line="312" w:lineRule="auto"/>
        <w:ind w:firstLine="735" w:firstLineChars="350"/>
        <w:jc w:val="left"/>
        <w:rPr>
          <w:kern w:val="0"/>
          <w:szCs w:val="21"/>
        </w:rPr>
      </w:pPr>
      <w:r>
        <w:rPr>
          <w:rFonts w:hint="eastAsia"/>
          <w:kern w:val="0"/>
          <w:szCs w:val="21"/>
        </w:rPr>
        <w:t>预算金额（元）：2498000.00</w:t>
      </w:r>
    </w:p>
    <w:p w14:paraId="3D4E6459">
      <w:pPr>
        <w:spacing w:line="312" w:lineRule="auto"/>
        <w:ind w:firstLine="735" w:firstLineChars="350"/>
        <w:jc w:val="left"/>
        <w:rPr>
          <w:kern w:val="0"/>
          <w:szCs w:val="21"/>
        </w:rPr>
      </w:pPr>
      <w:r>
        <w:rPr>
          <w:rFonts w:hint="eastAsia"/>
          <w:kern w:val="0"/>
          <w:szCs w:val="21"/>
        </w:rPr>
        <w:t>简要规格描述或项目基本概况介绍、用途：中渡监狱罪犯生活物资采购项目其他类采购一批，详见采购文件第二章采购需求。</w:t>
      </w:r>
    </w:p>
    <w:p w14:paraId="036C8274">
      <w:pPr>
        <w:spacing w:line="312" w:lineRule="auto"/>
        <w:ind w:firstLine="735" w:firstLineChars="350"/>
        <w:jc w:val="left"/>
        <w:rPr>
          <w:kern w:val="0"/>
          <w:szCs w:val="21"/>
        </w:rPr>
      </w:pPr>
      <w:r>
        <w:rPr>
          <w:kern w:val="0"/>
          <w:szCs w:val="21"/>
        </w:rPr>
        <w:t>最高限价</w:t>
      </w:r>
      <w:r>
        <w:rPr>
          <w:rFonts w:hint="eastAsia"/>
          <w:kern w:val="0"/>
          <w:szCs w:val="21"/>
        </w:rPr>
        <w:t>（如有）</w:t>
      </w:r>
      <w:r>
        <w:rPr>
          <w:kern w:val="0"/>
          <w:szCs w:val="21"/>
        </w:rPr>
        <w:t xml:space="preserve">： </w:t>
      </w:r>
      <w:r>
        <w:rPr>
          <w:rFonts w:hint="eastAsia"/>
          <w:kern w:val="0"/>
          <w:szCs w:val="21"/>
        </w:rPr>
        <w:t>2498000.00</w:t>
      </w:r>
    </w:p>
    <w:p w14:paraId="74D540A1">
      <w:pPr>
        <w:spacing w:line="312" w:lineRule="auto"/>
        <w:ind w:firstLine="735" w:firstLineChars="350"/>
        <w:jc w:val="left"/>
        <w:rPr>
          <w:kern w:val="0"/>
          <w:szCs w:val="21"/>
        </w:rPr>
      </w:pPr>
      <w:r>
        <w:rPr>
          <w:rFonts w:hint="eastAsia"/>
          <w:kern w:val="0"/>
          <w:szCs w:val="21"/>
        </w:rPr>
        <w:t>合同履约期限：</w:t>
      </w:r>
      <w:r>
        <w:rPr>
          <w:rFonts w:hint="eastAsia" w:ascii="宋体" w:hAnsi="宋体" w:cs="宋体"/>
          <w:szCs w:val="21"/>
        </w:rPr>
        <w:t>自签订合同之日起一年。分批次供货，按采购人采购计划规定的时间供货。</w:t>
      </w:r>
    </w:p>
    <w:p w14:paraId="341D4BF0">
      <w:pPr>
        <w:spacing w:line="312" w:lineRule="auto"/>
        <w:ind w:firstLine="735" w:firstLineChars="350"/>
        <w:jc w:val="left"/>
        <w:rPr>
          <w:kern w:val="0"/>
          <w:szCs w:val="21"/>
        </w:rPr>
      </w:pPr>
      <w:r>
        <w:rPr>
          <w:kern w:val="0"/>
          <w:szCs w:val="21"/>
        </w:rPr>
        <w:t>本项目</w:t>
      </w:r>
      <w:r>
        <w:rPr>
          <w:rFonts w:hint="eastAsia"/>
          <w:kern w:val="0"/>
          <w:szCs w:val="21"/>
        </w:rPr>
        <w:t>不接受</w:t>
      </w:r>
      <w:r>
        <w:rPr>
          <w:kern w:val="0"/>
          <w:szCs w:val="21"/>
        </w:rPr>
        <w:t>联合体投标。</w:t>
      </w:r>
    </w:p>
    <w:p w14:paraId="62F6FBF2">
      <w:pPr>
        <w:spacing w:line="312" w:lineRule="auto"/>
        <w:ind w:firstLine="735" w:firstLineChars="350"/>
        <w:jc w:val="left"/>
      </w:pPr>
      <w:r>
        <w:rPr>
          <w:rFonts w:hint="eastAsia"/>
          <w:kern w:val="0"/>
          <w:szCs w:val="21"/>
        </w:rPr>
        <w:t>备注：</w:t>
      </w:r>
      <w:r>
        <w:rPr>
          <w:rFonts w:hint="eastAsia"/>
        </w:rPr>
        <w:t>本项目为线上电子招标项目，有意向参与本项目的供应商应当做好参与全流程电子招投标交易的充分准备。</w:t>
      </w:r>
    </w:p>
    <w:p w14:paraId="382C50E0">
      <w:pPr>
        <w:spacing w:line="312" w:lineRule="auto"/>
        <w:ind w:firstLine="735" w:firstLineChars="350"/>
        <w:jc w:val="left"/>
        <w:rPr>
          <w:kern w:val="0"/>
          <w:szCs w:val="21"/>
        </w:rPr>
      </w:pPr>
    </w:p>
    <w:p w14:paraId="172772AD">
      <w:pPr>
        <w:spacing w:line="312" w:lineRule="auto"/>
        <w:ind w:firstLine="420" w:firstLineChars="200"/>
        <w:jc w:val="left"/>
      </w:pPr>
      <w:r>
        <w:rPr>
          <w:rFonts w:hint="eastAsia" w:ascii="宋体" w:hAnsi="宋体" w:cs="宋体"/>
          <w:kern w:val="0"/>
          <w:szCs w:val="21"/>
        </w:rPr>
        <w:t>标项二</w:t>
      </w:r>
    </w:p>
    <w:p w14:paraId="5F670D65">
      <w:pPr>
        <w:spacing w:line="312" w:lineRule="auto"/>
        <w:ind w:firstLine="735" w:firstLineChars="350"/>
        <w:jc w:val="left"/>
        <w:rPr>
          <w:kern w:val="0"/>
          <w:szCs w:val="21"/>
        </w:rPr>
      </w:pPr>
      <w:r>
        <w:rPr>
          <w:rFonts w:hint="eastAsia"/>
          <w:kern w:val="0"/>
          <w:szCs w:val="21"/>
        </w:rPr>
        <w:t>标项名称：中渡监狱罪犯生活物资采购项目猪肉类采购</w:t>
      </w:r>
    </w:p>
    <w:p w14:paraId="0F79BE86">
      <w:pPr>
        <w:spacing w:line="312" w:lineRule="auto"/>
        <w:ind w:firstLine="735" w:firstLineChars="350"/>
        <w:jc w:val="left"/>
        <w:rPr>
          <w:kern w:val="0"/>
          <w:szCs w:val="21"/>
        </w:rPr>
      </w:pPr>
      <w:r>
        <w:rPr>
          <w:rFonts w:hint="eastAsia"/>
          <w:kern w:val="0"/>
          <w:szCs w:val="21"/>
        </w:rPr>
        <w:t>数量：1</w:t>
      </w:r>
    </w:p>
    <w:p w14:paraId="4C8EE48F">
      <w:pPr>
        <w:spacing w:line="312" w:lineRule="auto"/>
        <w:ind w:firstLine="735" w:firstLineChars="350"/>
        <w:jc w:val="left"/>
        <w:rPr>
          <w:kern w:val="0"/>
          <w:szCs w:val="21"/>
        </w:rPr>
      </w:pPr>
      <w:r>
        <w:rPr>
          <w:rFonts w:hint="eastAsia"/>
          <w:kern w:val="0"/>
          <w:szCs w:val="21"/>
        </w:rPr>
        <w:t>预算金额（元）：2000000.00</w:t>
      </w:r>
    </w:p>
    <w:p w14:paraId="20E31F89">
      <w:pPr>
        <w:spacing w:line="312" w:lineRule="auto"/>
        <w:ind w:firstLine="735" w:firstLineChars="350"/>
        <w:jc w:val="left"/>
        <w:rPr>
          <w:kern w:val="0"/>
          <w:szCs w:val="21"/>
        </w:rPr>
      </w:pPr>
      <w:r>
        <w:rPr>
          <w:rFonts w:hint="eastAsia"/>
          <w:kern w:val="0"/>
          <w:szCs w:val="21"/>
        </w:rPr>
        <w:t>简要规格描述或项目基本概况介绍、用途：中渡监狱罪犯生活物资采购项目猪肉类采购一批，详见采购文件第二章采购需求。</w:t>
      </w:r>
    </w:p>
    <w:p w14:paraId="443D9F97">
      <w:pPr>
        <w:spacing w:line="312" w:lineRule="auto"/>
        <w:ind w:firstLine="735" w:firstLineChars="350"/>
        <w:jc w:val="left"/>
        <w:rPr>
          <w:kern w:val="0"/>
          <w:szCs w:val="21"/>
        </w:rPr>
      </w:pPr>
      <w:r>
        <w:rPr>
          <w:kern w:val="0"/>
          <w:szCs w:val="21"/>
        </w:rPr>
        <w:t>最高限价</w:t>
      </w:r>
      <w:r>
        <w:rPr>
          <w:rFonts w:hint="eastAsia"/>
          <w:kern w:val="0"/>
          <w:szCs w:val="21"/>
        </w:rPr>
        <w:t>（如有）</w:t>
      </w:r>
      <w:r>
        <w:rPr>
          <w:kern w:val="0"/>
          <w:szCs w:val="21"/>
        </w:rPr>
        <w:t xml:space="preserve">： </w:t>
      </w:r>
      <w:r>
        <w:rPr>
          <w:rFonts w:hint="eastAsia"/>
          <w:kern w:val="0"/>
          <w:szCs w:val="21"/>
        </w:rPr>
        <w:t>2000000.00</w:t>
      </w:r>
    </w:p>
    <w:p w14:paraId="0B202F03">
      <w:pPr>
        <w:spacing w:line="312" w:lineRule="auto"/>
        <w:ind w:firstLine="735" w:firstLineChars="350"/>
        <w:jc w:val="left"/>
        <w:rPr>
          <w:kern w:val="0"/>
          <w:szCs w:val="21"/>
        </w:rPr>
      </w:pPr>
      <w:r>
        <w:rPr>
          <w:rFonts w:hint="eastAsia"/>
          <w:kern w:val="0"/>
          <w:szCs w:val="21"/>
        </w:rPr>
        <w:t>合同履约期限：</w:t>
      </w:r>
      <w:r>
        <w:rPr>
          <w:rFonts w:hint="eastAsia" w:ascii="宋体" w:hAnsi="宋体" w:cs="宋体"/>
          <w:szCs w:val="21"/>
        </w:rPr>
        <w:t>自签订合同之日起一年。分批次供货，按采购人采购计划规定的时间供货。</w:t>
      </w:r>
    </w:p>
    <w:p w14:paraId="6CB840AE">
      <w:pPr>
        <w:spacing w:line="312" w:lineRule="auto"/>
        <w:ind w:firstLine="735" w:firstLineChars="350"/>
        <w:jc w:val="left"/>
        <w:rPr>
          <w:kern w:val="0"/>
          <w:szCs w:val="21"/>
        </w:rPr>
      </w:pPr>
      <w:r>
        <w:rPr>
          <w:kern w:val="0"/>
          <w:szCs w:val="21"/>
        </w:rPr>
        <w:t>本项目</w:t>
      </w:r>
      <w:r>
        <w:rPr>
          <w:rFonts w:hint="eastAsia"/>
          <w:kern w:val="0"/>
          <w:szCs w:val="21"/>
        </w:rPr>
        <w:t>不接受</w:t>
      </w:r>
      <w:r>
        <w:rPr>
          <w:kern w:val="0"/>
          <w:szCs w:val="21"/>
        </w:rPr>
        <w:t>联合体投标。</w:t>
      </w:r>
    </w:p>
    <w:p w14:paraId="7396550F">
      <w:pPr>
        <w:spacing w:line="312" w:lineRule="auto"/>
        <w:ind w:firstLine="735" w:firstLineChars="350"/>
        <w:jc w:val="left"/>
      </w:pPr>
      <w:r>
        <w:rPr>
          <w:rFonts w:hint="eastAsia"/>
          <w:kern w:val="0"/>
          <w:szCs w:val="21"/>
        </w:rPr>
        <w:t>备注：</w:t>
      </w:r>
      <w:r>
        <w:rPr>
          <w:rFonts w:hint="eastAsia"/>
        </w:rPr>
        <w:t>本项目为线上电子招标项目，有意向参与本项目的供应商应当做好参与全流程电子招投标交易的充分准备。</w:t>
      </w:r>
    </w:p>
    <w:p w14:paraId="694A1868">
      <w:pPr>
        <w:spacing w:line="312" w:lineRule="auto"/>
        <w:ind w:firstLine="735" w:firstLineChars="350"/>
        <w:jc w:val="left"/>
      </w:pPr>
    </w:p>
    <w:p w14:paraId="5A9746A4">
      <w:pPr>
        <w:spacing w:line="312" w:lineRule="auto"/>
        <w:ind w:firstLine="420" w:firstLineChars="200"/>
        <w:jc w:val="left"/>
      </w:pPr>
      <w:r>
        <w:rPr>
          <w:rFonts w:hint="eastAsia" w:ascii="宋体" w:hAnsi="宋体" w:cs="宋体"/>
          <w:kern w:val="0"/>
          <w:szCs w:val="21"/>
        </w:rPr>
        <w:t>标项三</w:t>
      </w:r>
    </w:p>
    <w:p w14:paraId="787DDAE4">
      <w:pPr>
        <w:spacing w:line="312" w:lineRule="auto"/>
        <w:ind w:firstLine="735" w:firstLineChars="350"/>
        <w:jc w:val="left"/>
        <w:rPr>
          <w:kern w:val="0"/>
          <w:szCs w:val="21"/>
        </w:rPr>
      </w:pPr>
      <w:r>
        <w:rPr>
          <w:rFonts w:hint="eastAsia"/>
          <w:kern w:val="0"/>
          <w:szCs w:val="21"/>
        </w:rPr>
        <w:t>标项名称：中渡监狱罪犯生活物资采购项目鸡鸭类采购</w:t>
      </w:r>
    </w:p>
    <w:p w14:paraId="0F434A74">
      <w:pPr>
        <w:spacing w:line="312" w:lineRule="auto"/>
        <w:ind w:firstLine="735" w:firstLineChars="350"/>
        <w:jc w:val="left"/>
        <w:rPr>
          <w:kern w:val="0"/>
          <w:szCs w:val="21"/>
        </w:rPr>
      </w:pPr>
      <w:r>
        <w:rPr>
          <w:rFonts w:hint="eastAsia"/>
          <w:kern w:val="0"/>
          <w:szCs w:val="21"/>
        </w:rPr>
        <w:t>数量：1</w:t>
      </w:r>
    </w:p>
    <w:p w14:paraId="238BEDBA">
      <w:pPr>
        <w:spacing w:line="312" w:lineRule="auto"/>
        <w:ind w:firstLine="735" w:firstLineChars="350"/>
        <w:jc w:val="left"/>
        <w:rPr>
          <w:kern w:val="0"/>
          <w:szCs w:val="21"/>
        </w:rPr>
      </w:pPr>
      <w:r>
        <w:rPr>
          <w:rFonts w:hint="eastAsia"/>
          <w:kern w:val="0"/>
          <w:szCs w:val="21"/>
        </w:rPr>
        <w:t>预算金额（元）：2000000.00</w:t>
      </w:r>
    </w:p>
    <w:p w14:paraId="4A2BCB24">
      <w:pPr>
        <w:spacing w:line="312" w:lineRule="auto"/>
        <w:ind w:firstLine="735" w:firstLineChars="350"/>
        <w:jc w:val="left"/>
        <w:rPr>
          <w:kern w:val="0"/>
          <w:szCs w:val="21"/>
        </w:rPr>
      </w:pPr>
      <w:r>
        <w:rPr>
          <w:rFonts w:hint="eastAsia"/>
          <w:kern w:val="0"/>
          <w:szCs w:val="21"/>
        </w:rPr>
        <w:t>简要规格描述或项目基本概况介绍、用途：中渡监狱罪犯生活物资采购项目鸡鸭类采购一批，详见采购文件第二章采购需求。</w:t>
      </w:r>
    </w:p>
    <w:p w14:paraId="0D1D045D">
      <w:pPr>
        <w:spacing w:line="312" w:lineRule="auto"/>
        <w:ind w:firstLine="735" w:firstLineChars="350"/>
        <w:jc w:val="left"/>
        <w:rPr>
          <w:kern w:val="0"/>
          <w:szCs w:val="21"/>
        </w:rPr>
      </w:pPr>
      <w:r>
        <w:rPr>
          <w:kern w:val="0"/>
          <w:szCs w:val="21"/>
        </w:rPr>
        <w:t>最高限价</w:t>
      </w:r>
      <w:r>
        <w:rPr>
          <w:rFonts w:hint="eastAsia"/>
          <w:kern w:val="0"/>
          <w:szCs w:val="21"/>
        </w:rPr>
        <w:t>（如有）</w:t>
      </w:r>
      <w:r>
        <w:rPr>
          <w:kern w:val="0"/>
          <w:szCs w:val="21"/>
        </w:rPr>
        <w:t xml:space="preserve">： </w:t>
      </w:r>
      <w:r>
        <w:rPr>
          <w:rFonts w:hint="eastAsia"/>
          <w:kern w:val="0"/>
          <w:szCs w:val="21"/>
        </w:rPr>
        <w:t>2000000.00</w:t>
      </w:r>
    </w:p>
    <w:p w14:paraId="2D3D26EC">
      <w:pPr>
        <w:spacing w:line="312" w:lineRule="auto"/>
        <w:ind w:firstLine="735" w:firstLineChars="350"/>
        <w:jc w:val="left"/>
        <w:rPr>
          <w:kern w:val="0"/>
          <w:szCs w:val="21"/>
        </w:rPr>
      </w:pPr>
      <w:r>
        <w:rPr>
          <w:rFonts w:hint="eastAsia"/>
          <w:kern w:val="0"/>
          <w:szCs w:val="21"/>
        </w:rPr>
        <w:t>合同履约期限：</w:t>
      </w:r>
      <w:r>
        <w:rPr>
          <w:rFonts w:hint="eastAsia" w:ascii="宋体" w:hAnsi="宋体" w:cs="宋体"/>
          <w:szCs w:val="21"/>
        </w:rPr>
        <w:t>自签订合同之日起一年。分批次供货，按采购人采购计划规定的时间供货。</w:t>
      </w:r>
    </w:p>
    <w:p w14:paraId="1E0AFBFC">
      <w:pPr>
        <w:spacing w:line="312" w:lineRule="auto"/>
        <w:ind w:firstLine="735" w:firstLineChars="350"/>
        <w:jc w:val="left"/>
        <w:rPr>
          <w:kern w:val="0"/>
          <w:szCs w:val="21"/>
        </w:rPr>
      </w:pPr>
      <w:r>
        <w:rPr>
          <w:kern w:val="0"/>
          <w:szCs w:val="21"/>
        </w:rPr>
        <w:t>本项目</w:t>
      </w:r>
      <w:r>
        <w:rPr>
          <w:rFonts w:hint="eastAsia"/>
          <w:kern w:val="0"/>
          <w:szCs w:val="21"/>
        </w:rPr>
        <w:t>不接受</w:t>
      </w:r>
      <w:r>
        <w:rPr>
          <w:kern w:val="0"/>
          <w:szCs w:val="21"/>
        </w:rPr>
        <w:t>联合体投标。</w:t>
      </w:r>
    </w:p>
    <w:p w14:paraId="2671BAA1">
      <w:pPr>
        <w:spacing w:line="312" w:lineRule="auto"/>
        <w:ind w:firstLine="735" w:firstLineChars="350"/>
        <w:jc w:val="left"/>
      </w:pPr>
      <w:r>
        <w:rPr>
          <w:rFonts w:hint="eastAsia"/>
          <w:kern w:val="0"/>
          <w:szCs w:val="21"/>
        </w:rPr>
        <w:t>备注：</w:t>
      </w:r>
      <w:r>
        <w:rPr>
          <w:rFonts w:hint="eastAsia"/>
        </w:rPr>
        <w:t>本项目为线上电子招标项目，有意向参与本项目的供应商应当做好参与全流程电子招投标交易的充分准备。</w:t>
      </w:r>
    </w:p>
    <w:p w14:paraId="74118249">
      <w:pPr>
        <w:spacing w:line="312" w:lineRule="auto"/>
        <w:ind w:firstLine="735" w:firstLineChars="350"/>
        <w:jc w:val="left"/>
        <w:rPr>
          <w:kern w:val="0"/>
          <w:szCs w:val="21"/>
        </w:rPr>
      </w:pPr>
    </w:p>
    <w:p w14:paraId="5EC01584">
      <w:pPr>
        <w:spacing w:line="312" w:lineRule="auto"/>
        <w:ind w:firstLine="420" w:firstLineChars="200"/>
        <w:jc w:val="left"/>
      </w:pPr>
      <w:r>
        <w:rPr>
          <w:rFonts w:hint="eastAsia" w:ascii="宋体" w:hAnsi="宋体" w:cs="宋体"/>
          <w:kern w:val="0"/>
          <w:szCs w:val="21"/>
        </w:rPr>
        <w:t>标项四</w:t>
      </w:r>
    </w:p>
    <w:p w14:paraId="0A06517B">
      <w:pPr>
        <w:spacing w:line="312" w:lineRule="auto"/>
        <w:ind w:firstLine="735" w:firstLineChars="350"/>
        <w:jc w:val="left"/>
        <w:rPr>
          <w:kern w:val="0"/>
          <w:szCs w:val="21"/>
        </w:rPr>
      </w:pPr>
      <w:r>
        <w:rPr>
          <w:rFonts w:hint="eastAsia"/>
          <w:kern w:val="0"/>
          <w:szCs w:val="21"/>
        </w:rPr>
        <w:t>标项名称：中渡监狱罪犯生活物资采购项目蔬菜类采购</w:t>
      </w:r>
    </w:p>
    <w:p w14:paraId="2F709E12">
      <w:pPr>
        <w:spacing w:line="312" w:lineRule="auto"/>
        <w:ind w:firstLine="735" w:firstLineChars="350"/>
        <w:jc w:val="left"/>
        <w:rPr>
          <w:kern w:val="0"/>
          <w:szCs w:val="21"/>
        </w:rPr>
      </w:pPr>
      <w:r>
        <w:rPr>
          <w:rFonts w:hint="eastAsia"/>
          <w:kern w:val="0"/>
          <w:szCs w:val="21"/>
        </w:rPr>
        <w:t>数量：1</w:t>
      </w:r>
    </w:p>
    <w:p w14:paraId="0E6CEFD5">
      <w:pPr>
        <w:spacing w:line="312" w:lineRule="auto"/>
        <w:ind w:firstLine="735" w:firstLineChars="350"/>
        <w:jc w:val="left"/>
        <w:rPr>
          <w:kern w:val="0"/>
          <w:szCs w:val="21"/>
        </w:rPr>
      </w:pPr>
      <w:r>
        <w:rPr>
          <w:rFonts w:hint="eastAsia"/>
          <w:kern w:val="0"/>
          <w:szCs w:val="21"/>
        </w:rPr>
        <w:t>预算金额（元）：1800000.00</w:t>
      </w:r>
    </w:p>
    <w:p w14:paraId="04398950">
      <w:pPr>
        <w:spacing w:line="312" w:lineRule="auto"/>
        <w:ind w:firstLine="735" w:firstLineChars="350"/>
        <w:jc w:val="left"/>
        <w:rPr>
          <w:kern w:val="0"/>
          <w:szCs w:val="21"/>
        </w:rPr>
      </w:pPr>
      <w:r>
        <w:rPr>
          <w:rFonts w:hint="eastAsia"/>
          <w:kern w:val="0"/>
          <w:szCs w:val="21"/>
        </w:rPr>
        <w:t>简要规格描述或项目基本概况介绍、用途：中渡监狱罪犯生活物资采购项目蔬菜类采购一批，详见采购文件第二章采购需求。</w:t>
      </w:r>
    </w:p>
    <w:p w14:paraId="2E5567C1">
      <w:pPr>
        <w:spacing w:line="312" w:lineRule="auto"/>
        <w:ind w:firstLine="735" w:firstLineChars="350"/>
        <w:jc w:val="left"/>
        <w:rPr>
          <w:kern w:val="0"/>
          <w:szCs w:val="21"/>
        </w:rPr>
      </w:pPr>
      <w:r>
        <w:rPr>
          <w:kern w:val="0"/>
          <w:szCs w:val="21"/>
        </w:rPr>
        <w:t>最高限价</w:t>
      </w:r>
      <w:r>
        <w:rPr>
          <w:rFonts w:hint="eastAsia"/>
          <w:kern w:val="0"/>
          <w:szCs w:val="21"/>
        </w:rPr>
        <w:t>（如有）</w:t>
      </w:r>
      <w:r>
        <w:rPr>
          <w:kern w:val="0"/>
          <w:szCs w:val="21"/>
        </w:rPr>
        <w:t xml:space="preserve">： </w:t>
      </w:r>
      <w:r>
        <w:rPr>
          <w:rFonts w:hint="eastAsia"/>
          <w:kern w:val="0"/>
          <w:szCs w:val="21"/>
        </w:rPr>
        <w:t>1800000.00</w:t>
      </w:r>
    </w:p>
    <w:p w14:paraId="1D7A189A">
      <w:pPr>
        <w:spacing w:line="312" w:lineRule="auto"/>
        <w:ind w:firstLine="735" w:firstLineChars="350"/>
        <w:jc w:val="left"/>
        <w:rPr>
          <w:kern w:val="0"/>
          <w:szCs w:val="21"/>
        </w:rPr>
      </w:pPr>
      <w:r>
        <w:rPr>
          <w:rFonts w:hint="eastAsia"/>
          <w:kern w:val="0"/>
          <w:szCs w:val="21"/>
        </w:rPr>
        <w:t>合同履约期限：</w:t>
      </w:r>
      <w:r>
        <w:rPr>
          <w:rFonts w:hint="eastAsia" w:ascii="宋体" w:hAnsi="宋体" w:cs="宋体"/>
          <w:szCs w:val="21"/>
        </w:rPr>
        <w:t>自签订合同之日起一年。分批次供货，按采购人采购计划规定的时间供货。</w:t>
      </w:r>
    </w:p>
    <w:p w14:paraId="700E9C57">
      <w:pPr>
        <w:spacing w:line="312" w:lineRule="auto"/>
        <w:ind w:firstLine="735" w:firstLineChars="350"/>
        <w:jc w:val="left"/>
        <w:rPr>
          <w:kern w:val="0"/>
          <w:szCs w:val="21"/>
        </w:rPr>
      </w:pPr>
      <w:r>
        <w:rPr>
          <w:kern w:val="0"/>
          <w:szCs w:val="21"/>
        </w:rPr>
        <w:t>本项目</w:t>
      </w:r>
      <w:r>
        <w:rPr>
          <w:rFonts w:hint="eastAsia"/>
          <w:kern w:val="0"/>
          <w:szCs w:val="21"/>
        </w:rPr>
        <w:t>不接受</w:t>
      </w:r>
      <w:r>
        <w:rPr>
          <w:kern w:val="0"/>
          <w:szCs w:val="21"/>
        </w:rPr>
        <w:t>联合体投标。</w:t>
      </w:r>
    </w:p>
    <w:p w14:paraId="7B90B1FC">
      <w:pPr>
        <w:spacing w:line="312" w:lineRule="auto"/>
        <w:ind w:firstLine="735" w:firstLineChars="350"/>
        <w:jc w:val="left"/>
      </w:pPr>
      <w:r>
        <w:rPr>
          <w:rFonts w:hint="eastAsia"/>
          <w:kern w:val="0"/>
          <w:szCs w:val="21"/>
        </w:rPr>
        <w:t>备注：</w:t>
      </w:r>
      <w:r>
        <w:rPr>
          <w:rFonts w:hint="eastAsia"/>
        </w:rPr>
        <w:t>本项目为线上电子招标项目，有意向参与本项目的供应商应当做好参与全流程电子招投标交易的充分准备。</w:t>
      </w:r>
    </w:p>
    <w:p w14:paraId="7908FE77">
      <w:pPr>
        <w:spacing w:line="312" w:lineRule="auto"/>
        <w:ind w:firstLine="735" w:firstLineChars="350"/>
        <w:jc w:val="left"/>
      </w:pPr>
    </w:p>
    <w:p w14:paraId="6917070D">
      <w:pPr>
        <w:spacing w:line="312" w:lineRule="auto"/>
        <w:ind w:firstLine="442" w:firstLineChars="200"/>
        <w:jc w:val="left"/>
        <w:rPr>
          <w:b/>
          <w:bCs/>
          <w:kern w:val="0"/>
          <w:sz w:val="22"/>
          <w:szCs w:val="22"/>
        </w:rPr>
      </w:pPr>
      <w:r>
        <w:rPr>
          <w:rFonts w:hint="eastAsia"/>
          <w:b/>
          <w:bCs/>
          <w:kern w:val="0"/>
          <w:sz w:val="22"/>
          <w:szCs w:val="22"/>
        </w:rPr>
        <w:t>二、申请人的资格要求</w:t>
      </w:r>
    </w:p>
    <w:p w14:paraId="33766640">
      <w:pPr>
        <w:spacing w:line="312" w:lineRule="auto"/>
        <w:ind w:firstLine="420" w:firstLineChars="200"/>
        <w:jc w:val="left"/>
        <w:rPr>
          <w:szCs w:val="21"/>
        </w:rPr>
      </w:pPr>
      <w:r>
        <w:rPr>
          <w:kern w:val="0"/>
          <w:szCs w:val="21"/>
        </w:rPr>
        <w:t>1</w:t>
      </w:r>
      <w:r>
        <w:rPr>
          <w:rFonts w:hint="eastAsia"/>
          <w:kern w:val="0"/>
          <w:szCs w:val="21"/>
        </w:rPr>
        <w:t>.满足</w:t>
      </w:r>
      <w:r>
        <w:rPr>
          <w:kern w:val="0"/>
          <w:szCs w:val="21"/>
        </w:rPr>
        <w:t>《中华人民共和国政府采购法》第二十二条规定；</w:t>
      </w:r>
      <w:r>
        <w:rPr>
          <w:szCs w:val="21"/>
        </w:rPr>
        <w:t xml:space="preserve"> </w:t>
      </w:r>
    </w:p>
    <w:p w14:paraId="603D67A3">
      <w:pPr>
        <w:spacing w:line="312" w:lineRule="auto"/>
        <w:ind w:firstLine="420" w:firstLineChars="200"/>
        <w:jc w:val="left"/>
        <w:rPr>
          <w:szCs w:val="21"/>
        </w:rPr>
      </w:pPr>
      <w:r>
        <w:rPr>
          <w:rFonts w:hint="eastAsia"/>
          <w:szCs w:val="21"/>
        </w:rPr>
        <w:t>2.落实政府采购政策需满足的资格要求：</w:t>
      </w:r>
      <w:bookmarkStart w:id="10" w:name="_Hlk132878088"/>
      <w:r>
        <w:rPr>
          <w:rFonts w:hint="eastAsia"/>
          <w:szCs w:val="21"/>
        </w:rPr>
        <w:t xml:space="preserve"> </w:t>
      </w:r>
      <w:bookmarkStart w:id="11" w:name="_Hlk132880574"/>
      <w:r>
        <w:rPr>
          <w:rFonts w:hint="eastAsia" w:ascii="宋体" w:hAnsi="宋体" w:cs="宋体"/>
        </w:rPr>
        <w:t>本项目1分标属于专门面向小微企业采购的项目，供应商须为小微企业（监狱企业、残疾人福利性单位视同小型、微型企业）；2、3、4分标：无要求；</w:t>
      </w:r>
    </w:p>
    <w:bookmarkEnd w:id="10"/>
    <w:bookmarkEnd w:id="11"/>
    <w:p w14:paraId="2EBDAF82">
      <w:pPr>
        <w:spacing w:line="312" w:lineRule="auto"/>
        <w:ind w:firstLine="420" w:firstLineChars="200"/>
        <w:jc w:val="left"/>
        <w:rPr>
          <w:kern w:val="0"/>
          <w:szCs w:val="21"/>
        </w:rPr>
      </w:pPr>
      <w:r>
        <w:rPr>
          <w:kern w:val="0"/>
          <w:szCs w:val="21"/>
        </w:rPr>
        <w:t>3.</w:t>
      </w:r>
      <w:r>
        <w:rPr>
          <w:rFonts w:hint="eastAsia"/>
          <w:kern w:val="0"/>
          <w:szCs w:val="21"/>
        </w:rPr>
        <w:t>本项目的</w:t>
      </w:r>
      <w:r>
        <w:rPr>
          <w:kern w:val="0"/>
          <w:szCs w:val="21"/>
        </w:rPr>
        <w:t>特定资格</w:t>
      </w:r>
      <w:r>
        <w:rPr>
          <w:rFonts w:hint="eastAsia"/>
          <w:kern w:val="0"/>
          <w:szCs w:val="21"/>
        </w:rPr>
        <w:t>要求</w:t>
      </w:r>
    </w:p>
    <w:p w14:paraId="3E02D928">
      <w:pPr>
        <w:spacing w:line="312" w:lineRule="auto"/>
        <w:ind w:firstLine="420" w:firstLineChars="200"/>
        <w:jc w:val="left"/>
        <w:rPr>
          <w:kern w:val="0"/>
          <w:szCs w:val="21"/>
        </w:rPr>
      </w:pPr>
      <w:r>
        <w:rPr>
          <w:kern w:val="0"/>
          <w:szCs w:val="21"/>
        </w:rPr>
        <w:t>（1）资质要求：</w:t>
      </w:r>
      <w:r>
        <w:rPr>
          <w:rFonts w:hint="eastAsia"/>
          <w:kern w:val="0"/>
          <w:szCs w:val="21"/>
        </w:rPr>
        <w:t>1分标、4分标：投标人必须具有有效的《食品经营许可证》；2、3分标：无特定资格要求。</w:t>
      </w:r>
    </w:p>
    <w:p w14:paraId="0E519F96">
      <w:pPr>
        <w:spacing w:line="312" w:lineRule="auto"/>
        <w:ind w:firstLine="442" w:firstLineChars="200"/>
        <w:jc w:val="left"/>
        <w:rPr>
          <w:b/>
          <w:bCs/>
          <w:kern w:val="0"/>
          <w:sz w:val="22"/>
          <w:szCs w:val="22"/>
        </w:rPr>
      </w:pPr>
      <w:r>
        <w:rPr>
          <w:rFonts w:hint="eastAsia"/>
          <w:b/>
          <w:bCs/>
          <w:kern w:val="0"/>
          <w:sz w:val="22"/>
          <w:szCs w:val="22"/>
        </w:rPr>
        <w:t>三、获取招标文件</w:t>
      </w:r>
    </w:p>
    <w:p w14:paraId="6C63FEFA">
      <w:pPr>
        <w:spacing w:line="312" w:lineRule="auto"/>
        <w:ind w:firstLine="420" w:firstLineChars="200"/>
        <w:jc w:val="left"/>
      </w:pPr>
      <w:r>
        <w:rPr>
          <w:rFonts w:hint="eastAsia"/>
        </w:rPr>
        <w:t>时间：</w:t>
      </w:r>
      <w:r>
        <w:rPr>
          <w:u w:val="single"/>
        </w:rPr>
        <w:t>20XX</w:t>
      </w:r>
      <w:r>
        <w:rPr>
          <w:rFonts w:hint="eastAsia"/>
          <w:u w:val="single"/>
        </w:rPr>
        <w:t>年</w:t>
      </w:r>
      <w:r>
        <w:rPr>
          <w:u w:val="single"/>
        </w:rPr>
        <w:t>XX</w:t>
      </w:r>
      <w:r>
        <w:rPr>
          <w:rFonts w:hint="eastAsia"/>
          <w:u w:val="single"/>
        </w:rPr>
        <w:t>月</w:t>
      </w:r>
      <w:r>
        <w:rPr>
          <w:u w:val="single"/>
        </w:rPr>
        <w:t>XX</w:t>
      </w:r>
      <w:r>
        <w:rPr>
          <w:rFonts w:hint="eastAsia"/>
          <w:u w:val="single"/>
        </w:rPr>
        <w:t>日起至2</w:t>
      </w:r>
      <w:r>
        <w:rPr>
          <w:u w:val="single"/>
        </w:rPr>
        <w:t>0XX</w:t>
      </w:r>
      <w:r>
        <w:rPr>
          <w:rFonts w:hint="eastAsia"/>
          <w:u w:val="single"/>
        </w:rPr>
        <w:t>年</w:t>
      </w:r>
      <w:r>
        <w:rPr>
          <w:u w:val="single"/>
        </w:rPr>
        <w:t>XX</w:t>
      </w:r>
      <w:r>
        <w:rPr>
          <w:rFonts w:hint="eastAsia"/>
          <w:u w:val="single"/>
        </w:rPr>
        <w:t>月</w:t>
      </w:r>
      <w:r>
        <w:rPr>
          <w:u w:val="single"/>
        </w:rPr>
        <w:t>XX</w:t>
      </w:r>
      <w:r>
        <w:rPr>
          <w:rFonts w:hint="eastAsia"/>
          <w:u w:val="single"/>
        </w:rPr>
        <w:t>日</w:t>
      </w:r>
      <w:r>
        <w:rPr>
          <w:rFonts w:hint="eastAsia"/>
        </w:rPr>
        <w:t>，每天上午</w:t>
      </w:r>
      <w:bookmarkStart w:id="12" w:name="_Hlk132878196"/>
      <w:r>
        <w:rPr>
          <w:u w:val="single"/>
        </w:rPr>
        <w:t>XX</w:t>
      </w:r>
      <w:r>
        <w:rPr>
          <w:rFonts w:hint="eastAsia"/>
          <w:u w:val="single"/>
        </w:rPr>
        <w:t>至</w:t>
      </w:r>
      <w:r>
        <w:rPr>
          <w:u w:val="single"/>
        </w:rPr>
        <w:t>XX</w:t>
      </w:r>
      <w:r>
        <w:rPr>
          <w:rFonts w:hint="eastAsia"/>
          <w:u w:val="single"/>
        </w:rPr>
        <w:t>，下午</w:t>
      </w:r>
      <w:r>
        <w:rPr>
          <w:u w:val="single"/>
        </w:rPr>
        <w:t>XX</w:t>
      </w:r>
      <w:r>
        <w:rPr>
          <w:rFonts w:hint="eastAsia"/>
          <w:u w:val="single"/>
        </w:rPr>
        <w:t>至</w:t>
      </w:r>
      <w:r>
        <w:rPr>
          <w:u w:val="single"/>
        </w:rPr>
        <w:t>XX</w:t>
      </w:r>
      <w:bookmarkEnd w:id="12"/>
      <w:r>
        <w:rPr>
          <w:rFonts w:hint="eastAsia"/>
        </w:rPr>
        <w:t>（北京时间，法定节假日除外）。</w:t>
      </w:r>
    </w:p>
    <w:p w14:paraId="5339B395">
      <w:pPr>
        <w:spacing w:line="312" w:lineRule="auto"/>
        <w:ind w:firstLine="420" w:firstLineChars="200"/>
        <w:jc w:val="left"/>
        <w:rPr>
          <w:szCs w:val="21"/>
        </w:rPr>
      </w:pPr>
      <w:r>
        <w:rPr>
          <w:rFonts w:hint="eastAsia"/>
        </w:rPr>
        <w:t>地点（网址）：</w:t>
      </w:r>
      <w:bookmarkStart w:id="13" w:name="_Hlk132878204"/>
      <w:bookmarkStart w:id="14" w:name="_Hlk132880625"/>
      <w:r>
        <w:rPr>
          <w:rFonts w:ascii="Arial" w:hAnsi="Arial" w:cs="Arial"/>
          <w:kern w:val="0"/>
          <w:szCs w:val="21"/>
        </w:rPr>
        <w:t xml:space="preserve">广西政府采购云平台 </w:t>
      </w:r>
      <w:bookmarkEnd w:id="13"/>
      <w:bookmarkEnd w:id="14"/>
      <w:r>
        <w:rPr>
          <w:rFonts w:hint="eastAsia"/>
          <w:szCs w:val="21"/>
        </w:rPr>
        <w:t>（</w:t>
      </w:r>
      <w:r>
        <w:fldChar w:fldCharType="begin"/>
      </w:r>
      <w:r>
        <w:instrText xml:space="preserve"> HYPERLINK "https://www.gcy.zfcg.gxzf.gov.cn/" </w:instrText>
      </w:r>
      <w:r>
        <w:fldChar w:fldCharType="separate"/>
      </w:r>
      <w:r>
        <w:rPr>
          <w:rStyle w:val="57"/>
          <w:color w:val="auto"/>
          <w:szCs w:val="21"/>
        </w:rPr>
        <w:t>https://www.gcy.zfcg.gxzf.gov.cn/</w:t>
      </w:r>
      <w:r>
        <w:rPr>
          <w:rStyle w:val="57"/>
          <w:color w:val="auto"/>
          <w:szCs w:val="21"/>
        </w:rPr>
        <w:fldChar w:fldCharType="end"/>
      </w:r>
      <w:r>
        <w:rPr>
          <w:rFonts w:hint="eastAsia"/>
          <w:szCs w:val="21"/>
        </w:rPr>
        <w:t>）</w:t>
      </w:r>
    </w:p>
    <w:p w14:paraId="67AB3138">
      <w:pPr>
        <w:spacing w:line="312" w:lineRule="auto"/>
        <w:ind w:firstLine="420" w:firstLineChars="200"/>
        <w:jc w:val="left"/>
        <w:rPr>
          <w:szCs w:val="21"/>
        </w:rPr>
      </w:pPr>
      <w:r>
        <w:rPr>
          <w:rFonts w:hint="eastAsia"/>
          <w:szCs w:val="21"/>
        </w:rPr>
        <w:t>方式：</w:t>
      </w:r>
      <w:bookmarkStart w:id="15" w:name="_Hlk132878211"/>
      <w:bookmarkStart w:id="16" w:name="_Hlk132880632"/>
      <w:r>
        <w:rPr>
          <w:rFonts w:hint="eastAsia"/>
          <w:szCs w:val="21"/>
        </w:rPr>
        <w:t>供应商登录广西政府采购云平台在线申请获取采购文件（进入“项目采购”应用，在获取采购文件菜单中选择项目，申请获取采购文件）</w:t>
      </w:r>
      <w:bookmarkEnd w:id="15"/>
    </w:p>
    <w:bookmarkEnd w:id="16"/>
    <w:p w14:paraId="2D8C263C">
      <w:pPr>
        <w:spacing w:line="312" w:lineRule="auto"/>
        <w:ind w:firstLine="420" w:firstLineChars="200"/>
        <w:jc w:val="left"/>
      </w:pPr>
      <w:r>
        <w:rPr>
          <w:rFonts w:hint="eastAsia"/>
        </w:rPr>
        <w:t>售价（元）：</w:t>
      </w:r>
      <w:r>
        <w:t>0</w:t>
      </w:r>
    </w:p>
    <w:p w14:paraId="74A38D0E">
      <w:pPr>
        <w:spacing w:line="312" w:lineRule="auto"/>
        <w:ind w:firstLine="442" w:firstLineChars="200"/>
        <w:jc w:val="left"/>
        <w:rPr>
          <w:b/>
          <w:bCs/>
          <w:kern w:val="0"/>
          <w:sz w:val="22"/>
          <w:szCs w:val="22"/>
        </w:rPr>
      </w:pPr>
      <w:r>
        <w:rPr>
          <w:rFonts w:hint="eastAsia"/>
          <w:b/>
          <w:bCs/>
          <w:kern w:val="0"/>
          <w:sz w:val="22"/>
          <w:szCs w:val="22"/>
        </w:rPr>
        <w:t>四、提交投标文件截止时间、开标时间和地点</w:t>
      </w:r>
    </w:p>
    <w:p w14:paraId="41675A4E">
      <w:pPr>
        <w:spacing w:line="312" w:lineRule="auto"/>
        <w:ind w:firstLine="420" w:firstLineChars="200"/>
        <w:jc w:val="left"/>
        <w:rPr>
          <w:kern w:val="0"/>
          <w:szCs w:val="21"/>
        </w:rPr>
      </w:pPr>
      <w:r>
        <w:rPr>
          <w:rFonts w:hint="eastAsia"/>
          <w:kern w:val="0"/>
          <w:szCs w:val="21"/>
        </w:rPr>
        <w:t>提交投标文件截止时间：</w:t>
      </w:r>
      <w:r>
        <w:rPr>
          <w:kern w:val="0"/>
          <w:szCs w:val="21"/>
          <w:u w:val="single"/>
        </w:rPr>
        <w:t>20XX年X月XX日XX</w:t>
      </w:r>
      <w:r>
        <w:rPr>
          <w:rFonts w:hint="eastAsia"/>
          <w:kern w:val="0"/>
          <w:szCs w:val="21"/>
        </w:rPr>
        <w:t>（北京时间）</w:t>
      </w:r>
    </w:p>
    <w:p w14:paraId="350044DE">
      <w:pPr>
        <w:spacing w:line="312" w:lineRule="auto"/>
        <w:ind w:firstLine="420" w:firstLineChars="200"/>
        <w:jc w:val="left"/>
        <w:rPr>
          <w:kern w:val="0"/>
          <w:szCs w:val="21"/>
        </w:rPr>
      </w:pPr>
      <w:r>
        <w:rPr>
          <w:rFonts w:hint="eastAsia"/>
          <w:kern w:val="0"/>
          <w:szCs w:val="21"/>
        </w:rPr>
        <w:t>投标地点（网址）：</w:t>
      </w:r>
      <w:r>
        <w:rPr>
          <w:rFonts w:hint="eastAsia"/>
          <w:szCs w:val="21"/>
        </w:rPr>
        <w:t xml:space="preserve"> 本项目为全流程电子化项目，没有现场递交投标文件及现场开标环节，通过广西政府采购云平台（https://www.gcy.zfcg.gxzf.gov.cn/）实行在线电子投标，供应商应先安装广西政府采购云平台新版客户端（请自行前往广西政府采购网-办事服务-下载专区进行下载），并按照本项目招标文件和广西政府采购云平台的要求使用CA认证编制、加密投标文件后在投标截止时间前上传至 广西政府采购云平台，供应商在广西政府采购云平台提交电子版投标文件时，请填写参加远程开标活动经办人联系方式。</w:t>
      </w:r>
    </w:p>
    <w:p w14:paraId="665ECD04">
      <w:pPr>
        <w:spacing w:line="312" w:lineRule="auto"/>
        <w:ind w:firstLine="420" w:firstLineChars="200"/>
        <w:jc w:val="left"/>
        <w:rPr>
          <w:kern w:val="0"/>
          <w:szCs w:val="21"/>
          <w:u w:val="single"/>
        </w:rPr>
      </w:pPr>
      <w:r>
        <w:rPr>
          <w:rFonts w:hint="eastAsia"/>
          <w:kern w:val="0"/>
          <w:szCs w:val="21"/>
        </w:rPr>
        <w:t>开标时间：</w:t>
      </w:r>
      <w:r>
        <w:rPr>
          <w:kern w:val="0"/>
          <w:szCs w:val="21"/>
          <w:u w:val="single"/>
        </w:rPr>
        <w:t>20</w:t>
      </w:r>
      <w:r>
        <w:rPr>
          <w:rFonts w:hint="eastAsia"/>
          <w:kern w:val="0"/>
          <w:szCs w:val="21"/>
          <w:u w:val="single"/>
          <w:lang w:val="en-US" w:eastAsia="zh-CN"/>
        </w:rPr>
        <w:t>26</w:t>
      </w:r>
      <w:r>
        <w:rPr>
          <w:kern w:val="0"/>
          <w:szCs w:val="21"/>
          <w:u w:val="single"/>
        </w:rPr>
        <w:t>年X月</w:t>
      </w:r>
      <w:r>
        <w:rPr>
          <w:rFonts w:hint="eastAsia"/>
          <w:kern w:val="0"/>
          <w:szCs w:val="21"/>
          <w:u w:val="single"/>
          <w:lang w:val="en-US" w:eastAsia="zh-CN"/>
        </w:rPr>
        <w:t>XX</w:t>
      </w:r>
      <w:r>
        <w:rPr>
          <w:kern w:val="0"/>
          <w:szCs w:val="21"/>
          <w:u w:val="single"/>
        </w:rPr>
        <w:t xml:space="preserve">日XX日XX   </w:t>
      </w:r>
    </w:p>
    <w:p w14:paraId="5DEC0085">
      <w:pPr>
        <w:spacing w:line="312" w:lineRule="auto"/>
        <w:ind w:firstLine="420" w:firstLineChars="200"/>
        <w:jc w:val="left"/>
        <w:rPr>
          <w:szCs w:val="21"/>
        </w:rPr>
      </w:pPr>
      <w:r>
        <w:rPr>
          <w:rFonts w:hint="eastAsia"/>
          <w:kern w:val="0"/>
          <w:szCs w:val="21"/>
        </w:rPr>
        <w:t>开标地点：</w:t>
      </w:r>
      <w:bookmarkStart w:id="17" w:name="_Hlk88997106"/>
      <w:r>
        <w:rPr>
          <w:rFonts w:hint="eastAsia"/>
          <w:szCs w:val="21"/>
        </w:rPr>
        <w:t>供应商登录广西政府采购云平台电子开标大厅开标。</w:t>
      </w:r>
      <w:bookmarkEnd w:id="17"/>
    </w:p>
    <w:p w14:paraId="41DCE800">
      <w:pPr>
        <w:spacing w:line="312" w:lineRule="auto"/>
        <w:ind w:firstLine="442" w:firstLineChars="200"/>
        <w:jc w:val="left"/>
        <w:rPr>
          <w:b/>
          <w:bCs/>
          <w:kern w:val="0"/>
          <w:sz w:val="22"/>
          <w:szCs w:val="22"/>
        </w:rPr>
      </w:pPr>
      <w:r>
        <w:rPr>
          <w:rFonts w:hint="eastAsia"/>
          <w:b/>
          <w:bCs/>
          <w:kern w:val="0"/>
          <w:sz w:val="22"/>
          <w:szCs w:val="22"/>
        </w:rPr>
        <w:t>五、公告期限</w:t>
      </w:r>
    </w:p>
    <w:p w14:paraId="52BD213D">
      <w:pPr>
        <w:spacing w:line="312" w:lineRule="auto"/>
        <w:ind w:firstLine="420" w:firstLineChars="200"/>
        <w:jc w:val="left"/>
        <w:rPr>
          <w:kern w:val="0"/>
          <w:szCs w:val="21"/>
        </w:rPr>
      </w:pPr>
      <w:r>
        <w:rPr>
          <w:rFonts w:hint="eastAsia"/>
          <w:kern w:val="0"/>
          <w:szCs w:val="21"/>
        </w:rPr>
        <w:t>自本公告发布之日起5个工作日。</w:t>
      </w:r>
    </w:p>
    <w:p w14:paraId="3CB107D0">
      <w:pPr>
        <w:spacing w:line="312" w:lineRule="auto"/>
        <w:ind w:firstLine="442" w:firstLineChars="200"/>
        <w:jc w:val="left"/>
        <w:rPr>
          <w:b/>
          <w:bCs/>
          <w:kern w:val="0"/>
          <w:sz w:val="22"/>
          <w:szCs w:val="22"/>
        </w:rPr>
      </w:pPr>
      <w:r>
        <w:rPr>
          <w:rFonts w:hint="eastAsia"/>
          <w:b/>
          <w:bCs/>
          <w:kern w:val="0"/>
          <w:sz w:val="22"/>
          <w:szCs w:val="22"/>
        </w:rPr>
        <w:t>六、其他补充事宜</w:t>
      </w:r>
    </w:p>
    <w:p w14:paraId="6E858A8E">
      <w:pPr>
        <w:spacing w:line="312" w:lineRule="auto"/>
        <w:ind w:firstLine="420" w:firstLineChars="200"/>
        <w:jc w:val="left"/>
        <w:rPr>
          <w:kern w:val="0"/>
          <w:szCs w:val="21"/>
        </w:rPr>
      </w:pPr>
      <w:r>
        <w:rPr>
          <w:rFonts w:hint="eastAsia"/>
          <w:kern w:val="0"/>
          <w:szCs w:val="21"/>
        </w:rPr>
        <w:t>1.本项目收取投标保证金。</w:t>
      </w:r>
    </w:p>
    <w:p w14:paraId="14215B2E">
      <w:pPr>
        <w:spacing w:line="312" w:lineRule="auto"/>
        <w:ind w:firstLine="420" w:firstLineChars="200"/>
        <w:jc w:val="left"/>
        <w:rPr>
          <w:kern w:val="0"/>
          <w:szCs w:val="21"/>
        </w:rPr>
      </w:pPr>
      <w:r>
        <w:rPr>
          <w:rFonts w:hint="eastAsia"/>
          <w:kern w:val="0"/>
          <w:szCs w:val="21"/>
        </w:rPr>
        <w:t>（1）投标保证金金额</w:t>
      </w:r>
    </w:p>
    <w:p w14:paraId="5EB3B546">
      <w:pPr>
        <w:spacing w:line="312" w:lineRule="auto"/>
        <w:ind w:firstLine="420" w:firstLineChars="200"/>
        <w:jc w:val="left"/>
        <w:rPr>
          <w:kern w:val="0"/>
          <w:szCs w:val="21"/>
        </w:rPr>
      </w:pPr>
      <w:r>
        <w:rPr>
          <w:rFonts w:hint="eastAsia"/>
          <w:kern w:val="0"/>
          <w:szCs w:val="21"/>
        </w:rPr>
        <w:t>1分标投标保证金金额：人民币壹万元整（¥10000.00）；</w:t>
      </w:r>
    </w:p>
    <w:p w14:paraId="2F3E15CC">
      <w:pPr>
        <w:spacing w:line="312" w:lineRule="auto"/>
        <w:ind w:firstLine="420" w:firstLineChars="200"/>
        <w:jc w:val="left"/>
        <w:rPr>
          <w:kern w:val="0"/>
          <w:szCs w:val="21"/>
        </w:rPr>
      </w:pPr>
      <w:r>
        <w:rPr>
          <w:rFonts w:hint="eastAsia"/>
          <w:kern w:val="0"/>
          <w:szCs w:val="21"/>
        </w:rPr>
        <w:t>2分标投标保证金金额：人民币壹万元整（¥10000.00）；</w:t>
      </w:r>
    </w:p>
    <w:p w14:paraId="7BD70501">
      <w:pPr>
        <w:spacing w:line="312" w:lineRule="auto"/>
        <w:ind w:firstLine="420" w:firstLineChars="200"/>
        <w:jc w:val="left"/>
        <w:rPr>
          <w:kern w:val="0"/>
          <w:szCs w:val="21"/>
        </w:rPr>
      </w:pPr>
      <w:r>
        <w:rPr>
          <w:rFonts w:hint="eastAsia"/>
          <w:kern w:val="0"/>
          <w:szCs w:val="21"/>
        </w:rPr>
        <w:t>3分标投标保证金金额：人民币壹万元整（¥10000.00）；</w:t>
      </w:r>
    </w:p>
    <w:p w14:paraId="02E7E5A9">
      <w:pPr>
        <w:spacing w:line="312" w:lineRule="auto"/>
        <w:ind w:firstLine="420" w:firstLineChars="200"/>
        <w:jc w:val="left"/>
        <w:rPr>
          <w:kern w:val="0"/>
          <w:szCs w:val="21"/>
        </w:rPr>
      </w:pPr>
      <w:r>
        <w:rPr>
          <w:rFonts w:hint="eastAsia"/>
          <w:kern w:val="0"/>
          <w:szCs w:val="21"/>
        </w:rPr>
        <w:t>4分标投标保证金金额：人民币壹万元整（¥10000.00）；</w:t>
      </w:r>
    </w:p>
    <w:p w14:paraId="15624642">
      <w:pPr>
        <w:spacing w:line="312" w:lineRule="auto"/>
        <w:ind w:firstLine="420" w:firstLineChars="200"/>
        <w:jc w:val="left"/>
        <w:rPr>
          <w:kern w:val="0"/>
          <w:szCs w:val="21"/>
        </w:rPr>
      </w:pPr>
      <w:r>
        <w:rPr>
          <w:rFonts w:hint="eastAsia"/>
          <w:kern w:val="0"/>
          <w:szCs w:val="21"/>
        </w:rPr>
        <w:t>投标人必须于投标文件递交截止时间前以转账、支票、汇票、本票或者金融、保险机构出具的保函等非现金形式提交。</w:t>
      </w:r>
    </w:p>
    <w:p w14:paraId="762E1EDA">
      <w:pPr>
        <w:spacing w:line="312" w:lineRule="auto"/>
        <w:ind w:firstLine="420" w:firstLineChars="200"/>
        <w:jc w:val="left"/>
        <w:rPr>
          <w:kern w:val="0"/>
          <w:szCs w:val="21"/>
        </w:rPr>
      </w:pPr>
      <w:r>
        <w:rPr>
          <w:rFonts w:hint="eastAsia"/>
          <w:kern w:val="0"/>
          <w:szCs w:val="21"/>
        </w:rPr>
        <w:t>（2）投标保证金交纳的指定账户：</w:t>
      </w:r>
    </w:p>
    <w:p w14:paraId="62628FF9">
      <w:pPr>
        <w:spacing w:line="312" w:lineRule="auto"/>
        <w:ind w:firstLine="420" w:firstLineChars="200"/>
        <w:jc w:val="left"/>
        <w:rPr>
          <w:kern w:val="0"/>
          <w:szCs w:val="21"/>
        </w:rPr>
      </w:pPr>
      <w:r>
        <w:rPr>
          <w:rFonts w:hint="eastAsia"/>
          <w:kern w:val="0"/>
          <w:szCs w:val="21"/>
        </w:rPr>
        <w:t>开户名称：广西机电设备招标有限公司</w:t>
      </w:r>
    </w:p>
    <w:p w14:paraId="7A3A2A2E">
      <w:pPr>
        <w:spacing w:line="312" w:lineRule="auto"/>
        <w:ind w:firstLine="420" w:firstLineChars="200"/>
        <w:jc w:val="left"/>
        <w:rPr>
          <w:kern w:val="0"/>
          <w:szCs w:val="21"/>
        </w:rPr>
      </w:pPr>
      <w:r>
        <w:rPr>
          <w:rFonts w:hint="eastAsia"/>
          <w:kern w:val="0"/>
          <w:szCs w:val="21"/>
        </w:rPr>
        <w:t>开户银行： 平安银行南宁分行营业部</w:t>
      </w:r>
    </w:p>
    <w:p w14:paraId="2471280A">
      <w:pPr>
        <w:spacing w:line="312" w:lineRule="auto"/>
        <w:ind w:firstLine="420" w:firstLineChars="200"/>
        <w:jc w:val="left"/>
        <w:rPr>
          <w:kern w:val="0"/>
          <w:szCs w:val="21"/>
        </w:rPr>
      </w:pPr>
      <w:r>
        <w:rPr>
          <w:rFonts w:hint="eastAsia"/>
          <w:kern w:val="0"/>
          <w:szCs w:val="21"/>
        </w:rPr>
        <w:t>银行账号：1分标： 30210485861080；</w:t>
      </w:r>
    </w:p>
    <w:p w14:paraId="2419CEE4">
      <w:pPr>
        <w:spacing w:line="312" w:lineRule="auto"/>
        <w:ind w:firstLine="1470" w:firstLineChars="700"/>
        <w:jc w:val="left"/>
        <w:rPr>
          <w:kern w:val="0"/>
          <w:szCs w:val="21"/>
        </w:rPr>
      </w:pPr>
      <w:r>
        <w:rPr>
          <w:rFonts w:hint="eastAsia"/>
          <w:kern w:val="0"/>
          <w:szCs w:val="21"/>
        </w:rPr>
        <w:t>2分标：30210485175603 ；</w:t>
      </w:r>
    </w:p>
    <w:p w14:paraId="0D22D0B5">
      <w:pPr>
        <w:spacing w:line="312" w:lineRule="auto"/>
        <w:ind w:firstLine="1470" w:firstLineChars="700"/>
        <w:jc w:val="left"/>
        <w:rPr>
          <w:kern w:val="0"/>
          <w:szCs w:val="21"/>
        </w:rPr>
      </w:pPr>
      <w:r>
        <w:rPr>
          <w:rFonts w:hint="eastAsia"/>
          <w:kern w:val="0"/>
          <w:szCs w:val="21"/>
        </w:rPr>
        <w:t>3分标：30210485490126；</w:t>
      </w:r>
    </w:p>
    <w:p w14:paraId="0BAD54FF">
      <w:pPr>
        <w:spacing w:line="312" w:lineRule="auto"/>
        <w:ind w:firstLine="1470" w:firstLineChars="700"/>
        <w:jc w:val="left"/>
        <w:rPr>
          <w:kern w:val="0"/>
          <w:szCs w:val="21"/>
        </w:rPr>
      </w:pPr>
      <w:r>
        <w:rPr>
          <w:rFonts w:hint="eastAsia"/>
          <w:kern w:val="0"/>
          <w:szCs w:val="21"/>
        </w:rPr>
        <w:t>4分标：30210485804649；</w:t>
      </w:r>
    </w:p>
    <w:p w14:paraId="13A278AE">
      <w:pPr>
        <w:spacing w:line="312" w:lineRule="auto"/>
        <w:ind w:firstLine="420" w:firstLineChars="200"/>
        <w:jc w:val="left"/>
        <w:rPr>
          <w:kern w:val="0"/>
          <w:szCs w:val="21"/>
        </w:rPr>
      </w:pPr>
      <w:r>
        <w:rPr>
          <w:rFonts w:hint="eastAsia"/>
          <w:kern w:val="0"/>
          <w:szCs w:val="21"/>
        </w:rPr>
        <w:t>2.公告发布媒体：广西壮族自治区政府采购网、中国政府采购网</w:t>
      </w:r>
    </w:p>
    <w:p w14:paraId="5AFC6DF9">
      <w:pPr>
        <w:spacing w:line="312" w:lineRule="auto"/>
        <w:ind w:firstLine="420" w:firstLineChars="200"/>
        <w:jc w:val="left"/>
        <w:rPr>
          <w:kern w:val="0"/>
          <w:szCs w:val="21"/>
        </w:rPr>
      </w:pPr>
      <w:r>
        <w:rPr>
          <w:rFonts w:hint="eastAsia"/>
          <w:kern w:val="0"/>
          <w:szCs w:val="21"/>
        </w:rPr>
        <w:t>3</w:t>
      </w:r>
      <w:r>
        <w:rPr>
          <w:kern w:val="0"/>
          <w:szCs w:val="21"/>
        </w:rPr>
        <w:t>.</w:t>
      </w:r>
      <w:r>
        <w:rPr>
          <w:rFonts w:hint="eastAsia"/>
        </w:rPr>
        <w:t xml:space="preserve"> </w:t>
      </w:r>
      <w:r>
        <w:rPr>
          <w:rFonts w:hint="eastAsia"/>
          <w:kern w:val="0"/>
          <w:szCs w:val="21"/>
        </w:rPr>
        <w:t>需落实的政府采购政策：</w:t>
      </w:r>
      <w:r>
        <w:rPr>
          <w:kern w:val="0"/>
          <w:szCs w:val="21"/>
        </w:rPr>
        <w:t>政府采购促进中小企业、监狱企业发展、促进残疾人就业</w:t>
      </w:r>
      <w:r>
        <w:rPr>
          <w:rFonts w:hint="eastAsia"/>
          <w:kern w:val="0"/>
          <w:szCs w:val="21"/>
        </w:rPr>
        <w:t>、</w:t>
      </w:r>
      <w:r>
        <w:rPr>
          <w:kern w:val="0"/>
          <w:szCs w:val="21"/>
        </w:rPr>
        <w:t>节能环保</w:t>
      </w:r>
      <w:r>
        <w:rPr>
          <w:rFonts w:hint="eastAsia"/>
          <w:kern w:val="0"/>
          <w:szCs w:val="21"/>
        </w:rPr>
        <w:t>、对本国产品的支持</w:t>
      </w:r>
      <w:r>
        <w:rPr>
          <w:kern w:val="0"/>
          <w:szCs w:val="21"/>
        </w:rPr>
        <w:t>等有关政策，具体详见招标文件。</w:t>
      </w:r>
    </w:p>
    <w:p w14:paraId="2113BD3B">
      <w:pPr>
        <w:spacing w:line="312" w:lineRule="auto"/>
        <w:ind w:firstLine="420" w:firstLineChars="200"/>
        <w:jc w:val="left"/>
        <w:rPr>
          <w:kern w:val="0"/>
          <w:szCs w:val="21"/>
        </w:rPr>
      </w:pPr>
      <w:r>
        <w:rPr>
          <w:rFonts w:hint="eastAsia" w:cs="宋体"/>
        </w:rPr>
        <w:t>4</w:t>
      </w:r>
      <w:r>
        <w:rPr>
          <w:rFonts w:cs="宋体"/>
        </w:rPr>
        <w:t>.</w:t>
      </w:r>
      <w:r>
        <w:rPr>
          <w:rFonts w:hint="eastAsia" w:cs="宋体"/>
        </w:rPr>
        <w:t>本项目否采用远程异地评审</w:t>
      </w:r>
      <w:r>
        <w:rPr>
          <w:rFonts w:hint="eastAsia"/>
          <w:kern w:val="0"/>
          <w:szCs w:val="21"/>
        </w:rPr>
        <w:t>。</w:t>
      </w:r>
    </w:p>
    <w:p w14:paraId="0D4F36C3">
      <w:pPr>
        <w:spacing w:line="312" w:lineRule="auto"/>
        <w:ind w:firstLine="420" w:firstLineChars="200"/>
        <w:rPr>
          <w:kern w:val="0"/>
          <w:szCs w:val="21"/>
        </w:rPr>
      </w:pPr>
      <w:r>
        <w:rPr>
          <w:rFonts w:hint="eastAsia"/>
          <w:kern w:val="0"/>
          <w:szCs w:val="21"/>
        </w:rPr>
        <w:t>5</w:t>
      </w:r>
      <w:r>
        <w:rPr>
          <w:kern w:val="0"/>
          <w:szCs w:val="21"/>
        </w:rPr>
        <w:t>.</w:t>
      </w:r>
      <w:r>
        <w:rPr>
          <w:rFonts w:hint="eastAsia"/>
          <w:kern w:val="0"/>
          <w:szCs w:val="21"/>
        </w:rPr>
        <w:t>注意事项：</w:t>
      </w:r>
    </w:p>
    <w:p w14:paraId="32F47E67">
      <w:pPr>
        <w:spacing w:line="276" w:lineRule="auto"/>
        <w:ind w:firstLine="420" w:firstLineChars="200"/>
        <w:rPr>
          <w:szCs w:val="21"/>
        </w:rPr>
      </w:pPr>
      <w:r>
        <w:rPr>
          <w:rFonts w:hint="eastAsia"/>
          <w:kern w:val="0"/>
          <w:szCs w:val="21"/>
        </w:rPr>
        <w:t>（1）</w:t>
      </w:r>
      <w:r>
        <w:rPr>
          <w:rFonts w:hint="eastAsia"/>
          <w:szCs w:val="21"/>
        </w:rPr>
        <w:t>未进行网上注册并办理数字证书（CA认证）的供应商将无法参与本项目政府采购活动，潜在供应商应当在投标截止时间前，完成广西政府采购云平台上的CA数字证书办理及投标文件的提交。完成CA数字证书办理预计7日左右，建议各供应商抓紧时间办理。</w:t>
      </w:r>
    </w:p>
    <w:p w14:paraId="68A20BA9">
      <w:pPr>
        <w:spacing w:line="276" w:lineRule="auto"/>
        <w:ind w:firstLine="420" w:firstLineChars="200"/>
        <w:rPr>
          <w:kern w:val="0"/>
          <w:szCs w:val="21"/>
        </w:rPr>
      </w:pPr>
      <w:r>
        <w:rPr>
          <w:rFonts w:hint="eastAsia"/>
          <w:szCs w:val="21"/>
        </w:rPr>
        <w:t>（2）为确保网上操作合法、有效和安全，请供应商确保在电子投标过程中能够对相关数据电文进行加密和使用电子签章，妥善保管CA数字证书并使用有效的CA数字证书参与整个招标活动。</w:t>
      </w:r>
    </w:p>
    <w:p w14:paraId="2BA62EDC">
      <w:pPr>
        <w:spacing w:line="312" w:lineRule="auto"/>
        <w:ind w:firstLine="420" w:firstLineChars="200"/>
        <w:jc w:val="left"/>
        <w:rPr>
          <w:b/>
          <w:bCs/>
          <w:kern w:val="0"/>
          <w:sz w:val="22"/>
          <w:szCs w:val="22"/>
        </w:rPr>
      </w:pPr>
      <w:r>
        <w:rPr>
          <w:rFonts w:hint="eastAsia"/>
          <w:szCs w:val="21"/>
        </w:rPr>
        <w:t>（3）若对项目采购电子交易系统操作有疑问，可登录广西政府采购云平台（https://www.gcy.zfcg.gxzf.gov.cn/），点击右侧咨询小采或帮助文档或拨打客服热线95763</w:t>
      </w:r>
    </w:p>
    <w:p w14:paraId="216066F2">
      <w:pPr>
        <w:spacing w:line="312" w:lineRule="auto"/>
        <w:ind w:firstLine="442" w:firstLineChars="200"/>
        <w:jc w:val="left"/>
        <w:rPr>
          <w:b/>
          <w:bCs/>
          <w:kern w:val="0"/>
          <w:sz w:val="22"/>
          <w:szCs w:val="22"/>
        </w:rPr>
      </w:pPr>
      <w:r>
        <w:rPr>
          <w:rFonts w:hint="eastAsia"/>
          <w:b/>
          <w:bCs/>
          <w:kern w:val="0"/>
          <w:sz w:val="22"/>
          <w:szCs w:val="22"/>
        </w:rPr>
        <w:t>七、对本次招标提出询问，请按以下方式联系</w:t>
      </w:r>
    </w:p>
    <w:p w14:paraId="0A5A0E29">
      <w:pPr>
        <w:spacing w:line="312" w:lineRule="auto"/>
        <w:ind w:firstLine="420" w:firstLineChars="200"/>
        <w:jc w:val="left"/>
        <w:rPr>
          <w:kern w:val="0"/>
          <w:szCs w:val="21"/>
        </w:rPr>
      </w:pPr>
      <w:r>
        <w:rPr>
          <w:rFonts w:hint="eastAsia"/>
          <w:kern w:val="0"/>
          <w:szCs w:val="21"/>
        </w:rPr>
        <w:t>1.采购人信息</w:t>
      </w:r>
    </w:p>
    <w:p w14:paraId="3BDDEFDF">
      <w:pPr>
        <w:spacing w:line="312" w:lineRule="auto"/>
        <w:ind w:firstLine="420" w:firstLineChars="200"/>
        <w:jc w:val="left"/>
        <w:rPr>
          <w:kern w:val="0"/>
          <w:szCs w:val="21"/>
          <w:u w:val="single"/>
        </w:rPr>
      </w:pPr>
      <w:bookmarkStart w:id="18" w:name="_Hlk19048373"/>
      <w:r>
        <w:rPr>
          <w:rFonts w:hint="eastAsia"/>
          <w:kern w:val="0"/>
          <w:szCs w:val="21"/>
        </w:rPr>
        <w:t>名称</w:t>
      </w:r>
      <w:r>
        <w:rPr>
          <w:kern w:val="0"/>
          <w:szCs w:val="21"/>
        </w:rPr>
        <w:t>：</w:t>
      </w:r>
      <w:r>
        <w:rPr>
          <w:rFonts w:hint="eastAsia"/>
          <w:kern w:val="0"/>
          <w:szCs w:val="21"/>
          <w:u w:val="single"/>
        </w:rPr>
        <w:t>广西壮族自治区中渡监狱</w:t>
      </w:r>
    </w:p>
    <w:p w14:paraId="4C480199">
      <w:pPr>
        <w:spacing w:line="312" w:lineRule="auto"/>
        <w:ind w:firstLine="420" w:firstLineChars="200"/>
        <w:jc w:val="left"/>
        <w:rPr>
          <w:kern w:val="0"/>
          <w:szCs w:val="21"/>
          <w:u w:val="single"/>
        </w:rPr>
      </w:pPr>
      <w:r>
        <w:rPr>
          <w:kern w:val="0"/>
          <w:szCs w:val="21"/>
        </w:rPr>
        <w:t>地址：</w:t>
      </w:r>
      <w:r>
        <w:rPr>
          <w:rFonts w:hint="eastAsia"/>
          <w:kern w:val="0"/>
          <w:szCs w:val="21"/>
        </w:rPr>
        <w:t>广西柳州市鹿寨县龙田路1号</w:t>
      </w:r>
      <w:r>
        <w:rPr>
          <w:rFonts w:hint="eastAsia" w:ascii="宋体" w:hAnsi="宋体" w:cs="宋体"/>
        </w:rPr>
        <w:t xml:space="preserve"> </w:t>
      </w:r>
    </w:p>
    <w:p w14:paraId="01721E48">
      <w:pPr>
        <w:spacing w:line="312" w:lineRule="auto"/>
        <w:ind w:firstLine="420" w:firstLineChars="200"/>
        <w:jc w:val="left"/>
        <w:rPr>
          <w:kern w:val="0"/>
          <w:szCs w:val="21"/>
          <w:u w:val="single"/>
        </w:rPr>
      </w:pPr>
      <w:r>
        <w:rPr>
          <w:rFonts w:hint="eastAsia"/>
          <w:kern w:val="0"/>
          <w:szCs w:val="21"/>
        </w:rPr>
        <w:t>项目联系人：韦工</w:t>
      </w:r>
      <w:r>
        <w:rPr>
          <w:rFonts w:hint="eastAsia" w:ascii="宋体" w:hAnsi="宋体" w:cs="宋体"/>
          <w:kern w:val="0"/>
          <w:szCs w:val="21"/>
        </w:rPr>
        <w:t xml:space="preserve"> </w:t>
      </w:r>
    </w:p>
    <w:p w14:paraId="12005F84">
      <w:pPr>
        <w:spacing w:line="312" w:lineRule="auto"/>
        <w:ind w:firstLine="420" w:firstLineChars="200"/>
        <w:jc w:val="left"/>
        <w:rPr>
          <w:kern w:val="0"/>
          <w:szCs w:val="21"/>
          <w:u w:val="single"/>
        </w:rPr>
      </w:pPr>
      <w:r>
        <w:rPr>
          <w:rFonts w:hint="eastAsia"/>
          <w:kern w:val="0"/>
          <w:szCs w:val="21"/>
        </w:rPr>
        <w:t>项目</w:t>
      </w:r>
      <w:r>
        <w:rPr>
          <w:kern w:val="0"/>
          <w:szCs w:val="21"/>
        </w:rPr>
        <w:t>联系</w:t>
      </w:r>
      <w:r>
        <w:rPr>
          <w:rFonts w:hint="eastAsia"/>
          <w:kern w:val="0"/>
          <w:szCs w:val="21"/>
        </w:rPr>
        <w:t>方式</w:t>
      </w:r>
      <w:r>
        <w:rPr>
          <w:kern w:val="0"/>
          <w:szCs w:val="21"/>
        </w:rPr>
        <w:t>：</w:t>
      </w:r>
      <w:r>
        <w:rPr>
          <w:rFonts w:hint="eastAsia"/>
          <w:kern w:val="0"/>
          <w:szCs w:val="21"/>
        </w:rPr>
        <w:t>0772-3029016</w:t>
      </w:r>
      <w:r>
        <w:rPr>
          <w:rFonts w:hint="eastAsia" w:ascii="宋体" w:hAnsi="宋体" w:cs="宋体"/>
          <w:kern w:val="0"/>
          <w:szCs w:val="21"/>
        </w:rPr>
        <w:t xml:space="preserve"> </w:t>
      </w:r>
    </w:p>
    <w:p w14:paraId="335CF6A3">
      <w:pPr>
        <w:spacing w:line="312" w:lineRule="auto"/>
        <w:ind w:firstLine="420" w:firstLineChars="200"/>
        <w:jc w:val="left"/>
        <w:rPr>
          <w:kern w:val="0"/>
          <w:szCs w:val="21"/>
        </w:rPr>
      </w:pPr>
      <w:r>
        <w:rPr>
          <w:rFonts w:hint="eastAsia"/>
          <w:kern w:val="0"/>
          <w:szCs w:val="21"/>
        </w:rPr>
        <w:t>2.采购代理机构信息</w:t>
      </w:r>
    </w:p>
    <w:p w14:paraId="106EAC96">
      <w:pPr>
        <w:spacing w:line="312" w:lineRule="auto"/>
        <w:ind w:firstLine="420" w:firstLineChars="200"/>
        <w:jc w:val="left"/>
        <w:rPr>
          <w:kern w:val="0"/>
          <w:szCs w:val="21"/>
          <w:u w:val="single"/>
        </w:rPr>
      </w:pPr>
      <w:r>
        <w:rPr>
          <w:rFonts w:hint="eastAsia"/>
          <w:kern w:val="0"/>
          <w:szCs w:val="21"/>
        </w:rPr>
        <w:t>名称</w:t>
      </w:r>
      <w:r>
        <w:rPr>
          <w:kern w:val="0"/>
          <w:szCs w:val="21"/>
        </w:rPr>
        <w:t>：</w:t>
      </w:r>
      <w:r>
        <w:rPr>
          <w:kern w:val="0"/>
          <w:szCs w:val="21"/>
          <w:u w:val="single"/>
        </w:rPr>
        <w:t>广西机电设备招标有限公司</w:t>
      </w:r>
    </w:p>
    <w:p w14:paraId="00DFBEC4">
      <w:pPr>
        <w:spacing w:line="312" w:lineRule="auto"/>
        <w:ind w:firstLine="420" w:firstLineChars="200"/>
        <w:jc w:val="left"/>
        <w:rPr>
          <w:u w:val="single"/>
        </w:rPr>
      </w:pPr>
      <w:r>
        <w:rPr>
          <w:kern w:val="0"/>
          <w:szCs w:val="21"/>
        </w:rPr>
        <w:t>地址：</w:t>
      </w:r>
      <w:bookmarkStart w:id="19" w:name="_Hlk43198245"/>
      <w:r>
        <w:rPr>
          <w:u w:val="single"/>
        </w:rPr>
        <w:t>广西南宁市金湖路63号金源CBD现代城B座7层701</w:t>
      </w:r>
      <w:bookmarkEnd w:id="19"/>
    </w:p>
    <w:bookmarkEnd w:id="18"/>
    <w:p w14:paraId="22A60CE1">
      <w:pPr>
        <w:spacing w:line="312" w:lineRule="auto"/>
        <w:ind w:firstLine="420" w:firstLineChars="200"/>
        <w:jc w:val="left"/>
        <w:rPr>
          <w:kern w:val="0"/>
          <w:szCs w:val="21"/>
          <w:u w:val="single"/>
        </w:rPr>
      </w:pPr>
      <w:r>
        <w:rPr>
          <w:kern w:val="0"/>
          <w:szCs w:val="21"/>
        </w:rPr>
        <w:t>项目联系人：</w:t>
      </w:r>
      <w:r>
        <w:rPr>
          <w:rFonts w:hint="eastAsia"/>
          <w:kern w:val="0"/>
          <w:szCs w:val="21"/>
          <w:u w:val="single"/>
        </w:rPr>
        <w:t>薛飞、梁策</w:t>
      </w:r>
    </w:p>
    <w:p w14:paraId="5748E140">
      <w:pPr>
        <w:spacing w:line="312" w:lineRule="auto"/>
        <w:ind w:firstLine="420" w:firstLineChars="200"/>
        <w:jc w:val="left"/>
        <w:rPr>
          <w:kern w:val="0"/>
          <w:szCs w:val="21"/>
          <w:u w:val="single"/>
        </w:rPr>
      </w:pPr>
      <w:r>
        <w:rPr>
          <w:rFonts w:hint="eastAsia"/>
          <w:kern w:val="0"/>
          <w:szCs w:val="21"/>
        </w:rPr>
        <w:t>项目联系方式</w:t>
      </w:r>
      <w:r>
        <w:rPr>
          <w:kern w:val="0"/>
          <w:szCs w:val="21"/>
          <w:u w:val="single"/>
        </w:rPr>
        <w:t>：</w:t>
      </w:r>
      <w:r>
        <w:rPr>
          <w:rFonts w:hint="eastAsia"/>
          <w:kern w:val="0"/>
          <w:szCs w:val="21"/>
          <w:u w:val="single"/>
        </w:rPr>
        <w:t>13737071446</w:t>
      </w:r>
      <w:r>
        <w:rPr>
          <w:kern w:val="0"/>
          <w:szCs w:val="21"/>
          <w:u w:val="single"/>
        </w:rPr>
        <w:t xml:space="preserve">  </w:t>
      </w:r>
    </w:p>
    <w:p w14:paraId="21F64937">
      <w:pPr>
        <w:spacing w:line="312" w:lineRule="auto"/>
        <w:ind w:firstLine="422" w:firstLineChars="200"/>
        <w:jc w:val="left"/>
        <w:rPr>
          <w:b/>
          <w:bCs/>
          <w:kern w:val="0"/>
          <w:szCs w:val="21"/>
        </w:rPr>
      </w:pPr>
    </w:p>
    <w:p w14:paraId="00638B37">
      <w:pPr>
        <w:spacing w:line="312" w:lineRule="auto"/>
        <w:ind w:firstLine="422" w:firstLineChars="200"/>
        <w:jc w:val="left"/>
        <w:rPr>
          <w:b/>
          <w:bCs/>
          <w:kern w:val="0"/>
          <w:szCs w:val="21"/>
        </w:rPr>
      </w:pPr>
    </w:p>
    <w:p w14:paraId="05E0745B">
      <w:pPr>
        <w:spacing w:line="312" w:lineRule="auto"/>
        <w:ind w:firstLine="420" w:firstLineChars="200"/>
        <w:jc w:val="right"/>
        <w:rPr>
          <w:kern w:val="0"/>
          <w:szCs w:val="21"/>
        </w:rPr>
      </w:pPr>
      <w:r>
        <w:rPr>
          <w:kern w:val="0"/>
          <w:szCs w:val="21"/>
        </w:rPr>
        <w:t>广西机电设备招标有限公司</w:t>
      </w:r>
    </w:p>
    <w:p w14:paraId="0EDC8375">
      <w:pPr>
        <w:spacing w:line="312" w:lineRule="auto"/>
        <w:ind w:firstLine="420" w:firstLineChars="200"/>
        <w:jc w:val="right"/>
        <w:rPr>
          <w:kern w:val="0"/>
          <w:sz w:val="18"/>
          <w:szCs w:val="18"/>
        </w:rPr>
      </w:pPr>
      <w:r>
        <w:rPr>
          <w:rFonts w:hint="eastAsia"/>
          <w:kern w:val="0"/>
          <w:szCs w:val="21"/>
          <w:lang w:val="en-US" w:eastAsia="zh-CN"/>
        </w:rPr>
        <w:t>2026</w:t>
      </w:r>
      <w:r>
        <w:rPr>
          <w:kern w:val="0"/>
          <w:szCs w:val="21"/>
        </w:rPr>
        <w:t>年X月XX日</w:t>
      </w:r>
    </w:p>
    <w:p w14:paraId="3CABCA6D">
      <w:pPr>
        <w:widowControl/>
        <w:jc w:val="left"/>
        <w:rPr>
          <w:sz w:val="32"/>
          <w:szCs w:val="32"/>
        </w:rPr>
      </w:pPr>
      <w:r>
        <w:rPr>
          <w:sz w:val="32"/>
          <w:szCs w:val="32"/>
        </w:rPr>
        <w:br w:type="page"/>
      </w:r>
    </w:p>
    <w:p w14:paraId="25817D9F">
      <w:pPr>
        <w:pStyle w:val="26"/>
        <w:snapToGrid w:val="0"/>
        <w:spacing w:before="120" w:after="120" w:line="320" w:lineRule="exact"/>
        <w:jc w:val="center"/>
        <w:outlineLvl w:val="0"/>
        <w:rPr>
          <w:rFonts w:ascii="Times New Roman" w:hAnsi="Times New Roman" w:cs="Times New Roman"/>
          <w:sz w:val="32"/>
          <w:szCs w:val="32"/>
        </w:rPr>
      </w:pPr>
      <w:bookmarkStart w:id="20" w:name="_Toc4574"/>
      <w:r>
        <w:rPr>
          <w:rFonts w:ascii="Times New Roman" w:hAnsi="Times New Roman" w:cs="Times New Roman"/>
          <w:sz w:val="32"/>
          <w:szCs w:val="32"/>
        </w:rPr>
        <w:t>第二章  采购需求</w:t>
      </w:r>
      <w:bookmarkEnd w:id="20"/>
    </w:p>
    <w:p w14:paraId="73BCF99A">
      <w:pPr>
        <w:spacing w:before="120"/>
        <w:rPr>
          <w:rFonts w:ascii="宋体" w:hAnsi="宋体" w:cs="宋体"/>
          <w:b/>
          <w:bCs/>
          <w:sz w:val="28"/>
          <w:szCs w:val="28"/>
        </w:rPr>
      </w:pPr>
      <w:bookmarkStart w:id="21" w:name="_Hlk77608362"/>
    </w:p>
    <w:p w14:paraId="33C075AB">
      <w:pPr>
        <w:spacing w:line="360" w:lineRule="auto"/>
        <w:rPr>
          <w:rFonts w:ascii="黑体" w:hAnsi="黑体" w:eastAsia="黑体" w:cs="Arial"/>
          <w:b/>
          <w:kern w:val="0"/>
          <w:sz w:val="28"/>
          <w:szCs w:val="28"/>
        </w:rPr>
      </w:pPr>
      <w:r>
        <w:rPr>
          <w:rFonts w:ascii="黑体" w:hAnsi="黑体" w:eastAsia="黑体" w:cs="Arial"/>
          <w:b/>
          <w:kern w:val="0"/>
          <w:sz w:val="28"/>
          <w:szCs w:val="28"/>
        </w:rPr>
        <w:t>一、</w:t>
      </w:r>
      <w:r>
        <w:rPr>
          <w:rFonts w:hint="eastAsia" w:ascii="黑体" w:hAnsi="黑体" w:eastAsia="黑体" w:cs="Arial"/>
          <w:b/>
          <w:kern w:val="0"/>
          <w:sz w:val="28"/>
          <w:szCs w:val="28"/>
        </w:rPr>
        <w:t>总体</w:t>
      </w:r>
      <w:r>
        <w:rPr>
          <w:rFonts w:ascii="黑体" w:hAnsi="黑体" w:eastAsia="黑体" w:cs="Arial"/>
          <w:b/>
          <w:kern w:val="0"/>
          <w:sz w:val="28"/>
          <w:szCs w:val="28"/>
        </w:rPr>
        <w:t>要求</w:t>
      </w:r>
    </w:p>
    <w:p w14:paraId="796EEA2C">
      <w:pPr>
        <w:spacing w:line="360" w:lineRule="auto"/>
        <w:rPr>
          <w:szCs w:val="21"/>
        </w:rPr>
      </w:pPr>
      <w:r>
        <w:rPr>
          <w:szCs w:val="21"/>
        </w:rPr>
        <w:t>1</w:t>
      </w:r>
      <w:r>
        <w:rPr>
          <w:rFonts w:hint="eastAsia"/>
          <w:szCs w:val="21"/>
        </w:rPr>
        <w:t>.政府采购政策的应用</w:t>
      </w:r>
    </w:p>
    <w:p w14:paraId="2F1A9E02">
      <w:pPr>
        <w:spacing w:line="360" w:lineRule="auto"/>
        <w:rPr>
          <w:szCs w:val="21"/>
        </w:rPr>
      </w:pPr>
      <w:r>
        <w:rPr>
          <w:rFonts w:hint="eastAsia"/>
          <w:szCs w:val="21"/>
        </w:rPr>
        <w:t>详见招标文件“评审方法及标准</w:t>
      </w:r>
      <w:r>
        <w:rPr>
          <w:szCs w:val="21"/>
        </w:rPr>
        <w:t>/政府采购政策应用说明”。</w:t>
      </w:r>
    </w:p>
    <w:p w14:paraId="2B2C8EAA">
      <w:pPr>
        <w:spacing w:line="360" w:lineRule="auto"/>
        <w:rPr>
          <w:szCs w:val="21"/>
        </w:rPr>
      </w:pPr>
      <w:r>
        <w:rPr>
          <w:szCs w:val="21"/>
        </w:rPr>
        <w:t>2</w:t>
      </w:r>
      <w:r>
        <w:rPr>
          <w:rFonts w:hint="eastAsia"/>
          <w:szCs w:val="21"/>
        </w:rPr>
        <w:t>.采购需求要求未尽事宜</w:t>
      </w:r>
      <w:r>
        <w:rPr>
          <w:szCs w:val="21"/>
        </w:rPr>
        <w:t>由</w:t>
      </w:r>
      <w:r>
        <w:rPr>
          <w:rFonts w:hint="eastAsia"/>
          <w:szCs w:val="21"/>
        </w:rPr>
        <w:t>采购人与中标供应商</w:t>
      </w:r>
      <w:r>
        <w:rPr>
          <w:szCs w:val="21"/>
        </w:rPr>
        <w:t>在采购合同中约定。</w:t>
      </w:r>
    </w:p>
    <w:p w14:paraId="6769E4B9">
      <w:pPr>
        <w:spacing w:line="360" w:lineRule="auto"/>
        <w:rPr>
          <w:szCs w:val="21"/>
        </w:rPr>
      </w:pPr>
      <w:r>
        <w:rPr>
          <w:rFonts w:hint="eastAsia"/>
          <w:szCs w:val="21"/>
        </w:rPr>
        <w:t>3.标注“▲”的条款或要求系指实质性条款或实质性要求，必须满足，如存在负偏离将导致投标无效。</w:t>
      </w:r>
    </w:p>
    <w:p w14:paraId="64788CA8">
      <w:pPr>
        <w:spacing w:line="360" w:lineRule="auto"/>
        <w:rPr>
          <w:rFonts w:ascii="黑体" w:hAnsi="黑体" w:eastAsia="黑体" w:cs="Arial"/>
          <w:b/>
          <w:kern w:val="0"/>
          <w:sz w:val="28"/>
          <w:szCs w:val="28"/>
        </w:rPr>
      </w:pPr>
      <w:r>
        <w:rPr>
          <w:rFonts w:hint="eastAsia" w:ascii="黑体" w:hAnsi="黑体" w:eastAsia="黑体" w:cs="Arial"/>
          <w:b/>
          <w:kern w:val="0"/>
          <w:sz w:val="28"/>
          <w:szCs w:val="28"/>
        </w:rPr>
        <w:t>二、技术要求</w:t>
      </w:r>
    </w:p>
    <w:p w14:paraId="7FB9081B">
      <w:pPr>
        <w:spacing w:line="360" w:lineRule="auto"/>
        <w:rPr>
          <w:szCs w:val="21"/>
        </w:rPr>
      </w:pPr>
      <w:r>
        <w:rPr>
          <w:rFonts w:hint="eastAsia"/>
          <w:szCs w:val="21"/>
        </w:rPr>
        <w:t>1.需实现的功能、目标及应用场景</w:t>
      </w:r>
    </w:p>
    <w:p w14:paraId="7878F668">
      <w:pPr>
        <w:spacing w:line="360" w:lineRule="auto"/>
        <w:rPr>
          <w:szCs w:val="21"/>
        </w:rPr>
      </w:pPr>
      <w:r>
        <w:rPr>
          <w:rFonts w:hint="eastAsia"/>
          <w:szCs w:val="21"/>
        </w:rPr>
        <w:t>满足招标文件要求，验收达到合格标准。</w:t>
      </w:r>
    </w:p>
    <w:p w14:paraId="5391E4B3">
      <w:pPr>
        <w:spacing w:line="360" w:lineRule="auto"/>
        <w:rPr>
          <w:szCs w:val="21"/>
        </w:rPr>
      </w:pPr>
      <w:r>
        <w:rPr>
          <w:szCs w:val="21"/>
        </w:rPr>
        <w:t>2</w:t>
      </w:r>
      <w:r>
        <w:rPr>
          <w:rFonts w:hint="eastAsia"/>
          <w:szCs w:val="21"/>
        </w:rPr>
        <w:t>.是否接受进口产品：</w:t>
      </w:r>
    </w:p>
    <w:p w14:paraId="1EFF76AE">
      <w:pPr>
        <w:spacing w:line="360" w:lineRule="auto"/>
        <w:rPr>
          <w:szCs w:val="21"/>
        </w:rPr>
      </w:pPr>
      <w:r>
        <w:rPr>
          <w:szCs w:val="21"/>
        </w:rPr>
        <w:sym w:font="Wingdings 2" w:char="F052"/>
      </w:r>
      <w:r>
        <w:rPr>
          <w:rFonts w:hint="eastAsia"/>
          <w:szCs w:val="21"/>
        </w:rPr>
        <w:t>否</w:t>
      </w:r>
    </w:p>
    <w:p w14:paraId="4978A7E9">
      <w:pPr>
        <w:spacing w:line="360" w:lineRule="auto"/>
        <w:rPr>
          <w:szCs w:val="21"/>
        </w:rPr>
      </w:pPr>
      <w:r>
        <w:rPr>
          <w:rFonts w:hint="eastAsia"/>
          <w:szCs w:val="21"/>
        </w:rPr>
        <w:t>□是</w:t>
      </w:r>
    </w:p>
    <w:p w14:paraId="34CE600D">
      <w:pPr>
        <w:spacing w:line="360" w:lineRule="auto"/>
        <w:rPr>
          <w:szCs w:val="21"/>
        </w:rPr>
      </w:pPr>
      <w:r>
        <w:rPr>
          <w:rFonts w:hint="eastAsia"/>
          <w:szCs w:val="21"/>
        </w:rPr>
        <w:t>注：（</w:t>
      </w:r>
      <w:r>
        <w:rPr>
          <w:szCs w:val="21"/>
        </w:rPr>
        <w:t>1）以上所述不接受进口产品的，供应商不得选用进口产品参与投标，否则投标按无效投标处理；列明接受进口产品的分项，供应商可以选用进口产品参与投标，</w:t>
      </w:r>
      <w:r>
        <w:rPr>
          <w:rFonts w:hint="eastAsia"/>
          <w:szCs w:val="21"/>
        </w:rPr>
        <w:t>也可以选用国产产品参与投标。</w:t>
      </w:r>
    </w:p>
    <w:p w14:paraId="6C47945C">
      <w:pPr>
        <w:spacing w:line="360" w:lineRule="auto"/>
        <w:rPr>
          <w:szCs w:val="21"/>
        </w:rPr>
      </w:pPr>
      <w:r>
        <w:rPr>
          <w:rFonts w:hint="eastAsia"/>
          <w:szCs w:val="21"/>
        </w:rPr>
        <w:t>（</w:t>
      </w:r>
      <w:r>
        <w:rPr>
          <w:szCs w:val="21"/>
        </w:rPr>
        <w:t>2）如本项目接受进口产品，供应商选择提供进口产品，则提供的必须为全新原装进口产品，报价中应包括关税等所有进口环节费用并由中标供应商办理进口相关手续，供应商报价中应自行考虑海关关税政策变化带来的风险，采购人不承担该政策变化所造成的费用增加。</w:t>
      </w:r>
    </w:p>
    <w:p w14:paraId="11136BC3">
      <w:pPr>
        <w:spacing w:line="360" w:lineRule="auto"/>
        <w:rPr>
          <w:szCs w:val="21"/>
        </w:rPr>
      </w:pPr>
      <w:r>
        <w:rPr>
          <w:rFonts w:hint="eastAsia"/>
          <w:szCs w:val="21"/>
        </w:rPr>
        <w:t>（</w:t>
      </w:r>
      <w:r>
        <w:rPr>
          <w:szCs w:val="21"/>
        </w:rPr>
        <w:t>3）进口产品是指通过中国海关报关验放进入中国境内且产自关境外的产品。</w:t>
      </w:r>
    </w:p>
    <w:p w14:paraId="3119BF54">
      <w:pPr>
        <w:spacing w:line="360" w:lineRule="auto"/>
        <w:rPr>
          <w:szCs w:val="21"/>
        </w:rPr>
      </w:pPr>
      <w:r>
        <w:rPr>
          <w:rFonts w:hint="eastAsia"/>
          <w:szCs w:val="21"/>
        </w:rPr>
        <w:t>（</w:t>
      </w:r>
      <w:r>
        <w:rPr>
          <w:szCs w:val="21"/>
        </w:rPr>
        <w:t>4）其余内容以《政府采购进口产品管理办法》（财库〔2007〕119号）和《关于政府采购进口产品管理有关问题的通知》（财办库</w:t>
      </w:r>
      <w:r>
        <w:rPr>
          <w:rFonts w:hint="eastAsia"/>
          <w:szCs w:val="21"/>
        </w:rPr>
        <w:t>〔2008〕248号</w:t>
      </w:r>
      <w:r>
        <w:rPr>
          <w:szCs w:val="21"/>
        </w:rPr>
        <w:t>）的相关规定为准。</w:t>
      </w:r>
    </w:p>
    <w:p w14:paraId="43CDC8CA">
      <w:pPr>
        <w:spacing w:line="360" w:lineRule="auto"/>
        <w:rPr>
          <w:szCs w:val="21"/>
        </w:rPr>
      </w:pPr>
      <w:r>
        <w:rPr>
          <w:szCs w:val="21"/>
        </w:rPr>
        <w:t>3</w:t>
      </w:r>
      <w:r>
        <w:rPr>
          <w:rFonts w:hint="eastAsia"/>
          <w:szCs w:val="21"/>
        </w:rPr>
        <w:t>.</w:t>
      </w:r>
      <w:r>
        <w:rPr>
          <w:szCs w:val="21"/>
        </w:rPr>
        <w:t>需执行的国家相关标准、行业标准、地方标准或者其他标准、规范</w:t>
      </w:r>
    </w:p>
    <w:p w14:paraId="489CCDF7">
      <w:pPr>
        <w:spacing w:line="360" w:lineRule="auto"/>
        <w:rPr>
          <w:iCs/>
          <w:szCs w:val="21"/>
        </w:rPr>
      </w:pPr>
      <w:r>
        <w:rPr>
          <w:rFonts w:hint="eastAsia"/>
          <w:szCs w:val="21"/>
        </w:rPr>
        <w:t>本项目应执行的国家相关标准、行业标准、地方标准或者其他标准、规范为：</w:t>
      </w:r>
      <w:r>
        <w:rPr>
          <w:rFonts w:hint="eastAsia"/>
          <w:szCs w:val="21"/>
          <w:u w:val="single"/>
        </w:rPr>
        <w:t xml:space="preserve"> </w:t>
      </w:r>
      <w:r>
        <w:rPr>
          <w:szCs w:val="21"/>
          <w:u w:val="single"/>
        </w:rPr>
        <w:t xml:space="preserve"> </w:t>
      </w:r>
      <w:bookmarkStart w:id="22" w:name="_Hlk88997327"/>
      <w:r>
        <w:rPr>
          <w:rFonts w:hint="eastAsia"/>
          <w:i/>
          <w:szCs w:val="21"/>
          <w:u w:val="single"/>
        </w:rPr>
        <w:t>详见技术指标要求</w:t>
      </w:r>
      <w:r>
        <w:rPr>
          <w:i/>
          <w:szCs w:val="21"/>
          <w:u w:val="single"/>
        </w:rPr>
        <w:t xml:space="preserve">   </w:t>
      </w:r>
      <w:bookmarkEnd w:id="22"/>
      <w:r>
        <w:rPr>
          <w:i/>
          <w:szCs w:val="21"/>
          <w:u w:val="single"/>
        </w:rPr>
        <w:t xml:space="preserve"> </w:t>
      </w:r>
    </w:p>
    <w:p w14:paraId="42965BBD">
      <w:pPr>
        <w:spacing w:line="360" w:lineRule="auto"/>
        <w:rPr>
          <w:szCs w:val="21"/>
        </w:rPr>
      </w:pPr>
      <w:r>
        <w:rPr>
          <w:szCs w:val="21"/>
        </w:rPr>
        <w:t>4</w:t>
      </w:r>
      <w:r>
        <w:rPr>
          <w:rFonts w:hint="eastAsia"/>
          <w:szCs w:val="21"/>
        </w:rPr>
        <w:t>.一般说明</w:t>
      </w:r>
    </w:p>
    <w:p w14:paraId="1D4A47CA">
      <w:pPr>
        <w:spacing w:line="360" w:lineRule="auto"/>
        <w:rPr>
          <w:szCs w:val="21"/>
        </w:rPr>
      </w:pPr>
      <w:r>
        <w:rPr>
          <w:rFonts w:hint="eastAsia"/>
          <w:szCs w:val="21"/>
        </w:rPr>
        <w:t>（</w:t>
      </w:r>
      <w:r>
        <w:rPr>
          <w:szCs w:val="21"/>
        </w:rPr>
        <w:t>1）</w:t>
      </w:r>
      <w:r>
        <w:rPr>
          <w:rFonts w:hint="eastAsia"/>
          <w:szCs w:val="21"/>
        </w:rPr>
        <w:t>本章</w:t>
      </w:r>
      <w:r>
        <w:rPr>
          <w:szCs w:val="21"/>
        </w:rPr>
        <w:t>中如提及品牌型号，仅起参考作用。供应商可选用其他品牌型号替代，但这些替代的品牌型号要实质上参照或相当于或优于参考品牌型号及其技术参数性能（配置）要求。</w:t>
      </w:r>
    </w:p>
    <w:p w14:paraId="45B0D9F6">
      <w:pPr>
        <w:spacing w:line="360" w:lineRule="auto"/>
        <w:rPr>
          <w:szCs w:val="21"/>
        </w:rPr>
      </w:pPr>
      <w:r>
        <w:rPr>
          <w:rFonts w:hint="eastAsia"/>
          <w:szCs w:val="21"/>
        </w:rPr>
        <w:t>（</w:t>
      </w:r>
      <w:r>
        <w:rPr>
          <w:szCs w:val="21"/>
        </w:rPr>
        <w:t>2）</w:t>
      </w:r>
      <w:bookmarkStart w:id="23" w:name="_Hlk132788003"/>
      <w:r>
        <w:rPr>
          <w:szCs w:val="21"/>
        </w:rPr>
        <w:t>如要求提供检测报告</w:t>
      </w:r>
      <w:r>
        <w:rPr>
          <w:rFonts w:hint="eastAsia"/>
          <w:szCs w:val="21"/>
        </w:rPr>
        <w:t>或其他证明材料</w:t>
      </w:r>
      <w:r>
        <w:rPr>
          <w:szCs w:val="21"/>
        </w:rPr>
        <w:t>的，检测报告或</w:t>
      </w:r>
      <w:r>
        <w:rPr>
          <w:rFonts w:hint="eastAsia"/>
          <w:szCs w:val="21"/>
        </w:rPr>
        <w:t>其他证明材料</w:t>
      </w:r>
      <w:r>
        <w:rPr>
          <w:szCs w:val="21"/>
        </w:rPr>
        <w:t>内容中若涉及外文说明，必须同时提供对应中文翻译说明，评审依据以中文翻译内容为准，外文说明仅供参考；产品</w:t>
      </w:r>
      <w:r>
        <w:rPr>
          <w:rFonts w:hint="eastAsia"/>
          <w:szCs w:val="21"/>
        </w:rPr>
        <w:t>证明材料</w:t>
      </w:r>
      <w:r>
        <w:rPr>
          <w:szCs w:val="21"/>
        </w:rPr>
        <w:t>应为报告正面、背面和附件标注的全部具体内容；产品</w:t>
      </w:r>
      <w:r>
        <w:rPr>
          <w:rFonts w:hint="eastAsia"/>
          <w:szCs w:val="21"/>
        </w:rPr>
        <w:t>证明材料</w:t>
      </w:r>
      <w:r>
        <w:rPr>
          <w:szCs w:val="21"/>
        </w:rPr>
        <w:t>的</w:t>
      </w:r>
      <w:r>
        <w:rPr>
          <w:rFonts w:hint="eastAsia"/>
          <w:szCs w:val="21"/>
        </w:rPr>
        <w:t>内容</w:t>
      </w:r>
      <w:r>
        <w:rPr>
          <w:szCs w:val="21"/>
        </w:rPr>
        <w:t>应该能够被阅读、识别和判断</w:t>
      </w:r>
      <w:bookmarkEnd w:id="23"/>
      <w:r>
        <w:rPr>
          <w:szCs w:val="21"/>
        </w:rPr>
        <w:t>。</w:t>
      </w:r>
      <w:r>
        <w:rPr>
          <w:rFonts w:hint="eastAsia"/>
          <w:szCs w:val="21"/>
        </w:rPr>
        <w:t xml:space="preserve"> </w:t>
      </w:r>
    </w:p>
    <w:p w14:paraId="2CA69A72">
      <w:pPr>
        <w:spacing w:line="360" w:lineRule="auto"/>
        <w:rPr>
          <w:szCs w:val="21"/>
        </w:rPr>
      </w:pPr>
      <w:r>
        <w:rPr>
          <w:szCs w:val="21"/>
        </w:rPr>
        <w:t>5</w:t>
      </w:r>
      <w:r>
        <w:rPr>
          <w:rFonts w:hint="eastAsia"/>
          <w:szCs w:val="21"/>
        </w:rPr>
        <w:t>.节能产品</w:t>
      </w:r>
    </w:p>
    <w:p w14:paraId="0E7FC65B">
      <w:pPr>
        <w:spacing w:line="360" w:lineRule="auto"/>
        <w:rPr>
          <w:u w:val="single"/>
        </w:rPr>
      </w:pPr>
      <w:r>
        <w:rPr>
          <w:rFonts w:hint="eastAsia"/>
          <w:szCs w:val="21"/>
        </w:rPr>
        <w:t>本项目强制采购节能产品为：无</w:t>
      </w:r>
      <w:r>
        <w:rPr>
          <w:rFonts w:hint="eastAsia"/>
          <w:u w:val="single"/>
        </w:rPr>
        <w:t xml:space="preserve"> </w:t>
      </w:r>
    </w:p>
    <w:p w14:paraId="56E95AB6">
      <w:pPr>
        <w:spacing w:line="360" w:lineRule="auto"/>
      </w:pPr>
      <w:r>
        <w:rPr>
          <w:rFonts w:hint="eastAsia"/>
        </w:rPr>
        <w:t>6.网络安全专用产品</w:t>
      </w:r>
    </w:p>
    <w:p w14:paraId="5149E729">
      <w:pPr>
        <w:spacing w:line="360" w:lineRule="auto"/>
        <w:rPr>
          <w:szCs w:val="21"/>
        </w:rPr>
      </w:pPr>
      <w:r>
        <w:rPr>
          <w:rFonts w:hint="eastAsia"/>
          <w:szCs w:val="21"/>
        </w:rPr>
        <w:t>本项目网络安全专用产品为：</w:t>
      </w:r>
      <w:r>
        <w:rPr>
          <w:rFonts w:hint="eastAsia"/>
          <w:szCs w:val="21"/>
          <w:u w:val="single"/>
        </w:rPr>
        <w:t>无</w:t>
      </w:r>
      <w:r>
        <w:rPr>
          <w:rFonts w:hint="eastAsia"/>
          <w:u w:val="single"/>
        </w:rPr>
        <w:t xml:space="preserve">           </w:t>
      </w:r>
      <w:r>
        <w:rPr>
          <w:rFonts w:hint="eastAsia"/>
        </w:rPr>
        <w:t xml:space="preserve">    </w:t>
      </w:r>
    </w:p>
    <w:p w14:paraId="1B35F114">
      <w:pPr>
        <w:spacing w:line="360" w:lineRule="auto"/>
        <w:rPr>
          <w:szCs w:val="21"/>
        </w:rPr>
      </w:pPr>
      <w:r>
        <w:rPr>
          <w:rFonts w:hint="eastAsia"/>
          <w:szCs w:val="21"/>
        </w:rPr>
        <w:t>7.投标人可对所有分标或者多分标进行投标或者报价。为保证履约质量，只允许最多中标其中1个分标。定标顺序：先1分标后2分标再到3分标以此类推，即：1分标→2分标→3分标→…。经评审后，如某供应商获得定标顺序中1分标的第一中标候选人资格，可继续按规定参与2、3、4分标的投标，但不再享有2、3、4分标的中标候选资格。评审小组推荐分标中标候选人时，应排除前面分标中第一中标候选人是否已经有1个分标为第一中标候选人资格后，再按“各分标中标候选人推荐原则”推荐该分标的中标候选人。</w:t>
      </w:r>
    </w:p>
    <w:p w14:paraId="7F6E564B">
      <w:pPr>
        <w:spacing w:line="360" w:lineRule="auto"/>
        <w:rPr>
          <w:szCs w:val="21"/>
        </w:rPr>
      </w:pPr>
      <w:r>
        <w:rPr>
          <w:rFonts w:hint="eastAsia"/>
          <w:szCs w:val="21"/>
        </w:rPr>
        <w:t>8.标的名称、数量、需满足的质量、技术规格、物理特性、性能、材料、结构、外观、安全，或者服务内容和标准一览表</w:t>
      </w:r>
    </w:p>
    <w:tbl>
      <w:tblPr>
        <w:tblStyle w:val="51"/>
        <w:tblW w:w="96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5"/>
        <w:gridCol w:w="593"/>
        <w:gridCol w:w="965"/>
        <w:gridCol w:w="986"/>
        <w:gridCol w:w="718"/>
        <w:gridCol w:w="1354"/>
        <w:gridCol w:w="1276"/>
        <w:gridCol w:w="3286"/>
      </w:tblGrid>
      <w:tr w14:paraId="36006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9653" w:type="dxa"/>
            <w:gridSpan w:val="8"/>
            <w:vAlign w:val="center"/>
          </w:tcPr>
          <w:p w14:paraId="46F166C5">
            <w:pPr>
              <w:spacing w:line="380" w:lineRule="exact"/>
              <w:jc w:val="left"/>
              <w:rPr>
                <w:rFonts w:ascii="宋体" w:hAnsi="宋体" w:cs="宋体"/>
                <w:b/>
                <w:szCs w:val="21"/>
              </w:rPr>
            </w:pPr>
            <w:r>
              <w:rPr>
                <w:rFonts w:hint="eastAsia" w:ascii="宋体" w:hAnsi="宋体" w:cs="宋体"/>
                <w:b/>
                <w:szCs w:val="21"/>
              </w:rPr>
              <w:t>分标：1分标</w:t>
            </w:r>
            <w:r>
              <w:rPr>
                <w:rFonts w:hint="eastAsia" w:ascii="宋体" w:hAnsi="宋体" w:cs="宋体"/>
                <w:b/>
                <w:bCs/>
                <w:szCs w:val="21"/>
              </w:rPr>
              <w:t>采购预算：2498000.00元（最高限价金额：2498000.00元）所属行业：批发业</w:t>
            </w:r>
          </w:p>
        </w:tc>
      </w:tr>
      <w:tr w14:paraId="651F6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9653" w:type="dxa"/>
            <w:gridSpan w:val="8"/>
            <w:vAlign w:val="center"/>
          </w:tcPr>
          <w:p w14:paraId="47781737">
            <w:pPr>
              <w:spacing w:line="380" w:lineRule="exact"/>
              <w:jc w:val="center"/>
              <w:rPr>
                <w:rFonts w:ascii="宋体" w:hAnsi="宋体" w:cs="宋体"/>
                <w:b/>
                <w:szCs w:val="21"/>
              </w:rPr>
            </w:pPr>
            <w:r>
              <w:rPr>
                <w:rFonts w:hint="eastAsia" w:ascii="宋体" w:hAnsi="宋体" w:cs="宋体"/>
                <w:b/>
                <w:szCs w:val="21"/>
              </w:rPr>
              <w:t>采购需求一览表</w:t>
            </w:r>
          </w:p>
        </w:tc>
      </w:tr>
      <w:tr w14:paraId="35824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75" w:type="dxa"/>
            <w:vMerge w:val="restart"/>
            <w:vAlign w:val="center"/>
          </w:tcPr>
          <w:p w14:paraId="01E97AF3">
            <w:pPr>
              <w:spacing w:line="380" w:lineRule="exact"/>
              <w:jc w:val="center"/>
              <w:rPr>
                <w:rFonts w:ascii="宋体" w:hAnsi="宋体" w:cs="宋体"/>
                <w:szCs w:val="21"/>
              </w:rPr>
            </w:pPr>
            <w:r>
              <w:rPr>
                <w:rFonts w:hint="eastAsia" w:ascii="宋体" w:hAnsi="宋体" w:cs="宋体"/>
                <w:szCs w:val="21"/>
              </w:rPr>
              <w:t>采购清单及货物参数</w:t>
            </w:r>
          </w:p>
          <w:p w14:paraId="751E67A8">
            <w:pPr>
              <w:spacing w:line="380" w:lineRule="exact"/>
              <w:jc w:val="center"/>
              <w:rPr>
                <w:rFonts w:ascii="宋体" w:hAnsi="宋体" w:cs="宋体"/>
                <w:szCs w:val="21"/>
              </w:rPr>
            </w:pPr>
          </w:p>
          <w:p w14:paraId="2A7B9EC2">
            <w:pPr>
              <w:spacing w:line="380" w:lineRule="exact"/>
              <w:jc w:val="center"/>
              <w:rPr>
                <w:rFonts w:ascii="宋体" w:hAnsi="宋体" w:cs="宋体"/>
                <w:szCs w:val="21"/>
              </w:rPr>
            </w:pPr>
          </w:p>
        </w:tc>
        <w:tc>
          <w:tcPr>
            <w:tcW w:w="593" w:type="dxa"/>
            <w:tcMar>
              <w:top w:w="0" w:type="dxa"/>
              <w:left w:w="0" w:type="dxa"/>
              <w:bottom w:w="0" w:type="dxa"/>
              <w:right w:w="0" w:type="dxa"/>
            </w:tcMar>
            <w:vAlign w:val="center"/>
          </w:tcPr>
          <w:p w14:paraId="6386334B">
            <w:pPr>
              <w:widowControl/>
              <w:jc w:val="center"/>
              <w:textAlignment w:val="center"/>
              <w:rPr>
                <w:rFonts w:ascii="宋体" w:hAnsi="宋体" w:cs="宋体"/>
                <w:szCs w:val="21"/>
              </w:rPr>
            </w:pPr>
            <w:r>
              <w:rPr>
                <w:rFonts w:hint="eastAsia" w:ascii="宋体" w:hAnsi="宋体" w:cs="宋体"/>
                <w:kern w:val="0"/>
                <w:szCs w:val="21"/>
                <w:lang w:bidi="ar"/>
              </w:rPr>
              <w:t>序号</w:t>
            </w:r>
          </w:p>
        </w:tc>
        <w:tc>
          <w:tcPr>
            <w:tcW w:w="965" w:type="dxa"/>
            <w:vAlign w:val="center"/>
          </w:tcPr>
          <w:p w14:paraId="2E6AB4A4">
            <w:pPr>
              <w:widowControl/>
              <w:jc w:val="center"/>
              <w:textAlignment w:val="center"/>
              <w:rPr>
                <w:rFonts w:ascii="宋体" w:hAnsi="宋体" w:cs="宋体"/>
                <w:szCs w:val="21"/>
              </w:rPr>
            </w:pPr>
            <w:r>
              <w:rPr>
                <w:rFonts w:hint="eastAsia" w:ascii="宋体" w:hAnsi="宋体" w:cs="宋体"/>
                <w:kern w:val="0"/>
                <w:szCs w:val="21"/>
                <w:lang w:bidi="ar"/>
              </w:rPr>
              <w:t>货物名称</w:t>
            </w:r>
          </w:p>
        </w:tc>
        <w:tc>
          <w:tcPr>
            <w:tcW w:w="986" w:type="dxa"/>
            <w:vAlign w:val="center"/>
          </w:tcPr>
          <w:p w14:paraId="4EA0BCBD">
            <w:pPr>
              <w:widowControl/>
              <w:jc w:val="center"/>
              <w:textAlignment w:val="center"/>
              <w:rPr>
                <w:rFonts w:ascii="宋体" w:hAnsi="宋体" w:cs="宋体"/>
                <w:szCs w:val="21"/>
              </w:rPr>
            </w:pPr>
            <w:r>
              <w:rPr>
                <w:rFonts w:hint="eastAsia" w:ascii="宋体" w:hAnsi="宋体" w:cs="宋体"/>
                <w:kern w:val="0"/>
                <w:szCs w:val="21"/>
                <w:lang w:bidi="ar"/>
              </w:rPr>
              <w:t>单位</w:t>
            </w:r>
          </w:p>
        </w:tc>
        <w:tc>
          <w:tcPr>
            <w:tcW w:w="718" w:type="dxa"/>
            <w:vAlign w:val="center"/>
          </w:tcPr>
          <w:p w14:paraId="07756B3E">
            <w:pPr>
              <w:widowControl/>
              <w:jc w:val="center"/>
              <w:textAlignment w:val="center"/>
              <w:rPr>
                <w:rFonts w:ascii="宋体" w:hAnsi="宋体" w:cs="宋体"/>
                <w:szCs w:val="21"/>
              </w:rPr>
            </w:pPr>
            <w:r>
              <w:rPr>
                <w:rFonts w:hint="eastAsia" w:ascii="宋体" w:hAnsi="宋体" w:cs="宋体"/>
                <w:kern w:val="0"/>
                <w:szCs w:val="21"/>
                <w:lang w:bidi="ar"/>
              </w:rPr>
              <w:t>数量</w:t>
            </w:r>
          </w:p>
        </w:tc>
        <w:tc>
          <w:tcPr>
            <w:tcW w:w="1354" w:type="dxa"/>
            <w:vAlign w:val="center"/>
          </w:tcPr>
          <w:p w14:paraId="3E9FCF10">
            <w:pPr>
              <w:widowControl/>
              <w:jc w:val="center"/>
              <w:textAlignment w:val="center"/>
              <w:rPr>
                <w:rFonts w:ascii="宋体" w:hAnsi="宋体" w:cs="宋体"/>
                <w:szCs w:val="21"/>
              </w:rPr>
            </w:pPr>
            <w:r>
              <w:rPr>
                <w:rFonts w:hint="eastAsia" w:ascii="宋体" w:hAnsi="宋体" w:cs="宋体"/>
                <w:szCs w:val="21"/>
              </w:rPr>
              <w:t>招标基准单价（元）</w:t>
            </w:r>
          </w:p>
        </w:tc>
        <w:tc>
          <w:tcPr>
            <w:tcW w:w="1276" w:type="dxa"/>
            <w:vAlign w:val="center"/>
          </w:tcPr>
          <w:p w14:paraId="13D772BB">
            <w:pPr>
              <w:widowControl/>
              <w:jc w:val="center"/>
              <w:textAlignment w:val="center"/>
              <w:rPr>
                <w:rFonts w:ascii="宋体" w:hAnsi="宋体" w:cs="宋体"/>
                <w:szCs w:val="21"/>
              </w:rPr>
            </w:pPr>
            <w:r>
              <w:rPr>
                <w:rFonts w:hint="eastAsia" w:ascii="宋体" w:hAnsi="宋体" w:cs="宋体"/>
                <w:kern w:val="0"/>
                <w:szCs w:val="21"/>
                <w:lang w:bidi="ar"/>
              </w:rPr>
              <w:t>金额（元）</w:t>
            </w:r>
          </w:p>
        </w:tc>
        <w:tc>
          <w:tcPr>
            <w:tcW w:w="3286" w:type="dxa"/>
            <w:vAlign w:val="center"/>
          </w:tcPr>
          <w:p w14:paraId="4B592236">
            <w:pPr>
              <w:widowControl/>
              <w:jc w:val="left"/>
              <w:textAlignment w:val="center"/>
              <w:rPr>
                <w:rFonts w:ascii="宋体" w:hAnsi="宋体" w:cs="宋体"/>
                <w:szCs w:val="21"/>
              </w:rPr>
            </w:pPr>
            <w:r>
              <w:rPr>
                <w:rStyle w:val="214"/>
                <w:rFonts w:hint="default"/>
                <w:color w:val="auto"/>
                <w:lang w:bidi="ar"/>
              </w:rPr>
              <w:t>▲</w:t>
            </w:r>
            <w:r>
              <w:rPr>
                <w:rStyle w:val="215"/>
                <w:rFonts w:hint="default"/>
                <w:color w:val="auto"/>
                <w:lang w:bidi="ar"/>
              </w:rPr>
              <w:t>技术参数及要求</w:t>
            </w:r>
          </w:p>
        </w:tc>
      </w:tr>
      <w:tr w14:paraId="02F1E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75" w:type="dxa"/>
            <w:vMerge w:val="continue"/>
            <w:vAlign w:val="center"/>
          </w:tcPr>
          <w:p w14:paraId="61E64110">
            <w:pPr>
              <w:spacing w:line="380" w:lineRule="exact"/>
              <w:jc w:val="center"/>
              <w:rPr>
                <w:rFonts w:ascii="宋体" w:hAnsi="宋体" w:cs="宋体"/>
                <w:szCs w:val="21"/>
              </w:rPr>
            </w:pPr>
          </w:p>
        </w:tc>
        <w:tc>
          <w:tcPr>
            <w:tcW w:w="593" w:type="dxa"/>
            <w:tcMar>
              <w:top w:w="0" w:type="dxa"/>
              <w:left w:w="0" w:type="dxa"/>
              <w:bottom w:w="0" w:type="dxa"/>
              <w:right w:w="0" w:type="dxa"/>
            </w:tcMar>
            <w:vAlign w:val="center"/>
          </w:tcPr>
          <w:p w14:paraId="595AF168">
            <w:pPr>
              <w:widowControl/>
              <w:jc w:val="center"/>
              <w:textAlignment w:val="center"/>
              <w:rPr>
                <w:rFonts w:ascii="宋体" w:hAnsi="宋体" w:cs="宋体"/>
                <w:szCs w:val="21"/>
              </w:rPr>
            </w:pPr>
            <w:r>
              <w:rPr>
                <w:rFonts w:hint="eastAsia" w:ascii="宋体" w:hAnsi="宋体" w:cs="宋体"/>
                <w:kern w:val="0"/>
                <w:sz w:val="20"/>
                <w:szCs w:val="20"/>
                <w:lang w:bidi="ar"/>
              </w:rPr>
              <w:t>1</w:t>
            </w:r>
          </w:p>
        </w:tc>
        <w:tc>
          <w:tcPr>
            <w:tcW w:w="965" w:type="dxa"/>
            <w:vAlign w:val="center"/>
          </w:tcPr>
          <w:p w14:paraId="10EC0085">
            <w:pPr>
              <w:widowControl/>
              <w:jc w:val="center"/>
              <w:textAlignment w:val="center"/>
              <w:rPr>
                <w:rFonts w:ascii="宋体" w:hAnsi="宋体" w:cs="宋体"/>
                <w:szCs w:val="21"/>
              </w:rPr>
            </w:pPr>
            <w:r>
              <w:rPr>
                <w:rFonts w:hint="eastAsia" w:ascii="宋体" w:hAnsi="宋体" w:cs="宋体"/>
                <w:kern w:val="0"/>
                <w:sz w:val="20"/>
                <w:szCs w:val="20"/>
                <w:lang w:bidi="ar"/>
              </w:rPr>
              <w:t>米粉</w:t>
            </w:r>
          </w:p>
        </w:tc>
        <w:tc>
          <w:tcPr>
            <w:tcW w:w="986" w:type="dxa"/>
            <w:vAlign w:val="center"/>
          </w:tcPr>
          <w:p w14:paraId="48DCAAB5">
            <w:pPr>
              <w:widowControl/>
              <w:jc w:val="center"/>
              <w:textAlignment w:val="center"/>
              <w:rPr>
                <w:rFonts w:ascii="宋体" w:hAnsi="宋体" w:cs="宋体"/>
                <w:szCs w:val="21"/>
              </w:rPr>
            </w:pPr>
            <w:r>
              <w:rPr>
                <w:rFonts w:hint="eastAsia" w:ascii="宋体" w:hAnsi="宋体" w:cs="宋体"/>
                <w:kern w:val="0"/>
                <w:sz w:val="20"/>
                <w:szCs w:val="20"/>
                <w:lang w:bidi="ar"/>
              </w:rPr>
              <w:t>公斤</w:t>
            </w:r>
          </w:p>
        </w:tc>
        <w:tc>
          <w:tcPr>
            <w:tcW w:w="718" w:type="dxa"/>
            <w:vAlign w:val="center"/>
          </w:tcPr>
          <w:p w14:paraId="548DCB07">
            <w:pPr>
              <w:widowControl/>
              <w:jc w:val="center"/>
              <w:textAlignment w:val="center"/>
              <w:rPr>
                <w:rFonts w:ascii="宋体" w:hAnsi="宋体" w:cs="宋体"/>
                <w:szCs w:val="21"/>
              </w:rPr>
            </w:pPr>
            <w:r>
              <w:rPr>
                <w:rFonts w:hint="eastAsia" w:ascii="宋体" w:hAnsi="宋体" w:cs="宋体"/>
                <w:kern w:val="0"/>
                <w:sz w:val="20"/>
                <w:szCs w:val="20"/>
                <w:lang w:bidi="ar"/>
              </w:rPr>
              <w:t>250000</w:t>
            </w:r>
          </w:p>
        </w:tc>
        <w:tc>
          <w:tcPr>
            <w:tcW w:w="1354" w:type="dxa"/>
            <w:vAlign w:val="center"/>
          </w:tcPr>
          <w:p w14:paraId="5EB2AD3F">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 xml:space="preserve">2.60 </w:t>
            </w:r>
          </w:p>
        </w:tc>
        <w:tc>
          <w:tcPr>
            <w:tcW w:w="1276" w:type="dxa"/>
            <w:vAlign w:val="center"/>
          </w:tcPr>
          <w:p w14:paraId="07AD44B3">
            <w:pPr>
              <w:widowControl/>
              <w:jc w:val="center"/>
              <w:textAlignment w:val="center"/>
              <w:rPr>
                <w:rFonts w:ascii="宋体" w:hAnsi="宋体" w:cs="宋体"/>
                <w:szCs w:val="21"/>
              </w:rPr>
            </w:pPr>
            <w:r>
              <w:rPr>
                <w:rFonts w:hint="eastAsia" w:ascii="宋体" w:hAnsi="宋体" w:cs="宋体"/>
                <w:kern w:val="0"/>
                <w:sz w:val="20"/>
                <w:szCs w:val="20"/>
                <w:lang w:bidi="ar"/>
              </w:rPr>
              <w:t xml:space="preserve">650000 </w:t>
            </w:r>
          </w:p>
        </w:tc>
        <w:tc>
          <w:tcPr>
            <w:tcW w:w="3286" w:type="dxa"/>
            <w:vAlign w:val="center"/>
          </w:tcPr>
          <w:p w14:paraId="1D312F57">
            <w:pPr>
              <w:widowControl/>
              <w:jc w:val="left"/>
              <w:textAlignment w:val="center"/>
              <w:rPr>
                <w:rFonts w:ascii="宋体" w:hAnsi="宋体" w:cs="宋体"/>
                <w:szCs w:val="21"/>
              </w:rPr>
            </w:pPr>
            <w:r>
              <w:rPr>
                <w:rFonts w:hint="eastAsia" w:ascii="宋体" w:hAnsi="宋体" w:cs="宋体"/>
                <w:kern w:val="0"/>
                <w:sz w:val="20"/>
                <w:szCs w:val="20"/>
                <w:lang w:bidi="ar"/>
              </w:rPr>
              <w:t>需符合食品安全国家标准。</w:t>
            </w:r>
          </w:p>
        </w:tc>
      </w:tr>
      <w:tr w14:paraId="5040A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75" w:type="dxa"/>
            <w:vMerge w:val="continue"/>
            <w:vAlign w:val="center"/>
          </w:tcPr>
          <w:p w14:paraId="15F01774">
            <w:pPr>
              <w:spacing w:line="380" w:lineRule="exact"/>
              <w:jc w:val="center"/>
              <w:rPr>
                <w:rFonts w:ascii="宋体" w:hAnsi="宋体" w:cs="宋体"/>
                <w:szCs w:val="21"/>
              </w:rPr>
            </w:pPr>
          </w:p>
        </w:tc>
        <w:tc>
          <w:tcPr>
            <w:tcW w:w="593" w:type="dxa"/>
            <w:tcMar>
              <w:top w:w="0" w:type="dxa"/>
              <w:left w:w="0" w:type="dxa"/>
              <w:bottom w:w="0" w:type="dxa"/>
              <w:right w:w="0" w:type="dxa"/>
            </w:tcMar>
            <w:vAlign w:val="center"/>
          </w:tcPr>
          <w:p w14:paraId="36C079E9">
            <w:pPr>
              <w:widowControl/>
              <w:jc w:val="center"/>
              <w:textAlignment w:val="center"/>
              <w:rPr>
                <w:rFonts w:ascii="宋体" w:hAnsi="宋体" w:cs="宋体"/>
                <w:szCs w:val="21"/>
              </w:rPr>
            </w:pPr>
            <w:r>
              <w:rPr>
                <w:rFonts w:hint="eastAsia" w:ascii="宋体" w:hAnsi="宋体" w:cs="宋体"/>
                <w:kern w:val="0"/>
                <w:sz w:val="20"/>
                <w:szCs w:val="20"/>
                <w:lang w:bidi="ar"/>
              </w:rPr>
              <w:t>2</w:t>
            </w:r>
          </w:p>
        </w:tc>
        <w:tc>
          <w:tcPr>
            <w:tcW w:w="965" w:type="dxa"/>
            <w:vAlign w:val="center"/>
          </w:tcPr>
          <w:p w14:paraId="1111B60A">
            <w:pPr>
              <w:widowControl/>
              <w:jc w:val="center"/>
              <w:textAlignment w:val="center"/>
              <w:rPr>
                <w:rFonts w:ascii="宋体" w:hAnsi="宋体" w:cs="宋体"/>
                <w:szCs w:val="21"/>
              </w:rPr>
            </w:pPr>
            <w:r>
              <w:rPr>
                <w:rFonts w:hint="eastAsia" w:ascii="宋体" w:hAnsi="宋体" w:cs="宋体"/>
                <w:kern w:val="0"/>
                <w:sz w:val="20"/>
                <w:szCs w:val="20"/>
                <w:lang w:bidi="ar"/>
              </w:rPr>
              <w:t>草鱼</w:t>
            </w:r>
          </w:p>
        </w:tc>
        <w:tc>
          <w:tcPr>
            <w:tcW w:w="986" w:type="dxa"/>
            <w:vAlign w:val="center"/>
          </w:tcPr>
          <w:p w14:paraId="6F8161AA">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公斤</w:t>
            </w:r>
          </w:p>
        </w:tc>
        <w:tc>
          <w:tcPr>
            <w:tcW w:w="718" w:type="dxa"/>
            <w:vAlign w:val="center"/>
          </w:tcPr>
          <w:p w14:paraId="518CB443">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8000</w:t>
            </w:r>
          </w:p>
        </w:tc>
        <w:tc>
          <w:tcPr>
            <w:tcW w:w="1354" w:type="dxa"/>
            <w:vAlign w:val="center"/>
          </w:tcPr>
          <w:p w14:paraId="1DEC51C6">
            <w:pPr>
              <w:widowControl/>
              <w:jc w:val="center"/>
              <w:textAlignment w:val="center"/>
              <w:rPr>
                <w:rFonts w:ascii="宋体" w:hAnsi="宋体" w:cs="宋体"/>
                <w:szCs w:val="21"/>
              </w:rPr>
            </w:pPr>
            <w:r>
              <w:rPr>
                <w:rFonts w:hint="eastAsia" w:ascii="宋体" w:hAnsi="宋体" w:cs="宋体"/>
                <w:kern w:val="0"/>
                <w:sz w:val="20"/>
                <w:szCs w:val="20"/>
                <w:lang w:bidi="ar"/>
              </w:rPr>
              <w:t xml:space="preserve">21.20 </w:t>
            </w:r>
          </w:p>
        </w:tc>
        <w:tc>
          <w:tcPr>
            <w:tcW w:w="1276" w:type="dxa"/>
            <w:vAlign w:val="center"/>
          </w:tcPr>
          <w:p w14:paraId="0E09CDD5">
            <w:pPr>
              <w:widowControl/>
              <w:jc w:val="center"/>
              <w:textAlignment w:val="center"/>
              <w:rPr>
                <w:rFonts w:ascii="宋体" w:hAnsi="宋体" w:cs="宋体"/>
                <w:szCs w:val="21"/>
              </w:rPr>
            </w:pPr>
            <w:r>
              <w:rPr>
                <w:rFonts w:hint="eastAsia" w:ascii="宋体" w:hAnsi="宋体" w:cs="宋体"/>
                <w:kern w:val="0"/>
                <w:sz w:val="20"/>
                <w:szCs w:val="20"/>
                <w:lang w:bidi="ar"/>
              </w:rPr>
              <w:t xml:space="preserve">169600 </w:t>
            </w:r>
          </w:p>
        </w:tc>
        <w:tc>
          <w:tcPr>
            <w:tcW w:w="3286" w:type="dxa"/>
            <w:vAlign w:val="center"/>
          </w:tcPr>
          <w:p w14:paraId="292A20FF">
            <w:pPr>
              <w:widowControl/>
              <w:jc w:val="left"/>
              <w:textAlignment w:val="center"/>
              <w:rPr>
                <w:rFonts w:ascii="宋体" w:hAnsi="宋体" w:cs="宋体"/>
                <w:szCs w:val="21"/>
              </w:rPr>
            </w:pPr>
            <w:r>
              <w:rPr>
                <w:rFonts w:hint="eastAsia" w:ascii="宋体" w:hAnsi="宋体" w:cs="宋体"/>
                <w:kern w:val="0"/>
                <w:sz w:val="20"/>
                <w:szCs w:val="20"/>
                <w:lang w:bidi="ar"/>
              </w:rPr>
              <w:t>每条鱼≥1公斤；鲜活、体色正常、体态及鳞片完整，体表有透明色的粘液，捞离水后挣扎有力或持续拨动尾巴。供应商提供切割服务，可根据需求将草鱼内脏去除干净、分割小块，直接用于菜品加工。</w:t>
            </w:r>
          </w:p>
        </w:tc>
      </w:tr>
      <w:tr w14:paraId="759C1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75" w:type="dxa"/>
            <w:vMerge w:val="continue"/>
            <w:vAlign w:val="center"/>
          </w:tcPr>
          <w:p w14:paraId="5C716D7C">
            <w:pPr>
              <w:spacing w:line="380" w:lineRule="exact"/>
              <w:jc w:val="center"/>
              <w:rPr>
                <w:rFonts w:ascii="宋体" w:hAnsi="宋体" w:cs="宋体"/>
                <w:szCs w:val="21"/>
              </w:rPr>
            </w:pPr>
          </w:p>
        </w:tc>
        <w:tc>
          <w:tcPr>
            <w:tcW w:w="593" w:type="dxa"/>
            <w:tcMar>
              <w:top w:w="0" w:type="dxa"/>
              <w:left w:w="0" w:type="dxa"/>
              <w:bottom w:w="0" w:type="dxa"/>
              <w:right w:w="0" w:type="dxa"/>
            </w:tcMar>
            <w:vAlign w:val="center"/>
          </w:tcPr>
          <w:p w14:paraId="0682039E">
            <w:pPr>
              <w:widowControl/>
              <w:jc w:val="center"/>
              <w:textAlignment w:val="center"/>
              <w:rPr>
                <w:rFonts w:ascii="宋体" w:hAnsi="宋体" w:cs="宋体"/>
                <w:szCs w:val="21"/>
              </w:rPr>
            </w:pPr>
            <w:r>
              <w:rPr>
                <w:rFonts w:hint="eastAsia" w:ascii="宋体" w:hAnsi="宋体" w:cs="宋体"/>
                <w:kern w:val="0"/>
                <w:sz w:val="20"/>
                <w:szCs w:val="20"/>
                <w:lang w:bidi="ar"/>
              </w:rPr>
              <w:t>3</w:t>
            </w:r>
          </w:p>
        </w:tc>
        <w:tc>
          <w:tcPr>
            <w:tcW w:w="965" w:type="dxa"/>
            <w:vAlign w:val="center"/>
          </w:tcPr>
          <w:p w14:paraId="44D18882">
            <w:pPr>
              <w:widowControl/>
              <w:jc w:val="center"/>
              <w:textAlignment w:val="center"/>
              <w:rPr>
                <w:rFonts w:ascii="宋体" w:hAnsi="宋体" w:cs="宋体"/>
                <w:szCs w:val="21"/>
              </w:rPr>
            </w:pPr>
            <w:r>
              <w:rPr>
                <w:rFonts w:hint="eastAsia" w:ascii="宋体" w:hAnsi="宋体" w:cs="宋体"/>
                <w:kern w:val="0"/>
                <w:sz w:val="20"/>
                <w:szCs w:val="20"/>
                <w:lang w:bidi="ar"/>
              </w:rPr>
              <w:t>罗非鱼</w:t>
            </w:r>
          </w:p>
        </w:tc>
        <w:tc>
          <w:tcPr>
            <w:tcW w:w="986" w:type="dxa"/>
            <w:vAlign w:val="center"/>
          </w:tcPr>
          <w:p w14:paraId="356EC156">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公斤</w:t>
            </w:r>
          </w:p>
        </w:tc>
        <w:tc>
          <w:tcPr>
            <w:tcW w:w="718" w:type="dxa"/>
            <w:vAlign w:val="center"/>
          </w:tcPr>
          <w:p w14:paraId="74FBDF79">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8000</w:t>
            </w:r>
          </w:p>
        </w:tc>
        <w:tc>
          <w:tcPr>
            <w:tcW w:w="1354" w:type="dxa"/>
            <w:vAlign w:val="center"/>
          </w:tcPr>
          <w:p w14:paraId="7DB91FFC">
            <w:pPr>
              <w:widowControl/>
              <w:jc w:val="center"/>
              <w:textAlignment w:val="center"/>
              <w:rPr>
                <w:rFonts w:ascii="宋体" w:hAnsi="宋体" w:cs="宋体"/>
                <w:szCs w:val="21"/>
              </w:rPr>
            </w:pPr>
            <w:r>
              <w:rPr>
                <w:rFonts w:hint="eastAsia" w:ascii="宋体" w:hAnsi="宋体" w:cs="宋体"/>
                <w:kern w:val="0"/>
                <w:sz w:val="20"/>
                <w:szCs w:val="20"/>
                <w:lang w:bidi="ar"/>
              </w:rPr>
              <w:t xml:space="preserve">14.20 </w:t>
            </w:r>
          </w:p>
        </w:tc>
        <w:tc>
          <w:tcPr>
            <w:tcW w:w="1276" w:type="dxa"/>
            <w:vAlign w:val="center"/>
          </w:tcPr>
          <w:p w14:paraId="420D10A4">
            <w:pPr>
              <w:widowControl/>
              <w:jc w:val="center"/>
              <w:textAlignment w:val="center"/>
              <w:rPr>
                <w:rFonts w:ascii="宋体" w:hAnsi="宋体" w:cs="宋体"/>
                <w:szCs w:val="21"/>
              </w:rPr>
            </w:pPr>
            <w:r>
              <w:rPr>
                <w:rFonts w:hint="eastAsia" w:ascii="宋体" w:hAnsi="宋体" w:cs="宋体"/>
                <w:kern w:val="0"/>
                <w:sz w:val="20"/>
                <w:szCs w:val="20"/>
                <w:lang w:bidi="ar"/>
              </w:rPr>
              <w:t xml:space="preserve">113600 </w:t>
            </w:r>
          </w:p>
        </w:tc>
        <w:tc>
          <w:tcPr>
            <w:tcW w:w="3286" w:type="dxa"/>
            <w:vAlign w:val="center"/>
          </w:tcPr>
          <w:p w14:paraId="0A44346E">
            <w:pPr>
              <w:widowControl/>
              <w:jc w:val="left"/>
              <w:textAlignment w:val="center"/>
              <w:rPr>
                <w:rFonts w:ascii="宋体" w:hAnsi="宋体" w:cs="宋体"/>
                <w:szCs w:val="21"/>
              </w:rPr>
            </w:pPr>
            <w:r>
              <w:rPr>
                <w:rFonts w:hint="eastAsia" w:ascii="宋体" w:hAnsi="宋体" w:cs="宋体"/>
                <w:kern w:val="0"/>
                <w:sz w:val="20"/>
                <w:szCs w:val="20"/>
                <w:lang w:bidi="ar"/>
              </w:rPr>
              <w:t>每条鱼≥0.6公斤；鲜活、体色正常、体态及鳞片完整，体表有透明色的粘液，捞离水后挣扎有力或持续拨动尾巴。供应商提供切割服务，可根据需求将罗非鱼内脏去除干净、分割小块，直接用于菜品加工。</w:t>
            </w:r>
          </w:p>
        </w:tc>
      </w:tr>
      <w:tr w14:paraId="7BEE0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75" w:type="dxa"/>
            <w:vMerge w:val="continue"/>
            <w:vAlign w:val="center"/>
          </w:tcPr>
          <w:p w14:paraId="7F942201">
            <w:pPr>
              <w:spacing w:line="380" w:lineRule="exact"/>
              <w:jc w:val="center"/>
              <w:rPr>
                <w:rFonts w:ascii="宋体" w:hAnsi="宋体" w:cs="宋体"/>
                <w:szCs w:val="21"/>
              </w:rPr>
            </w:pPr>
          </w:p>
        </w:tc>
        <w:tc>
          <w:tcPr>
            <w:tcW w:w="593" w:type="dxa"/>
            <w:tcMar>
              <w:top w:w="0" w:type="dxa"/>
              <w:left w:w="0" w:type="dxa"/>
              <w:bottom w:w="0" w:type="dxa"/>
              <w:right w:w="0" w:type="dxa"/>
            </w:tcMar>
            <w:vAlign w:val="center"/>
          </w:tcPr>
          <w:p w14:paraId="70E96E6E">
            <w:pPr>
              <w:widowControl/>
              <w:jc w:val="center"/>
              <w:textAlignment w:val="center"/>
              <w:rPr>
                <w:rFonts w:ascii="宋体" w:hAnsi="宋体" w:cs="宋体"/>
                <w:szCs w:val="21"/>
              </w:rPr>
            </w:pPr>
            <w:r>
              <w:rPr>
                <w:rFonts w:hint="eastAsia" w:ascii="宋体" w:hAnsi="宋体" w:cs="宋体"/>
                <w:kern w:val="0"/>
                <w:sz w:val="20"/>
                <w:szCs w:val="20"/>
                <w:lang w:bidi="ar"/>
              </w:rPr>
              <w:t>4</w:t>
            </w:r>
          </w:p>
        </w:tc>
        <w:tc>
          <w:tcPr>
            <w:tcW w:w="965" w:type="dxa"/>
            <w:vAlign w:val="center"/>
          </w:tcPr>
          <w:p w14:paraId="463E6BB8">
            <w:pPr>
              <w:widowControl/>
              <w:jc w:val="center"/>
              <w:textAlignment w:val="center"/>
              <w:rPr>
                <w:rFonts w:ascii="宋体" w:hAnsi="宋体" w:cs="宋体"/>
                <w:szCs w:val="21"/>
              </w:rPr>
            </w:pPr>
            <w:r>
              <w:rPr>
                <w:rFonts w:hint="eastAsia" w:ascii="宋体" w:hAnsi="宋体" w:cs="宋体"/>
                <w:kern w:val="0"/>
                <w:sz w:val="20"/>
                <w:szCs w:val="20"/>
                <w:lang w:bidi="ar"/>
              </w:rPr>
              <w:t>大头鱼</w:t>
            </w:r>
          </w:p>
        </w:tc>
        <w:tc>
          <w:tcPr>
            <w:tcW w:w="986" w:type="dxa"/>
            <w:vAlign w:val="center"/>
          </w:tcPr>
          <w:p w14:paraId="63B75220">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公斤</w:t>
            </w:r>
          </w:p>
        </w:tc>
        <w:tc>
          <w:tcPr>
            <w:tcW w:w="718" w:type="dxa"/>
            <w:vAlign w:val="center"/>
          </w:tcPr>
          <w:p w14:paraId="0AD67F21">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8000</w:t>
            </w:r>
          </w:p>
        </w:tc>
        <w:tc>
          <w:tcPr>
            <w:tcW w:w="1354" w:type="dxa"/>
            <w:vAlign w:val="center"/>
          </w:tcPr>
          <w:p w14:paraId="61D7BEDF">
            <w:pPr>
              <w:widowControl/>
              <w:jc w:val="center"/>
              <w:textAlignment w:val="center"/>
              <w:rPr>
                <w:rFonts w:ascii="宋体" w:hAnsi="宋体" w:cs="宋体"/>
                <w:szCs w:val="21"/>
              </w:rPr>
            </w:pPr>
            <w:r>
              <w:rPr>
                <w:rFonts w:hint="eastAsia" w:ascii="宋体" w:hAnsi="宋体" w:cs="宋体"/>
                <w:kern w:val="0"/>
                <w:sz w:val="20"/>
                <w:szCs w:val="20"/>
                <w:lang w:bidi="ar"/>
              </w:rPr>
              <w:t xml:space="preserve">20.70 </w:t>
            </w:r>
          </w:p>
        </w:tc>
        <w:tc>
          <w:tcPr>
            <w:tcW w:w="1276" w:type="dxa"/>
            <w:vAlign w:val="center"/>
          </w:tcPr>
          <w:p w14:paraId="2CC25F75">
            <w:pPr>
              <w:widowControl/>
              <w:jc w:val="center"/>
              <w:textAlignment w:val="center"/>
              <w:rPr>
                <w:rFonts w:ascii="宋体" w:hAnsi="宋体" w:cs="宋体"/>
                <w:szCs w:val="21"/>
              </w:rPr>
            </w:pPr>
            <w:r>
              <w:rPr>
                <w:rFonts w:hint="eastAsia" w:ascii="宋体" w:hAnsi="宋体" w:cs="宋体"/>
                <w:kern w:val="0"/>
                <w:sz w:val="20"/>
                <w:szCs w:val="20"/>
                <w:lang w:bidi="ar"/>
              </w:rPr>
              <w:t xml:space="preserve">165600 </w:t>
            </w:r>
          </w:p>
        </w:tc>
        <w:tc>
          <w:tcPr>
            <w:tcW w:w="3286" w:type="dxa"/>
            <w:vAlign w:val="center"/>
          </w:tcPr>
          <w:p w14:paraId="37D4DB4E">
            <w:pPr>
              <w:widowControl/>
              <w:jc w:val="left"/>
              <w:textAlignment w:val="center"/>
              <w:rPr>
                <w:rFonts w:ascii="宋体" w:hAnsi="宋体" w:cs="宋体"/>
                <w:szCs w:val="21"/>
              </w:rPr>
            </w:pPr>
            <w:r>
              <w:rPr>
                <w:rFonts w:hint="eastAsia" w:ascii="宋体" w:hAnsi="宋体" w:cs="宋体"/>
                <w:kern w:val="0"/>
                <w:sz w:val="20"/>
                <w:szCs w:val="20"/>
                <w:lang w:bidi="ar"/>
              </w:rPr>
              <w:t>每条鱼≥1公斤；鲜活、体色正常、体态及鳞片完整，体表有透明色的粘液，捞离水后挣扎有力或持续拨动尾巴。供应商提供切割服务，可根据需求将大头鱼内脏去除干净、分割小块，直接用于菜品加工。</w:t>
            </w:r>
          </w:p>
        </w:tc>
      </w:tr>
      <w:tr w14:paraId="3B6D6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75" w:type="dxa"/>
            <w:vMerge w:val="continue"/>
            <w:vAlign w:val="center"/>
          </w:tcPr>
          <w:p w14:paraId="751B299E">
            <w:pPr>
              <w:spacing w:line="380" w:lineRule="exact"/>
              <w:jc w:val="center"/>
              <w:rPr>
                <w:rFonts w:ascii="宋体" w:hAnsi="宋体" w:cs="宋体"/>
                <w:szCs w:val="21"/>
              </w:rPr>
            </w:pPr>
          </w:p>
        </w:tc>
        <w:tc>
          <w:tcPr>
            <w:tcW w:w="593" w:type="dxa"/>
            <w:tcMar>
              <w:top w:w="0" w:type="dxa"/>
              <w:left w:w="0" w:type="dxa"/>
              <w:bottom w:w="0" w:type="dxa"/>
              <w:right w:w="0" w:type="dxa"/>
            </w:tcMar>
            <w:vAlign w:val="center"/>
          </w:tcPr>
          <w:p w14:paraId="2E187B39">
            <w:pPr>
              <w:widowControl/>
              <w:jc w:val="center"/>
              <w:textAlignment w:val="center"/>
              <w:rPr>
                <w:rFonts w:ascii="宋体" w:hAnsi="宋体" w:cs="宋体"/>
                <w:szCs w:val="21"/>
              </w:rPr>
            </w:pPr>
            <w:r>
              <w:rPr>
                <w:rFonts w:hint="eastAsia" w:ascii="宋体" w:hAnsi="宋体" w:cs="宋体"/>
                <w:kern w:val="0"/>
                <w:sz w:val="20"/>
                <w:szCs w:val="20"/>
                <w:lang w:bidi="ar"/>
              </w:rPr>
              <w:t>5</w:t>
            </w:r>
          </w:p>
        </w:tc>
        <w:tc>
          <w:tcPr>
            <w:tcW w:w="965" w:type="dxa"/>
            <w:vAlign w:val="center"/>
          </w:tcPr>
          <w:p w14:paraId="7C3C180A">
            <w:pPr>
              <w:widowControl/>
              <w:jc w:val="center"/>
              <w:textAlignment w:val="center"/>
              <w:rPr>
                <w:rFonts w:ascii="宋体" w:hAnsi="宋体" w:cs="宋体"/>
                <w:szCs w:val="21"/>
              </w:rPr>
            </w:pPr>
            <w:r>
              <w:rPr>
                <w:rFonts w:hint="eastAsia" w:ascii="宋体" w:hAnsi="宋体" w:cs="宋体"/>
                <w:kern w:val="0"/>
                <w:sz w:val="20"/>
                <w:szCs w:val="20"/>
                <w:lang w:bidi="ar"/>
              </w:rPr>
              <w:t>苹果</w:t>
            </w:r>
          </w:p>
        </w:tc>
        <w:tc>
          <w:tcPr>
            <w:tcW w:w="986" w:type="dxa"/>
            <w:vAlign w:val="center"/>
          </w:tcPr>
          <w:p w14:paraId="28732BC6">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公斤</w:t>
            </w:r>
          </w:p>
        </w:tc>
        <w:tc>
          <w:tcPr>
            <w:tcW w:w="718" w:type="dxa"/>
            <w:vAlign w:val="center"/>
          </w:tcPr>
          <w:p w14:paraId="65631362">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10000</w:t>
            </w:r>
          </w:p>
        </w:tc>
        <w:tc>
          <w:tcPr>
            <w:tcW w:w="1354" w:type="dxa"/>
            <w:vAlign w:val="center"/>
          </w:tcPr>
          <w:p w14:paraId="24EB893E">
            <w:pPr>
              <w:widowControl/>
              <w:jc w:val="center"/>
              <w:textAlignment w:val="center"/>
              <w:rPr>
                <w:rFonts w:ascii="宋体" w:hAnsi="宋体" w:cs="宋体"/>
                <w:szCs w:val="21"/>
              </w:rPr>
            </w:pPr>
            <w:r>
              <w:rPr>
                <w:rFonts w:hint="eastAsia" w:ascii="宋体" w:hAnsi="宋体" w:cs="宋体"/>
                <w:kern w:val="0"/>
                <w:sz w:val="20"/>
                <w:szCs w:val="20"/>
                <w:lang w:bidi="ar"/>
              </w:rPr>
              <w:t xml:space="preserve">11.20 </w:t>
            </w:r>
          </w:p>
        </w:tc>
        <w:tc>
          <w:tcPr>
            <w:tcW w:w="1276" w:type="dxa"/>
            <w:vAlign w:val="center"/>
          </w:tcPr>
          <w:p w14:paraId="7AFCE5EA">
            <w:pPr>
              <w:widowControl/>
              <w:jc w:val="center"/>
              <w:textAlignment w:val="center"/>
              <w:rPr>
                <w:rFonts w:ascii="宋体" w:hAnsi="宋体" w:cs="宋体"/>
                <w:szCs w:val="21"/>
              </w:rPr>
            </w:pPr>
            <w:r>
              <w:rPr>
                <w:rFonts w:hint="eastAsia" w:ascii="宋体" w:hAnsi="宋体" w:cs="宋体"/>
                <w:kern w:val="0"/>
                <w:sz w:val="20"/>
                <w:szCs w:val="20"/>
                <w:lang w:bidi="ar"/>
              </w:rPr>
              <w:t xml:space="preserve">112000 </w:t>
            </w:r>
          </w:p>
        </w:tc>
        <w:tc>
          <w:tcPr>
            <w:tcW w:w="3286" w:type="dxa"/>
            <w:vAlign w:val="center"/>
          </w:tcPr>
          <w:p w14:paraId="530D2C68">
            <w:pPr>
              <w:widowControl/>
              <w:jc w:val="left"/>
              <w:textAlignment w:val="center"/>
              <w:rPr>
                <w:rFonts w:ascii="宋体" w:hAnsi="宋体" w:cs="宋体"/>
                <w:szCs w:val="21"/>
              </w:rPr>
            </w:pPr>
            <w:r>
              <w:rPr>
                <w:rFonts w:hint="eastAsia" w:ascii="宋体" w:hAnsi="宋体" w:cs="宋体"/>
                <w:kern w:val="0"/>
                <w:sz w:val="20"/>
                <w:szCs w:val="20"/>
                <w:lang w:bidi="ar"/>
              </w:rPr>
              <w:t>外形新鲜洁净，发育良好，无异味，无外来水份，具有适用于市场销售的可食性成熟度，要求果型外观完整，无损坏和腐烂，果径达70㎜以上。质量必须符合国家、地区或行业质量安全标准，农药残留检测合格。</w:t>
            </w:r>
          </w:p>
        </w:tc>
      </w:tr>
      <w:tr w14:paraId="5A6C8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75" w:type="dxa"/>
            <w:vMerge w:val="continue"/>
            <w:vAlign w:val="center"/>
          </w:tcPr>
          <w:p w14:paraId="6F5F0916">
            <w:pPr>
              <w:spacing w:line="380" w:lineRule="exact"/>
              <w:jc w:val="center"/>
              <w:rPr>
                <w:rFonts w:ascii="宋体" w:hAnsi="宋体" w:cs="宋体"/>
                <w:szCs w:val="21"/>
              </w:rPr>
            </w:pPr>
          </w:p>
        </w:tc>
        <w:tc>
          <w:tcPr>
            <w:tcW w:w="593" w:type="dxa"/>
            <w:tcMar>
              <w:top w:w="0" w:type="dxa"/>
              <w:left w:w="0" w:type="dxa"/>
              <w:bottom w:w="0" w:type="dxa"/>
              <w:right w:w="0" w:type="dxa"/>
            </w:tcMar>
            <w:vAlign w:val="center"/>
          </w:tcPr>
          <w:p w14:paraId="2BEC8BA7">
            <w:pPr>
              <w:widowControl/>
              <w:jc w:val="center"/>
              <w:textAlignment w:val="center"/>
              <w:rPr>
                <w:rFonts w:ascii="宋体" w:hAnsi="宋体" w:cs="宋体"/>
                <w:szCs w:val="21"/>
              </w:rPr>
            </w:pPr>
            <w:r>
              <w:rPr>
                <w:rFonts w:hint="eastAsia" w:ascii="宋体" w:hAnsi="宋体" w:cs="宋体"/>
                <w:kern w:val="0"/>
                <w:sz w:val="20"/>
                <w:szCs w:val="20"/>
                <w:lang w:bidi="ar"/>
              </w:rPr>
              <w:t>6</w:t>
            </w:r>
          </w:p>
        </w:tc>
        <w:tc>
          <w:tcPr>
            <w:tcW w:w="965" w:type="dxa"/>
            <w:vAlign w:val="center"/>
          </w:tcPr>
          <w:p w14:paraId="2CB6467C">
            <w:pPr>
              <w:widowControl/>
              <w:jc w:val="center"/>
              <w:textAlignment w:val="center"/>
              <w:rPr>
                <w:rFonts w:ascii="宋体" w:hAnsi="宋体" w:cs="宋体"/>
                <w:szCs w:val="21"/>
              </w:rPr>
            </w:pPr>
            <w:r>
              <w:rPr>
                <w:rFonts w:hint="eastAsia" w:ascii="宋体" w:hAnsi="宋体" w:cs="宋体"/>
                <w:kern w:val="0"/>
                <w:sz w:val="20"/>
                <w:szCs w:val="20"/>
                <w:lang w:bidi="ar"/>
              </w:rPr>
              <w:t>香蕉</w:t>
            </w:r>
          </w:p>
        </w:tc>
        <w:tc>
          <w:tcPr>
            <w:tcW w:w="986" w:type="dxa"/>
            <w:vAlign w:val="center"/>
          </w:tcPr>
          <w:p w14:paraId="67BABB17">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公斤</w:t>
            </w:r>
          </w:p>
        </w:tc>
        <w:tc>
          <w:tcPr>
            <w:tcW w:w="718" w:type="dxa"/>
            <w:vAlign w:val="center"/>
          </w:tcPr>
          <w:p w14:paraId="01A85C77">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5000</w:t>
            </w:r>
          </w:p>
        </w:tc>
        <w:tc>
          <w:tcPr>
            <w:tcW w:w="1354" w:type="dxa"/>
            <w:vAlign w:val="center"/>
          </w:tcPr>
          <w:p w14:paraId="32F0056B">
            <w:pPr>
              <w:widowControl/>
              <w:jc w:val="center"/>
              <w:textAlignment w:val="center"/>
              <w:rPr>
                <w:rFonts w:ascii="宋体" w:hAnsi="宋体" w:cs="宋体"/>
                <w:szCs w:val="21"/>
              </w:rPr>
            </w:pPr>
            <w:r>
              <w:rPr>
                <w:rFonts w:hint="eastAsia" w:ascii="宋体" w:hAnsi="宋体" w:cs="宋体"/>
                <w:kern w:val="0"/>
                <w:sz w:val="20"/>
                <w:szCs w:val="20"/>
                <w:lang w:bidi="ar"/>
              </w:rPr>
              <w:t xml:space="preserve">5.30 </w:t>
            </w:r>
          </w:p>
        </w:tc>
        <w:tc>
          <w:tcPr>
            <w:tcW w:w="1276" w:type="dxa"/>
            <w:vAlign w:val="center"/>
          </w:tcPr>
          <w:p w14:paraId="3D0C9896">
            <w:pPr>
              <w:widowControl/>
              <w:jc w:val="center"/>
              <w:textAlignment w:val="center"/>
              <w:rPr>
                <w:rFonts w:ascii="宋体" w:hAnsi="宋体" w:cs="宋体"/>
                <w:szCs w:val="21"/>
              </w:rPr>
            </w:pPr>
            <w:r>
              <w:rPr>
                <w:rFonts w:hint="eastAsia" w:ascii="宋体" w:hAnsi="宋体" w:cs="宋体"/>
                <w:kern w:val="0"/>
                <w:sz w:val="20"/>
                <w:szCs w:val="20"/>
                <w:lang w:bidi="ar"/>
              </w:rPr>
              <w:t xml:space="preserve">26500 </w:t>
            </w:r>
          </w:p>
        </w:tc>
        <w:tc>
          <w:tcPr>
            <w:tcW w:w="3286" w:type="dxa"/>
            <w:vAlign w:val="center"/>
          </w:tcPr>
          <w:p w14:paraId="2746991C">
            <w:pPr>
              <w:widowControl/>
              <w:jc w:val="left"/>
              <w:textAlignment w:val="center"/>
              <w:rPr>
                <w:rFonts w:ascii="宋体" w:hAnsi="宋体" w:cs="宋体"/>
                <w:szCs w:val="21"/>
              </w:rPr>
            </w:pPr>
            <w:r>
              <w:rPr>
                <w:rFonts w:hint="eastAsia" w:ascii="宋体" w:hAnsi="宋体" w:cs="宋体"/>
                <w:kern w:val="0"/>
                <w:sz w:val="20"/>
                <w:szCs w:val="20"/>
                <w:lang w:bidi="ar"/>
              </w:rPr>
              <w:t>外形新鲜洁净，发育良好，无异味，无外来水份，具有适用于市场销售的可食性成熟度，要求果型外观完整，无损坏和腐烂，果径达20㎜以上。质量必须符合国家、地区或行业质量安全标准，农药残留检测合格。</w:t>
            </w:r>
          </w:p>
        </w:tc>
      </w:tr>
      <w:tr w14:paraId="4F046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75" w:type="dxa"/>
            <w:vMerge w:val="continue"/>
            <w:vAlign w:val="center"/>
          </w:tcPr>
          <w:p w14:paraId="1022930A">
            <w:pPr>
              <w:spacing w:line="380" w:lineRule="exact"/>
              <w:jc w:val="center"/>
              <w:rPr>
                <w:rFonts w:ascii="宋体" w:hAnsi="宋体" w:cs="宋体"/>
                <w:szCs w:val="21"/>
              </w:rPr>
            </w:pPr>
          </w:p>
        </w:tc>
        <w:tc>
          <w:tcPr>
            <w:tcW w:w="593" w:type="dxa"/>
            <w:tcMar>
              <w:top w:w="0" w:type="dxa"/>
              <w:left w:w="0" w:type="dxa"/>
              <w:bottom w:w="0" w:type="dxa"/>
              <w:right w:w="0" w:type="dxa"/>
            </w:tcMar>
            <w:vAlign w:val="center"/>
          </w:tcPr>
          <w:p w14:paraId="196F96E4">
            <w:pPr>
              <w:widowControl/>
              <w:jc w:val="center"/>
              <w:textAlignment w:val="center"/>
              <w:rPr>
                <w:rFonts w:ascii="宋体" w:hAnsi="宋体" w:cs="宋体"/>
                <w:szCs w:val="21"/>
              </w:rPr>
            </w:pPr>
            <w:r>
              <w:rPr>
                <w:rFonts w:hint="eastAsia" w:ascii="宋体" w:hAnsi="宋体" w:cs="宋体"/>
                <w:kern w:val="0"/>
                <w:sz w:val="20"/>
                <w:szCs w:val="20"/>
                <w:lang w:bidi="ar"/>
              </w:rPr>
              <w:t>7</w:t>
            </w:r>
          </w:p>
        </w:tc>
        <w:tc>
          <w:tcPr>
            <w:tcW w:w="965" w:type="dxa"/>
            <w:vAlign w:val="center"/>
          </w:tcPr>
          <w:p w14:paraId="68FC5B67">
            <w:pPr>
              <w:widowControl/>
              <w:jc w:val="center"/>
              <w:textAlignment w:val="center"/>
              <w:rPr>
                <w:rFonts w:ascii="宋体" w:hAnsi="宋体" w:cs="宋体"/>
                <w:szCs w:val="21"/>
              </w:rPr>
            </w:pPr>
            <w:r>
              <w:rPr>
                <w:rFonts w:hint="eastAsia" w:ascii="宋体" w:hAnsi="宋体" w:cs="宋体"/>
                <w:kern w:val="0"/>
                <w:sz w:val="20"/>
                <w:szCs w:val="20"/>
                <w:lang w:bidi="ar"/>
              </w:rPr>
              <w:t>贡梨</w:t>
            </w:r>
          </w:p>
        </w:tc>
        <w:tc>
          <w:tcPr>
            <w:tcW w:w="986" w:type="dxa"/>
            <w:vAlign w:val="center"/>
          </w:tcPr>
          <w:p w14:paraId="344B6F90">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公斤</w:t>
            </w:r>
          </w:p>
        </w:tc>
        <w:tc>
          <w:tcPr>
            <w:tcW w:w="718" w:type="dxa"/>
            <w:vAlign w:val="center"/>
          </w:tcPr>
          <w:p w14:paraId="4D03A56D">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5000</w:t>
            </w:r>
          </w:p>
        </w:tc>
        <w:tc>
          <w:tcPr>
            <w:tcW w:w="1354" w:type="dxa"/>
            <w:vAlign w:val="center"/>
          </w:tcPr>
          <w:p w14:paraId="1FEE36B1">
            <w:pPr>
              <w:widowControl/>
              <w:jc w:val="center"/>
              <w:textAlignment w:val="center"/>
              <w:rPr>
                <w:rFonts w:ascii="宋体" w:hAnsi="宋体" w:cs="宋体"/>
                <w:szCs w:val="21"/>
              </w:rPr>
            </w:pPr>
            <w:r>
              <w:rPr>
                <w:rFonts w:hint="eastAsia" w:ascii="宋体" w:hAnsi="宋体" w:cs="宋体"/>
                <w:kern w:val="0"/>
                <w:sz w:val="20"/>
                <w:szCs w:val="20"/>
                <w:lang w:bidi="ar"/>
              </w:rPr>
              <w:t xml:space="preserve">5.50 </w:t>
            </w:r>
          </w:p>
        </w:tc>
        <w:tc>
          <w:tcPr>
            <w:tcW w:w="1276" w:type="dxa"/>
            <w:vAlign w:val="center"/>
          </w:tcPr>
          <w:p w14:paraId="10B4F3F4">
            <w:pPr>
              <w:widowControl/>
              <w:jc w:val="center"/>
              <w:textAlignment w:val="center"/>
              <w:rPr>
                <w:rFonts w:ascii="宋体" w:hAnsi="宋体" w:cs="宋体"/>
                <w:szCs w:val="21"/>
              </w:rPr>
            </w:pPr>
            <w:r>
              <w:rPr>
                <w:rFonts w:hint="eastAsia" w:ascii="宋体" w:hAnsi="宋体" w:cs="宋体"/>
                <w:kern w:val="0"/>
                <w:sz w:val="20"/>
                <w:szCs w:val="20"/>
                <w:lang w:bidi="ar"/>
              </w:rPr>
              <w:t xml:space="preserve">27500 </w:t>
            </w:r>
          </w:p>
        </w:tc>
        <w:tc>
          <w:tcPr>
            <w:tcW w:w="3286" w:type="dxa"/>
            <w:vAlign w:val="center"/>
          </w:tcPr>
          <w:p w14:paraId="08FF8E58">
            <w:pPr>
              <w:widowControl/>
              <w:jc w:val="left"/>
              <w:textAlignment w:val="center"/>
              <w:rPr>
                <w:rFonts w:ascii="宋体" w:hAnsi="宋体" w:cs="宋体"/>
                <w:szCs w:val="21"/>
              </w:rPr>
            </w:pPr>
            <w:r>
              <w:rPr>
                <w:rFonts w:hint="eastAsia" w:ascii="宋体" w:hAnsi="宋体" w:cs="宋体"/>
                <w:kern w:val="0"/>
                <w:sz w:val="20"/>
                <w:szCs w:val="20"/>
                <w:lang w:bidi="ar"/>
              </w:rPr>
              <w:t>外形新鲜洁净，发育良好，无异味，无外来水份，具有适用于市场销售的可食性成熟度，要求果型外观完整，无损坏和腐烂，果径达70㎜以上。质量必须符合国家、地区或行业质量安全标准，农药残留检测合格。</w:t>
            </w:r>
          </w:p>
        </w:tc>
      </w:tr>
      <w:tr w14:paraId="3B086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75" w:type="dxa"/>
            <w:vMerge w:val="continue"/>
            <w:vAlign w:val="center"/>
          </w:tcPr>
          <w:p w14:paraId="7763B6B9">
            <w:pPr>
              <w:spacing w:line="380" w:lineRule="exact"/>
              <w:jc w:val="center"/>
              <w:rPr>
                <w:rFonts w:ascii="宋体" w:hAnsi="宋体" w:cs="宋体"/>
                <w:szCs w:val="21"/>
              </w:rPr>
            </w:pPr>
          </w:p>
        </w:tc>
        <w:tc>
          <w:tcPr>
            <w:tcW w:w="593" w:type="dxa"/>
            <w:tcMar>
              <w:top w:w="0" w:type="dxa"/>
              <w:left w:w="0" w:type="dxa"/>
              <w:bottom w:w="0" w:type="dxa"/>
              <w:right w:w="0" w:type="dxa"/>
            </w:tcMar>
            <w:vAlign w:val="center"/>
          </w:tcPr>
          <w:p w14:paraId="4765DBE8">
            <w:pPr>
              <w:widowControl/>
              <w:jc w:val="center"/>
              <w:textAlignment w:val="center"/>
              <w:rPr>
                <w:rFonts w:ascii="宋体" w:hAnsi="宋体" w:cs="宋体"/>
                <w:szCs w:val="21"/>
              </w:rPr>
            </w:pPr>
            <w:r>
              <w:rPr>
                <w:rFonts w:hint="eastAsia" w:ascii="宋体" w:hAnsi="宋体" w:cs="宋体"/>
                <w:kern w:val="0"/>
                <w:sz w:val="20"/>
                <w:szCs w:val="20"/>
                <w:lang w:bidi="ar"/>
              </w:rPr>
              <w:t>8</w:t>
            </w:r>
          </w:p>
        </w:tc>
        <w:tc>
          <w:tcPr>
            <w:tcW w:w="965" w:type="dxa"/>
            <w:vAlign w:val="center"/>
          </w:tcPr>
          <w:p w14:paraId="29B22122">
            <w:pPr>
              <w:widowControl/>
              <w:jc w:val="center"/>
              <w:textAlignment w:val="center"/>
              <w:rPr>
                <w:rFonts w:ascii="宋体" w:hAnsi="宋体" w:cs="宋体"/>
                <w:szCs w:val="21"/>
              </w:rPr>
            </w:pPr>
            <w:r>
              <w:rPr>
                <w:rFonts w:hint="eastAsia" w:ascii="宋体" w:hAnsi="宋体" w:cs="宋体"/>
                <w:kern w:val="0"/>
                <w:sz w:val="20"/>
                <w:szCs w:val="20"/>
                <w:lang w:bidi="ar"/>
              </w:rPr>
              <w:t>木耳</w:t>
            </w:r>
          </w:p>
        </w:tc>
        <w:tc>
          <w:tcPr>
            <w:tcW w:w="986" w:type="dxa"/>
            <w:vAlign w:val="center"/>
          </w:tcPr>
          <w:p w14:paraId="31ADE4A0">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公斤</w:t>
            </w:r>
          </w:p>
        </w:tc>
        <w:tc>
          <w:tcPr>
            <w:tcW w:w="718" w:type="dxa"/>
            <w:vAlign w:val="center"/>
          </w:tcPr>
          <w:p w14:paraId="7728AEB4">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1000</w:t>
            </w:r>
          </w:p>
        </w:tc>
        <w:tc>
          <w:tcPr>
            <w:tcW w:w="1354" w:type="dxa"/>
            <w:vAlign w:val="center"/>
          </w:tcPr>
          <w:p w14:paraId="6EC334C3">
            <w:pPr>
              <w:widowControl/>
              <w:jc w:val="center"/>
              <w:textAlignment w:val="center"/>
              <w:rPr>
                <w:rFonts w:ascii="宋体" w:hAnsi="宋体" w:cs="宋体"/>
                <w:szCs w:val="21"/>
              </w:rPr>
            </w:pPr>
            <w:r>
              <w:rPr>
                <w:rFonts w:hint="eastAsia" w:ascii="宋体" w:hAnsi="宋体" w:cs="宋体"/>
                <w:kern w:val="0"/>
                <w:sz w:val="20"/>
                <w:szCs w:val="20"/>
                <w:lang w:bidi="ar"/>
              </w:rPr>
              <w:t xml:space="preserve">40.90 </w:t>
            </w:r>
          </w:p>
        </w:tc>
        <w:tc>
          <w:tcPr>
            <w:tcW w:w="1276" w:type="dxa"/>
            <w:vAlign w:val="center"/>
          </w:tcPr>
          <w:p w14:paraId="51CC02F7">
            <w:pPr>
              <w:widowControl/>
              <w:jc w:val="center"/>
              <w:textAlignment w:val="center"/>
              <w:rPr>
                <w:rFonts w:ascii="宋体" w:hAnsi="宋体" w:cs="宋体"/>
                <w:szCs w:val="21"/>
              </w:rPr>
            </w:pPr>
            <w:r>
              <w:rPr>
                <w:rFonts w:hint="eastAsia" w:ascii="宋体" w:hAnsi="宋体" w:cs="宋体"/>
                <w:kern w:val="0"/>
                <w:sz w:val="20"/>
                <w:szCs w:val="20"/>
                <w:lang w:bidi="ar"/>
              </w:rPr>
              <w:t xml:space="preserve">40900 </w:t>
            </w:r>
          </w:p>
        </w:tc>
        <w:tc>
          <w:tcPr>
            <w:tcW w:w="3286" w:type="dxa"/>
            <w:vAlign w:val="center"/>
          </w:tcPr>
          <w:p w14:paraId="1A9AADC0">
            <w:pPr>
              <w:widowControl/>
              <w:jc w:val="left"/>
              <w:textAlignment w:val="center"/>
              <w:rPr>
                <w:rFonts w:ascii="宋体" w:hAnsi="宋体" w:cs="宋体"/>
                <w:szCs w:val="21"/>
              </w:rPr>
            </w:pPr>
            <w:r>
              <w:rPr>
                <w:rFonts w:hint="eastAsia" w:ascii="宋体" w:hAnsi="宋体" w:cs="宋体"/>
                <w:kern w:val="0"/>
                <w:sz w:val="20"/>
                <w:szCs w:val="20"/>
                <w:lang w:bidi="ar"/>
              </w:rPr>
              <w:t>木耳要求身干肉厚，朵形整齐，表面有光泽，耳瓣舒展，耳片完整，不能通过直径1厘米的筛眼；含水量低于14%，耳片厚度0.7毫米以上，杂质不超过0.5%；耳面黑褪色，背暗灰色；无拳耳、流耳、流失耳；无蛀耳、霉烂。包装正面印有生产厂家、生产日期、保质期等字样。质量符合国家、行业相关标准。</w:t>
            </w:r>
          </w:p>
        </w:tc>
      </w:tr>
      <w:tr w14:paraId="33F9F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75" w:type="dxa"/>
            <w:vMerge w:val="continue"/>
            <w:vAlign w:val="center"/>
          </w:tcPr>
          <w:p w14:paraId="4C74C824">
            <w:pPr>
              <w:spacing w:line="380" w:lineRule="exact"/>
              <w:jc w:val="center"/>
              <w:rPr>
                <w:rFonts w:ascii="宋体" w:hAnsi="宋体" w:cs="宋体"/>
                <w:szCs w:val="21"/>
              </w:rPr>
            </w:pPr>
          </w:p>
        </w:tc>
        <w:tc>
          <w:tcPr>
            <w:tcW w:w="593" w:type="dxa"/>
            <w:tcMar>
              <w:top w:w="0" w:type="dxa"/>
              <w:left w:w="0" w:type="dxa"/>
              <w:bottom w:w="0" w:type="dxa"/>
              <w:right w:w="0" w:type="dxa"/>
            </w:tcMar>
            <w:vAlign w:val="center"/>
          </w:tcPr>
          <w:p w14:paraId="372EFD79">
            <w:pPr>
              <w:widowControl/>
              <w:jc w:val="center"/>
              <w:textAlignment w:val="center"/>
              <w:rPr>
                <w:rFonts w:ascii="宋体" w:hAnsi="宋体" w:cs="宋体"/>
                <w:szCs w:val="21"/>
              </w:rPr>
            </w:pPr>
            <w:r>
              <w:rPr>
                <w:rFonts w:hint="eastAsia" w:ascii="宋体" w:hAnsi="宋体" w:cs="宋体"/>
                <w:kern w:val="0"/>
                <w:sz w:val="20"/>
                <w:szCs w:val="20"/>
                <w:lang w:bidi="ar"/>
              </w:rPr>
              <w:t>9</w:t>
            </w:r>
          </w:p>
        </w:tc>
        <w:tc>
          <w:tcPr>
            <w:tcW w:w="965" w:type="dxa"/>
            <w:vAlign w:val="center"/>
          </w:tcPr>
          <w:p w14:paraId="20BED01E">
            <w:pPr>
              <w:widowControl/>
              <w:jc w:val="center"/>
              <w:textAlignment w:val="center"/>
              <w:rPr>
                <w:rFonts w:ascii="宋体" w:hAnsi="宋体" w:cs="宋体"/>
                <w:szCs w:val="21"/>
              </w:rPr>
            </w:pPr>
            <w:r>
              <w:rPr>
                <w:rFonts w:hint="eastAsia" w:ascii="宋体" w:hAnsi="宋体" w:cs="宋体"/>
                <w:kern w:val="0"/>
                <w:sz w:val="20"/>
                <w:szCs w:val="20"/>
                <w:lang w:bidi="ar"/>
              </w:rPr>
              <w:t>腐竹</w:t>
            </w:r>
          </w:p>
        </w:tc>
        <w:tc>
          <w:tcPr>
            <w:tcW w:w="986" w:type="dxa"/>
            <w:vAlign w:val="center"/>
          </w:tcPr>
          <w:p w14:paraId="5342DB79">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公斤</w:t>
            </w:r>
          </w:p>
        </w:tc>
        <w:tc>
          <w:tcPr>
            <w:tcW w:w="718" w:type="dxa"/>
            <w:vAlign w:val="center"/>
          </w:tcPr>
          <w:p w14:paraId="46EAA339">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1000</w:t>
            </w:r>
          </w:p>
        </w:tc>
        <w:tc>
          <w:tcPr>
            <w:tcW w:w="1354" w:type="dxa"/>
            <w:vAlign w:val="center"/>
          </w:tcPr>
          <w:p w14:paraId="32849B9F">
            <w:pPr>
              <w:widowControl/>
              <w:jc w:val="center"/>
              <w:textAlignment w:val="center"/>
              <w:rPr>
                <w:rFonts w:ascii="宋体" w:hAnsi="宋体" w:cs="宋体"/>
                <w:szCs w:val="21"/>
              </w:rPr>
            </w:pPr>
            <w:r>
              <w:rPr>
                <w:rFonts w:hint="eastAsia" w:ascii="宋体" w:hAnsi="宋体" w:cs="宋体"/>
                <w:kern w:val="0"/>
                <w:sz w:val="20"/>
                <w:szCs w:val="20"/>
                <w:lang w:bidi="ar"/>
              </w:rPr>
              <w:t xml:space="preserve">31.10 </w:t>
            </w:r>
          </w:p>
        </w:tc>
        <w:tc>
          <w:tcPr>
            <w:tcW w:w="1276" w:type="dxa"/>
            <w:vAlign w:val="center"/>
          </w:tcPr>
          <w:p w14:paraId="2452FB67">
            <w:pPr>
              <w:widowControl/>
              <w:jc w:val="center"/>
              <w:textAlignment w:val="center"/>
              <w:rPr>
                <w:rFonts w:ascii="宋体" w:hAnsi="宋体" w:cs="宋体"/>
                <w:szCs w:val="21"/>
              </w:rPr>
            </w:pPr>
            <w:r>
              <w:rPr>
                <w:rFonts w:hint="eastAsia" w:ascii="宋体" w:hAnsi="宋体" w:cs="宋体"/>
                <w:kern w:val="0"/>
                <w:sz w:val="20"/>
                <w:szCs w:val="20"/>
                <w:lang w:bidi="ar"/>
              </w:rPr>
              <w:t xml:space="preserve">31100 </w:t>
            </w:r>
          </w:p>
        </w:tc>
        <w:tc>
          <w:tcPr>
            <w:tcW w:w="3286" w:type="dxa"/>
            <w:vAlign w:val="center"/>
          </w:tcPr>
          <w:p w14:paraId="1E8373B0">
            <w:pPr>
              <w:widowControl/>
              <w:jc w:val="left"/>
              <w:textAlignment w:val="center"/>
              <w:rPr>
                <w:rFonts w:ascii="宋体" w:hAnsi="宋体" w:cs="宋体"/>
                <w:szCs w:val="21"/>
              </w:rPr>
            </w:pPr>
            <w:r>
              <w:rPr>
                <w:rFonts w:hint="eastAsia" w:ascii="宋体" w:hAnsi="宋体" w:cs="宋体"/>
                <w:kern w:val="0"/>
                <w:sz w:val="20"/>
                <w:szCs w:val="20"/>
                <w:lang w:bidi="ar"/>
              </w:rPr>
              <w:t>腐竹要求呈浅黄色、有光泽、味正、枝条均匀、无杂质及异味。包装正面印有生产厂家、生产日期、保质期等字样。质量符合国家、行业相关标准。</w:t>
            </w:r>
          </w:p>
        </w:tc>
      </w:tr>
      <w:tr w14:paraId="69AA0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75" w:type="dxa"/>
            <w:vMerge w:val="continue"/>
            <w:vAlign w:val="center"/>
          </w:tcPr>
          <w:p w14:paraId="174D775E">
            <w:pPr>
              <w:spacing w:line="380" w:lineRule="exact"/>
              <w:jc w:val="center"/>
              <w:rPr>
                <w:rFonts w:ascii="宋体" w:hAnsi="宋体" w:cs="宋体"/>
                <w:szCs w:val="21"/>
              </w:rPr>
            </w:pPr>
          </w:p>
        </w:tc>
        <w:tc>
          <w:tcPr>
            <w:tcW w:w="593" w:type="dxa"/>
            <w:tcMar>
              <w:top w:w="0" w:type="dxa"/>
              <w:left w:w="0" w:type="dxa"/>
              <w:bottom w:w="0" w:type="dxa"/>
              <w:right w:w="0" w:type="dxa"/>
            </w:tcMar>
            <w:vAlign w:val="center"/>
          </w:tcPr>
          <w:p w14:paraId="11E90886">
            <w:pPr>
              <w:widowControl/>
              <w:jc w:val="center"/>
              <w:textAlignment w:val="center"/>
              <w:rPr>
                <w:rFonts w:ascii="宋体" w:hAnsi="宋体" w:cs="宋体"/>
                <w:szCs w:val="21"/>
              </w:rPr>
            </w:pPr>
            <w:r>
              <w:rPr>
                <w:rFonts w:hint="eastAsia" w:ascii="宋体" w:hAnsi="宋体" w:cs="宋体"/>
                <w:kern w:val="0"/>
                <w:sz w:val="20"/>
                <w:szCs w:val="20"/>
                <w:lang w:bidi="ar"/>
              </w:rPr>
              <w:t>10</w:t>
            </w:r>
          </w:p>
        </w:tc>
        <w:tc>
          <w:tcPr>
            <w:tcW w:w="965" w:type="dxa"/>
            <w:vAlign w:val="center"/>
          </w:tcPr>
          <w:p w14:paraId="33F8B913">
            <w:pPr>
              <w:widowControl/>
              <w:jc w:val="center"/>
              <w:textAlignment w:val="center"/>
              <w:rPr>
                <w:rFonts w:ascii="宋体" w:hAnsi="宋体" w:cs="宋体"/>
                <w:szCs w:val="21"/>
              </w:rPr>
            </w:pPr>
            <w:r>
              <w:rPr>
                <w:rFonts w:hint="eastAsia" w:ascii="宋体" w:hAnsi="宋体" w:cs="宋体"/>
                <w:kern w:val="0"/>
                <w:sz w:val="20"/>
                <w:szCs w:val="20"/>
                <w:lang w:bidi="ar"/>
              </w:rPr>
              <w:t>花生米</w:t>
            </w:r>
          </w:p>
        </w:tc>
        <w:tc>
          <w:tcPr>
            <w:tcW w:w="986" w:type="dxa"/>
            <w:vAlign w:val="center"/>
          </w:tcPr>
          <w:p w14:paraId="67E0D0D0">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公斤</w:t>
            </w:r>
          </w:p>
        </w:tc>
        <w:tc>
          <w:tcPr>
            <w:tcW w:w="718" w:type="dxa"/>
            <w:vAlign w:val="center"/>
          </w:tcPr>
          <w:p w14:paraId="36B79D45">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5000</w:t>
            </w:r>
          </w:p>
        </w:tc>
        <w:tc>
          <w:tcPr>
            <w:tcW w:w="1354" w:type="dxa"/>
            <w:vAlign w:val="center"/>
          </w:tcPr>
          <w:p w14:paraId="3D193483">
            <w:pPr>
              <w:widowControl/>
              <w:jc w:val="center"/>
              <w:textAlignment w:val="center"/>
              <w:rPr>
                <w:rFonts w:ascii="宋体" w:hAnsi="宋体" w:cs="宋体"/>
                <w:szCs w:val="21"/>
              </w:rPr>
            </w:pPr>
            <w:r>
              <w:rPr>
                <w:rFonts w:hint="eastAsia" w:ascii="宋体" w:hAnsi="宋体" w:cs="宋体"/>
                <w:kern w:val="0"/>
                <w:sz w:val="20"/>
                <w:szCs w:val="20"/>
                <w:lang w:bidi="ar"/>
              </w:rPr>
              <w:t xml:space="preserve">12.70 </w:t>
            </w:r>
          </w:p>
        </w:tc>
        <w:tc>
          <w:tcPr>
            <w:tcW w:w="1276" w:type="dxa"/>
            <w:vAlign w:val="center"/>
          </w:tcPr>
          <w:p w14:paraId="0B005445">
            <w:pPr>
              <w:widowControl/>
              <w:jc w:val="center"/>
              <w:textAlignment w:val="center"/>
              <w:rPr>
                <w:rFonts w:ascii="宋体" w:hAnsi="宋体" w:cs="宋体"/>
                <w:szCs w:val="21"/>
              </w:rPr>
            </w:pPr>
            <w:r>
              <w:rPr>
                <w:rFonts w:hint="eastAsia" w:ascii="宋体" w:hAnsi="宋体" w:cs="宋体"/>
                <w:kern w:val="0"/>
                <w:sz w:val="20"/>
                <w:szCs w:val="20"/>
                <w:lang w:bidi="ar"/>
              </w:rPr>
              <w:t xml:space="preserve">63500 </w:t>
            </w:r>
          </w:p>
        </w:tc>
        <w:tc>
          <w:tcPr>
            <w:tcW w:w="3286" w:type="dxa"/>
            <w:vAlign w:val="center"/>
          </w:tcPr>
          <w:p w14:paraId="26AD83E7">
            <w:pPr>
              <w:widowControl/>
              <w:jc w:val="left"/>
              <w:textAlignment w:val="center"/>
              <w:rPr>
                <w:rFonts w:ascii="宋体" w:hAnsi="宋体" w:cs="宋体"/>
                <w:szCs w:val="21"/>
              </w:rPr>
            </w:pPr>
            <w:r>
              <w:rPr>
                <w:rFonts w:hint="eastAsia" w:ascii="宋体" w:hAnsi="宋体" w:cs="宋体"/>
                <w:kern w:val="0"/>
                <w:sz w:val="20"/>
                <w:szCs w:val="20"/>
                <w:lang w:bidi="ar"/>
              </w:rPr>
              <w:t>颗粒均匀，花生米的水分标准≤9.0%，无霉变，无虫蛀，无污染，无杂质，无染色。包装正面印有生产厂家、生产日期、保质期等字样。质量符合国家、行业相关标准。</w:t>
            </w:r>
          </w:p>
        </w:tc>
      </w:tr>
      <w:tr w14:paraId="3C9FC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75" w:type="dxa"/>
            <w:vMerge w:val="continue"/>
            <w:vAlign w:val="center"/>
          </w:tcPr>
          <w:p w14:paraId="3BFC5A89">
            <w:pPr>
              <w:spacing w:line="380" w:lineRule="exact"/>
              <w:jc w:val="center"/>
              <w:rPr>
                <w:rFonts w:ascii="宋体" w:hAnsi="宋体" w:cs="宋体"/>
                <w:szCs w:val="21"/>
              </w:rPr>
            </w:pPr>
          </w:p>
        </w:tc>
        <w:tc>
          <w:tcPr>
            <w:tcW w:w="593" w:type="dxa"/>
            <w:tcMar>
              <w:top w:w="0" w:type="dxa"/>
              <w:left w:w="0" w:type="dxa"/>
              <w:bottom w:w="0" w:type="dxa"/>
              <w:right w:w="0" w:type="dxa"/>
            </w:tcMar>
            <w:vAlign w:val="center"/>
          </w:tcPr>
          <w:p w14:paraId="5B2A1F85">
            <w:pPr>
              <w:widowControl/>
              <w:jc w:val="center"/>
              <w:textAlignment w:val="center"/>
              <w:rPr>
                <w:rFonts w:ascii="宋体" w:hAnsi="宋体" w:cs="宋体"/>
                <w:szCs w:val="21"/>
              </w:rPr>
            </w:pPr>
            <w:r>
              <w:rPr>
                <w:rFonts w:hint="eastAsia" w:ascii="宋体" w:hAnsi="宋体" w:cs="宋体"/>
                <w:kern w:val="0"/>
                <w:sz w:val="20"/>
                <w:szCs w:val="20"/>
                <w:lang w:bidi="ar"/>
              </w:rPr>
              <w:t>11</w:t>
            </w:r>
          </w:p>
        </w:tc>
        <w:tc>
          <w:tcPr>
            <w:tcW w:w="965" w:type="dxa"/>
            <w:vAlign w:val="center"/>
          </w:tcPr>
          <w:p w14:paraId="7A0824C7">
            <w:pPr>
              <w:widowControl/>
              <w:jc w:val="center"/>
              <w:textAlignment w:val="center"/>
              <w:rPr>
                <w:rFonts w:ascii="宋体" w:hAnsi="宋体" w:cs="宋体"/>
                <w:szCs w:val="21"/>
              </w:rPr>
            </w:pPr>
            <w:r>
              <w:rPr>
                <w:rFonts w:hint="eastAsia" w:ascii="宋体" w:hAnsi="宋体" w:cs="宋体"/>
                <w:kern w:val="0"/>
                <w:sz w:val="20"/>
                <w:szCs w:val="20"/>
                <w:lang w:bidi="ar"/>
              </w:rPr>
              <w:t>绿豆</w:t>
            </w:r>
          </w:p>
        </w:tc>
        <w:tc>
          <w:tcPr>
            <w:tcW w:w="986" w:type="dxa"/>
            <w:vAlign w:val="center"/>
          </w:tcPr>
          <w:p w14:paraId="2577E2FA">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公斤</w:t>
            </w:r>
          </w:p>
        </w:tc>
        <w:tc>
          <w:tcPr>
            <w:tcW w:w="718" w:type="dxa"/>
            <w:vAlign w:val="center"/>
          </w:tcPr>
          <w:p w14:paraId="034B4DE4">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5000</w:t>
            </w:r>
          </w:p>
        </w:tc>
        <w:tc>
          <w:tcPr>
            <w:tcW w:w="1354" w:type="dxa"/>
            <w:vAlign w:val="center"/>
          </w:tcPr>
          <w:p w14:paraId="7AF7D8B9">
            <w:pPr>
              <w:widowControl/>
              <w:jc w:val="center"/>
              <w:textAlignment w:val="center"/>
              <w:rPr>
                <w:rFonts w:ascii="宋体" w:hAnsi="宋体" w:cs="宋体"/>
                <w:szCs w:val="21"/>
              </w:rPr>
            </w:pPr>
            <w:r>
              <w:rPr>
                <w:rFonts w:hint="eastAsia" w:ascii="宋体" w:hAnsi="宋体" w:cs="宋体"/>
                <w:kern w:val="0"/>
                <w:sz w:val="20"/>
                <w:szCs w:val="20"/>
                <w:lang w:bidi="ar"/>
              </w:rPr>
              <w:t xml:space="preserve">12.40 </w:t>
            </w:r>
          </w:p>
        </w:tc>
        <w:tc>
          <w:tcPr>
            <w:tcW w:w="1276" w:type="dxa"/>
            <w:vAlign w:val="center"/>
          </w:tcPr>
          <w:p w14:paraId="11423A8E">
            <w:pPr>
              <w:widowControl/>
              <w:jc w:val="center"/>
              <w:textAlignment w:val="center"/>
              <w:rPr>
                <w:rFonts w:ascii="宋体" w:hAnsi="宋体" w:cs="宋体"/>
                <w:szCs w:val="21"/>
              </w:rPr>
            </w:pPr>
            <w:r>
              <w:rPr>
                <w:rFonts w:hint="eastAsia" w:ascii="宋体" w:hAnsi="宋体" w:cs="宋体"/>
                <w:kern w:val="0"/>
                <w:sz w:val="20"/>
                <w:szCs w:val="20"/>
                <w:lang w:bidi="ar"/>
              </w:rPr>
              <w:t xml:space="preserve">62000 </w:t>
            </w:r>
          </w:p>
        </w:tc>
        <w:tc>
          <w:tcPr>
            <w:tcW w:w="3286" w:type="dxa"/>
            <w:vAlign w:val="center"/>
          </w:tcPr>
          <w:p w14:paraId="34CD220B">
            <w:pPr>
              <w:widowControl/>
              <w:jc w:val="left"/>
              <w:textAlignment w:val="center"/>
              <w:rPr>
                <w:rFonts w:ascii="宋体" w:hAnsi="宋体" w:cs="宋体"/>
                <w:szCs w:val="21"/>
              </w:rPr>
            </w:pPr>
            <w:r>
              <w:rPr>
                <w:rFonts w:hint="eastAsia" w:ascii="宋体" w:hAnsi="宋体" w:cs="宋体"/>
                <w:kern w:val="0"/>
                <w:sz w:val="20"/>
                <w:szCs w:val="20"/>
                <w:lang w:bidi="ar"/>
              </w:rPr>
              <w:t>要求颗粒饱满，大小均匀，具有产品应有的色泽，无霉变、生虫，无异物、杂质或其他感官性状异常。包装正面印有生产厂家、生产日期、保质期等字样。质量符合国家、行业相关标准。</w:t>
            </w:r>
          </w:p>
        </w:tc>
      </w:tr>
      <w:tr w14:paraId="3D198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75" w:type="dxa"/>
            <w:vMerge w:val="continue"/>
            <w:vAlign w:val="center"/>
          </w:tcPr>
          <w:p w14:paraId="596C6FD2">
            <w:pPr>
              <w:spacing w:line="380" w:lineRule="exact"/>
              <w:jc w:val="center"/>
              <w:rPr>
                <w:rFonts w:ascii="宋体" w:hAnsi="宋体" w:cs="宋体"/>
                <w:szCs w:val="21"/>
              </w:rPr>
            </w:pPr>
          </w:p>
        </w:tc>
        <w:tc>
          <w:tcPr>
            <w:tcW w:w="593" w:type="dxa"/>
            <w:tcMar>
              <w:top w:w="0" w:type="dxa"/>
              <w:left w:w="0" w:type="dxa"/>
              <w:bottom w:w="0" w:type="dxa"/>
              <w:right w:w="0" w:type="dxa"/>
            </w:tcMar>
            <w:vAlign w:val="center"/>
          </w:tcPr>
          <w:p w14:paraId="300AB5B0">
            <w:pPr>
              <w:widowControl/>
              <w:jc w:val="center"/>
              <w:textAlignment w:val="center"/>
              <w:rPr>
                <w:rFonts w:ascii="宋体" w:hAnsi="宋体" w:cs="宋体"/>
                <w:szCs w:val="21"/>
              </w:rPr>
            </w:pPr>
            <w:r>
              <w:rPr>
                <w:rFonts w:hint="eastAsia" w:ascii="宋体" w:hAnsi="宋体" w:cs="宋体"/>
                <w:kern w:val="0"/>
                <w:sz w:val="20"/>
                <w:szCs w:val="20"/>
                <w:lang w:bidi="ar"/>
              </w:rPr>
              <w:t>12</w:t>
            </w:r>
          </w:p>
        </w:tc>
        <w:tc>
          <w:tcPr>
            <w:tcW w:w="965" w:type="dxa"/>
            <w:vAlign w:val="center"/>
          </w:tcPr>
          <w:p w14:paraId="25E8F815">
            <w:pPr>
              <w:widowControl/>
              <w:jc w:val="center"/>
              <w:textAlignment w:val="center"/>
              <w:rPr>
                <w:rFonts w:ascii="宋体" w:hAnsi="宋体" w:cs="宋体"/>
                <w:szCs w:val="21"/>
              </w:rPr>
            </w:pPr>
            <w:r>
              <w:rPr>
                <w:rFonts w:hint="eastAsia" w:ascii="宋体" w:hAnsi="宋体" w:cs="宋体"/>
                <w:kern w:val="0"/>
                <w:sz w:val="20"/>
                <w:szCs w:val="20"/>
                <w:lang w:bidi="ar"/>
              </w:rPr>
              <w:t>黄豆</w:t>
            </w:r>
          </w:p>
        </w:tc>
        <w:tc>
          <w:tcPr>
            <w:tcW w:w="986" w:type="dxa"/>
            <w:vAlign w:val="center"/>
          </w:tcPr>
          <w:p w14:paraId="7581FA9E">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公斤</w:t>
            </w:r>
          </w:p>
        </w:tc>
        <w:tc>
          <w:tcPr>
            <w:tcW w:w="718" w:type="dxa"/>
            <w:vAlign w:val="center"/>
          </w:tcPr>
          <w:p w14:paraId="16787A0F">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5000</w:t>
            </w:r>
          </w:p>
        </w:tc>
        <w:tc>
          <w:tcPr>
            <w:tcW w:w="1354" w:type="dxa"/>
            <w:vAlign w:val="center"/>
          </w:tcPr>
          <w:p w14:paraId="26EF5244">
            <w:pPr>
              <w:widowControl/>
              <w:jc w:val="center"/>
              <w:textAlignment w:val="center"/>
              <w:rPr>
                <w:rFonts w:ascii="宋体" w:hAnsi="宋体" w:cs="宋体"/>
                <w:szCs w:val="21"/>
              </w:rPr>
            </w:pPr>
            <w:r>
              <w:rPr>
                <w:rFonts w:hint="eastAsia" w:ascii="宋体" w:hAnsi="宋体" w:cs="宋体"/>
                <w:kern w:val="0"/>
                <w:sz w:val="20"/>
                <w:szCs w:val="20"/>
                <w:lang w:bidi="ar"/>
              </w:rPr>
              <w:t xml:space="preserve">8.20 </w:t>
            </w:r>
          </w:p>
        </w:tc>
        <w:tc>
          <w:tcPr>
            <w:tcW w:w="1276" w:type="dxa"/>
            <w:vAlign w:val="center"/>
          </w:tcPr>
          <w:p w14:paraId="4633B2C0">
            <w:pPr>
              <w:widowControl/>
              <w:jc w:val="center"/>
              <w:textAlignment w:val="center"/>
              <w:rPr>
                <w:rFonts w:ascii="宋体" w:hAnsi="宋体" w:cs="宋体"/>
                <w:szCs w:val="21"/>
              </w:rPr>
            </w:pPr>
            <w:r>
              <w:rPr>
                <w:rFonts w:hint="eastAsia" w:ascii="宋体" w:hAnsi="宋体" w:cs="宋体"/>
                <w:kern w:val="0"/>
                <w:sz w:val="20"/>
                <w:szCs w:val="20"/>
                <w:lang w:bidi="ar"/>
              </w:rPr>
              <w:t xml:space="preserve">41000 </w:t>
            </w:r>
          </w:p>
        </w:tc>
        <w:tc>
          <w:tcPr>
            <w:tcW w:w="3286" w:type="dxa"/>
            <w:vAlign w:val="center"/>
          </w:tcPr>
          <w:p w14:paraId="485D447E">
            <w:pPr>
              <w:widowControl/>
              <w:jc w:val="left"/>
              <w:textAlignment w:val="center"/>
              <w:rPr>
                <w:rFonts w:ascii="宋体" w:hAnsi="宋体" w:cs="宋体"/>
                <w:szCs w:val="21"/>
              </w:rPr>
            </w:pPr>
            <w:r>
              <w:rPr>
                <w:rFonts w:hint="eastAsia" w:ascii="宋体" w:hAnsi="宋体" w:cs="宋体"/>
                <w:kern w:val="0"/>
                <w:sz w:val="20"/>
                <w:szCs w:val="20"/>
                <w:lang w:bidi="ar"/>
              </w:rPr>
              <w:t>要求颗粒饱满，大小均匀，具有产品应有的色泽，无霉变、生虫，无异物、杂质或其他感官性状异常。包装正面印有生产厂家、生产日期、保质期等字样。质量符合国家、行业相关标准。</w:t>
            </w:r>
          </w:p>
        </w:tc>
      </w:tr>
      <w:tr w14:paraId="1FC40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75" w:type="dxa"/>
            <w:vMerge w:val="continue"/>
            <w:vAlign w:val="center"/>
          </w:tcPr>
          <w:p w14:paraId="165CAEDF">
            <w:pPr>
              <w:spacing w:line="380" w:lineRule="exact"/>
              <w:jc w:val="center"/>
              <w:rPr>
                <w:rFonts w:ascii="宋体" w:hAnsi="宋体" w:cs="宋体"/>
                <w:szCs w:val="21"/>
              </w:rPr>
            </w:pPr>
          </w:p>
        </w:tc>
        <w:tc>
          <w:tcPr>
            <w:tcW w:w="593" w:type="dxa"/>
            <w:tcMar>
              <w:top w:w="0" w:type="dxa"/>
              <w:left w:w="0" w:type="dxa"/>
              <w:bottom w:w="0" w:type="dxa"/>
              <w:right w:w="0" w:type="dxa"/>
            </w:tcMar>
            <w:vAlign w:val="center"/>
          </w:tcPr>
          <w:p w14:paraId="7CAD55C2">
            <w:pPr>
              <w:widowControl/>
              <w:jc w:val="center"/>
              <w:textAlignment w:val="center"/>
              <w:rPr>
                <w:rFonts w:ascii="宋体" w:hAnsi="宋体" w:cs="宋体"/>
                <w:szCs w:val="21"/>
              </w:rPr>
            </w:pPr>
            <w:r>
              <w:rPr>
                <w:rFonts w:hint="eastAsia" w:ascii="宋体" w:hAnsi="宋体" w:cs="宋体"/>
                <w:kern w:val="0"/>
                <w:sz w:val="20"/>
                <w:szCs w:val="20"/>
                <w:lang w:bidi="ar"/>
              </w:rPr>
              <w:t>13</w:t>
            </w:r>
          </w:p>
        </w:tc>
        <w:tc>
          <w:tcPr>
            <w:tcW w:w="965" w:type="dxa"/>
            <w:vAlign w:val="center"/>
          </w:tcPr>
          <w:p w14:paraId="20BFEEE3">
            <w:pPr>
              <w:widowControl/>
              <w:jc w:val="center"/>
              <w:textAlignment w:val="center"/>
              <w:rPr>
                <w:rFonts w:ascii="宋体" w:hAnsi="宋体" w:cs="宋体"/>
                <w:szCs w:val="21"/>
              </w:rPr>
            </w:pPr>
            <w:r>
              <w:rPr>
                <w:rFonts w:hint="eastAsia" w:ascii="宋体" w:hAnsi="宋体" w:cs="宋体"/>
                <w:kern w:val="0"/>
                <w:sz w:val="20"/>
                <w:szCs w:val="20"/>
                <w:lang w:bidi="ar"/>
              </w:rPr>
              <w:t>鸡蛋</w:t>
            </w:r>
          </w:p>
        </w:tc>
        <w:tc>
          <w:tcPr>
            <w:tcW w:w="986" w:type="dxa"/>
            <w:vAlign w:val="center"/>
          </w:tcPr>
          <w:p w14:paraId="7E3C343B">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公斤</w:t>
            </w:r>
          </w:p>
        </w:tc>
        <w:tc>
          <w:tcPr>
            <w:tcW w:w="718" w:type="dxa"/>
            <w:vAlign w:val="center"/>
          </w:tcPr>
          <w:p w14:paraId="66ACBD5B">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65000</w:t>
            </w:r>
          </w:p>
        </w:tc>
        <w:tc>
          <w:tcPr>
            <w:tcW w:w="1354" w:type="dxa"/>
            <w:vAlign w:val="center"/>
          </w:tcPr>
          <w:p w14:paraId="0BE94B11">
            <w:pPr>
              <w:widowControl/>
              <w:jc w:val="center"/>
              <w:textAlignment w:val="center"/>
              <w:rPr>
                <w:rFonts w:ascii="宋体" w:hAnsi="宋体" w:cs="宋体"/>
                <w:szCs w:val="21"/>
              </w:rPr>
            </w:pPr>
            <w:r>
              <w:rPr>
                <w:rFonts w:hint="eastAsia" w:ascii="宋体" w:hAnsi="宋体" w:cs="宋体"/>
                <w:kern w:val="0"/>
                <w:sz w:val="20"/>
                <w:szCs w:val="20"/>
                <w:lang w:bidi="ar"/>
              </w:rPr>
              <w:t xml:space="preserve">10.30 </w:t>
            </w:r>
          </w:p>
        </w:tc>
        <w:tc>
          <w:tcPr>
            <w:tcW w:w="1276" w:type="dxa"/>
            <w:vAlign w:val="center"/>
          </w:tcPr>
          <w:p w14:paraId="0FF17A16">
            <w:pPr>
              <w:widowControl/>
              <w:jc w:val="center"/>
              <w:textAlignment w:val="center"/>
              <w:rPr>
                <w:rFonts w:ascii="宋体" w:hAnsi="宋体" w:cs="宋体"/>
                <w:szCs w:val="21"/>
              </w:rPr>
            </w:pPr>
            <w:r>
              <w:rPr>
                <w:rFonts w:hint="eastAsia" w:ascii="宋体" w:hAnsi="宋体" w:cs="宋体"/>
                <w:kern w:val="0"/>
                <w:sz w:val="20"/>
                <w:szCs w:val="20"/>
                <w:lang w:bidi="ar"/>
              </w:rPr>
              <w:t xml:space="preserve">669500 </w:t>
            </w:r>
          </w:p>
        </w:tc>
        <w:tc>
          <w:tcPr>
            <w:tcW w:w="3286" w:type="dxa"/>
            <w:vAlign w:val="center"/>
          </w:tcPr>
          <w:p w14:paraId="3DE5463B">
            <w:pPr>
              <w:widowControl/>
              <w:jc w:val="left"/>
              <w:textAlignment w:val="center"/>
              <w:rPr>
                <w:rFonts w:ascii="宋体" w:hAnsi="宋体" w:cs="宋体"/>
                <w:szCs w:val="21"/>
              </w:rPr>
            </w:pPr>
            <w:r>
              <w:rPr>
                <w:rFonts w:hint="eastAsia" w:ascii="宋体" w:hAnsi="宋体" w:cs="宋体"/>
                <w:kern w:val="0"/>
                <w:sz w:val="20"/>
                <w:szCs w:val="20"/>
                <w:lang w:bidi="ar"/>
              </w:rPr>
              <w:t>鸡蛋为鲜鸡蛋，蛋壳坚固无裂纹及硌窝。包装正面印有生产厂家、生产日期、保质期等字样。质量符合国家、行业相关标准。</w:t>
            </w:r>
          </w:p>
        </w:tc>
      </w:tr>
      <w:tr w14:paraId="1E7CC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75" w:type="dxa"/>
            <w:vMerge w:val="continue"/>
            <w:vAlign w:val="center"/>
          </w:tcPr>
          <w:p w14:paraId="3F4D107E">
            <w:pPr>
              <w:spacing w:line="380" w:lineRule="exact"/>
              <w:jc w:val="center"/>
              <w:rPr>
                <w:rFonts w:ascii="宋体" w:hAnsi="宋体" w:cs="宋体"/>
                <w:szCs w:val="21"/>
              </w:rPr>
            </w:pPr>
          </w:p>
        </w:tc>
        <w:tc>
          <w:tcPr>
            <w:tcW w:w="593" w:type="dxa"/>
            <w:tcMar>
              <w:top w:w="0" w:type="dxa"/>
              <w:left w:w="0" w:type="dxa"/>
              <w:bottom w:w="0" w:type="dxa"/>
              <w:right w:w="0" w:type="dxa"/>
            </w:tcMar>
            <w:vAlign w:val="center"/>
          </w:tcPr>
          <w:p w14:paraId="0A7E9488">
            <w:pPr>
              <w:widowControl/>
              <w:jc w:val="center"/>
              <w:textAlignment w:val="center"/>
              <w:rPr>
                <w:rFonts w:ascii="宋体" w:hAnsi="宋体" w:cs="宋体"/>
                <w:szCs w:val="21"/>
              </w:rPr>
            </w:pPr>
            <w:r>
              <w:rPr>
                <w:rFonts w:hint="eastAsia" w:ascii="宋体" w:hAnsi="宋体" w:cs="宋体"/>
                <w:kern w:val="0"/>
                <w:sz w:val="20"/>
                <w:szCs w:val="20"/>
                <w:lang w:bidi="ar"/>
              </w:rPr>
              <w:t>14</w:t>
            </w:r>
          </w:p>
        </w:tc>
        <w:tc>
          <w:tcPr>
            <w:tcW w:w="965" w:type="dxa"/>
            <w:vAlign w:val="center"/>
          </w:tcPr>
          <w:p w14:paraId="3514E851">
            <w:pPr>
              <w:widowControl/>
              <w:jc w:val="center"/>
              <w:textAlignment w:val="center"/>
              <w:rPr>
                <w:rFonts w:ascii="宋体" w:hAnsi="宋体" w:cs="宋体"/>
                <w:szCs w:val="21"/>
              </w:rPr>
            </w:pPr>
            <w:r>
              <w:rPr>
                <w:rFonts w:hint="eastAsia" w:ascii="宋体" w:hAnsi="宋体" w:cs="宋体"/>
                <w:kern w:val="0"/>
                <w:sz w:val="20"/>
                <w:szCs w:val="20"/>
                <w:lang w:bidi="ar"/>
              </w:rPr>
              <w:t>面粉</w:t>
            </w:r>
          </w:p>
        </w:tc>
        <w:tc>
          <w:tcPr>
            <w:tcW w:w="986" w:type="dxa"/>
            <w:vAlign w:val="center"/>
          </w:tcPr>
          <w:p w14:paraId="7E214D21">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公斤</w:t>
            </w:r>
          </w:p>
        </w:tc>
        <w:tc>
          <w:tcPr>
            <w:tcW w:w="718" w:type="dxa"/>
            <w:vAlign w:val="center"/>
          </w:tcPr>
          <w:p w14:paraId="5E98E5CB">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38000</w:t>
            </w:r>
          </w:p>
        </w:tc>
        <w:tc>
          <w:tcPr>
            <w:tcW w:w="1354" w:type="dxa"/>
            <w:vAlign w:val="center"/>
          </w:tcPr>
          <w:p w14:paraId="2AB491DC">
            <w:pPr>
              <w:widowControl/>
              <w:jc w:val="center"/>
              <w:textAlignment w:val="center"/>
              <w:rPr>
                <w:rFonts w:ascii="宋体" w:hAnsi="宋体" w:cs="宋体"/>
                <w:szCs w:val="21"/>
              </w:rPr>
            </w:pPr>
            <w:r>
              <w:rPr>
                <w:rFonts w:hint="eastAsia" w:ascii="宋体" w:hAnsi="宋体" w:cs="宋体"/>
                <w:kern w:val="0"/>
                <w:sz w:val="20"/>
                <w:szCs w:val="20"/>
                <w:lang w:bidi="ar"/>
              </w:rPr>
              <w:t xml:space="preserve">4.10 </w:t>
            </w:r>
          </w:p>
        </w:tc>
        <w:tc>
          <w:tcPr>
            <w:tcW w:w="1276" w:type="dxa"/>
            <w:vAlign w:val="center"/>
          </w:tcPr>
          <w:p w14:paraId="6C4C7B16">
            <w:pPr>
              <w:widowControl/>
              <w:jc w:val="center"/>
              <w:textAlignment w:val="center"/>
              <w:rPr>
                <w:rFonts w:ascii="宋体" w:hAnsi="宋体" w:cs="宋体"/>
                <w:szCs w:val="21"/>
              </w:rPr>
            </w:pPr>
            <w:r>
              <w:rPr>
                <w:rFonts w:hint="eastAsia" w:ascii="宋体" w:hAnsi="宋体" w:cs="宋体"/>
                <w:kern w:val="0"/>
                <w:sz w:val="20"/>
                <w:szCs w:val="20"/>
                <w:lang w:bidi="ar"/>
              </w:rPr>
              <w:t xml:space="preserve">155800 </w:t>
            </w:r>
          </w:p>
        </w:tc>
        <w:tc>
          <w:tcPr>
            <w:tcW w:w="3286" w:type="dxa"/>
            <w:vAlign w:val="center"/>
          </w:tcPr>
          <w:p w14:paraId="4D1AF6D9">
            <w:pPr>
              <w:widowControl/>
              <w:jc w:val="left"/>
              <w:textAlignment w:val="center"/>
              <w:rPr>
                <w:rFonts w:ascii="宋体" w:hAnsi="宋体" w:cs="宋体"/>
                <w:szCs w:val="21"/>
              </w:rPr>
            </w:pPr>
            <w:r>
              <w:rPr>
                <w:rFonts w:hint="eastAsia" w:ascii="宋体" w:hAnsi="宋体" w:cs="宋体"/>
                <w:kern w:val="0"/>
                <w:sz w:val="20"/>
                <w:szCs w:val="20"/>
                <w:lang w:bidi="ar"/>
              </w:rPr>
              <w:t>外观粗细均匀，无异味，无异源，具有产品应有的色泽、状态，无潮解，无正常视力可见外来物。包装正面印有生产厂家、生产日期、保质期等字样。质量符合国家行业相关标准。</w:t>
            </w:r>
          </w:p>
        </w:tc>
      </w:tr>
      <w:tr w14:paraId="4FDAF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75" w:type="dxa"/>
            <w:vMerge w:val="continue"/>
            <w:vAlign w:val="center"/>
          </w:tcPr>
          <w:p w14:paraId="33D49358">
            <w:pPr>
              <w:spacing w:line="380" w:lineRule="exact"/>
              <w:jc w:val="center"/>
              <w:rPr>
                <w:rFonts w:ascii="宋体" w:hAnsi="宋体" w:cs="宋体"/>
                <w:szCs w:val="21"/>
              </w:rPr>
            </w:pPr>
          </w:p>
        </w:tc>
        <w:tc>
          <w:tcPr>
            <w:tcW w:w="593" w:type="dxa"/>
            <w:tcMar>
              <w:top w:w="0" w:type="dxa"/>
              <w:left w:w="0" w:type="dxa"/>
              <w:bottom w:w="0" w:type="dxa"/>
              <w:right w:w="0" w:type="dxa"/>
            </w:tcMar>
            <w:vAlign w:val="center"/>
          </w:tcPr>
          <w:p w14:paraId="7D2571B4">
            <w:pPr>
              <w:widowControl/>
              <w:jc w:val="center"/>
              <w:textAlignment w:val="center"/>
              <w:rPr>
                <w:rFonts w:ascii="宋体" w:hAnsi="宋体" w:cs="宋体"/>
                <w:szCs w:val="21"/>
              </w:rPr>
            </w:pPr>
            <w:r>
              <w:rPr>
                <w:rFonts w:hint="eastAsia" w:ascii="宋体" w:hAnsi="宋体" w:cs="宋体"/>
                <w:kern w:val="0"/>
                <w:sz w:val="20"/>
                <w:szCs w:val="20"/>
                <w:lang w:bidi="ar"/>
              </w:rPr>
              <w:t>15</w:t>
            </w:r>
          </w:p>
        </w:tc>
        <w:tc>
          <w:tcPr>
            <w:tcW w:w="965" w:type="dxa"/>
            <w:vAlign w:val="center"/>
          </w:tcPr>
          <w:p w14:paraId="20880552">
            <w:pPr>
              <w:widowControl/>
              <w:jc w:val="center"/>
              <w:textAlignment w:val="center"/>
              <w:rPr>
                <w:rFonts w:ascii="宋体" w:hAnsi="宋体" w:cs="宋体"/>
                <w:szCs w:val="21"/>
              </w:rPr>
            </w:pPr>
            <w:r>
              <w:rPr>
                <w:rFonts w:hint="eastAsia" w:ascii="宋体" w:hAnsi="宋体" w:cs="宋体"/>
                <w:kern w:val="0"/>
                <w:sz w:val="20"/>
                <w:szCs w:val="20"/>
                <w:lang w:bidi="ar"/>
              </w:rPr>
              <w:t>沙姜</w:t>
            </w:r>
          </w:p>
        </w:tc>
        <w:tc>
          <w:tcPr>
            <w:tcW w:w="986" w:type="dxa"/>
            <w:vAlign w:val="center"/>
          </w:tcPr>
          <w:p w14:paraId="1D40E93E">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公斤</w:t>
            </w:r>
          </w:p>
        </w:tc>
        <w:tc>
          <w:tcPr>
            <w:tcW w:w="718" w:type="dxa"/>
            <w:vAlign w:val="center"/>
          </w:tcPr>
          <w:p w14:paraId="5E40A9D1">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100</w:t>
            </w:r>
          </w:p>
        </w:tc>
        <w:tc>
          <w:tcPr>
            <w:tcW w:w="1354" w:type="dxa"/>
            <w:vAlign w:val="center"/>
          </w:tcPr>
          <w:p w14:paraId="71BF9CE7">
            <w:pPr>
              <w:widowControl/>
              <w:jc w:val="center"/>
              <w:textAlignment w:val="center"/>
              <w:rPr>
                <w:rFonts w:ascii="宋体" w:hAnsi="宋体" w:cs="宋体"/>
                <w:szCs w:val="21"/>
              </w:rPr>
            </w:pPr>
            <w:r>
              <w:rPr>
                <w:rFonts w:hint="eastAsia" w:ascii="宋体" w:hAnsi="宋体" w:cs="宋体"/>
                <w:kern w:val="0"/>
                <w:sz w:val="20"/>
                <w:szCs w:val="20"/>
                <w:lang w:bidi="ar"/>
              </w:rPr>
              <w:t xml:space="preserve">40.00 </w:t>
            </w:r>
          </w:p>
        </w:tc>
        <w:tc>
          <w:tcPr>
            <w:tcW w:w="1276" w:type="dxa"/>
            <w:vAlign w:val="center"/>
          </w:tcPr>
          <w:p w14:paraId="5EF32BEC">
            <w:pPr>
              <w:widowControl/>
              <w:jc w:val="center"/>
              <w:textAlignment w:val="center"/>
              <w:rPr>
                <w:rFonts w:ascii="宋体" w:hAnsi="宋体" w:cs="宋体"/>
                <w:szCs w:val="21"/>
              </w:rPr>
            </w:pPr>
            <w:r>
              <w:rPr>
                <w:rFonts w:hint="eastAsia" w:ascii="宋体" w:hAnsi="宋体" w:cs="宋体"/>
                <w:kern w:val="0"/>
                <w:sz w:val="20"/>
                <w:szCs w:val="20"/>
                <w:lang w:bidi="ar"/>
              </w:rPr>
              <w:t xml:space="preserve">4000 </w:t>
            </w:r>
          </w:p>
        </w:tc>
        <w:tc>
          <w:tcPr>
            <w:tcW w:w="3286" w:type="dxa"/>
            <w:vAlign w:val="center"/>
          </w:tcPr>
          <w:p w14:paraId="31E8ED0E">
            <w:pPr>
              <w:widowControl/>
              <w:jc w:val="left"/>
              <w:textAlignment w:val="center"/>
              <w:rPr>
                <w:rFonts w:ascii="宋体" w:hAnsi="宋体" w:cs="宋体"/>
                <w:szCs w:val="21"/>
              </w:rPr>
            </w:pPr>
            <w:r>
              <w:rPr>
                <w:rFonts w:hint="eastAsia" w:ascii="宋体" w:hAnsi="宋体" w:cs="宋体"/>
                <w:kern w:val="0"/>
                <w:sz w:val="20"/>
                <w:szCs w:val="20"/>
                <w:lang w:bidi="ar"/>
              </w:rPr>
              <w:t>干品沙姜，无虫蛀、霉变，无硫化。质量符合国家行业相关标准。</w:t>
            </w:r>
          </w:p>
        </w:tc>
      </w:tr>
      <w:tr w14:paraId="45452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75" w:type="dxa"/>
            <w:vMerge w:val="continue"/>
            <w:vAlign w:val="center"/>
          </w:tcPr>
          <w:p w14:paraId="1D40A47E">
            <w:pPr>
              <w:spacing w:line="380" w:lineRule="exact"/>
              <w:jc w:val="center"/>
              <w:rPr>
                <w:rFonts w:ascii="宋体" w:hAnsi="宋体" w:cs="宋体"/>
                <w:szCs w:val="21"/>
              </w:rPr>
            </w:pPr>
          </w:p>
        </w:tc>
        <w:tc>
          <w:tcPr>
            <w:tcW w:w="593" w:type="dxa"/>
            <w:tcMar>
              <w:top w:w="0" w:type="dxa"/>
              <w:left w:w="0" w:type="dxa"/>
              <w:bottom w:w="0" w:type="dxa"/>
              <w:right w:w="0" w:type="dxa"/>
            </w:tcMar>
            <w:vAlign w:val="center"/>
          </w:tcPr>
          <w:p w14:paraId="53F3414D">
            <w:pPr>
              <w:widowControl/>
              <w:jc w:val="center"/>
              <w:textAlignment w:val="center"/>
              <w:rPr>
                <w:rFonts w:ascii="宋体" w:hAnsi="宋体" w:cs="宋体"/>
                <w:szCs w:val="21"/>
              </w:rPr>
            </w:pPr>
            <w:r>
              <w:rPr>
                <w:rFonts w:hint="eastAsia" w:ascii="宋体" w:hAnsi="宋体" w:cs="宋体"/>
                <w:kern w:val="0"/>
                <w:sz w:val="20"/>
                <w:szCs w:val="20"/>
                <w:lang w:bidi="ar"/>
              </w:rPr>
              <w:t>16</w:t>
            </w:r>
          </w:p>
        </w:tc>
        <w:tc>
          <w:tcPr>
            <w:tcW w:w="965" w:type="dxa"/>
            <w:vAlign w:val="center"/>
          </w:tcPr>
          <w:p w14:paraId="361D0469">
            <w:pPr>
              <w:widowControl/>
              <w:jc w:val="center"/>
              <w:textAlignment w:val="center"/>
              <w:rPr>
                <w:rFonts w:ascii="宋体" w:hAnsi="宋体" w:cs="宋体"/>
                <w:szCs w:val="21"/>
              </w:rPr>
            </w:pPr>
            <w:r>
              <w:rPr>
                <w:rFonts w:hint="eastAsia" w:ascii="宋体" w:hAnsi="宋体" w:cs="宋体"/>
                <w:kern w:val="0"/>
                <w:sz w:val="20"/>
                <w:szCs w:val="20"/>
                <w:lang w:bidi="ar"/>
              </w:rPr>
              <w:t>八角</w:t>
            </w:r>
          </w:p>
        </w:tc>
        <w:tc>
          <w:tcPr>
            <w:tcW w:w="986" w:type="dxa"/>
            <w:vAlign w:val="center"/>
          </w:tcPr>
          <w:p w14:paraId="123EF708">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公斤</w:t>
            </w:r>
          </w:p>
        </w:tc>
        <w:tc>
          <w:tcPr>
            <w:tcW w:w="718" w:type="dxa"/>
            <w:vAlign w:val="center"/>
          </w:tcPr>
          <w:p w14:paraId="14979AF1">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50</w:t>
            </w:r>
          </w:p>
        </w:tc>
        <w:tc>
          <w:tcPr>
            <w:tcW w:w="1354" w:type="dxa"/>
            <w:vAlign w:val="center"/>
          </w:tcPr>
          <w:p w14:paraId="171FC966">
            <w:pPr>
              <w:widowControl/>
              <w:jc w:val="center"/>
              <w:textAlignment w:val="center"/>
              <w:rPr>
                <w:rFonts w:ascii="宋体" w:hAnsi="宋体" w:cs="宋体"/>
                <w:szCs w:val="21"/>
              </w:rPr>
            </w:pPr>
            <w:r>
              <w:rPr>
                <w:rFonts w:hint="eastAsia" w:ascii="宋体" w:hAnsi="宋体" w:cs="宋体"/>
                <w:kern w:val="0"/>
                <w:sz w:val="20"/>
                <w:szCs w:val="20"/>
                <w:lang w:bidi="ar"/>
              </w:rPr>
              <w:t xml:space="preserve">57.70 </w:t>
            </w:r>
          </w:p>
        </w:tc>
        <w:tc>
          <w:tcPr>
            <w:tcW w:w="1276" w:type="dxa"/>
            <w:vAlign w:val="center"/>
          </w:tcPr>
          <w:p w14:paraId="397E0A39">
            <w:pPr>
              <w:widowControl/>
              <w:jc w:val="center"/>
              <w:textAlignment w:val="center"/>
              <w:rPr>
                <w:rFonts w:ascii="宋体" w:hAnsi="宋体" w:cs="宋体"/>
                <w:szCs w:val="21"/>
              </w:rPr>
            </w:pPr>
            <w:r>
              <w:rPr>
                <w:rFonts w:hint="eastAsia" w:ascii="宋体" w:hAnsi="宋体" w:cs="宋体"/>
                <w:kern w:val="0"/>
                <w:sz w:val="20"/>
                <w:szCs w:val="20"/>
                <w:lang w:bidi="ar"/>
              </w:rPr>
              <w:t xml:space="preserve">2885 </w:t>
            </w:r>
          </w:p>
        </w:tc>
        <w:tc>
          <w:tcPr>
            <w:tcW w:w="3286" w:type="dxa"/>
            <w:vAlign w:val="center"/>
          </w:tcPr>
          <w:p w14:paraId="335B0114">
            <w:pPr>
              <w:widowControl/>
              <w:jc w:val="left"/>
              <w:textAlignment w:val="center"/>
              <w:rPr>
                <w:rFonts w:ascii="宋体" w:hAnsi="宋体" w:cs="宋体"/>
                <w:szCs w:val="21"/>
              </w:rPr>
            </w:pPr>
            <w:r>
              <w:rPr>
                <w:rFonts w:hint="eastAsia" w:ascii="宋体" w:hAnsi="宋体" w:cs="宋体"/>
                <w:kern w:val="0"/>
                <w:sz w:val="20"/>
                <w:szCs w:val="20"/>
                <w:lang w:bidi="ar"/>
              </w:rPr>
              <w:t>干品八角，无虫蛀、霉变，无硫化。质量符合国家行业相关标准。</w:t>
            </w:r>
          </w:p>
        </w:tc>
      </w:tr>
      <w:tr w14:paraId="6C2B2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75" w:type="dxa"/>
            <w:vMerge w:val="continue"/>
            <w:vAlign w:val="center"/>
          </w:tcPr>
          <w:p w14:paraId="0881DAC8">
            <w:pPr>
              <w:spacing w:line="380" w:lineRule="exact"/>
              <w:jc w:val="center"/>
              <w:rPr>
                <w:rFonts w:ascii="宋体" w:hAnsi="宋体" w:cs="宋体"/>
                <w:szCs w:val="21"/>
              </w:rPr>
            </w:pPr>
          </w:p>
        </w:tc>
        <w:tc>
          <w:tcPr>
            <w:tcW w:w="593" w:type="dxa"/>
            <w:tcMar>
              <w:top w:w="0" w:type="dxa"/>
              <w:left w:w="0" w:type="dxa"/>
              <w:bottom w:w="0" w:type="dxa"/>
              <w:right w:w="0" w:type="dxa"/>
            </w:tcMar>
            <w:vAlign w:val="center"/>
          </w:tcPr>
          <w:p w14:paraId="78B2DD88">
            <w:pPr>
              <w:widowControl/>
              <w:jc w:val="center"/>
              <w:textAlignment w:val="center"/>
              <w:rPr>
                <w:rFonts w:ascii="宋体" w:hAnsi="宋体" w:cs="宋体"/>
                <w:szCs w:val="21"/>
              </w:rPr>
            </w:pPr>
            <w:r>
              <w:rPr>
                <w:rFonts w:hint="eastAsia" w:ascii="宋体" w:hAnsi="宋体" w:cs="宋体"/>
                <w:kern w:val="0"/>
                <w:sz w:val="20"/>
                <w:szCs w:val="20"/>
                <w:lang w:bidi="ar"/>
              </w:rPr>
              <w:t>17</w:t>
            </w:r>
          </w:p>
        </w:tc>
        <w:tc>
          <w:tcPr>
            <w:tcW w:w="965" w:type="dxa"/>
            <w:vAlign w:val="center"/>
          </w:tcPr>
          <w:p w14:paraId="00E99110">
            <w:pPr>
              <w:widowControl/>
              <w:jc w:val="center"/>
              <w:textAlignment w:val="center"/>
              <w:rPr>
                <w:rFonts w:ascii="宋体" w:hAnsi="宋体" w:cs="宋体"/>
                <w:szCs w:val="21"/>
              </w:rPr>
            </w:pPr>
            <w:r>
              <w:rPr>
                <w:rFonts w:hint="eastAsia" w:ascii="宋体" w:hAnsi="宋体" w:cs="宋体"/>
                <w:kern w:val="0"/>
                <w:sz w:val="20"/>
                <w:szCs w:val="20"/>
                <w:lang w:bidi="ar"/>
              </w:rPr>
              <w:t>桂皮</w:t>
            </w:r>
          </w:p>
        </w:tc>
        <w:tc>
          <w:tcPr>
            <w:tcW w:w="986" w:type="dxa"/>
            <w:vAlign w:val="center"/>
          </w:tcPr>
          <w:p w14:paraId="1B6EC099">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公斤</w:t>
            </w:r>
          </w:p>
        </w:tc>
        <w:tc>
          <w:tcPr>
            <w:tcW w:w="718" w:type="dxa"/>
            <w:vAlign w:val="center"/>
          </w:tcPr>
          <w:p w14:paraId="02DF6063">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50</w:t>
            </w:r>
          </w:p>
        </w:tc>
        <w:tc>
          <w:tcPr>
            <w:tcW w:w="1354" w:type="dxa"/>
            <w:vAlign w:val="center"/>
          </w:tcPr>
          <w:p w14:paraId="4E817AC9">
            <w:pPr>
              <w:widowControl/>
              <w:jc w:val="center"/>
              <w:textAlignment w:val="center"/>
              <w:rPr>
                <w:rFonts w:ascii="宋体" w:hAnsi="宋体" w:cs="宋体"/>
                <w:szCs w:val="21"/>
              </w:rPr>
            </w:pPr>
            <w:r>
              <w:rPr>
                <w:rFonts w:hint="eastAsia" w:ascii="宋体" w:hAnsi="宋体" w:cs="宋体"/>
                <w:kern w:val="0"/>
                <w:sz w:val="20"/>
                <w:szCs w:val="20"/>
                <w:lang w:bidi="ar"/>
              </w:rPr>
              <w:t xml:space="preserve">48.60 </w:t>
            </w:r>
          </w:p>
        </w:tc>
        <w:tc>
          <w:tcPr>
            <w:tcW w:w="1276" w:type="dxa"/>
            <w:vAlign w:val="center"/>
          </w:tcPr>
          <w:p w14:paraId="585057C9">
            <w:pPr>
              <w:widowControl/>
              <w:jc w:val="center"/>
              <w:textAlignment w:val="center"/>
              <w:rPr>
                <w:rFonts w:ascii="宋体" w:hAnsi="宋体" w:cs="宋体"/>
                <w:szCs w:val="21"/>
              </w:rPr>
            </w:pPr>
            <w:r>
              <w:rPr>
                <w:rFonts w:hint="eastAsia" w:ascii="宋体" w:hAnsi="宋体" w:cs="宋体"/>
                <w:kern w:val="0"/>
                <w:sz w:val="20"/>
                <w:szCs w:val="20"/>
                <w:lang w:bidi="ar"/>
              </w:rPr>
              <w:t xml:space="preserve">2430 </w:t>
            </w:r>
          </w:p>
        </w:tc>
        <w:tc>
          <w:tcPr>
            <w:tcW w:w="3286" w:type="dxa"/>
            <w:vAlign w:val="center"/>
          </w:tcPr>
          <w:p w14:paraId="1D449C41">
            <w:pPr>
              <w:widowControl/>
              <w:jc w:val="left"/>
              <w:textAlignment w:val="center"/>
              <w:rPr>
                <w:rFonts w:ascii="宋体" w:hAnsi="宋体" w:cs="宋体"/>
                <w:szCs w:val="21"/>
              </w:rPr>
            </w:pPr>
            <w:r>
              <w:rPr>
                <w:rFonts w:hint="eastAsia" w:ascii="宋体" w:hAnsi="宋体" w:cs="宋体"/>
                <w:kern w:val="0"/>
                <w:sz w:val="20"/>
                <w:szCs w:val="20"/>
                <w:lang w:bidi="ar"/>
              </w:rPr>
              <w:t>干品桂皮，无虫蛀、霉变，无硫化。质量符合国家行业相关标准。</w:t>
            </w:r>
          </w:p>
        </w:tc>
      </w:tr>
      <w:tr w14:paraId="76446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75" w:type="dxa"/>
            <w:vMerge w:val="continue"/>
            <w:vAlign w:val="center"/>
          </w:tcPr>
          <w:p w14:paraId="4DC8645D">
            <w:pPr>
              <w:spacing w:line="380" w:lineRule="exact"/>
              <w:jc w:val="center"/>
              <w:rPr>
                <w:rFonts w:ascii="宋体" w:hAnsi="宋体" w:cs="宋体"/>
                <w:szCs w:val="21"/>
              </w:rPr>
            </w:pPr>
          </w:p>
        </w:tc>
        <w:tc>
          <w:tcPr>
            <w:tcW w:w="593" w:type="dxa"/>
            <w:tcMar>
              <w:top w:w="0" w:type="dxa"/>
              <w:left w:w="0" w:type="dxa"/>
              <w:bottom w:w="0" w:type="dxa"/>
              <w:right w:w="0" w:type="dxa"/>
            </w:tcMar>
            <w:vAlign w:val="center"/>
          </w:tcPr>
          <w:p w14:paraId="1BBF15AF">
            <w:pPr>
              <w:widowControl/>
              <w:jc w:val="center"/>
              <w:textAlignment w:val="center"/>
              <w:rPr>
                <w:rFonts w:ascii="宋体" w:hAnsi="宋体" w:cs="宋体"/>
                <w:szCs w:val="21"/>
              </w:rPr>
            </w:pPr>
            <w:r>
              <w:rPr>
                <w:rFonts w:hint="eastAsia" w:ascii="宋体" w:hAnsi="宋体" w:cs="宋体"/>
                <w:kern w:val="0"/>
                <w:sz w:val="20"/>
                <w:szCs w:val="20"/>
                <w:lang w:bidi="ar"/>
              </w:rPr>
              <w:t>18</w:t>
            </w:r>
          </w:p>
        </w:tc>
        <w:tc>
          <w:tcPr>
            <w:tcW w:w="965" w:type="dxa"/>
            <w:vAlign w:val="center"/>
          </w:tcPr>
          <w:p w14:paraId="0CAFA282">
            <w:pPr>
              <w:widowControl/>
              <w:jc w:val="center"/>
              <w:textAlignment w:val="center"/>
              <w:rPr>
                <w:rFonts w:ascii="宋体" w:hAnsi="宋体" w:cs="宋体"/>
                <w:szCs w:val="21"/>
              </w:rPr>
            </w:pPr>
            <w:r>
              <w:rPr>
                <w:rFonts w:hint="eastAsia" w:ascii="宋体" w:hAnsi="宋体" w:cs="宋体"/>
                <w:kern w:val="0"/>
                <w:sz w:val="20"/>
                <w:szCs w:val="20"/>
                <w:lang w:bidi="ar"/>
              </w:rPr>
              <w:t>干辣椒</w:t>
            </w:r>
          </w:p>
        </w:tc>
        <w:tc>
          <w:tcPr>
            <w:tcW w:w="986" w:type="dxa"/>
            <w:vAlign w:val="center"/>
          </w:tcPr>
          <w:p w14:paraId="48FA1717">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公斤</w:t>
            </w:r>
          </w:p>
        </w:tc>
        <w:tc>
          <w:tcPr>
            <w:tcW w:w="718" w:type="dxa"/>
            <w:vAlign w:val="center"/>
          </w:tcPr>
          <w:p w14:paraId="3D549A3B">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50</w:t>
            </w:r>
          </w:p>
        </w:tc>
        <w:tc>
          <w:tcPr>
            <w:tcW w:w="1354" w:type="dxa"/>
            <w:vAlign w:val="center"/>
          </w:tcPr>
          <w:p w14:paraId="71ADB135">
            <w:pPr>
              <w:widowControl/>
              <w:jc w:val="center"/>
              <w:textAlignment w:val="center"/>
              <w:rPr>
                <w:rFonts w:ascii="宋体" w:hAnsi="宋体" w:cs="宋体"/>
                <w:szCs w:val="21"/>
              </w:rPr>
            </w:pPr>
            <w:r>
              <w:rPr>
                <w:rFonts w:hint="eastAsia" w:ascii="宋体" w:hAnsi="宋体" w:cs="宋体"/>
                <w:kern w:val="0"/>
                <w:sz w:val="20"/>
                <w:szCs w:val="20"/>
                <w:lang w:bidi="ar"/>
              </w:rPr>
              <w:t xml:space="preserve">48.70 </w:t>
            </w:r>
          </w:p>
        </w:tc>
        <w:tc>
          <w:tcPr>
            <w:tcW w:w="1276" w:type="dxa"/>
            <w:vAlign w:val="center"/>
          </w:tcPr>
          <w:p w14:paraId="2F742E0C">
            <w:pPr>
              <w:widowControl/>
              <w:jc w:val="center"/>
              <w:textAlignment w:val="center"/>
              <w:rPr>
                <w:rFonts w:ascii="宋体" w:hAnsi="宋体" w:cs="宋体"/>
                <w:szCs w:val="21"/>
              </w:rPr>
            </w:pPr>
            <w:r>
              <w:rPr>
                <w:rFonts w:hint="eastAsia" w:ascii="宋体" w:hAnsi="宋体" w:cs="宋体"/>
                <w:kern w:val="0"/>
                <w:sz w:val="20"/>
                <w:szCs w:val="20"/>
                <w:lang w:bidi="ar"/>
              </w:rPr>
              <w:t xml:space="preserve">2435 </w:t>
            </w:r>
          </w:p>
        </w:tc>
        <w:tc>
          <w:tcPr>
            <w:tcW w:w="3286" w:type="dxa"/>
            <w:vAlign w:val="center"/>
          </w:tcPr>
          <w:p w14:paraId="17175C80">
            <w:pPr>
              <w:widowControl/>
              <w:jc w:val="left"/>
              <w:textAlignment w:val="center"/>
              <w:rPr>
                <w:rFonts w:ascii="宋体" w:hAnsi="宋体" w:cs="宋体"/>
                <w:szCs w:val="21"/>
              </w:rPr>
            </w:pPr>
            <w:r>
              <w:rPr>
                <w:rFonts w:hint="eastAsia" w:ascii="宋体" w:hAnsi="宋体" w:cs="宋体"/>
                <w:kern w:val="0"/>
                <w:sz w:val="20"/>
                <w:szCs w:val="20"/>
                <w:lang w:bidi="ar"/>
              </w:rPr>
              <w:t>鲜辣椒经晒干或烘干，色泽鲜红或深红色，有光泽，有辣椒特有香气，无不良气味，辣度适中，无腐烂变质。质量符合国家、行业相关标准。</w:t>
            </w:r>
          </w:p>
        </w:tc>
      </w:tr>
      <w:tr w14:paraId="1CE19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75" w:type="dxa"/>
            <w:vMerge w:val="continue"/>
            <w:vAlign w:val="center"/>
          </w:tcPr>
          <w:p w14:paraId="38643F7B">
            <w:pPr>
              <w:spacing w:line="380" w:lineRule="exact"/>
              <w:jc w:val="center"/>
              <w:rPr>
                <w:rFonts w:ascii="宋体" w:hAnsi="宋体" w:cs="宋体"/>
                <w:szCs w:val="21"/>
              </w:rPr>
            </w:pPr>
          </w:p>
        </w:tc>
        <w:tc>
          <w:tcPr>
            <w:tcW w:w="593" w:type="dxa"/>
            <w:tcMar>
              <w:top w:w="0" w:type="dxa"/>
              <w:left w:w="0" w:type="dxa"/>
              <w:bottom w:w="0" w:type="dxa"/>
              <w:right w:w="0" w:type="dxa"/>
            </w:tcMar>
            <w:vAlign w:val="center"/>
          </w:tcPr>
          <w:p w14:paraId="78E4217B">
            <w:pPr>
              <w:widowControl/>
              <w:jc w:val="center"/>
              <w:textAlignment w:val="center"/>
              <w:rPr>
                <w:rFonts w:ascii="宋体" w:hAnsi="宋体" w:cs="宋体"/>
                <w:szCs w:val="21"/>
              </w:rPr>
            </w:pPr>
            <w:r>
              <w:rPr>
                <w:rFonts w:hint="eastAsia" w:ascii="宋体" w:hAnsi="宋体" w:cs="宋体"/>
                <w:kern w:val="0"/>
                <w:sz w:val="20"/>
                <w:szCs w:val="20"/>
                <w:lang w:bidi="ar"/>
              </w:rPr>
              <w:t>19</w:t>
            </w:r>
          </w:p>
        </w:tc>
        <w:tc>
          <w:tcPr>
            <w:tcW w:w="965" w:type="dxa"/>
            <w:vAlign w:val="center"/>
          </w:tcPr>
          <w:p w14:paraId="62E556AE">
            <w:pPr>
              <w:widowControl/>
              <w:jc w:val="center"/>
              <w:textAlignment w:val="center"/>
              <w:rPr>
                <w:rFonts w:ascii="宋体" w:hAnsi="宋体" w:cs="宋体"/>
                <w:szCs w:val="21"/>
              </w:rPr>
            </w:pPr>
            <w:r>
              <w:rPr>
                <w:rFonts w:hint="eastAsia" w:ascii="宋体" w:hAnsi="宋体" w:cs="宋体"/>
                <w:kern w:val="0"/>
                <w:sz w:val="20"/>
                <w:szCs w:val="20"/>
                <w:lang w:bidi="ar"/>
              </w:rPr>
              <w:t>黄砂糖</w:t>
            </w:r>
          </w:p>
        </w:tc>
        <w:tc>
          <w:tcPr>
            <w:tcW w:w="986" w:type="dxa"/>
            <w:vAlign w:val="center"/>
          </w:tcPr>
          <w:p w14:paraId="133B39BD">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公斤</w:t>
            </w:r>
          </w:p>
        </w:tc>
        <w:tc>
          <w:tcPr>
            <w:tcW w:w="718" w:type="dxa"/>
            <w:vAlign w:val="center"/>
          </w:tcPr>
          <w:p w14:paraId="6222CA0B">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5340</w:t>
            </w:r>
          </w:p>
        </w:tc>
        <w:tc>
          <w:tcPr>
            <w:tcW w:w="1354" w:type="dxa"/>
            <w:vAlign w:val="center"/>
          </w:tcPr>
          <w:p w14:paraId="6BAE05A6">
            <w:pPr>
              <w:widowControl/>
              <w:jc w:val="center"/>
              <w:textAlignment w:val="center"/>
              <w:rPr>
                <w:rFonts w:ascii="宋体" w:hAnsi="宋体" w:cs="宋体"/>
                <w:szCs w:val="21"/>
              </w:rPr>
            </w:pPr>
            <w:r>
              <w:rPr>
                <w:rFonts w:hint="eastAsia" w:ascii="宋体" w:hAnsi="宋体" w:cs="宋体"/>
                <w:kern w:val="0"/>
                <w:sz w:val="20"/>
                <w:szCs w:val="20"/>
                <w:lang w:bidi="ar"/>
              </w:rPr>
              <w:t xml:space="preserve">8.50 </w:t>
            </w:r>
          </w:p>
        </w:tc>
        <w:tc>
          <w:tcPr>
            <w:tcW w:w="1276" w:type="dxa"/>
            <w:vAlign w:val="center"/>
          </w:tcPr>
          <w:p w14:paraId="0E1BA29A">
            <w:pPr>
              <w:widowControl/>
              <w:jc w:val="center"/>
              <w:textAlignment w:val="center"/>
              <w:rPr>
                <w:rFonts w:ascii="宋体" w:hAnsi="宋体" w:cs="宋体"/>
                <w:szCs w:val="21"/>
              </w:rPr>
            </w:pPr>
            <w:r>
              <w:rPr>
                <w:rFonts w:hint="eastAsia" w:ascii="宋体" w:hAnsi="宋体" w:cs="宋体"/>
                <w:kern w:val="0"/>
                <w:sz w:val="20"/>
                <w:szCs w:val="20"/>
                <w:lang w:bidi="ar"/>
              </w:rPr>
              <w:t xml:space="preserve">45390 </w:t>
            </w:r>
          </w:p>
        </w:tc>
        <w:tc>
          <w:tcPr>
            <w:tcW w:w="3286" w:type="dxa"/>
            <w:vAlign w:val="center"/>
          </w:tcPr>
          <w:p w14:paraId="553993A2">
            <w:pPr>
              <w:widowControl/>
              <w:jc w:val="left"/>
              <w:textAlignment w:val="center"/>
              <w:rPr>
                <w:rFonts w:ascii="宋体" w:hAnsi="宋体" w:cs="宋体"/>
                <w:szCs w:val="21"/>
              </w:rPr>
            </w:pPr>
            <w:r>
              <w:rPr>
                <w:rFonts w:hint="eastAsia" w:ascii="宋体" w:hAnsi="宋体" w:cs="宋体"/>
                <w:kern w:val="0"/>
                <w:sz w:val="20"/>
                <w:szCs w:val="20"/>
                <w:lang w:bidi="ar"/>
              </w:rPr>
              <w:t>要求味甜，无异味，无异源，具有产品应有的色泽、状态，无潮解，无正常视力可见外来物。包装正面印有生产厂家、生产日期、保质期等字样。质量符合国家、行业相关标准。</w:t>
            </w:r>
          </w:p>
        </w:tc>
      </w:tr>
      <w:tr w14:paraId="64B80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75" w:type="dxa"/>
            <w:vMerge w:val="continue"/>
            <w:vAlign w:val="center"/>
          </w:tcPr>
          <w:p w14:paraId="1538EACB">
            <w:pPr>
              <w:spacing w:line="380" w:lineRule="exact"/>
              <w:jc w:val="center"/>
              <w:rPr>
                <w:rFonts w:ascii="宋体" w:hAnsi="宋体" w:cs="宋体"/>
                <w:szCs w:val="21"/>
              </w:rPr>
            </w:pPr>
          </w:p>
        </w:tc>
        <w:tc>
          <w:tcPr>
            <w:tcW w:w="593" w:type="dxa"/>
            <w:tcMar>
              <w:top w:w="0" w:type="dxa"/>
              <w:left w:w="0" w:type="dxa"/>
              <w:bottom w:w="0" w:type="dxa"/>
              <w:right w:w="0" w:type="dxa"/>
            </w:tcMar>
            <w:vAlign w:val="center"/>
          </w:tcPr>
          <w:p w14:paraId="43941D67">
            <w:pPr>
              <w:widowControl/>
              <w:jc w:val="center"/>
              <w:textAlignment w:val="center"/>
              <w:rPr>
                <w:rFonts w:ascii="宋体" w:hAnsi="宋体" w:cs="宋体"/>
                <w:szCs w:val="21"/>
              </w:rPr>
            </w:pPr>
            <w:r>
              <w:rPr>
                <w:rFonts w:hint="eastAsia" w:ascii="宋体" w:hAnsi="宋体" w:cs="宋体"/>
                <w:kern w:val="0"/>
                <w:sz w:val="20"/>
                <w:szCs w:val="20"/>
                <w:lang w:bidi="ar"/>
              </w:rPr>
              <w:t>20</w:t>
            </w:r>
          </w:p>
        </w:tc>
        <w:tc>
          <w:tcPr>
            <w:tcW w:w="965" w:type="dxa"/>
            <w:vAlign w:val="center"/>
          </w:tcPr>
          <w:p w14:paraId="2438BFFA">
            <w:pPr>
              <w:widowControl/>
              <w:jc w:val="center"/>
              <w:textAlignment w:val="center"/>
              <w:rPr>
                <w:rFonts w:ascii="宋体" w:hAnsi="宋体" w:cs="宋体"/>
                <w:szCs w:val="21"/>
              </w:rPr>
            </w:pPr>
            <w:r>
              <w:rPr>
                <w:rFonts w:hint="eastAsia" w:ascii="宋体" w:hAnsi="宋体" w:cs="宋体"/>
                <w:kern w:val="0"/>
                <w:sz w:val="20"/>
                <w:szCs w:val="20"/>
                <w:lang w:bidi="ar"/>
              </w:rPr>
              <w:t>白糖</w:t>
            </w:r>
          </w:p>
        </w:tc>
        <w:tc>
          <w:tcPr>
            <w:tcW w:w="986" w:type="dxa"/>
            <w:vAlign w:val="center"/>
          </w:tcPr>
          <w:p w14:paraId="30299F35">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公斤</w:t>
            </w:r>
          </w:p>
        </w:tc>
        <w:tc>
          <w:tcPr>
            <w:tcW w:w="718" w:type="dxa"/>
            <w:vAlign w:val="center"/>
          </w:tcPr>
          <w:p w14:paraId="47CD6F5F">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5000</w:t>
            </w:r>
          </w:p>
        </w:tc>
        <w:tc>
          <w:tcPr>
            <w:tcW w:w="1354" w:type="dxa"/>
            <w:vAlign w:val="center"/>
          </w:tcPr>
          <w:p w14:paraId="2F36756A">
            <w:pPr>
              <w:widowControl/>
              <w:jc w:val="center"/>
              <w:textAlignment w:val="center"/>
              <w:rPr>
                <w:rFonts w:ascii="宋体" w:hAnsi="宋体" w:cs="宋体"/>
                <w:szCs w:val="21"/>
              </w:rPr>
            </w:pPr>
            <w:r>
              <w:rPr>
                <w:rFonts w:hint="eastAsia" w:ascii="宋体" w:hAnsi="宋体" w:cs="宋体"/>
                <w:kern w:val="0"/>
                <w:sz w:val="20"/>
                <w:szCs w:val="20"/>
                <w:lang w:bidi="ar"/>
              </w:rPr>
              <w:t xml:space="preserve">6.90 </w:t>
            </w:r>
          </w:p>
        </w:tc>
        <w:tc>
          <w:tcPr>
            <w:tcW w:w="1276" w:type="dxa"/>
            <w:vAlign w:val="center"/>
          </w:tcPr>
          <w:p w14:paraId="57433E8B">
            <w:pPr>
              <w:widowControl/>
              <w:jc w:val="center"/>
              <w:textAlignment w:val="center"/>
              <w:rPr>
                <w:rFonts w:ascii="宋体" w:hAnsi="宋体" w:cs="宋体"/>
                <w:szCs w:val="21"/>
              </w:rPr>
            </w:pPr>
            <w:r>
              <w:rPr>
                <w:rFonts w:hint="eastAsia" w:ascii="宋体" w:hAnsi="宋体" w:cs="宋体"/>
                <w:kern w:val="0"/>
                <w:sz w:val="20"/>
                <w:szCs w:val="20"/>
                <w:lang w:bidi="ar"/>
              </w:rPr>
              <w:t xml:space="preserve">34500 </w:t>
            </w:r>
          </w:p>
        </w:tc>
        <w:tc>
          <w:tcPr>
            <w:tcW w:w="3286" w:type="dxa"/>
            <w:vAlign w:val="center"/>
          </w:tcPr>
          <w:p w14:paraId="49C34EEF">
            <w:pPr>
              <w:widowControl/>
              <w:jc w:val="left"/>
              <w:textAlignment w:val="center"/>
              <w:rPr>
                <w:rFonts w:ascii="宋体" w:hAnsi="宋体" w:cs="宋体"/>
                <w:szCs w:val="21"/>
              </w:rPr>
            </w:pPr>
            <w:r>
              <w:rPr>
                <w:rFonts w:hint="eastAsia" w:ascii="宋体" w:hAnsi="宋体" w:cs="宋体"/>
                <w:kern w:val="0"/>
                <w:sz w:val="20"/>
                <w:szCs w:val="20"/>
                <w:lang w:bidi="ar"/>
              </w:rPr>
              <w:t>要求味甜，无异味，无异源，具有产品应有的色泽、状态，无潮解，无正常视力可见外来物。包装正面印有生产厂家、生产日期、保质期等字样。质量符合国家、行业相关标准。</w:t>
            </w:r>
          </w:p>
        </w:tc>
      </w:tr>
      <w:tr w14:paraId="51A5D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75" w:type="dxa"/>
            <w:vMerge w:val="continue"/>
            <w:vAlign w:val="center"/>
          </w:tcPr>
          <w:p w14:paraId="038AF996">
            <w:pPr>
              <w:spacing w:line="380" w:lineRule="exact"/>
              <w:jc w:val="center"/>
              <w:rPr>
                <w:rFonts w:ascii="宋体" w:hAnsi="宋体" w:cs="宋体"/>
                <w:szCs w:val="21"/>
              </w:rPr>
            </w:pPr>
          </w:p>
        </w:tc>
        <w:tc>
          <w:tcPr>
            <w:tcW w:w="593" w:type="dxa"/>
            <w:tcMar>
              <w:top w:w="0" w:type="dxa"/>
              <w:left w:w="0" w:type="dxa"/>
              <w:bottom w:w="0" w:type="dxa"/>
              <w:right w:w="0" w:type="dxa"/>
            </w:tcMar>
            <w:vAlign w:val="center"/>
          </w:tcPr>
          <w:p w14:paraId="0595A944">
            <w:pPr>
              <w:widowControl/>
              <w:jc w:val="center"/>
              <w:textAlignment w:val="center"/>
              <w:rPr>
                <w:rFonts w:ascii="宋体" w:hAnsi="宋体" w:cs="宋体"/>
                <w:szCs w:val="21"/>
              </w:rPr>
            </w:pPr>
            <w:r>
              <w:rPr>
                <w:rFonts w:hint="eastAsia" w:ascii="宋体" w:hAnsi="宋体" w:cs="宋体"/>
                <w:kern w:val="0"/>
                <w:sz w:val="20"/>
                <w:szCs w:val="20"/>
                <w:lang w:bidi="ar"/>
              </w:rPr>
              <w:t>21</w:t>
            </w:r>
          </w:p>
        </w:tc>
        <w:tc>
          <w:tcPr>
            <w:tcW w:w="965" w:type="dxa"/>
            <w:vAlign w:val="center"/>
          </w:tcPr>
          <w:p w14:paraId="598B4AE7">
            <w:pPr>
              <w:widowControl/>
              <w:jc w:val="center"/>
              <w:textAlignment w:val="center"/>
              <w:rPr>
                <w:rFonts w:ascii="宋体" w:hAnsi="宋体" w:cs="宋体"/>
                <w:szCs w:val="21"/>
              </w:rPr>
            </w:pPr>
            <w:r>
              <w:rPr>
                <w:rFonts w:hint="eastAsia" w:ascii="宋体" w:hAnsi="宋体" w:cs="宋体"/>
                <w:kern w:val="0"/>
                <w:sz w:val="20"/>
                <w:szCs w:val="20"/>
                <w:lang w:bidi="ar"/>
              </w:rPr>
              <w:t>味精</w:t>
            </w:r>
          </w:p>
        </w:tc>
        <w:tc>
          <w:tcPr>
            <w:tcW w:w="986" w:type="dxa"/>
            <w:vAlign w:val="center"/>
          </w:tcPr>
          <w:p w14:paraId="4FC55868">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公斤</w:t>
            </w:r>
          </w:p>
        </w:tc>
        <w:tc>
          <w:tcPr>
            <w:tcW w:w="718" w:type="dxa"/>
            <w:vAlign w:val="center"/>
          </w:tcPr>
          <w:p w14:paraId="60DD7B79">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100</w:t>
            </w:r>
          </w:p>
        </w:tc>
        <w:tc>
          <w:tcPr>
            <w:tcW w:w="1354" w:type="dxa"/>
            <w:vAlign w:val="center"/>
          </w:tcPr>
          <w:p w14:paraId="2BD6CE2A">
            <w:pPr>
              <w:widowControl/>
              <w:jc w:val="center"/>
              <w:textAlignment w:val="center"/>
              <w:rPr>
                <w:rFonts w:ascii="宋体" w:hAnsi="宋体" w:cs="宋体"/>
                <w:szCs w:val="21"/>
              </w:rPr>
            </w:pPr>
            <w:r>
              <w:rPr>
                <w:rFonts w:hint="eastAsia" w:ascii="宋体" w:hAnsi="宋体" w:cs="宋体"/>
                <w:kern w:val="0"/>
                <w:sz w:val="20"/>
                <w:szCs w:val="20"/>
                <w:lang w:bidi="ar"/>
              </w:rPr>
              <w:t xml:space="preserve">17.10 </w:t>
            </w:r>
          </w:p>
        </w:tc>
        <w:tc>
          <w:tcPr>
            <w:tcW w:w="1276" w:type="dxa"/>
            <w:vAlign w:val="center"/>
          </w:tcPr>
          <w:p w14:paraId="6AAFE8BD">
            <w:pPr>
              <w:widowControl/>
              <w:jc w:val="center"/>
              <w:textAlignment w:val="center"/>
              <w:rPr>
                <w:rFonts w:ascii="宋体" w:hAnsi="宋体" w:cs="宋体"/>
                <w:szCs w:val="21"/>
              </w:rPr>
            </w:pPr>
            <w:r>
              <w:rPr>
                <w:rFonts w:hint="eastAsia" w:ascii="宋体" w:hAnsi="宋体" w:cs="宋体"/>
                <w:kern w:val="0"/>
                <w:sz w:val="20"/>
                <w:szCs w:val="20"/>
                <w:lang w:bidi="ar"/>
              </w:rPr>
              <w:t xml:space="preserve">1710 </w:t>
            </w:r>
          </w:p>
        </w:tc>
        <w:tc>
          <w:tcPr>
            <w:tcW w:w="3286" w:type="dxa"/>
            <w:vAlign w:val="center"/>
          </w:tcPr>
          <w:p w14:paraId="79807F6F">
            <w:pPr>
              <w:widowControl/>
              <w:jc w:val="left"/>
              <w:textAlignment w:val="center"/>
              <w:rPr>
                <w:rFonts w:ascii="宋体" w:hAnsi="宋体" w:cs="宋体"/>
                <w:szCs w:val="21"/>
              </w:rPr>
            </w:pPr>
            <w:r>
              <w:rPr>
                <w:rFonts w:hint="eastAsia" w:ascii="宋体" w:hAnsi="宋体" w:cs="宋体"/>
                <w:kern w:val="0"/>
                <w:sz w:val="20"/>
                <w:szCs w:val="20"/>
                <w:lang w:bidi="ar"/>
              </w:rPr>
              <w:t>要求是经过工商部门登记注册的厂家生产、品质良好，包装密封、无毒、无害，包装正面印有生产厂家、生产日期、保质期等字样。需符合食品安全国家标准。</w:t>
            </w:r>
          </w:p>
        </w:tc>
      </w:tr>
      <w:tr w14:paraId="709D5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75" w:type="dxa"/>
            <w:vMerge w:val="continue"/>
            <w:vAlign w:val="center"/>
          </w:tcPr>
          <w:p w14:paraId="615AE969">
            <w:pPr>
              <w:spacing w:line="380" w:lineRule="exact"/>
              <w:jc w:val="center"/>
              <w:rPr>
                <w:rFonts w:ascii="宋体" w:hAnsi="宋体" w:cs="宋体"/>
                <w:szCs w:val="21"/>
              </w:rPr>
            </w:pPr>
          </w:p>
        </w:tc>
        <w:tc>
          <w:tcPr>
            <w:tcW w:w="593" w:type="dxa"/>
            <w:tcMar>
              <w:top w:w="0" w:type="dxa"/>
              <w:left w:w="0" w:type="dxa"/>
              <w:bottom w:w="0" w:type="dxa"/>
              <w:right w:w="0" w:type="dxa"/>
            </w:tcMar>
            <w:vAlign w:val="center"/>
          </w:tcPr>
          <w:p w14:paraId="77B93FB3">
            <w:pPr>
              <w:widowControl/>
              <w:jc w:val="center"/>
              <w:textAlignment w:val="center"/>
              <w:rPr>
                <w:rFonts w:ascii="宋体" w:hAnsi="宋体" w:cs="宋体"/>
                <w:szCs w:val="21"/>
              </w:rPr>
            </w:pPr>
            <w:r>
              <w:rPr>
                <w:rFonts w:hint="eastAsia" w:ascii="宋体" w:hAnsi="宋体" w:cs="宋体"/>
                <w:kern w:val="0"/>
                <w:sz w:val="20"/>
                <w:szCs w:val="20"/>
                <w:lang w:bidi="ar"/>
              </w:rPr>
              <w:t>22</w:t>
            </w:r>
          </w:p>
        </w:tc>
        <w:tc>
          <w:tcPr>
            <w:tcW w:w="965" w:type="dxa"/>
            <w:vAlign w:val="center"/>
          </w:tcPr>
          <w:p w14:paraId="18CDBF13">
            <w:pPr>
              <w:widowControl/>
              <w:jc w:val="center"/>
              <w:textAlignment w:val="center"/>
              <w:rPr>
                <w:rFonts w:ascii="宋体" w:hAnsi="宋体" w:cs="宋体"/>
                <w:szCs w:val="21"/>
              </w:rPr>
            </w:pPr>
            <w:r>
              <w:rPr>
                <w:rFonts w:hint="eastAsia" w:ascii="宋体" w:hAnsi="宋体" w:cs="宋体"/>
                <w:kern w:val="0"/>
                <w:sz w:val="20"/>
                <w:szCs w:val="20"/>
                <w:lang w:bidi="ar"/>
              </w:rPr>
              <w:t>豆瓣酱</w:t>
            </w:r>
          </w:p>
        </w:tc>
        <w:tc>
          <w:tcPr>
            <w:tcW w:w="986" w:type="dxa"/>
            <w:vAlign w:val="center"/>
          </w:tcPr>
          <w:p w14:paraId="2827F7EC">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公斤</w:t>
            </w:r>
          </w:p>
        </w:tc>
        <w:tc>
          <w:tcPr>
            <w:tcW w:w="718" w:type="dxa"/>
            <w:vAlign w:val="center"/>
          </w:tcPr>
          <w:p w14:paraId="205EDF2B">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100</w:t>
            </w:r>
          </w:p>
        </w:tc>
        <w:tc>
          <w:tcPr>
            <w:tcW w:w="1354" w:type="dxa"/>
            <w:vAlign w:val="center"/>
          </w:tcPr>
          <w:p w14:paraId="72A44491">
            <w:pPr>
              <w:widowControl/>
              <w:jc w:val="center"/>
              <w:textAlignment w:val="center"/>
              <w:rPr>
                <w:rFonts w:ascii="宋体" w:hAnsi="宋体" w:cs="宋体"/>
                <w:szCs w:val="21"/>
              </w:rPr>
            </w:pPr>
            <w:r>
              <w:rPr>
                <w:rFonts w:hint="eastAsia" w:ascii="宋体" w:hAnsi="宋体" w:cs="宋体"/>
                <w:kern w:val="0"/>
                <w:sz w:val="20"/>
                <w:szCs w:val="20"/>
                <w:lang w:bidi="ar"/>
              </w:rPr>
              <w:t xml:space="preserve">11.70 </w:t>
            </w:r>
          </w:p>
        </w:tc>
        <w:tc>
          <w:tcPr>
            <w:tcW w:w="1276" w:type="dxa"/>
            <w:vAlign w:val="center"/>
          </w:tcPr>
          <w:p w14:paraId="22E7679D">
            <w:pPr>
              <w:widowControl/>
              <w:jc w:val="center"/>
              <w:textAlignment w:val="center"/>
              <w:rPr>
                <w:rFonts w:ascii="宋体" w:hAnsi="宋体" w:cs="宋体"/>
                <w:szCs w:val="21"/>
              </w:rPr>
            </w:pPr>
            <w:r>
              <w:rPr>
                <w:rFonts w:hint="eastAsia" w:ascii="宋体" w:hAnsi="宋体" w:cs="宋体"/>
                <w:kern w:val="0"/>
                <w:sz w:val="20"/>
                <w:szCs w:val="20"/>
                <w:lang w:bidi="ar"/>
              </w:rPr>
              <w:t xml:space="preserve">1170 </w:t>
            </w:r>
          </w:p>
        </w:tc>
        <w:tc>
          <w:tcPr>
            <w:tcW w:w="3286" w:type="dxa"/>
            <w:vAlign w:val="center"/>
          </w:tcPr>
          <w:p w14:paraId="227EAC1B">
            <w:pPr>
              <w:widowControl/>
              <w:jc w:val="left"/>
              <w:textAlignment w:val="center"/>
              <w:rPr>
                <w:rFonts w:ascii="宋体" w:hAnsi="宋体" w:cs="宋体"/>
                <w:szCs w:val="21"/>
              </w:rPr>
            </w:pPr>
            <w:r>
              <w:rPr>
                <w:rFonts w:hint="eastAsia" w:ascii="宋体" w:hAnsi="宋体" w:cs="宋体"/>
                <w:kern w:val="0"/>
                <w:sz w:val="20"/>
                <w:szCs w:val="20"/>
                <w:lang w:bidi="ar"/>
              </w:rPr>
              <w:t>要求是经过工商部门登记注册的厂家生产、品质良好，包装密封、无毒、无害，包装正面印有生产厂家、生产日期、保质期等字样。需符合食品安全国家标准。</w:t>
            </w:r>
          </w:p>
        </w:tc>
      </w:tr>
      <w:tr w14:paraId="692EC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75" w:type="dxa"/>
            <w:vMerge w:val="continue"/>
            <w:vAlign w:val="center"/>
          </w:tcPr>
          <w:p w14:paraId="5F679E1B">
            <w:pPr>
              <w:spacing w:line="380" w:lineRule="exact"/>
              <w:jc w:val="center"/>
              <w:rPr>
                <w:rFonts w:ascii="宋体" w:hAnsi="宋体" w:cs="宋体"/>
                <w:szCs w:val="21"/>
              </w:rPr>
            </w:pPr>
          </w:p>
        </w:tc>
        <w:tc>
          <w:tcPr>
            <w:tcW w:w="593" w:type="dxa"/>
            <w:tcMar>
              <w:top w:w="0" w:type="dxa"/>
              <w:left w:w="0" w:type="dxa"/>
              <w:bottom w:w="0" w:type="dxa"/>
              <w:right w:w="0" w:type="dxa"/>
            </w:tcMar>
            <w:vAlign w:val="center"/>
          </w:tcPr>
          <w:p w14:paraId="25296114">
            <w:pPr>
              <w:widowControl/>
              <w:jc w:val="center"/>
              <w:textAlignment w:val="center"/>
              <w:rPr>
                <w:rFonts w:ascii="宋体" w:hAnsi="宋体" w:cs="宋体"/>
                <w:szCs w:val="21"/>
              </w:rPr>
            </w:pPr>
            <w:r>
              <w:rPr>
                <w:rFonts w:hint="eastAsia" w:ascii="宋体" w:hAnsi="宋体" w:cs="宋体"/>
                <w:kern w:val="0"/>
                <w:sz w:val="20"/>
                <w:szCs w:val="20"/>
                <w:lang w:bidi="ar"/>
              </w:rPr>
              <w:t>23</w:t>
            </w:r>
          </w:p>
        </w:tc>
        <w:tc>
          <w:tcPr>
            <w:tcW w:w="965" w:type="dxa"/>
            <w:vAlign w:val="center"/>
          </w:tcPr>
          <w:p w14:paraId="3F7E0BFD">
            <w:pPr>
              <w:widowControl/>
              <w:jc w:val="center"/>
              <w:textAlignment w:val="center"/>
              <w:rPr>
                <w:rFonts w:ascii="宋体" w:hAnsi="宋体" w:cs="宋体"/>
                <w:szCs w:val="21"/>
              </w:rPr>
            </w:pPr>
            <w:r>
              <w:rPr>
                <w:rFonts w:hint="eastAsia" w:ascii="宋体" w:hAnsi="宋体" w:cs="宋体"/>
                <w:kern w:val="0"/>
                <w:sz w:val="20"/>
                <w:szCs w:val="20"/>
                <w:highlight w:val="yellow"/>
                <w:lang w:bidi="ar"/>
              </w:rPr>
              <w:t>豆豉</w:t>
            </w:r>
          </w:p>
        </w:tc>
        <w:tc>
          <w:tcPr>
            <w:tcW w:w="986" w:type="dxa"/>
            <w:vAlign w:val="center"/>
          </w:tcPr>
          <w:p w14:paraId="619ECCF0">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公斤</w:t>
            </w:r>
          </w:p>
        </w:tc>
        <w:tc>
          <w:tcPr>
            <w:tcW w:w="718" w:type="dxa"/>
            <w:vAlign w:val="center"/>
          </w:tcPr>
          <w:p w14:paraId="2428FFD6">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100</w:t>
            </w:r>
          </w:p>
        </w:tc>
        <w:tc>
          <w:tcPr>
            <w:tcW w:w="1354" w:type="dxa"/>
            <w:vAlign w:val="center"/>
          </w:tcPr>
          <w:p w14:paraId="53EB76C1">
            <w:pPr>
              <w:widowControl/>
              <w:jc w:val="center"/>
              <w:textAlignment w:val="center"/>
              <w:rPr>
                <w:rFonts w:ascii="宋体" w:hAnsi="宋体" w:cs="宋体"/>
                <w:szCs w:val="21"/>
              </w:rPr>
            </w:pPr>
            <w:r>
              <w:rPr>
                <w:rFonts w:hint="eastAsia" w:ascii="宋体" w:hAnsi="宋体" w:cs="宋体"/>
                <w:kern w:val="0"/>
                <w:sz w:val="20"/>
                <w:szCs w:val="20"/>
                <w:lang w:bidi="ar"/>
              </w:rPr>
              <w:t xml:space="preserve">24.60 </w:t>
            </w:r>
          </w:p>
        </w:tc>
        <w:tc>
          <w:tcPr>
            <w:tcW w:w="1276" w:type="dxa"/>
            <w:vAlign w:val="center"/>
          </w:tcPr>
          <w:p w14:paraId="0B37A4EE">
            <w:pPr>
              <w:widowControl/>
              <w:jc w:val="center"/>
              <w:textAlignment w:val="center"/>
              <w:rPr>
                <w:rFonts w:ascii="宋体" w:hAnsi="宋体" w:cs="宋体"/>
                <w:szCs w:val="21"/>
              </w:rPr>
            </w:pPr>
            <w:r>
              <w:rPr>
                <w:rFonts w:hint="eastAsia" w:ascii="宋体" w:hAnsi="宋体" w:cs="宋体"/>
                <w:kern w:val="0"/>
                <w:sz w:val="20"/>
                <w:szCs w:val="20"/>
                <w:lang w:bidi="ar"/>
              </w:rPr>
              <w:t xml:space="preserve">2460 </w:t>
            </w:r>
          </w:p>
        </w:tc>
        <w:tc>
          <w:tcPr>
            <w:tcW w:w="3286" w:type="dxa"/>
            <w:vAlign w:val="center"/>
          </w:tcPr>
          <w:p w14:paraId="70BEF7A1">
            <w:pPr>
              <w:widowControl/>
              <w:jc w:val="left"/>
              <w:textAlignment w:val="center"/>
              <w:rPr>
                <w:rFonts w:ascii="宋体" w:hAnsi="宋体" w:cs="宋体"/>
                <w:szCs w:val="21"/>
              </w:rPr>
            </w:pPr>
            <w:r>
              <w:rPr>
                <w:rFonts w:hint="eastAsia" w:ascii="宋体" w:hAnsi="宋体" w:cs="宋体"/>
                <w:kern w:val="0"/>
                <w:sz w:val="20"/>
                <w:szCs w:val="20"/>
                <w:lang w:bidi="ar"/>
              </w:rPr>
              <w:t>要求是经过工商部门登记注册的厂家生产、品质良好，包装密封、无毒、无害，包装正面印有生产厂家、生产日期、保质期等字样。需符合食品安全国家标准。</w:t>
            </w:r>
          </w:p>
        </w:tc>
      </w:tr>
      <w:tr w14:paraId="65138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75" w:type="dxa"/>
            <w:vMerge w:val="continue"/>
            <w:vAlign w:val="center"/>
          </w:tcPr>
          <w:p w14:paraId="43562227">
            <w:pPr>
              <w:spacing w:line="380" w:lineRule="exact"/>
              <w:jc w:val="center"/>
              <w:rPr>
                <w:rFonts w:ascii="宋体" w:hAnsi="宋体" w:cs="宋体"/>
                <w:szCs w:val="21"/>
              </w:rPr>
            </w:pPr>
          </w:p>
        </w:tc>
        <w:tc>
          <w:tcPr>
            <w:tcW w:w="593" w:type="dxa"/>
            <w:tcMar>
              <w:top w:w="0" w:type="dxa"/>
              <w:left w:w="0" w:type="dxa"/>
              <w:bottom w:w="0" w:type="dxa"/>
              <w:right w:w="0" w:type="dxa"/>
            </w:tcMar>
            <w:vAlign w:val="center"/>
          </w:tcPr>
          <w:p w14:paraId="5A690470">
            <w:pPr>
              <w:widowControl/>
              <w:jc w:val="center"/>
              <w:textAlignment w:val="center"/>
              <w:rPr>
                <w:rFonts w:ascii="宋体" w:hAnsi="宋体" w:cs="宋体"/>
                <w:szCs w:val="21"/>
              </w:rPr>
            </w:pPr>
            <w:r>
              <w:rPr>
                <w:rFonts w:hint="eastAsia" w:ascii="宋体" w:hAnsi="宋体" w:cs="宋体"/>
                <w:kern w:val="0"/>
                <w:sz w:val="20"/>
                <w:szCs w:val="20"/>
                <w:lang w:bidi="ar"/>
              </w:rPr>
              <w:t>24</w:t>
            </w:r>
          </w:p>
        </w:tc>
        <w:tc>
          <w:tcPr>
            <w:tcW w:w="965" w:type="dxa"/>
            <w:vAlign w:val="center"/>
          </w:tcPr>
          <w:p w14:paraId="09DC2777">
            <w:pPr>
              <w:widowControl/>
              <w:jc w:val="center"/>
              <w:textAlignment w:val="center"/>
              <w:rPr>
                <w:rFonts w:ascii="宋体" w:hAnsi="宋体" w:cs="宋体"/>
                <w:szCs w:val="21"/>
              </w:rPr>
            </w:pPr>
            <w:r>
              <w:rPr>
                <w:rFonts w:hint="eastAsia" w:ascii="宋体" w:hAnsi="宋体" w:cs="宋体"/>
                <w:kern w:val="0"/>
                <w:sz w:val="20"/>
                <w:szCs w:val="20"/>
                <w:lang w:bidi="ar"/>
              </w:rPr>
              <w:t>辣椒油</w:t>
            </w:r>
          </w:p>
        </w:tc>
        <w:tc>
          <w:tcPr>
            <w:tcW w:w="986" w:type="dxa"/>
            <w:vAlign w:val="center"/>
          </w:tcPr>
          <w:p w14:paraId="5DE2AD7C">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升</w:t>
            </w:r>
          </w:p>
        </w:tc>
        <w:tc>
          <w:tcPr>
            <w:tcW w:w="718" w:type="dxa"/>
            <w:vAlign w:val="center"/>
          </w:tcPr>
          <w:p w14:paraId="5C266329">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100</w:t>
            </w:r>
          </w:p>
        </w:tc>
        <w:tc>
          <w:tcPr>
            <w:tcW w:w="1354" w:type="dxa"/>
            <w:vAlign w:val="center"/>
          </w:tcPr>
          <w:p w14:paraId="47B6F210">
            <w:pPr>
              <w:widowControl/>
              <w:jc w:val="center"/>
              <w:textAlignment w:val="center"/>
              <w:rPr>
                <w:rFonts w:ascii="宋体" w:hAnsi="宋体" w:cs="宋体"/>
                <w:szCs w:val="21"/>
              </w:rPr>
            </w:pPr>
            <w:r>
              <w:rPr>
                <w:rFonts w:hint="eastAsia" w:ascii="宋体" w:hAnsi="宋体" w:cs="宋体"/>
                <w:kern w:val="0"/>
                <w:sz w:val="20"/>
                <w:szCs w:val="20"/>
                <w:lang w:bidi="ar"/>
              </w:rPr>
              <w:t xml:space="preserve">33.50 </w:t>
            </w:r>
          </w:p>
        </w:tc>
        <w:tc>
          <w:tcPr>
            <w:tcW w:w="1276" w:type="dxa"/>
            <w:vAlign w:val="center"/>
          </w:tcPr>
          <w:p w14:paraId="5071254E">
            <w:pPr>
              <w:widowControl/>
              <w:jc w:val="center"/>
              <w:textAlignment w:val="center"/>
              <w:rPr>
                <w:rFonts w:ascii="宋体" w:hAnsi="宋体" w:cs="宋体"/>
                <w:szCs w:val="21"/>
              </w:rPr>
            </w:pPr>
            <w:r>
              <w:rPr>
                <w:rFonts w:hint="eastAsia" w:ascii="宋体" w:hAnsi="宋体" w:cs="宋体"/>
                <w:kern w:val="0"/>
                <w:sz w:val="20"/>
                <w:szCs w:val="20"/>
                <w:lang w:bidi="ar"/>
              </w:rPr>
              <w:t xml:space="preserve">3350 </w:t>
            </w:r>
          </w:p>
        </w:tc>
        <w:tc>
          <w:tcPr>
            <w:tcW w:w="3286" w:type="dxa"/>
            <w:vAlign w:val="center"/>
          </w:tcPr>
          <w:p w14:paraId="1FB104D8">
            <w:pPr>
              <w:widowControl/>
              <w:jc w:val="left"/>
              <w:textAlignment w:val="center"/>
              <w:rPr>
                <w:rFonts w:ascii="宋体" w:hAnsi="宋体" w:cs="宋体"/>
                <w:szCs w:val="21"/>
              </w:rPr>
            </w:pPr>
            <w:r>
              <w:rPr>
                <w:rFonts w:hint="eastAsia" w:ascii="宋体" w:hAnsi="宋体" w:cs="宋体"/>
                <w:kern w:val="0"/>
                <w:sz w:val="20"/>
                <w:szCs w:val="20"/>
                <w:lang w:bidi="ar"/>
              </w:rPr>
              <w:t>要求是经过工商部门登记注册的厂家生产、品质良好，包装密封、无毒、无害，包装正面印有生产厂家、生产日期、保质期等字样。需符合食品安全国家标准。</w:t>
            </w:r>
          </w:p>
        </w:tc>
      </w:tr>
      <w:tr w14:paraId="57844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75" w:type="dxa"/>
            <w:vMerge w:val="continue"/>
            <w:vAlign w:val="center"/>
          </w:tcPr>
          <w:p w14:paraId="3A48581A">
            <w:pPr>
              <w:spacing w:line="380" w:lineRule="exact"/>
              <w:jc w:val="center"/>
              <w:rPr>
                <w:rFonts w:ascii="宋体" w:hAnsi="宋体" w:cs="宋体"/>
                <w:szCs w:val="21"/>
              </w:rPr>
            </w:pPr>
          </w:p>
        </w:tc>
        <w:tc>
          <w:tcPr>
            <w:tcW w:w="593" w:type="dxa"/>
            <w:tcMar>
              <w:top w:w="0" w:type="dxa"/>
              <w:left w:w="0" w:type="dxa"/>
              <w:bottom w:w="0" w:type="dxa"/>
              <w:right w:w="0" w:type="dxa"/>
            </w:tcMar>
            <w:vAlign w:val="center"/>
          </w:tcPr>
          <w:p w14:paraId="0468B5A4">
            <w:pPr>
              <w:widowControl/>
              <w:jc w:val="center"/>
              <w:textAlignment w:val="center"/>
              <w:rPr>
                <w:rFonts w:ascii="宋体" w:hAnsi="宋体" w:cs="宋体"/>
                <w:szCs w:val="21"/>
              </w:rPr>
            </w:pPr>
            <w:r>
              <w:rPr>
                <w:rFonts w:hint="eastAsia" w:ascii="宋体" w:hAnsi="宋体" w:cs="宋体"/>
                <w:kern w:val="0"/>
                <w:sz w:val="20"/>
                <w:szCs w:val="20"/>
                <w:lang w:bidi="ar"/>
              </w:rPr>
              <w:t>25</w:t>
            </w:r>
          </w:p>
        </w:tc>
        <w:tc>
          <w:tcPr>
            <w:tcW w:w="965" w:type="dxa"/>
            <w:vAlign w:val="center"/>
          </w:tcPr>
          <w:p w14:paraId="400D0009">
            <w:pPr>
              <w:widowControl/>
              <w:jc w:val="center"/>
              <w:textAlignment w:val="center"/>
              <w:rPr>
                <w:rFonts w:ascii="宋体" w:hAnsi="宋体" w:cs="宋体"/>
                <w:szCs w:val="21"/>
              </w:rPr>
            </w:pPr>
            <w:r>
              <w:rPr>
                <w:rFonts w:hint="eastAsia" w:ascii="宋体" w:hAnsi="宋体" w:cs="宋体"/>
                <w:kern w:val="0"/>
                <w:sz w:val="20"/>
                <w:szCs w:val="20"/>
                <w:lang w:bidi="ar"/>
              </w:rPr>
              <w:t>花椒粉</w:t>
            </w:r>
          </w:p>
        </w:tc>
        <w:tc>
          <w:tcPr>
            <w:tcW w:w="986" w:type="dxa"/>
            <w:vAlign w:val="center"/>
          </w:tcPr>
          <w:p w14:paraId="4DC74098">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公斤</w:t>
            </w:r>
          </w:p>
        </w:tc>
        <w:tc>
          <w:tcPr>
            <w:tcW w:w="718" w:type="dxa"/>
            <w:vAlign w:val="center"/>
          </w:tcPr>
          <w:p w14:paraId="7005F390">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50</w:t>
            </w:r>
          </w:p>
        </w:tc>
        <w:tc>
          <w:tcPr>
            <w:tcW w:w="1354" w:type="dxa"/>
            <w:vAlign w:val="center"/>
          </w:tcPr>
          <w:p w14:paraId="2F5DCE2E">
            <w:pPr>
              <w:widowControl/>
              <w:jc w:val="center"/>
              <w:textAlignment w:val="center"/>
              <w:rPr>
                <w:rFonts w:ascii="宋体" w:hAnsi="宋体" w:cs="宋体"/>
                <w:szCs w:val="21"/>
              </w:rPr>
            </w:pPr>
            <w:r>
              <w:rPr>
                <w:rFonts w:hint="eastAsia" w:ascii="宋体" w:hAnsi="宋体" w:cs="宋体"/>
                <w:kern w:val="0"/>
                <w:sz w:val="20"/>
                <w:szCs w:val="20"/>
                <w:lang w:bidi="ar"/>
              </w:rPr>
              <w:t xml:space="preserve">85.20 </w:t>
            </w:r>
          </w:p>
        </w:tc>
        <w:tc>
          <w:tcPr>
            <w:tcW w:w="1276" w:type="dxa"/>
            <w:vAlign w:val="center"/>
          </w:tcPr>
          <w:p w14:paraId="3CBB7FB8">
            <w:pPr>
              <w:widowControl/>
              <w:jc w:val="center"/>
              <w:textAlignment w:val="center"/>
              <w:rPr>
                <w:rFonts w:ascii="宋体" w:hAnsi="宋体" w:cs="宋体"/>
                <w:szCs w:val="21"/>
              </w:rPr>
            </w:pPr>
            <w:r>
              <w:rPr>
                <w:rFonts w:hint="eastAsia" w:ascii="宋体" w:hAnsi="宋体" w:cs="宋体"/>
                <w:kern w:val="0"/>
                <w:sz w:val="20"/>
                <w:szCs w:val="20"/>
                <w:lang w:bidi="ar"/>
              </w:rPr>
              <w:t xml:space="preserve">4260 </w:t>
            </w:r>
          </w:p>
        </w:tc>
        <w:tc>
          <w:tcPr>
            <w:tcW w:w="3286" w:type="dxa"/>
            <w:vAlign w:val="center"/>
          </w:tcPr>
          <w:p w14:paraId="001F9ADA">
            <w:pPr>
              <w:widowControl/>
              <w:jc w:val="left"/>
              <w:textAlignment w:val="center"/>
              <w:rPr>
                <w:rFonts w:ascii="宋体" w:hAnsi="宋体" w:cs="宋体"/>
                <w:szCs w:val="21"/>
              </w:rPr>
            </w:pPr>
            <w:r>
              <w:rPr>
                <w:rFonts w:hint="eastAsia" w:ascii="宋体" w:hAnsi="宋体" w:cs="宋体"/>
                <w:kern w:val="0"/>
                <w:sz w:val="20"/>
                <w:szCs w:val="20"/>
                <w:lang w:bidi="ar"/>
              </w:rPr>
              <w:t>要求是经过工商部门登记注册的厂家生产、品质良好，包装密封、无毒、无害，包装正面印有生产厂家、生产日期、保质期等字样。需符合食品安全国家标准。</w:t>
            </w:r>
          </w:p>
        </w:tc>
      </w:tr>
      <w:tr w14:paraId="5D983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75" w:type="dxa"/>
            <w:vMerge w:val="continue"/>
            <w:vAlign w:val="center"/>
          </w:tcPr>
          <w:p w14:paraId="093D31FD">
            <w:pPr>
              <w:spacing w:line="380" w:lineRule="exact"/>
              <w:jc w:val="center"/>
              <w:rPr>
                <w:rFonts w:ascii="宋体" w:hAnsi="宋体" w:cs="宋体"/>
                <w:szCs w:val="21"/>
              </w:rPr>
            </w:pPr>
          </w:p>
        </w:tc>
        <w:tc>
          <w:tcPr>
            <w:tcW w:w="593" w:type="dxa"/>
            <w:tcMar>
              <w:top w:w="0" w:type="dxa"/>
              <w:left w:w="0" w:type="dxa"/>
              <w:bottom w:w="0" w:type="dxa"/>
              <w:right w:w="0" w:type="dxa"/>
            </w:tcMar>
            <w:vAlign w:val="center"/>
          </w:tcPr>
          <w:p w14:paraId="0BB37E9F">
            <w:pPr>
              <w:widowControl/>
              <w:jc w:val="center"/>
              <w:textAlignment w:val="center"/>
              <w:rPr>
                <w:rFonts w:ascii="宋体" w:hAnsi="宋体" w:cs="宋体"/>
                <w:szCs w:val="21"/>
              </w:rPr>
            </w:pPr>
            <w:r>
              <w:rPr>
                <w:rFonts w:hint="eastAsia" w:ascii="宋体" w:hAnsi="宋体" w:cs="宋体"/>
                <w:kern w:val="0"/>
                <w:sz w:val="20"/>
                <w:szCs w:val="20"/>
                <w:lang w:bidi="ar"/>
              </w:rPr>
              <w:t>26</w:t>
            </w:r>
          </w:p>
        </w:tc>
        <w:tc>
          <w:tcPr>
            <w:tcW w:w="965" w:type="dxa"/>
            <w:vAlign w:val="center"/>
          </w:tcPr>
          <w:p w14:paraId="000D46B9">
            <w:pPr>
              <w:widowControl/>
              <w:jc w:val="center"/>
              <w:textAlignment w:val="center"/>
              <w:rPr>
                <w:rFonts w:ascii="宋体" w:hAnsi="宋体" w:cs="宋体"/>
                <w:szCs w:val="21"/>
              </w:rPr>
            </w:pPr>
            <w:r>
              <w:rPr>
                <w:rFonts w:hint="eastAsia" w:ascii="宋体" w:hAnsi="宋体" w:cs="宋体"/>
                <w:kern w:val="0"/>
                <w:sz w:val="20"/>
                <w:szCs w:val="20"/>
                <w:lang w:bidi="ar"/>
              </w:rPr>
              <w:t>生粉</w:t>
            </w:r>
          </w:p>
        </w:tc>
        <w:tc>
          <w:tcPr>
            <w:tcW w:w="986" w:type="dxa"/>
            <w:vAlign w:val="center"/>
          </w:tcPr>
          <w:p w14:paraId="185EDA16">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公斤</w:t>
            </w:r>
          </w:p>
        </w:tc>
        <w:tc>
          <w:tcPr>
            <w:tcW w:w="718" w:type="dxa"/>
            <w:vAlign w:val="center"/>
          </w:tcPr>
          <w:p w14:paraId="09E13E49">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100</w:t>
            </w:r>
          </w:p>
        </w:tc>
        <w:tc>
          <w:tcPr>
            <w:tcW w:w="1354" w:type="dxa"/>
            <w:vAlign w:val="center"/>
          </w:tcPr>
          <w:p w14:paraId="211F31CF">
            <w:pPr>
              <w:widowControl/>
              <w:jc w:val="center"/>
              <w:textAlignment w:val="center"/>
              <w:rPr>
                <w:rFonts w:ascii="宋体" w:hAnsi="宋体" w:cs="宋体"/>
                <w:szCs w:val="21"/>
              </w:rPr>
            </w:pPr>
            <w:r>
              <w:rPr>
                <w:rFonts w:hint="eastAsia" w:ascii="宋体" w:hAnsi="宋体" w:cs="宋体"/>
                <w:kern w:val="0"/>
                <w:sz w:val="20"/>
                <w:szCs w:val="20"/>
                <w:lang w:bidi="ar"/>
              </w:rPr>
              <w:t xml:space="preserve">11.80 </w:t>
            </w:r>
          </w:p>
        </w:tc>
        <w:tc>
          <w:tcPr>
            <w:tcW w:w="1276" w:type="dxa"/>
            <w:vAlign w:val="center"/>
          </w:tcPr>
          <w:p w14:paraId="44C697D4">
            <w:pPr>
              <w:widowControl/>
              <w:jc w:val="center"/>
              <w:textAlignment w:val="center"/>
              <w:rPr>
                <w:rFonts w:ascii="宋体" w:hAnsi="宋体" w:cs="宋体"/>
                <w:szCs w:val="21"/>
              </w:rPr>
            </w:pPr>
            <w:r>
              <w:rPr>
                <w:rFonts w:hint="eastAsia" w:ascii="宋体" w:hAnsi="宋体" w:cs="宋体"/>
                <w:kern w:val="0"/>
                <w:sz w:val="20"/>
                <w:szCs w:val="20"/>
                <w:lang w:bidi="ar"/>
              </w:rPr>
              <w:t xml:space="preserve">1180 </w:t>
            </w:r>
          </w:p>
        </w:tc>
        <w:tc>
          <w:tcPr>
            <w:tcW w:w="3286" w:type="dxa"/>
            <w:vAlign w:val="center"/>
          </w:tcPr>
          <w:p w14:paraId="11BB682D">
            <w:pPr>
              <w:widowControl/>
              <w:jc w:val="left"/>
              <w:textAlignment w:val="center"/>
              <w:rPr>
                <w:rFonts w:ascii="宋体" w:hAnsi="宋体" w:cs="宋体"/>
                <w:szCs w:val="21"/>
              </w:rPr>
            </w:pPr>
            <w:r>
              <w:rPr>
                <w:rFonts w:hint="eastAsia" w:ascii="宋体" w:hAnsi="宋体" w:cs="宋体"/>
                <w:kern w:val="0"/>
                <w:sz w:val="20"/>
                <w:szCs w:val="20"/>
                <w:lang w:bidi="ar"/>
              </w:rPr>
              <w:t>要求是经过工商部门登记注册的厂家生产、品质良好，包装密封、无毒、无害，包装正面印有生产厂家、生产日期、保质期等字样。需符合食品安全国家标准。</w:t>
            </w:r>
          </w:p>
        </w:tc>
      </w:tr>
      <w:tr w14:paraId="5AE7F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75" w:type="dxa"/>
            <w:vMerge w:val="continue"/>
            <w:vAlign w:val="center"/>
          </w:tcPr>
          <w:p w14:paraId="33794AA1">
            <w:pPr>
              <w:spacing w:line="380" w:lineRule="exact"/>
              <w:jc w:val="center"/>
              <w:rPr>
                <w:rFonts w:ascii="宋体" w:hAnsi="宋体" w:cs="宋体"/>
                <w:szCs w:val="21"/>
              </w:rPr>
            </w:pPr>
          </w:p>
        </w:tc>
        <w:tc>
          <w:tcPr>
            <w:tcW w:w="593" w:type="dxa"/>
            <w:tcMar>
              <w:top w:w="0" w:type="dxa"/>
              <w:left w:w="0" w:type="dxa"/>
              <w:bottom w:w="0" w:type="dxa"/>
              <w:right w:w="0" w:type="dxa"/>
            </w:tcMar>
            <w:vAlign w:val="center"/>
          </w:tcPr>
          <w:p w14:paraId="4F30C506">
            <w:pPr>
              <w:widowControl/>
              <w:jc w:val="center"/>
              <w:textAlignment w:val="center"/>
              <w:rPr>
                <w:rFonts w:ascii="宋体" w:hAnsi="宋体" w:cs="宋体"/>
                <w:szCs w:val="21"/>
              </w:rPr>
            </w:pPr>
            <w:r>
              <w:rPr>
                <w:rFonts w:hint="eastAsia" w:ascii="宋体" w:hAnsi="宋体" w:cs="宋体"/>
                <w:kern w:val="0"/>
                <w:sz w:val="20"/>
                <w:szCs w:val="20"/>
                <w:lang w:bidi="ar"/>
              </w:rPr>
              <w:t>27</w:t>
            </w:r>
          </w:p>
        </w:tc>
        <w:tc>
          <w:tcPr>
            <w:tcW w:w="965" w:type="dxa"/>
            <w:vAlign w:val="center"/>
          </w:tcPr>
          <w:p w14:paraId="1D035C69">
            <w:pPr>
              <w:widowControl/>
              <w:jc w:val="center"/>
              <w:textAlignment w:val="center"/>
              <w:rPr>
                <w:rFonts w:ascii="宋体" w:hAnsi="宋体" w:cs="宋体"/>
                <w:szCs w:val="21"/>
              </w:rPr>
            </w:pPr>
            <w:r>
              <w:rPr>
                <w:rFonts w:hint="eastAsia" w:ascii="宋体" w:hAnsi="宋体" w:cs="宋体"/>
                <w:kern w:val="0"/>
                <w:sz w:val="20"/>
                <w:szCs w:val="20"/>
                <w:lang w:bidi="ar"/>
              </w:rPr>
              <w:t>食用小苏打</w:t>
            </w:r>
          </w:p>
        </w:tc>
        <w:tc>
          <w:tcPr>
            <w:tcW w:w="986" w:type="dxa"/>
            <w:vAlign w:val="center"/>
          </w:tcPr>
          <w:p w14:paraId="24FCEAD5">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公斤</w:t>
            </w:r>
          </w:p>
        </w:tc>
        <w:tc>
          <w:tcPr>
            <w:tcW w:w="718" w:type="dxa"/>
            <w:vAlign w:val="center"/>
          </w:tcPr>
          <w:p w14:paraId="15C9BA2F">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200</w:t>
            </w:r>
          </w:p>
        </w:tc>
        <w:tc>
          <w:tcPr>
            <w:tcW w:w="1354" w:type="dxa"/>
            <w:vAlign w:val="center"/>
          </w:tcPr>
          <w:p w14:paraId="76F85784">
            <w:pPr>
              <w:widowControl/>
              <w:jc w:val="center"/>
              <w:textAlignment w:val="center"/>
              <w:rPr>
                <w:rFonts w:ascii="宋体" w:hAnsi="宋体" w:cs="宋体"/>
                <w:szCs w:val="21"/>
              </w:rPr>
            </w:pPr>
            <w:r>
              <w:rPr>
                <w:rFonts w:hint="eastAsia" w:ascii="宋体" w:hAnsi="宋体" w:cs="宋体"/>
                <w:kern w:val="0"/>
                <w:sz w:val="20"/>
                <w:szCs w:val="20"/>
                <w:lang w:bidi="ar"/>
              </w:rPr>
              <w:t xml:space="preserve">15.50 </w:t>
            </w:r>
          </w:p>
        </w:tc>
        <w:tc>
          <w:tcPr>
            <w:tcW w:w="1276" w:type="dxa"/>
            <w:vAlign w:val="center"/>
          </w:tcPr>
          <w:p w14:paraId="304256DE">
            <w:pPr>
              <w:widowControl/>
              <w:jc w:val="center"/>
              <w:textAlignment w:val="center"/>
              <w:rPr>
                <w:rFonts w:ascii="宋体" w:hAnsi="宋体" w:cs="宋体"/>
                <w:szCs w:val="21"/>
              </w:rPr>
            </w:pPr>
            <w:r>
              <w:rPr>
                <w:rFonts w:hint="eastAsia" w:ascii="宋体" w:hAnsi="宋体" w:cs="宋体"/>
                <w:kern w:val="0"/>
                <w:sz w:val="20"/>
                <w:szCs w:val="20"/>
                <w:lang w:bidi="ar"/>
              </w:rPr>
              <w:t xml:space="preserve">3100 </w:t>
            </w:r>
          </w:p>
        </w:tc>
        <w:tc>
          <w:tcPr>
            <w:tcW w:w="3286" w:type="dxa"/>
            <w:vAlign w:val="center"/>
          </w:tcPr>
          <w:p w14:paraId="7C0B5C7C">
            <w:pPr>
              <w:widowControl/>
              <w:jc w:val="left"/>
              <w:textAlignment w:val="center"/>
              <w:rPr>
                <w:rFonts w:ascii="宋体" w:hAnsi="宋体" w:cs="宋体"/>
                <w:szCs w:val="21"/>
              </w:rPr>
            </w:pPr>
            <w:r>
              <w:rPr>
                <w:rFonts w:hint="eastAsia" w:ascii="宋体" w:hAnsi="宋体" w:cs="宋体"/>
                <w:kern w:val="0"/>
                <w:sz w:val="20"/>
                <w:szCs w:val="20"/>
                <w:lang w:bidi="ar"/>
              </w:rPr>
              <w:t>要求是经过工商部门登记注册的厂家生产、品质良好，包装密封、无毒、无害，包装正面印有生产厂家、生产日期、保质期等字样。需符合食品安全国家标准。</w:t>
            </w:r>
          </w:p>
        </w:tc>
      </w:tr>
      <w:tr w14:paraId="7C08A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75" w:type="dxa"/>
            <w:vMerge w:val="continue"/>
            <w:vAlign w:val="center"/>
          </w:tcPr>
          <w:p w14:paraId="104B742C">
            <w:pPr>
              <w:spacing w:line="380" w:lineRule="exact"/>
              <w:jc w:val="center"/>
              <w:rPr>
                <w:rFonts w:ascii="宋体" w:hAnsi="宋体" w:cs="宋体"/>
                <w:szCs w:val="21"/>
              </w:rPr>
            </w:pPr>
          </w:p>
        </w:tc>
        <w:tc>
          <w:tcPr>
            <w:tcW w:w="593" w:type="dxa"/>
            <w:tcMar>
              <w:top w:w="0" w:type="dxa"/>
              <w:left w:w="0" w:type="dxa"/>
              <w:bottom w:w="0" w:type="dxa"/>
              <w:right w:w="0" w:type="dxa"/>
            </w:tcMar>
            <w:vAlign w:val="center"/>
          </w:tcPr>
          <w:p w14:paraId="39B471C9">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28</w:t>
            </w:r>
          </w:p>
        </w:tc>
        <w:tc>
          <w:tcPr>
            <w:tcW w:w="965" w:type="dxa"/>
            <w:vAlign w:val="center"/>
          </w:tcPr>
          <w:p w14:paraId="5A7DEF87">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泡打粉</w:t>
            </w:r>
          </w:p>
        </w:tc>
        <w:tc>
          <w:tcPr>
            <w:tcW w:w="986" w:type="dxa"/>
            <w:vAlign w:val="center"/>
          </w:tcPr>
          <w:p w14:paraId="2C5B0122">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公斤</w:t>
            </w:r>
          </w:p>
        </w:tc>
        <w:tc>
          <w:tcPr>
            <w:tcW w:w="718" w:type="dxa"/>
            <w:vAlign w:val="center"/>
          </w:tcPr>
          <w:p w14:paraId="3A474F31">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200</w:t>
            </w:r>
          </w:p>
        </w:tc>
        <w:tc>
          <w:tcPr>
            <w:tcW w:w="1354" w:type="dxa"/>
            <w:vAlign w:val="center"/>
          </w:tcPr>
          <w:p w14:paraId="5CB5DC79">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 xml:space="preserve">20.40 </w:t>
            </w:r>
          </w:p>
        </w:tc>
        <w:tc>
          <w:tcPr>
            <w:tcW w:w="1276" w:type="dxa"/>
            <w:vAlign w:val="center"/>
          </w:tcPr>
          <w:p w14:paraId="47D7E759">
            <w:pPr>
              <w:widowControl/>
              <w:jc w:val="center"/>
              <w:textAlignment w:val="center"/>
              <w:rPr>
                <w:sz w:val="22"/>
                <w:szCs w:val="22"/>
              </w:rPr>
            </w:pPr>
            <w:r>
              <w:rPr>
                <w:rFonts w:hint="eastAsia" w:ascii="宋体" w:hAnsi="宋体" w:cs="宋体"/>
                <w:kern w:val="0"/>
                <w:sz w:val="20"/>
                <w:szCs w:val="20"/>
                <w:lang w:bidi="ar"/>
              </w:rPr>
              <w:t xml:space="preserve">4080 </w:t>
            </w:r>
          </w:p>
        </w:tc>
        <w:tc>
          <w:tcPr>
            <w:tcW w:w="3286" w:type="dxa"/>
            <w:vAlign w:val="center"/>
          </w:tcPr>
          <w:p w14:paraId="40D30F8F">
            <w:pPr>
              <w:widowControl/>
              <w:jc w:val="left"/>
              <w:textAlignment w:val="center"/>
              <w:rPr>
                <w:rFonts w:ascii="宋体" w:hAnsi="宋体" w:cs="宋体"/>
                <w:szCs w:val="21"/>
              </w:rPr>
            </w:pPr>
            <w:r>
              <w:rPr>
                <w:rFonts w:hint="eastAsia" w:ascii="宋体" w:hAnsi="宋体" w:cs="宋体"/>
                <w:kern w:val="0"/>
                <w:sz w:val="20"/>
                <w:szCs w:val="20"/>
                <w:lang w:bidi="ar"/>
              </w:rPr>
              <w:t>要求是经过工商部门登记注册的厂家生产、品质良好，包装密封、无毒、无害，包装正面印有生产厂家、生产日期、保质期等字样。需符合食品安全国家标准。</w:t>
            </w:r>
          </w:p>
        </w:tc>
      </w:tr>
      <w:tr w14:paraId="09A7A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75" w:type="dxa"/>
            <w:vMerge w:val="continue"/>
            <w:vAlign w:val="center"/>
          </w:tcPr>
          <w:p w14:paraId="73D6415D">
            <w:pPr>
              <w:spacing w:line="380" w:lineRule="exact"/>
              <w:jc w:val="center"/>
              <w:rPr>
                <w:rFonts w:ascii="宋体" w:hAnsi="宋体" w:cs="宋体"/>
                <w:szCs w:val="21"/>
              </w:rPr>
            </w:pPr>
          </w:p>
        </w:tc>
        <w:tc>
          <w:tcPr>
            <w:tcW w:w="593" w:type="dxa"/>
            <w:tcMar>
              <w:top w:w="0" w:type="dxa"/>
              <w:left w:w="0" w:type="dxa"/>
              <w:bottom w:w="0" w:type="dxa"/>
              <w:right w:w="0" w:type="dxa"/>
            </w:tcMar>
            <w:vAlign w:val="center"/>
          </w:tcPr>
          <w:p w14:paraId="7D96942D">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29</w:t>
            </w:r>
          </w:p>
        </w:tc>
        <w:tc>
          <w:tcPr>
            <w:tcW w:w="965" w:type="dxa"/>
            <w:vAlign w:val="center"/>
          </w:tcPr>
          <w:p w14:paraId="14BF8B3F">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酵母</w:t>
            </w:r>
          </w:p>
        </w:tc>
        <w:tc>
          <w:tcPr>
            <w:tcW w:w="986" w:type="dxa"/>
            <w:vAlign w:val="center"/>
          </w:tcPr>
          <w:p w14:paraId="134D9DF8">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公斤</w:t>
            </w:r>
          </w:p>
        </w:tc>
        <w:tc>
          <w:tcPr>
            <w:tcW w:w="718" w:type="dxa"/>
            <w:vAlign w:val="center"/>
          </w:tcPr>
          <w:p w14:paraId="23B201C5">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200</w:t>
            </w:r>
          </w:p>
        </w:tc>
        <w:tc>
          <w:tcPr>
            <w:tcW w:w="1354" w:type="dxa"/>
            <w:vAlign w:val="center"/>
          </w:tcPr>
          <w:p w14:paraId="7EFAB1C3">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 xml:space="preserve">35.90 </w:t>
            </w:r>
          </w:p>
        </w:tc>
        <w:tc>
          <w:tcPr>
            <w:tcW w:w="1276" w:type="dxa"/>
            <w:vAlign w:val="center"/>
          </w:tcPr>
          <w:p w14:paraId="728285D1">
            <w:pPr>
              <w:widowControl/>
              <w:jc w:val="center"/>
              <w:textAlignment w:val="center"/>
              <w:rPr>
                <w:sz w:val="22"/>
                <w:szCs w:val="22"/>
              </w:rPr>
            </w:pPr>
            <w:r>
              <w:rPr>
                <w:rFonts w:hint="eastAsia" w:ascii="宋体" w:hAnsi="宋体" w:cs="宋体"/>
                <w:kern w:val="0"/>
                <w:sz w:val="20"/>
                <w:szCs w:val="20"/>
                <w:lang w:bidi="ar"/>
              </w:rPr>
              <w:t xml:space="preserve">7180 </w:t>
            </w:r>
          </w:p>
        </w:tc>
        <w:tc>
          <w:tcPr>
            <w:tcW w:w="3286" w:type="dxa"/>
            <w:vAlign w:val="center"/>
          </w:tcPr>
          <w:p w14:paraId="1454860F">
            <w:pPr>
              <w:widowControl/>
              <w:jc w:val="left"/>
              <w:textAlignment w:val="center"/>
              <w:rPr>
                <w:rFonts w:ascii="宋体" w:hAnsi="宋体" w:cs="宋体"/>
                <w:szCs w:val="21"/>
              </w:rPr>
            </w:pPr>
            <w:r>
              <w:rPr>
                <w:rFonts w:hint="eastAsia" w:ascii="宋体" w:hAnsi="宋体" w:cs="宋体"/>
                <w:kern w:val="0"/>
                <w:sz w:val="20"/>
                <w:szCs w:val="20"/>
                <w:lang w:bidi="ar"/>
              </w:rPr>
              <w:t>要求是经过工商部门登记注册的厂家生产、品质良好，包装密封、无毒、无害，包装正面印有生产厂家、生产日期、保质期等字样。需符合食品安全国家标准。</w:t>
            </w:r>
          </w:p>
        </w:tc>
      </w:tr>
      <w:tr w14:paraId="7BF16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75" w:type="dxa"/>
            <w:vMerge w:val="continue"/>
            <w:vAlign w:val="center"/>
          </w:tcPr>
          <w:p w14:paraId="00A16115">
            <w:pPr>
              <w:spacing w:line="380" w:lineRule="exact"/>
              <w:jc w:val="center"/>
              <w:rPr>
                <w:rFonts w:ascii="宋体" w:hAnsi="宋体" w:cs="宋体"/>
                <w:szCs w:val="21"/>
              </w:rPr>
            </w:pPr>
          </w:p>
        </w:tc>
        <w:tc>
          <w:tcPr>
            <w:tcW w:w="593" w:type="dxa"/>
            <w:tcMar>
              <w:top w:w="0" w:type="dxa"/>
              <w:left w:w="0" w:type="dxa"/>
              <w:bottom w:w="0" w:type="dxa"/>
              <w:right w:w="0" w:type="dxa"/>
            </w:tcMar>
            <w:vAlign w:val="center"/>
          </w:tcPr>
          <w:p w14:paraId="4A160E76">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30</w:t>
            </w:r>
          </w:p>
        </w:tc>
        <w:tc>
          <w:tcPr>
            <w:tcW w:w="965" w:type="dxa"/>
            <w:vAlign w:val="center"/>
          </w:tcPr>
          <w:p w14:paraId="4B35A8AC">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蚝油</w:t>
            </w:r>
          </w:p>
        </w:tc>
        <w:tc>
          <w:tcPr>
            <w:tcW w:w="986" w:type="dxa"/>
            <w:vAlign w:val="center"/>
          </w:tcPr>
          <w:p w14:paraId="6494B1B0">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瓶</w:t>
            </w:r>
          </w:p>
        </w:tc>
        <w:tc>
          <w:tcPr>
            <w:tcW w:w="718" w:type="dxa"/>
            <w:vAlign w:val="center"/>
          </w:tcPr>
          <w:p w14:paraId="377199A9">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500</w:t>
            </w:r>
          </w:p>
        </w:tc>
        <w:tc>
          <w:tcPr>
            <w:tcW w:w="1354" w:type="dxa"/>
            <w:vAlign w:val="center"/>
          </w:tcPr>
          <w:p w14:paraId="1C20B161">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 xml:space="preserve">34.40 </w:t>
            </w:r>
          </w:p>
        </w:tc>
        <w:tc>
          <w:tcPr>
            <w:tcW w:w="1276" w:type="dxa"/>
            <w:vAlign w:val="center"/>
          </w:tcPr>
          <w:p w14:paraId="2D418692">
            <w:pPr>
              <w:widowControl/>
              <w:jc w:val="center"/>
              <w:textAlignment w:val="center"/>
              <w:rPr>
                <w:sz w:val="22"/>
                <w:szCs w:val="22"/>
              </w:rPr>
            </w:pPr>
            <w:r>
              <w:rPr>
                <w:rFonts w:hint="eastAsia" w:ascii="宋体" w:hAnsi="宋体" w:cs="宋体"/>
                <w:kern w:val="0"/>
                <w:sz w:val="20"/>
                <w:szCs w:val="20"/>
                <w:lang w:bidi="ar"/>
              </w:rPr>
              <w:t xml:space="preserve">17200 </w:t>
            </w:r>
          </w:p>
        </w:tc>
        <w:tc>
          <w:tcPr>
            <w:tcW w:w="3286" w:type="dxa"/>
            <w:vAlign w:val="center"/>
          </w:tcPr>
          <w:p w14:paraId="45D44895">
            <w:pPr>
              <w:widowControl/>
              <w:jc w:val="left"/>
              <w:textAlignment w:val="center"/>
              <w:rPr>
                <w:rFonts w:ascii="宋体" w:hAnsi="宋体" w:cs="宋体"/>
                <w:szCs w:val="21"/>
              </w:rPr>
            </w:pPr>
            <w:r>
              <w:rPr>
                <w:rFonts w:hint="eastAsia" w:ascii="宋体" w:hAnsi="宋体" w:cs="宋体"/>
                <w:kern w:val="0"/>
                <w:sz w:val="20"/>
                <w:szCs w:val="20"/>
                <w:lang w:bidi="ar"/>
              </w:rPr>
              <w:t>规格要求6千克/瓶及以上，要求是经过工商部门登记注册的厂家生产、品质良好，包装密封、无毒、无害，包装正面印有生产厂家、生产日期、保质期等字样。需符合食品安全国家标准。</w:t>
            </w:r>
          </w:p>
        </w:tc>
      </w:tr>
      <w:tr w14:paraId="4EA92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75" w:type="dxa"/>
            <w:vMerge w:val="continue"/>
            <w:vAlign w:val="center"/>
          </w:tcPr>
          <w:p w14:paraId="775BBBA8">
            <w:pPr>
              <w:spacing w:line="380" w:lineRule="exact"/>
              <w:jc w:val="center"/>
              <w:rPr>
                <w:rFonts w:ascii="宋体" w:hAnsi="宋体" w:cs="宋体"/>
                <w:szCs w:val="21"/>
              </w:rPr>
            </w:pPr>
          </w:p>
        </w:tc>
        <w:tc>
          <w:tcPr>
            <w:tcW w:w="593" w:type="dxa"/>
            <w:tcMar>
              <w:top w:w="0" w:type="dxa"/>
              <w:left w:w="0" w:type="dxa"/>
              <w:bottom w:w="0" w:type="dxa"/>
              <w:right w:w="0" w:type="dxa"/>
            </w:tcMar>
            <w:vAlign w:val="center"/>
          </w:tcPr>
          <w:p w14:paraId="153B08C1">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31</w:t>
            </w:r>
          </w:p>
        </w:tc>
        <w:tc>
          <w:tcPr>
            <w:tcW w:w="965" w:type="dxa"/>
            <w:vAlign w:val="center"/>
          </w:tcPr>
          <w:p w14:paraId="14CB9D2C">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生抽</w:t>
            </w:r>
          </w:p>
        </w:tc>
        <w:tc>
          <w:tcPr>
            <w:tcW w:w="986" w:type="dxa"/>
            <w:vAlign w:val="center"/>
          </w:tcPr>
          <w:p w14:paraId="62595848">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瓶</w:t>
            </w:r>
          </w:p>
        </w:tc>
        <w:tc>
          <w:tcPr>
            <w:tcW w:w="718" w:type="dxa"/>
            <w:vAlign w:val="center"/>
          </w:tcPr>
          <w:p w14:paraId="189C9DF2">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500</w:t>
            </w:r>
          </w:p>
        </w:tc>
        <w:tc>
          <w:tcPr>
            <w:tcW w:w="1354" w:type="dxa"/>
            <w:vAlign w:val="center"/>
          </w:tcPr>
          <w:p w14:paraId="4B6413F2">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 xml:space="preserve">31.00 </w:t>
            </w:r>
          </w:p>
        </w:tc>
        <w:tc>
          <w:tcPr>
            <w:tcW w:w="1276" w:type="dxa"/>
            <w:vAlign w:val="center"/>
          </w:tcPr>
          <w:p w14:paraId="595E0C3F">
            <w:pPr>
              <w:widowControl/>
              <w:jc w:val="center"/>
              <w:textAlignment w:val="center"/>
              <w:rPr>
                <w:sz w:val="22"/>
                <w:szCs w:val="22"/>
              </w:rPr>
            </w:pPr>
            <w:r>
              <w:rPr>
                <w:rFonts w:hint="eastAsia" w:ascii="宋体" w:hAnsi="宋体" w:cs="宋体"/>
                <w:kern w:val="0"/>
                <w:sz w:val="20"/>
                <w:szCs w:val="20"/>
                <w:lang w:bidi="ar"/>
              </w:rPr>
              <w:t xml:space="preserve">15500 </w:t>
            </w:r>
          </w:p>
        </w:tc>
        <w:tc>
          <w:tcPr>
            <w:tcW w:w="3286" w:type="dxa"/>
            <w:vAlign w:val="center"/>
          </w:tcPr>
          <w:p w14:paraId="0808A4DB">
            <w:pPr>
              <w:widowControl/>
              <w:jc w:val="left"/>
              <w:textAlignment w:val="center"/>
              <w:rPr>
                <w:rFonts w:ascii="宋体" w:hAnsi="宋体" w:cs="宋体"/>
                <w:szCs w:val="21"/>
              </w:rPr>
            </w:pPr>
            <w:r>
              <w:rPr>
                <w:rFonts w:hint="eastAsia" w:ascii="宋体" w:hAnsi="宋体" w:cs="宋体"/>
                <w:kern w:val="0"/>
                <w:sz w:val="20"/>
                <w:szCs w:val="20"/>
                <w:lang w:bidi="ar"/>
              </w:rPr>
              <w:t>规格要求5升/瓶及以上，要求是经过工商部门登记注册的厂家生产、品质良好，包装密封、无毒、无害，包装正面印有生产厂家、生产日期、保质期等字样。需符合食品安全国家标准。</w:t>
            </w:r>
          </w:p>
        </w:tc>
      </w:tr>
      <w:tr w14:paraId="7EDE9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75" w:type="dxa"/>
            <w:vMerge w:val="continue"/>
            <w:vAlign w:val="center"/>
          </w:tcPr>
          <w:p w14:paraId="499C6FA5">
            <w:pPr>
              <w:spacing w:line="380" w:lineRule="exact"/>
              <w:jc w:val="center"/>
              <w:rPr>
                <w:rFonts w:ascii="宋体" w:hAnsi="宋体" w:cs="宋体"/>
                <w:szCs w:val="21"/>
              </w:rPr>
            </w:pPr>
          </w:p>
        </w:tc>
        <w:tc>
          <w:tcPr>
            <w:tcW w:w="593" w:type="dxa"/>
            <w:tcMar>
              <w:top w:w="0" w:type="dxa"/>
              <w:left w:w="0" w:type="dxa"/>
              <w:bottom w:w="0" w:type="dxa"/>
              <w:right w:w="0" w:type="dxa"/>
            </w:tcMar>
            <w:vAlign w:val="center"/>
          </w:tcPr>
          <w:p w14:paraId="1173F82B">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32</w:t>
            </w:r>
          </w:p>
        </w:tc>
        <w:tc>
          <w:tcPr>
            <w:tcW w:w="965" w:type="dxa"/>
            <w:vAlign w:val="center"/>
          </w:tcPr>
          <w:p w14:paraId="29043A54">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老抽</w:t>
            </w:r>
          </w:p>
        </w:tc>
        <w:tc>
          <w:tcPr>
            <w:tcW w:w="986" w:type="dxa"/>
            <w:vAlign w:val="center"/>
          </w:tcPr>
          <w:p w14:paraId="223E5E8B">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瓶</w:t>
            </w:r>
          </w:p>
        </w:tc>
        <w:tc>
          <w:tcPr>
            <w:tcW w:w="718" w:type="dxa"/>
            <w:vAlign w:val="center"/>
          </w:tcPr>
          <w:p w14:paraId="4DBDAC8C">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500</w:t>
            </w:r>
          </w:p>
        </w:tc>
        <w:tc>
          <w:tcPr>
            <w:tcW w:w="1354" w:type="dxa"/>
            <w:vAlign w:val="center"/>
          </w:tcPr>
          <w:p w14:paraId="00915D97">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 xml:space="preserve">25.70 </w:t>
            </w:r>
          </w:p>
        </w:tc>
        <w:tc>
          <w:tcPr>
            <w:tcW w:w="1276" w:type="dxa"/>
            <w:vAlign w:val="center"/>
          </w:tcPr>
          <w:p w14:paraId="63C01E74">
            <w:pPr>
              <w:widowControl/>
              <w:jc w:val="center"/>
              <w:textAlignment w:val="center"/>
              <w:rPr>
                <w:sz w:val="22"/>
                <w:szCs w:val="22"/>
              </w:rPr>
            </w:pPr>
            <w:r>
              <w:rPr>
                <w:rFonts w:hint="eastAsia" w:ascii="宋体" w:hAnsi="宋体" w:cs="宋体"/>
                <w:kern w:val="0"/>
                <w:sz w:val="20"/>
                <w:szCs w:val="20"/>
                <w:lang w:bidi="ar"/>
              </w:rPr>
              <w:t xml:space="preserve">12850 </w:t>
            </w:r>
          </w:p>
        </w:tc>
        <w:tc>
          <w:tcPr>
            <w:tcW w:w="3286" w:type="dxa"/>
            <w:vAlign w:val="center"/>
          </w:tcPr>
          <w:p w14:paraId="5C5D359C">
            <w:pPr>
              <w:widowControl/>
              <w:jc w:val="left"/>
              <w:textAlignment w:val="center"/>
              <w:rPr>
                <w:rFonts w:ascii="宋体" w:hAnsi="宋体" w:cs="宋体"/>
                <w:szCs w:val="21"/>
              </w:rPr>
            </w:pPr>
            <w:r>
              <w:rPr>
                <w:rFonts w:hint="eastAsia" w:ascii="宋体" w:hAnsi="宋体" w:cs="宋体"/>
                <w:kern w:val="0"/>
                <w:sz w:val="20"/>
                <w:szCs w:val="20"/>
                <w:lang w:bidi="ar"/>
              </w:rPr>
              <w:t>规格要求4.9升/瓶及以上，要求是经过工商部门登记注册的厂家生产、品质良好，包装密封、无毒、无害，包装正面印有生产厂家、生产日期、保质期等字样。需符合食品安全国家标准。</w:t>
            </w:r>
          </w:p>
        </w:tc>
      </w:tr>
      <w:tr w14:paraId="5DD64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475" w:type="dxa"/>
            <w:vMerge w:val="continue"/>
            <w:vAlign w:val="center"/>
          </w:tcPr>
          <w:p w14:paraId="3C17B584">
            <w:pPr>
              <w:spacing w:line="380" w:lineRule="exact"/>
              <w:jc w:val="center"/>
              <w:rPr>
                <w:rFonts w:ascii="宋体" w:hAnsi="宋体" w:cs="宋体"/>
                <w:szCs w:val="21"/>
              </w:rPr>
            </w:pPr>
          </w:p>
        </w:tc>
        <w:tc>
          <w:tcPr>
            <w:tcW w:w="593" w:type="dxa"/>
            <w:tcMar>
              <w:top w:w="0" w:type="dxa"/>
              <w:left w:w="0" w:type="dxa"/>
              <w:bottom w:w="0" w:type="dxa"/>
              <w:right w:w="0" w:type="dxa"/>
            </w:tcMar>
            <w:vAlign w:val="center"/>
          </w:tcPr>
          <w:p w14:paraId="749B5BE5">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33</w:t>
            </w:r>
          </w:p>
        </w:tc>
        <w:tc>
          <w:tcPr>
            <w:tcW w:w="965" w:type="dxa"/>
            <w:vAlign w:val="center"/>
          </w:tcPr>
          <w:p w14:paraId="07216352">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米醋</w:t>
            </w:r>
          </w:p>
        </w:tc>
        <w:tc>
          <w:tcPr>
            <w:tcW w:w="986" w:type="dxa"/>
            <w:vAlign w:val="center"/>
          </w:tcPr>
          <w:p w14:paraId="26EBEF79">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瓶</w:t>
            </w:r>
          </w:p>
        </w:tc>
        <w:tc>
          <w:tcPr>
            <w:tcW w:w="718" w:type="dxa"/>
            <w:vAlign w:val="center"/>
          </w:tcPr>
          <w:p w14:paraId="444EAEA7">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300</w:t>
            </w:r>
          </w:p>
        </w:tc>
        <w:tc>
          <w:tcPr>
            <w:tcW w:w="1354" w:type="dxa"/>
            <w:vAlign w:val="center"/>
          </w:tcPr>
          <w:p w14:paraId="198F1144">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 xml:space="preserve">12.40 </w:t>
            </w:r>
          </w:p>
        </w:tc>
        <w:tc>
          <w:tcPr>
            <w:tcW w:w="1276" w:type="dxa"/>
            <w:vAlign w:val="center"/>
          </w:tcPr>
          <w:p w14:paraId="209613F4">
            <w:pPr>
              <w:widowControl/>
              <w:jc w:val="center"/>
              <w:textAlignment w:val="center"/>
              <w:rPr>
                <w:sz w:val="22"/>
                <w:szCs w:val="22"/>
              </w:rPr>
            </w:pPr>
            <w:r>
              <w:rPr>
                <w:rFonts w:hint="eastAsia" w:ascii="宋体" w:hAnsi="宋体" w:cs="宋体"/>
                <w:kern w:val="0"/>
                <w:sz w:val="20"/>
                <w:szCs w:val="20"/>
                <w:lang w:bidi="ar"/>
              </w:rPr>
              <w:t xml:space="preserve">3720 </w:t>
            </w:r>
          </w:p>
        </w:tc>
        <w:tc>
          <w:tcPr>
            <w:tcW w:w="3286" w:type="dxa"/>
            <w:vAlign w:val="center"/>
          </w:tcPr>
          <w:p w14:paraId="38883E99">
            <w:pPr>
              <w:widowControl/>
              <w:jc w:val="left"/>
              <w:textAlignment w:val="center"/>
              <w:rPr>
                <w:rFonts w:ascii="宋体" w:hAnsi="宋体" w:cs="宋体"/>
                <w:szCs w:val="21"/>
              </w:rPr>
            </w:pPr>
            <w:r>
              <w:rPr>
                <w:rFonts w:hint="eastAsia" w:ascii="宋体" w:hAnsi="宋体" w:cs="宋体"/>
                <w:kern w:val="0"/>
                <w:sz w:val="20"/>
                <w:szCs w:val="20"/>
                <w:lang w:bidi="ar"/>
              </w:rPr>
              <w:t>规格要求1.9升/瓶及以上，要求是经过工商部门登记注册的厂家生产、品质良好，包装密封、无毒、无害，包装正面印有生产厂家、生产日期、保质期等字样。需符合食品安全国家标准。</w:t>
            </w:r>
          </w:p>
        </w:tc>
      </w:tr>
      <w:tr w14:paraId="614D2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475" w:type="dxa"/>
          </w:tcPr>
          <w:p w14:paraId="01791901">
            <w:pPr>
              <w:spacing w:line="380" w:lineRule="exact"/>
              <w:jc w:val="center"/>
              <w:rPr>
                <w:rFonts w:ascii="宋体" w:hAnsi="宋体" w:cs="宋体"/>
                <w:szCs w:val="21"/>
              </w:rPr>
            </w:pPr>
          </w:p>
          <w:p w14:paraId="1DC0F7E8">
            <w:pPr>
              <w:spacing w:line="380" w:lineRule="exact"/>
              <w:jc w:val="center"/>
              <w:rPr>
                <w:rFonts w:ascii="宋体" w:hAnsi="宋体" w:cs="宋体"/>
                <w:szCs w:val="21"/>
              </w:rPr>
            </w:pPr>
          </w:p>
          <w:p w14:paraId="0EF35022">
            <w:pPr>
              <w:spacing w:line="380" w:lineRule="exact"/>
              <w:jc w:val="center"/>
              <w:rPr>
                <w:rFonts w:ascii="宋体" w:hAnsi="宋体" w:cs="宋体"/>
                <w:szCs w:val="21"/>
              </w:rPr>
            </w:pPr>
            <w:r>
              <w:rPr>
                <w:rFonts w:hint="eastAsia" w:ascii="宋体" w:hAnsi="宋体" w:cs="宋体"/>
                <w:szCs w:val="21"/>
              </w:rPr>
              <w:t>商务条款</w:t>
            </w:r>
          </w:p>
        </w:tc>
        <w:tc>
          <w:tcPr>
            <w:tcW w:w="9178" w:type="dxa"/>
            <w:gridSpan w:val="7"/>
          </w:tcPr>
          <w:p w14:paraId="2755E6F5">
            <w:pPr>
              <w:spacing w:line="360" w:lineRule="auto"/>
              <w:rPr>
                <w:szCs w:val="21"/>
              </w:rPr>
            </w:pPr>
            <w:r>
              <w:rPr>
                <w:rFonts w:hint="eastAsia" w:ascii="宋体" w:hAnsi="宋体" w:cs="宋体"/>
                <w:szCs w:val="21"/>
              </w:rPr>
              <w:t>▲</w:t>
            </w:r>
            <w:r>
              <w:rPr>
                <w:rFonts w:hint="eastAsia"/>
                <w:szCs w:val="21"/>
              </w:rPr>
              <w:t>1．报价要求</w:t>
            </w:r>
          </w:p>
          <w:p w14:paraId="258A027C">
            <w:pPr>
              <w:spacing w:line="360" w:lineRule="auto"/>
              <w:rPr>
                <w:rFonts w:ascii="宋体" w:hAnsi="宋体" w:cs="宋体"/>
                <w:szCs w:val="21"/>
              </w:rPr>
            </w:pPr>
            <w:r>
              <w:rPr>
                <w:rFonts w:hint="eastAsia" w:ascii="宋体" w:hAnsi="宋体" w:cs="宋体"/>
                <w:szCs w:val="21"/>
              </w:rPr>
              <w:t>（1）投标报价按投标折扣系数报价，供应商的投标单价为招标基准单价×投标报价折扣系数。报价包括货物及服务采购、检验检测、包装、运输、仓储、人工费及招标代理费等各种费用和售后服务、税金及其它所有成本费用的总和。采购人不再支付任何费用。</w:t>
            </w:r>
            <w:r>
              <w:rPr>
                <w:rFonts w:hint="eastAsia" w:ascii="宋体" w:hAnsi="宋体" w:cs="宋体"/>
                <w:b/>
                <w:szCs w:val="21"/>
              </w:rPr>
              <w:t>投标人的投标报价折扣系数必须≤100%，否则，投标文件按无效处理；投标文件只允许有一个报价方案，有选择的或有条件的报价将不予接受。</w:t>
            </w:r>
          </w:p>
          <w:p w14:paraId="3A8E1717">
            <w:pPr>
              <w:spacing w:line="360" w:lineRule="auto"/>
              <w:rPr>
                <w:rFonts w:ascii="宋体" w:hAnsi="宋体" w:cs="宋体"/>
                <w:szCs w:val="21"/>
              </w:rPr>
            </w:pPr>
            <w:r>
              <w:rPr>
                <w:rFonts w:hint="eastAsia" w:ascii="宋体" w:hAnsi="宋体" w:cs="宋体"/>
                <w:szCs w:val="21"/>
              </w:rPr>
              <w:t>（2）本项目采用单价控制，即供应商的各项货物单价报价不能超出采购需求表中给出的招标基准单价，否则投标无效。</w:t>
            </w:r>
          </w:p>
          <w:p w14:paraId="7818ACD9">
            <w:pPr>
              <w:spacing w:line="360" w:lineRule="auto"/>
              <w:rPr>
                <w:rFonts w:ascii="宋体" w:hAnsi="宋体" w:cs="宋体"/>
                <w:szCs w:val="21"/>
              </w:rPr>
            </w:pPr>
            <w:r>
              <w:rPr>
                <w:rFonts w:hint="eastAsia" w:ascii="宋体" w:hAnsi="宋体" w:cs="宋体"/>
                <w:szCs w:val="21"/>
              </w:rPr>
              <w:t>（3）该分标在合同期内不予调价。</w:t>
            </w:r>
          </w:p>
          <w:p w14:paraId="65AC011B">
            <w:pPr>
              <w:spacing w:line="360" w:lineRule="auto"/>
              <w:rPr>
                <w:szCs w:val="21"/>
              </w:rPr>
            </w:pPr>
            <w:r>
              <w:rPr>
                <w:rFonts w:hint="eastAsia" w:ascii="宋体" w:hAnsi="宋体" w:cs="宋体"/>
                <w:szCs w:val="21"/>
              </w:rPr>
              <w:t>（4）以上采购数量为采购人一年的预计采购量。上述采购数量仅作为参考，实际采购数量根据采购人的实际需求确定，供应商不得因实际供应量与中标数量不一致提出异议。</w:t>
            </w:r>
          </w:p>
          <w:p w14:paraId="12B367D1">
            <w:pPr>
              <w:spacing w:line="360" w:lineRule="auto"/>
              <w:rPr>
                <w:szCs w:val="21"/>
              </w:rPr>
            </w:pPr>
            <w:r>
              <w:rPr>
                <w:rFonts w:hint="eastAsia" w:ascii="宋体" w:hAnsi="宋体" w:cs="宋体"/>
                <w:szCs w:val="21"/>
              </w:rPr>
              <w:t>▲</w:t>
            </w:r>
            <w:r>
              <w:rPr>
                <w:rFonts w:hint="eastAsia"/>
                <w:szCs w:val="21"/>
              </w:rPr>
              <w:t>2.合同签订日期</w:t>
            </w:r>
          </w:p>
          <w:p w14:paraId="07A26BD6">
            <w:pPr>
              <w:spacing w:line="360" w:lineRule="auto"/>
              <w:rPr>
                <w:szCs w:val="21"/>
              </w:rPr>
            </w:pPr>
            <w:r>
              <w:rPr>
                <w:rFonts w:hint="eastAsia"/>
                <w:szCs w:val="21"/>
              </w:rPr>
              <w:t>中标通知书发出后25日内。</w:t>
            </w:r>
          </w:p>
          <w:p w14:paraId="7D0F98FA">
            <w:pPr>
              <w:spacing w:line="360" w:lineRule="auto"/>
              <w:rPr>
                <w:szCs w:val="21"/>
              </w:rPr>
            </w:pPr>
            <w:r>
              <w:rPr>
                <w:rFonts w:hint="eastAsia" w:ascii="宋体" w:hAnsi="宋体" w:cs="宋体"/>
                <w:szCs w:val="21"/>
              </w:rPr>
              <w:t>▲</w:t>
            </w:r>
            <w:r>
              <w:rPr>
                <w:rFonts w:hint="eastAsia"/>
                <w:szCs w:val="21"/>
              </w:rPr>
              <w:t>3.交货（实施）时间</w:t>
            </w:r>
          </w:p>
          <w:p w14:paraId="5A6C9D6A">
            <w:pPr>
              <w:spacing w:line="360" w:lineRule="auto"/>
              <w:rPr>
                <w:szCs w:val="21"/>
              </w:rPr>
            </w:pPr>
            <w:r>
              <w:rPr>
                <w:rFonts w:hint="eastAsia" w:ascii="宋体" w:hAnsi="宋体" w:cs="宋体"/>
                <w:szCs w:val="21"/>
              </w:rPr>
              <w:t>自签订合同之日起一年。分批次供货，按采购人采购计划规定的时间供货。</w:t>
            </w:r>
          </w:p>
          <w:p w14:paraId="13DFC93F">
            <w:pPr>
              <w:spacing w:line="360" w:lineRule="auto"/>
              <w:rPr>
                <w:szCs w:val="21"/>
              </w:rPr>
            </w:pPr>
            <w:r>
              <w:rPr>
                <w:rFonts w:hint="eastAsia"/>
                <w:szCs w:val="21"/>
              </w:rPr>
              <w:t>4.交货地点或服务地点</w:t>
            </w:r>
          </w:p>
          <w:p w14:paraId="0B383248">
            <w:pPr>
              <w:spacing w:line="360" w:lineRule="auto"/>
              <w:rPr>
                <w:szCs w:val="21"/>
              </w:rPr>
            </w:pPr>
            <w:r>
              <w:rPr>
                <w:rFonts w:hint="eastAsia"/>
                <w:szCs w:val="21"/>
              </w:rPr>
              <w:t>广西壮族自治区中渡监狱指定地点</w:t>
            </w:r>
          </w:p>
          <w:p w14:paraId="05EDB712">
            <w:pPr>
              <w:spacing w:line="360" w:lineRule="auto"/>
              <w:rPr>
                <w:szCs w:val="21"/>
              </w:rPr>
            </w:pPr>
            <w:r>
              <w:rPr>
                <w:rFonts w:hint="eastAsia"/>
                <w:szCs w:val="21"/>
              </w:rPr>
              <w:t>5.</w:t>
            </w:r>
            <w:bookmarkStart w:id="24" w:name="_Hlk77607553"/>
            <w:r>
              <w:rPr>
                <w:rFonts w:hint="eastAsia"/>
              </w:rPr>
              <w:t xml:space="preserve"> </w:t>
            </w:r>
            <w:r>
              <w:rPr>
                <w:rFonts w:hint="eastAsia"/>
                <w:szCs w:val="21"/>
              </w:rPr>
              <w:t>配送要求：</w:t>
            </w:r>
          </w:p>
          <w:p w14:paraId="0B94E8E3">
            <w:pPr>
              <w:spacing w:line="360" w:lineRule="auto"/>
              <w:rPr>
                <w:szCs w:val="21"/>
              </w:rPr>
            </w:pPr>
            <w:r>
              <w:rPr>
                <w:rFonts w:hint="eastAsia"/>
                <w:szCs w:val="21"/>
              </w:rPr>
              <w:t>（1）供应商必须按照采购人通知的时间、数量、品种、品质要求及协定的价格准时送货，且不得随意增减数量，否则，采购人有权拒收，且承担相应的经济赔偿。</w:t>
            </w:r>
          </w:p>
          <w:p w14:paraId="6AB6FA8B">
            <w:pPr>
              <w:spacing w:line="360" w:lineRule="auto"/>
              <w:rPr>
                <w:szCs w:val="21"/>
              </w:rPr>
            </w:pPr>
            <w:r>
              <w:rPr>
                <w:rFonts w:hint="eastAsia"/>
                <w:szCs w:val="21"/>
              </w:rPr>
              <w:t>（2）在收到采购人发出订货通知后，供应商最迟在次日上午8时前必须到达监管区大门。</w:t>
            </w:r>
          </w:p>
          <w:p w14:paraId="08B69B8A">
            <w:pPr>
              <w:spacing w:line="360" w:lineRule="auto"/>
              <w:rPr>
                <w:szCs w:val="21"/>
              </w:rPr>
            </w:pPr>
            <w:r>
              <w:rPr>
                <w:rFonts w:hint="eastAsia"/>
                <w:szCs w:val="21"/>
              </w:rPr>
              <w:t>（3）除客观不可抗力外，供应商不得推迟送货。如确需延迟送货，供应商应在得知情况的同时告知采购人并征得采购人的同意。</w:t>
            </w:r>
          </w:p>
          <w:p w14:paraId="6079A5F8">
            <w:pPr>
              <w:spacing w:line="360" w:lineRule="auto"/>
              <w:rPr>
                <w:szCs w:val="21"/>
              </w:rPr>
            </w:pPr>
            <w:r>
              <w:rPr>
                <w:rFonts w:hint="eastAsia"/>
                <w:szCs w:val="21"/>
              </w:rPr>
              <w:t>（4）紧急供货要求：在收到采购人发出紧急供货通知后，供应商最迟2小时内完成当次现场供货。</w:t>
            </w:r>
          </w:p>
          <w:p w14:paraId="35E0F4B5">
            <w:pPr>
              <w:spacing w:line="360" w:lineRule="auto"/>
              <w:rPr>
                <w:szCs w:val="21"/>
              </w:rPr>
            </w:pPr>
            <w:r>
              <w:rPr>
                <w:rFonts w:hint="eastAsia"/>
                <w:szCs w:val="21"/>
              </w:rPr>
              <w:t>（5）供应商必须在双方约定的时间内将货物送到采购方指定的地点，装卸人员由供应商安排，运输、装卸费用由供应商承担，如出现不合格、损坏的情况，由供应商负责及时调换。</w:t>
            </w:r>
          </w:p>
          <w:p w14:paraId="1218A6E3">
            <w:pPr>
              <w:spacing w:line="360" w:lineRule="auto"/>
              <w:rPr>
                <w:szCs w:val="21"/>
              </w:rPr>
            </w:pPr>
            <w:r>
              <w:rPr>
                <w:rFonts w:hint="eastAsia"/>
                <w:szCs w:val="21"/>
              </w:rPr>
              <w:t>（6）供应商必须由有健康证且无犯罪记录证明的固定人员及固定车辆长期送货（本分标至少配备2名固定人员和2辆货车），且必须穿着便于辨认的工衣和配戴胸卡，在办理好进入监区相关手续后不得变动，如临时非固定人员送货，须取得采购方同意。送货专员在采购人单位活动必须严格遵守采购人单位各项规章制度，不得做出有损采购人形象和利益的事情。（投标文件中必须提供固定人员有效的劳动合同扫描件、有效期内的身份证扫描件、有效的健康证扫描件、无犯罪记录证明，拟配备车辆须提供车辆行驶证或机动车登记证及车辆照片扫描件）。</w:t>
            </w:r>
          </w:p>
          <w:p w14:paraId="56C711DA">
            <w:pPr>
              <w:spacing w:line="360" w:lineRule="auto"/>
              <w:rPr>
                <w:szCs w:val="21"/>
              </w:rPr>
            </w:pPr>
            <w:r>
              <w:rPr>
                <w:rFonts w:hint="eastAsia"/>
                <w:szCs w:val="21"/>
              </w:rPr>
              <w:t>（7）供应商可在投标文件中单独提供本分标针对性的配送服务及应急方案。（格式自拟）</w:t>
            </w:r>
          </w:p>
          <w:bookmarkEnd w:id="24"/>
          <w:p w14:paraId="2E04CBA9">
            <w:pPr>
              <w:spacing w:line="360" w:lineRule="auto"/>
              <w:rPr>
                <w:szCs w:val="21"/>
              </w:rPr>
            </w:pPr>
            <w:r>
              <w:rPr>
                <w:rFonts w:hint="eastAsia"/>
                <w:szCs w:val="21"/>
              </w:rPr>
              <w:t>6.供应商提供的货物必须是具有合法销售途径的、完整、新鲜合格产品。货物的技术质量必须符合中华人民共和国农产品质量安全法等有关规定。</w:t>
            </w:r>
          </w:p>
          <w:p w14:paraId="0905E8B7">
            <w:pPr>
              <w:spacing w:line="360" w:lineRule="auto"/>
            </w:pPr>
            <w:r>
              <w:rPr>
                <w:rFonts w:hint="eastAsia"/>
                <w:szCs w:val="21"/>
              </w:rPr>
              <w:t>7.供应商要遵守采购人的防疫采购要求。</w:t>
            </w:r>
          </w:p>
          <w:p w14:paraId="42BD718C">
            <w:pPr>
              <w:spacing w:line="360" w:lineRule="auto"/>
            </w:pPr>
            <w:r>
              <w:rPr>
                <w:rFonts w:hint="eastAsia"/>
              </w:rPr>
              <w:t>8.包装要求：</w:t>
            </w:r>
            <w:r>
              <w:rPr>
                <w:rFonts w:hint="eastAsia"/>
                <w:szCs w:val="21"/>
              </w:rPr>
              <w:t>根据《财政部等三部门联合印发商品包装和快递包装政府采购需求标准（试行）》财办库〔2020〕123号文规定，若投标产品使用塑料、纸质、木质等包装材料时应满足《商品包装政府采购需求标准（试行）》要求，若投标产品需要快递包装，快递封装材料应满足《快递包装政府采购需求标准（试行）》要求。</w:t>
            </w:r>
          </w:p>
          <w:p w14:paraId="78B9E31E">
            <w:pPr>
              <w:spacing w:line="360" w:lineRule="auto"/>
              <w:rPr>
                <w:szCs w:val="21"/>
              </w:rPr>
            </w:pPr>
            <w:r>
              <w:rPr>
                <w:rFonts w:hint="eastAsia"/>
                <w:szCs w:val="21"/>
              </w:rPr>
              <w:t>9.供货时，供应商必须提供以下证明文件：</w:t>
            </w:r>
          </w:p>
          <w:p w14:paraId="0E4AFF3F">
            <w:pPr>
              <w:spacing w:line="360" w:lineRule="auto"/>
              <w:rPr>
                <w:szCs w:val="21"/>
              </w:rPr>
            </w:pPr>
            <w:r>
              <w:rPr>
                <w:rFonts w:hint="eastAsia"/>
                <w:szCs w:val="21"/>
              </w:rPr>
              <w:t>（1）每批货物必须提供相关的质量安全检验合格证明。</w:t>
            </w:r>
          </w:p>
          <w:p w14:paraId="6E2EC569">
            <w:pPr>
              <w:spacing w:line="360" w:lineRule="auto"/>
              <w:rPr>
                <w:szCs w:val="21"/>
              </w:rPr>
            </w:pPr>
            <w:r>
              <w:rPr>
                <w:rFonts w:hint="eastAsia"/>
                <w:szCs w:val="21"/>
              </w:rPr>
              <w:t>（2）供应商每次随货物送上一式两份的送货清单，经双方验收合格后签字确认，双方各执一份，作为送收货凭证。供应商的送货清单必须详细注明商品的单价、数量，送货清单不得涂改。标记不清的，采购人将拒绝签收。结算期末供应商还应提供送货清单供采购人结算。</w:t>
            </w:r>
          </w:p>
          <w:p w14:paraId="13584FD3">
            <w:pPr>
              <w:spacing w:line="360" w:lineRule="auto"/>
              <w:rPr>
                <w:szCs w:val="21"/>
              </w:rPr>
            </w:pPr>
            <w:r>
              <w:rPr>
                <w:rFonts w:hint="eastAsia"/>
                <w:szCs w:val="21"/>
              </w:rPr>
              <w:t>10.交货验收必须由采购人和供应商共同进行，采购人如认为有需要的，可委托相关检验部门对产品进行抽检，自检或检验部门抽检不合格的不给予验收，影响采购人实施进度的将追究相关责任，抽检所产生的费用全部由供应商负责。</w:t>
            </w:r>
          </w:p>
          <w:p w14:paraId="3DFAFCBD">
            <w:pPr>
              <w:spacing w:line="360" w:lineRule="auto"/>
              <w:rPr>
                <w:szCs w:val="21"/>
              </w:rPr>
            </w:pPr>
            <w:r>
              <w:rPr>
                <w:rFonts w:hint="eastAsia"/>
                <w:szCs w:val="21"/>
              </w:rPr>
              <w:t>11.验收工作的一般程序为：根据货物采购清单的具体要求，对所购名称进行清点、外观检查进行实测，并逐项记录。检测结束后，验收人员在验收单上签字。对未能通过验收的，一律退货、更换直至验收合格。</w:t>
            </w:r>
          </w:p>
          <w:p w14:paraId="60BEA325">
            <w:pPr>
              <w:spacing w:line="360" w:lineRule="auto"/>
              <w:rPr>
                <w:szCs w:val="21"/>
              </w:rPr>
            </w:pPr>
            <w:r>
              <w:rPr>
                <w:rFonts w:hint="eastAsia"/>
                <w:szCs w:val="21"/>
              </w:rPr>
              <w:t>12.</w:t>
            </w:r>
            <w:r>
              <w:rPr>
                <w:rFonts w:hint="eastAsia"/>
                <w:color w:val="0000FF"/>
                <w:szCs w:val="21"/>
              </w:rPr>
              <w:t>供应商必须遵守国家保密法规和采购人保密规定要求，未经采购人有关人员允许，不得随意进出各办公场所，不得翻阅文件，不得浏览计算机，不得记录、泄露任何保密信息，否则承担一切法律后果。</w:t>
            </w:r>
            <w:r>
              <w:rPr>
                <w:rFonts w:hint="eastAsia"/>
                <w:szCs w:val="21"/>
              </w:rPr>
              <w:t>泄密造成采购人损失的，供应商将承担由此产生的一切损失和法律责任，供应商必须在投标文件中单独提供承诺函，并由法定代表人（负责人）签字并加盖单位公章（格式自拟）。</w:t>
            </w:r>
          </w:p>
          <w:p w14:paraId="0C859D08">
            <w:pPr>
              <w:spacing w:line="360" w:lineRule="auto"/>
              <w:rPr>
                <w:szCs w:val="21"/>
              </w:rPr>
            </w:pPr>
            <w:r>
              <w:rPr>
                <w:rFonts w:hint="eastAsia"/>
                <w:szCs w:val="21"/>
              </w:rPr>
              <w:t>13.及时落实采购人安排的食材突击供应任务。</w:t>
            </w:r>
          </w:p>
          <w:p w14:paraId="7CE60688">
            <w:pPr>
              <w:spacing w:line="360" w:lineRule="auto"/>
              <w:rPr>
                <w:szCs w:val="21"/>
              </w:rPr>
            </w:pPr>
            <w:r>
              <w:rPr>
                <w:rFonts w:hint="eastAsia"/>
                <w:szCs w:val="21"/>
              </w:rPr>
              <w:t>14.安全责任方面要求</w:t>
            </w:r>
          </w:p>
          <w:p w14:paraId="1F958C50">
            <w:pPr>
              <w:spacing w:line="360" w:lineRule="auto"/>
              <w:rPr>
                <w:szCs w:val="21"/>
              </w:rPr>
            </w:pPr>
            <w:r>
              <w:rPr>
                <w:rFonts w:hint="eastAsia"/>
                <w:szCs w:val="21"/>
              </w:rPr>
              <w:t>（1）供应商应保证所提供的的食品必须是合格安全的食品，因其所送的食品造成食物中毒等事故，立即终止合同，供应商应承担全部责任，同时通过法律途径解决。</w:t>
            </w:r>
          </w:p>
          <w:p w14:paraId="4734AB1C">
            <w:pPr>
              <w:spacing w:line="360" w:lineRule="auto"/>
              <w:rPr>
                <w:szCs w:val="21"/>
              </w:rPr>
            </w:pPr>
            <w:r>
              <w:rPr>
                <w:rFonts w:hint="eastAsia"/>
                <w:szCs w:val="21"/>
              </w:rPr>
              <w:t>（2）供应商应严格遵守《食品安全法》等相关规定，一经发现以下食品，除全部退货外，将取消供货资格，供应商并承担由此造成的经济责任和法律责任：</w:t>
            </w:r>
          </w:p>
          <w:p w14:paraId="4A95270A">
            <w:pPr>
              <w:spacing w:line="360" w:lineRule="auto"/>
              <w:rPr>
                <w:szCs w:val="21"/>
              </w:rPr>
            </w:pPr>
            <w:r>
              <w:rPr>
                <w:rFonts w:hint="eastAsia"/>
                <w:szCs w:val="21"/>
              </w:rPr>
              <w:t>①食材没有合法供货来源的；</w:t>
            </w:r>
          </w:p>
          <w:p w14:paraId="57078A9D">
            <w:pPr>
              <w:spacing w:line="360" w:lineRule="auto"/>
              <w:rPr>
                <w:szCs w:val="21"/>
              </w:rPr>
            </w:pPr>
            <w:r>
              <w:rPr>
                <w:rFonts w:hint="eastAsia"/>
                <w:szCs w:val="21"/>
              </w:rPr>
              <w:t>②腐败变质、霉变、生虫、污秽不洁、混有异物或者其他感官性状异常，对人体健康有害的；</w:t>
            </w:r>
          </w:p>
          <w:p w14:paraId="575D9D06">
            <w:pPr>
              <w:spacing w:line="360" w:lineRule="auto"/>
              <w:rPr>
                <w:szCs w:val="21"/>
              </w:rPr>
            </w:pPr>
            <w:r>
              <w:rPr>
                <w:rFonts w:hint="eastAsia"/>
                <w:szCs w:val="21"/>
              </w:rPr>
              <w:t>③含有毒、有害物质或者被有害物质污染，对人体健康有害的；</w:t>
            </w:r>
          </w:p>
          <w:p w14:paraId="3D5DCFEA">
            <w:pPr>
              <w:spacing w:line="360" w:lineRule="auto"/>
              <w:rPr>
                <w:szCs w:val="21"/>
              </w:rPr>
            </w:pPr>
            <w:r>
              <w:rPr>
                <w:rFonts w:hint="eastAsia"/>
                <w:szCs w:val="21"/>
              </w:rPr>
              <w:t>④含有致病性寄生虫、微生物或者微生物含量超过国家限定标准的；</w:t>
            </w:r>
          </w:p>
          <w:p w14:paraId="52FE0A97">
            <w:pPr>
              <w:spacing w:line="360" w:lineRule="auto"/>
              <w:rPr>
                <w:szCs w:val="21"/>
              </w:rPr>
            </w:pPr>
            <w:r>
              <w:rPr>
                <w:rFonts w:hint="eastAsia"/>
                <w:szCs w:val="21"/>
              </w:rPr>
              <w:t>⑤未经检疫部门检疫、检验或者检疫、检验不合格的；</w:t>
            </w:r>
          </w:p>
          <w:p w14:paraId="76E920BD">
            <w:pPr>
              <w:spacing w:line="360" w:lineRule="auto"/>
              <w:rPr>
                <w:szCs w:val="21"/>
              </w:rPr>
            </w:pPr>
            <w:r>
              <w:rPr>
                <w:rFonts w:hint="eastAsia"/>
                <w:szCs w:val="21"/>
              </w:rPr>
              <w:t>⑥掺假、掺杂、伪造，影响营养、卫生的</w:t>
            </w:r>
            <w:r>
              <w:rPr>
                <w:rFonts w:hint="eastAsia"/>
              </w:rPr>
              <w:t>。</w:t>
            </w:r>
          </w:p>
          <w:p w14:paraId="6899E35A">
            <w:pPr>
              <w:spacing w:line="360" w:lineRule="auto"/>
              <w:rPr>
                <w:szCs w:val="21"/>
              </w:rPr>
            </w:pPr>
            <w:r>
              <w:rPr>
                <w:rFonts w:hint="eastAsia"/>
                <w:szCs w:val="21"/>
              </w:rPr>
              <w:t>15.付款方式、时间及条件</w:t>
            </w:r>
          </w:p>
          <w:p w14:paraId="72B3D4BA">
            <w:pPr>
              <w:spacing w:line="360" w:lineRule="auto"/>
              <w:rPr>
                <w:szCs w:val="21"/>
              </w:rPr>
            </w:pPr>
            <w:r>
              <w:rPr>
                <w:rFonts w:hint="eastAsia"/>
                <w:szCs w:val="21"/>
              </w:rPr>
              <w:t>（1）</w:t>
            </w:r>
            <w:r>
              <w:rPr>
                <w:szCs w:val="21"/>
              </w:rPr>
              <w:t>分批供货，每批次货款根据双方确认的单价及该批次的供货数量进行结算；</w:t>
            </w:r>
            <w:r>
              <w:rPr>
                <w:rFonts w:hint="eastAsia"/>
                <w:szCs w:val="21"/>
              </w:rPr>
              <w:t>（2）</w:t>
            </w:r>
            <w:r>
              <w:rPr>
                <w:szCs w:val="21"/>
              </w:rPr>
              <w:t>按月结算，采购人在收到中标供应商上月全额发票后</w:t>
            </w:r>
            <w:r>
              <w:rPr>
                <w:rFonts w:hint="eastAsia"/>
                <w:szCs w:val="21"/>
              </w:rPr>
              <w:t>1</w:t>
            </w:r>
            <w:r>
              <w:rPr>
                <w:szCs w:val="21"/>
              </w:rPr>
              <w:t>0个工作日内向中标供应商一次付清上月货物的全部货款。</w:t>
            </w:r>
            <w:r>
              <w:rPr>
                <w:rFonts w:hint="eastAsia"/>
                <w:szCs w:val="21"/>
              </w:rPr>
              <w:t>采购人未收到合格发票的，有权不予支付相应款项，并不承担延迟付款责任。供应商不得要求采购人将货款支付给供应商以外的任何人或公司。 收款方、出具发票方、合同乙方均必须与供应商名称一致。</w:t>
            </w:r>
          </w:p>
          <w:p w14:paraId="77F4C606">
            <w:pPr>
              <w:spacing w:line="360" w:lineRule="auto"/>
              <w:rPr>
                <w:szCs w:val="21"/>
              </w:rPr>
            </w:pPr>
            <w:r>
              <w:rPr>
                <w:rFonts w:hint="eastAsia"/>
                <w:szCs w:val="21"/>
              </w:rPr>
              <w:t>16.履约保证金</w:t>
            </w:r>
          </w:p>
          <w:p w14:paraId="045DC819">
            <w:pPr>
              <w:spacing w:line="360" w:lineRule="auto"/>
              <w:rPr>
                <w:szCs w:val="21"/>
              </w:rPr>
            </w:pPr>
            <w:r>
              <w:rPr>
                <w:rFonts w:hint="eastAsia"/>
                <w:szCs w:val="21"/>
              </w:rPr>
              <w:t>详见招标文件合同主要条款格式部分</w:t>
            </w:r>
          </w:p>
          <w:p w14:paraId="1CD21A8F">
            <w:pPr>
              <w:spacing w:line="360" w:lineRule="auto"/>
              <w:rPr>
                <w:szCs w:val="21"/>
              </w:rPr>
            </w:pPr>
            <w:r>
              <w:rPr>
                <w:rFonts w:hint="eastAsia" w:ascii="宋体" w:hAnsi="宋体" w:cs="宋体"/>
                <w:szCs w:val="21"/>
              </w:rPr>
              <w:t>▲</w:t>
            </w:r>
            <w:r>
              <w:rPr>
                <w:rFonts w:hint="eastAsia"/>
                <w:szCs w:val="21"/>
              </w:rPr>
              <w:t>17.售后服务</w:t>
            </w:r>
          </w:p>
          <w:p w14:paraId="4351B19F">
            <w:pPr>
              <w:spacing w:line="360" w:lineRule="auto"/>
              <w:rPr>
                <w:szCs w:val="21"/>
              </w:rPr>
            </w:pPr>
            <w:r>
              <w:rPr>
                <w:rFonts w:hint="eastAsia"/>
                <w:szCs w:val="21"/>
              </w:rPr>
              <w:t>（1）质保期：</w:t>
            </w:r>
            <w:r>
              <w:rPr>
                <w:rFonts w:hint="eastAsia"/>
                <w:color w:val="0000FF"/>
                <w:szCs w:val="21"/>
              </w:rPr>
              <w:t>鱼类自每批次货物验收合格之日起计算，冷藏环境下质保期不少于24小时；蛋类、苹果、贡梨等货物自每批次货物验收合格之日起计算，保质期不少于15天；香蕉自每批次货物验收合格之日起计算，保质期不少于5天；所有干杂、副食品及预包装食品自每批次货物验收合格之日起，有效质保期不得低于货物包装上的实际质保期的三分之二。</w:t>
            </w:r>
          </w:p>
          <w:p w14:paraId="3017FA27">
            <w:pPr>
              <w:spacing w:line="360" w:lineRule="auto"/>
              <w:rPr>
                <w:szCs w:val="21"/>
              </w:rPr>
            </w:pPr>
            <w:r>
              <w:rPr>
                <w:rFonts w:hint="eastAsia"/>
                <w:szCs w:val="21"/>
              </w:rPr>
              <w:t>（2）供应商应承诺“三包”。在质保期内发现质量问题，供应商必须在接到采购人通知后5小时内到达现场处理，如属质量问题的及时给予更换。</w:t>
            </w:r>
          </w:p>
          <w:p w14:paraId="22E47865">
            <w:pPr>
              <w:spacing w:line="360" w:lineRule="auto"/>
              <w:rPr>
                <w:szCs w:val="21"/>
              </w:rPr>
            </w:pPr>
            <w:r>
              <w:rPr>
                <w:rFonts w:hint="eastAsia"/>
                <w:szCs w:val="21"/>
              </w:rPr>
              <w:t>（3）每批次供应商无法按规定时间交货，采购人从其他地方进行临时应急补货的，产生的相关成本及费用由供应商负责。</w:t>
            </w:r>
          </w:p>
          <w:p w14:paraId="31EB8672">
            <w:pPr>
              <w:spacing w:line="360" w:lineRule="auto"/>
              <w:rPr>
                <w:szCs w:val="21"/>
              </w:rPr>
            </w:pPr>
            <w:r>
              <w:rPr>
                <w:rFonts w:hint="eastAsia"/>
                <w:szCs w:val="21"/>
              </w:rPr>
              <w:t>18.保险</w:t>
            </w:r>
          </w:p>
          <w:p w14:paraId="33918F64">
            <w:pPr>
              <w:spacing w:line="360" w:lineRule="auto"/>
              <w:rPr>
                <w:szCs w:val="21"/>
              </w:rPr>
            </w:pPr>
            <w:r>
              <w:rPr>
                <w:rFonts w:hint="eastAsia"/>
                <w:szCs w:val="21"/>
              </w:rPr>
              <w:t>供应商负责办理运输和保险，将货物运抵交货地点。与运输、保险相关的费用由供应商承担。</w:t>
            </w:r>
          </w:p>
          <w:p w14:paraId="7236D035">
            <w:pPr>
              <w:pStyle w:val="17"/>
              <w:rPr>
                <w:szCs w:val="21"/>
              </w:rPr>
            </w:pPr>
            <w:r>
              <w:rPr>
                <w:rFonts w:hint="eastAsia"/>
                <w:szCs w:val="21"/>
              </w:rPr>
              <w:t>19.考核管理办法：供应商须严格遵守采购人的监管制度规定，同意按附件中的《广西监狱罪犯生活物资供货商考核管理办法》管理，招标文件中其他未尽事宜按照《广西监狱罪犯生活物资供货商考核管理办法》有关规定执行。</w:t>
            </w:r>
          </w:p>
          <w:p w14:paraId="3BDE7C23">
            <w:pPr>
              <w:pStyle w:val="17"/>
              <w:rPr>
                <w:rFonts w:ascii="宋体" w:hAnsi="宋体" w:cs="宋体"/>
                <w:szCs w:val="21"/>
              </w:rPr>
            </w:pPr>
            <w:r>
              <w:rPr>
                <w:rFonts w:hint="eastAsia"/>
                <w:szCs w:val="21"/>
              </w:rPr>
              <w:t>20.供应期满6个月以后，如上级有重大采购政策调整的，采购人可以无条件提前终止合约。</w:t>
            </w:r>
          </w:p>
        </w:tc>
      </w:tr>
    </w:tbl>
    <w:p w14:paraId="66DF347F">
      <w:pPr>
        <w:spacing w:line="360" w:lineRule="auto"/>
        <w:rPr>
          <w:szCs w:val="21"/>
        </w:rPr>
      </w:pPr>
    </w:p>
    <w:tbl>
      <w:tblPr>
        <w:tblStyle w:val="51"/>
        <w:tblW w:w="983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02"/>
        <w:gridCol w:w="508"/>
        <w:gridCol w:w="937"/>
        <w:gridCol w:w="794"/>
        <w:gridCol w:w="729"/>
        <w:gridCol w:w="1337"/>
        <w:gridCol w:w="1275"/>
        <w:gridCol w:w="3748"/>
      </w:tblGrid>
      <w:tr w14:paraId="119657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6" w:hRule="atLeast"/>
          <w:jc w:val="center"/>
        </w:trPr>
        <w:tc>
          <w:tcPr>
            <w:tcW w:w="9830" w:type="dxa"/>
            <w:gridSpan w:val="8"/>
            <w:tcBorders>
              <w:top w:val="single" w:color="auto" w:sz="4" w:space="0"/>
              <w:left w:val="single" w:color="auto" w:sz="4" w:space="0"/>
              <w:right w:val="single" w:color="auto" w:sz="4" w:space="0"/>
            </w:tcBorders>
            <w:vAlign w:val="center"/>
          </w:tcPr>
          <w:p w14:paraId="1BEDEC7E">
            <w:pPr>
              <w:spacing w:line="380" w:lineRule="exact"/>
              <w:jc w:val="left"/>
              <w:rPr>
                <w:rFonts w:ascii="宋体" w:hAnsi="宋体" w:cs="宋体"/>
                <w:b/>
                <w:szCs w:val="21"/>
              </w:rPr>
            </w:pPr>
            <w:r>
              <w:rPr>
                <w:rFonts w:hint="eastAsia" w:ascii="宋体" w:hAnsi="宋体" w:cs="宋体"/>
                <w:b/>
                <w:szCs w:val="21"/>
              </w:rPr>
              <w:t>分标：2分标</w:t>
            </w:r>
            <w:r>
              <w:rPr>
                <w:rFonts w:hint="eastAsia" w:ascii="宋体" w:hAnsi="宋体" w:cs="宋体"/>
                <w:b/>
                <w:bCs/>
                <w:szCs w:val="21"/>
              </w:rPr>
              <w:t>采购预算：2000000.00元（最高限价金额：2000000.00元）所属行业：批发业</w:t>
            </w:r>
          </w:p>
        </w:tc>
      </w:tr>
      <w:tr w14:paraId="28C471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5" w:hRule="atLeast"/>
          <w:jc w:val="center"/>
        </w:trPr>
        <w:tc>
          <w:tcPr>
            <w:tcW w:w="9830" w:type="dxa"/>
            <w:gridSpan w:val="8"/>
            <w:tcBorders>
              <w:top w:val="single" w:color="auto" w:sz="4" w:space="0"/>
              <w:left w:val="single" w:color="auto" w:sz="4" w:space="0"/>
              <w:right w:val="single" w:color="auto" w:sz="4" w:space="0"/>
            </w:tcBorders>
            <w:vAlign w:val="center"/>
          </w:tcPr>
          <w:p w14:paraId="4F952BF7">
            <w:pPr>
              <w:spacing w:line="380" w:lineRule="exact"/>
              <w:jc w:val="center"/>
              <w:rPr>
                <w:rFonts w:ascii="宋体" w:hAnsi="宋体" w:cs="宋体"/>
                <w:b/>
                <w:szCs w:val="21"/>
              </w:rPr>
            </w:pPr>
            <w:r>
              <w:rPr>
                <w:rFonts w:hint="eastAsia" w:ascii="宋体" w:hAnsi="宋体" w:cs="宋体"/>
                <w:b/>
                <w:szCs w:val="21"/>
              </w:rPr>
              <w:t>采购需求一览表</w:t>
            </w:r>
          </w:p>
        </w:tc>
      </w:tr>
      <w:tr w14:paraId="38194E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502" w:type="dxa"/>
            <w:vMerge w:val="restart"/>
            <w:tcBorders>
              <w:top w:val="single" w:color="auto" w:sz="4" w:space="0"/>
              <w:left w:val="single" w:color="auto" w:sz="4" w:space="0"/>
              <w:right w:val="single" w:color="auto" w:sz="4" w:space="0"/>
            </w:tcBorders>
            <w:vAlign w:val="center"/>
          </w:tcPr>
          <w:p w14:paraId="134AF177">
            <w:pPr>
              <w:spacing w:line="380" w:lineRule="exact"/>
              <w:jc w:val="center"/>
              <w:rPr>
                <w:rFonts w:ascii="宋体" w:hAnsi="宋体" w:cs="宋体"/>
                <w:szCs w:val="21"/>
              </w:rPr>
            </w:pPr>
          </w:p>
          <w:p w14:paraId="3D1E2B5C">
            <w:pPr>
              <w:spacing w:line="380" w:lineRule="exact"/>
              <w:jc w:val="center"/>
              <w:rPr>
                <w:rFonts w:ascii="宋体" w:hAnsi="宋体" w:cs="宋体"/>
                <w:szCs w:val="21"/>
              </w:rPr>
            </w:pPr>
            <w:r>
              <w:rPr>
                <w:rFonts w:hint="eastAsia" w:ascii="宋体" w:hAnsi="宋体" w:cs="宋体"/>
                <w:szCs w:val="21"/>
              </w:rPr>
              <w:t>采购清单及货物参数</w:t>
            </w:r>
          </w:p>
        </w:tc>
        <w:tc>
          <w:tcPr>
            <w:tcW w:w="508"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9724D0D">
            <w:pPr>
              <w:spacing w:line="380" w:lineRule="exact"/>
              <w:jc w:val="center"/>
              <w:rPr>
                <w:rFonts w:ascii="宋体" w:hAnsi="宋体" w:cs="宋体"/>
                <w:szCs w:val="21"/>
              </w:rPr>
            </w:pPr>
            <w:r>
              <w:rPr>
                <w:rFonts w:hint="eastAsia" w:ascii="宋体" w:hAnsi="宋体" w:cs="宋体"/>
                <w:szCs w:val="21"/>
              </w:rPr>
              <w:t>序号</w:t>
            </w:r>
          </w:p>
        </w:tc>
        <w:tc>
          <w:tcPr>
            <w:tcW w:w="937" w:type="dxa"/>
            <w:tcBorders>
              <w:top w:val="single" w:color="auto" w:sz="4" w:space="0"/>
              <w:left w:val="single" w:color="auto" w:sz="4" w:space="0"/>
              <w:bottom w:val="single" w:color="auto" w:sz="4" w:space="0"/>
              <w:right w:val="single" w:color="auto" w:sz="4" w:space="0"/>
            </w:tcBorders>
            <w:vAlign w:val="center"/>
          </w:tcPr>
          <w:p w14:paraId="4102C364">
            <w:pPr>
              <w:spacing w:line="380" w:lineRule="exact"/>
              <w:jc w:val="center"/>
              <w:rPr>
                <w:rFonts w:ascii="宋体" w:hAnsi="宋体" w:cs="宋体"/>
                <w:szCs w:val="21"/>
              </w:rPr>
            </w:pPr>
            <w:r>
              <w:rPr>
                <w:rFonts w:hint="eastAsia" w:ascii="宋体" w:hAnsi="宋体" w:cs="宋体"/>
                <w:szCs w:val="21"/>
              </w:rPr>
              <w:t>采购货物名称</w:t>
            </w:r>
          </w:p>
        </w:tc>
        <w:tc>
          <w:tcPr>
            <w:tcW w:w="794" w:type="dxa"/>
            <w:tcBorders>
              <w:top w:val="single" w:color="auto" w:sz="4" w:space="0"/>
              <w:left w:val="single" w:color="auto" w:sz="4" w:space="0"/>
              <w:bottom w:val="single" w:color="auto" w:sz="4" w:space="0"/>
              <w:right w:val="single" w:color="auto" w:sz="4" w:space="0"/>
            </w:tcBorders>
            <w:vAlign w:val="center"/>
          </w:tcPr>
          <w:p w14:paraId="220E9ABD">
            <w:pPr>
              <w:widowControl/>
              <w:jc w:val="center"/>
              <w:textAlignment w:val="center"/>
              <w:rPr>
                <w:rFonts w:ascii="宋体" w:hAnsi="宋体" w:cs="宋体"/>
                <w:szCs w:val="21"/>
              </w:rPr>
            </w:pPr>
            <w:r>
              <w:rPr>
                <w:rFonts w:hint="eastAsia" w:ascii="宋体" w:hAnsi="宋体" w:cs="宋体"/>
                <w:kern w:val="0"/>
                <w:szCs w:val="21"/>
                <w:lang w:bidi="ar"/>
              </w:rPr>
              <w:t>单位</w:t>
            </w:r>
          </w:p>
        </w:tc>
        <w:tc>
          <w:tcPr>
            <w:tcW w:w="729" w:type="dxa"/>
            <w:tcBorders>
              <w:top w:val="single" w:color="auto" w:sz="4" w:space="0"/>
              <w:left w:val="single" w:color="auto" w:sz="4" w:space="0"/>
              <w:bottom w:val="single" w:color="auto" w:sz="4" w:space="0"/>
              <w:right w:val="single" w:color="auto" w:sz="4" w:space="0"/>
            </w:tcBorders>
            <w:vAlign w:val="center"/>
          </w:tcPr>
          <w:p w14:paraId="2552FC1C">
            <w:pPr>
              <w:widowControl/>
              <w:jc w:val="center"/>
              <w:textAlignment w:val="center"/>
              <w:rPr>
                <w:rFonts w:ascii="宋体" w:hAnsi="宋体" w:cs="宋体"/>
                <w:bCs/>
                <w:szCs w:val="21"/>
              </w:rPr>
            </w:pPr>
            <w:r>
              <w:rPr>
                <w:rFonts w:hint="eastAsia" w:ascii="宋体" w:hAnsi="宋体" w:cs="宋体"/>
                <w:kern w:val="0"/>
                <w:szCs w:val="21"/>
                <w:lang w:bidi="ar"/>
              </w:rPr>
              <w:t>数量（公斤）</w:t>
            </w:r>
          </w:p>
        </w:tc>
        <w:tc>
          <w:tcPr>
            <w:tcW w:w="1337" w:type="dxa"/>
            <w:tcBorders>
              <w:top w:val="single" w:color="auto" w:sz="4" w:space="0"/>
              <w:left w:val="single" w:color="auto" w:sz="4" w:space="0"/>
              <w:bottom w:val="single" w:color="auto" w:sz="4" w:space="0"/>
              <w:right w:val="single" w:color="auto" w:sz="4" w:space="0"/>
            </w:tcBorders>
            <w:vAlign w:val="center"/>
          </w:tcPr>
          <w:p w14:paraId="7B9E8187">
            <w:pPr>
              <w:widowControl/>
              <w:jc w:val="center"/>
              <w:textAlignment w:val="center"/>
              <w:rPr>
                <w:rFonts w:ascii="宋体" w:hAnsi="宋体" w:cs="宋体"/>
                <w:szCs w:val="21"/>
              </w:rPr>
            </w:pPr>
            <w:r>
              <w:rPr>
                <w:rFonts w:hint="eastAsia" w:ascii="宋体" w:hAnsi="宋体" w:cs="宋体"/>
                <w:kern w:val="0"/>
                <w:szCs w:val="21"/>
                <w:lang w:bidi="ar"/>
              </w:rPr>
              <w:t>招标基准单价（元）</w:t>
            </w:r>
          </w:p>
        </w:tc>
        <w:tc>
          <w:tcPr>
            <w:tcW w:w="1275" w:type="dxa"/>
            <w:tcBorders>
              <w:top w:val="single" w:color="auto" w:sz="4" w:space="0"/>
              <w:left w:val="single" w:color="auto" w:sz="4" w:space="0"/>
              <w:bottom w:val="single" w:color="auto" w:sz="4" w:space="0"/>
              <w:right w:val="single" w:color="auto" w:sz="4" w:space="0"/>
            </w:tcBorders>
            <w:vAlign w:val="center"/>
          </w:tcPr>
          <w:p w14:paraId="0ADC2390">
            <w:pPr>
              <w:widowControl/>
              <w:jc w:val="center"/>
              <w:textAlignment w:val="center"/>
              <w:rPr>
                <w:rFonts w:ascii="宋体" w:hAnsi="宋体" w:cs="宋体"/>
                <w:szCs w:val="21"/>
              </w:rPr>
            </w:pPr>
            <w:r>
              <w:rPr>
                <w:rFonts w:hint="eastAsia" w:ascii="宋体" w:hAnsi="宋体" w:cs="宋体"/>
                <w:kern w:val="0"/>
                <w:szCs w:val="21"/>
                <w:lang w:bidi="ar"/>
              </w:rPr>
              <w:t>金额（元）</w:t>
            </w:r>
          </w:p>
        </w:tc>
        <w:tc>
          <w:tcPr>
            <w:tcW w:w="3748" w:type="dxa"/>
            <w:tcBorders>
              <w:top w:val="single" w:color="auto" w:sz="4" w:space="0"/>
              <w:left w:val="single" w:color="auto" w:sz="4" w:space="0"/>
              <w:bottom w:val="single" w:color="auto" w:sz="4" w:space="0"/>
              <w:right w:val="single" w:color="auto" w:sz="4" w:space="0"/>
            </w:tcBorders>
            <w:shd w:val="clear" w:color="auto" w:fill="auto"/>
            <w:vAlign w:val="center"/>
          </w:tcPr>
          <w:p w14:paraId="3A4D072E">
            <w:pPr>
              <w:widowControl/>
              <w:jc w:val="center"/>
              <w:textAlignment w:val="center"/>
              <w:rPr>
                <w:rFonts w:ascii="宋体" w:hAnsi="宋体" w:cs="宋体"/>
                <w:b/>
                <w:bCs/>
                <w:szCs w:val="21"/>
              </w:rPr>
            </w:pPr>
            <w:r>
              <w:rPr>
                <w:rFonts w:hint="eastAsia" w:ascii="宋体" w:hAnsi="宋体" w:cs="宋体"/>
                <w:b/>
                <w:bCs/>
                <w:kern w:val="0"/>
                <w:szCs w:val="21"/>
                <w:lang w:bidi="ar"/>
              </w:rPr>
              <w:t>▲</w:t>
            </w:r>
            <w:r>
              <w:rPr>
                <w:rFonts w:hint="eastAsia" w:ascii="宋体" w:hAnsi="宋体" w:cs="宋体"/>
                <w:kern w:val="0"/>
                <w:szCs w:val="21"/>
                <w:lang w:bidi="ar"/>
              </w:rPr>
              <w:t>技术参数及要求</w:t>
            </w:r>
          </w:p>
        </w:tc>
      </w:tr>
      <w:tr w14:paraId="307B5A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502" w:type="dxa"/>
            <w:vMerge w:val="continue"/>
            <w:tcBorders>
              <w:left w:val="single" w:color="auto" w:sz="4" w:space="0"/>
              <w:right w:val="single" w:color="auto" w:sz="4" w:space="0"/>
            </w:tcBorders>
            <w:vAlign w:val="center"/>
          </w:tcPr>
          <w:p w14:paraId="3DE80F3B">
            <w:pPr>
              <w:spacing w:line="380" w:lineRule="exact"/>
              <w:jc w:val="center"/>
              <w:rPr>
                <w:rFonts w:ascii="宋体" w:hAnsi="宋体" w:cs="宋体"/>
                <w:szCs w:val="21"/>
              </w:rPr>
            </w:pPr>
          </w:p>
        </w:tc>
        <w:tc>
          <w:tcPr>
            <w:tcW w:w="508"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A9D1C42">
            <w:pPr>
              <w:widowControl/>
              <w:jc w:val="center"/>
              <w:textAlignment w:val="center"/>
              <w:rPr>
                <w:rFonts w:ascii="宋体" w:hAnsi="宋体" w:cs="宋体"/>
                <w:szCs w:val="21"/>
              </w:rPr>
            </w:pPr>
            <w:r>
              <w:rPr>
                <w:rFonts w:hint="eastAsia" w:ascii="宋体" w:hAnsi="宋体" w:cs="宋体"/>
                <w:kern w:val="0"/>
                <w:sz w:val="22"/>
                <w:szCs w:val="22"/>
                <w:lang w:bidi="ar"/>
              </w:rPr>
              <w:t>1</w:t>
            </w:r>
          </w:p>
        </w:tc>
        <w:tc>
          <w:tcPr>
            <w:tcW w:w="937" w:type="dxa"/>
            <w:tcBorders>
              <w:top w:val="single" w:color="auto" w:sz="4" w:space="0"/>
              <w:left w:val="single" w:color="auto" w:sz="4" w:space="0"/>
              <w:bottom w:val="single" w:color="auto" w:sz="4" w:space="0"/>
              <w:right w:val="single" w:color="auto" w:sz="4" w:space="0"/>
            </w:tcBorders>
            <w:vAlign w:val="center"/>
          </w:tcPr>
          <w:p w14:paraId="4851D0F0">
            <w:pPr>
              <w:widowControl/>
              <w:jc w:val="center"/>
              <w:textAlignment w:val="center"/>
              <w:rPr>
                <w:rFonts w:ascii="宋体" w:hAnsi="宋体" w:cs="宋体"/>
                <w:sz w:val="22"/>
                <w:szCs w:val="22"/>
              </w:rPr>
            </w:pPr>
            <w:r>
              <w:rPr>
                <w:rFonts w:hint="eastAsia" w:ascii="宋体" w:hAnsi="宋体" w:cs="宋体"/>
                <w:kern w:val="0"/>
                <w:szCs w:val="21"/>
                <w:lang w:bidi="ar"/>
              </w:rPr>
              <w:t>五花肉</w:t>
            </w:r>
          </w:p>
        </w:tc>
        <w:tc>
          <w:tcPr>
            <w:tcW w:w="794" w:type="dxa"/>
            <w:tcBorders>
              <w:top w:val="single" w:color="auto" w:sz="4" w:space="0"/>
              <w:left w:val="single" w:color="auto" w:sz="4" w:space="0"/>
              <w:bottom w:val="single" w:color="auto" w:sz="4" w:space="0"/>
              <w:right w:val="single" w:color="auto" w:sz="4" w:space="0"/>
            </w:tcBorders>
            <w:vAlign w:val="center"/>
          </w:tcPr>
          <w:p w14:paraId="05C9738A">
            <w:pPr>
              <w:widowControl/>
              <w:jc w:val="center"/>
              <w:textAlignment w:val="center"/>
              <w:rPr>
                <w:rFonts w:ascii="宋体" w:hAnsi="宋体" w:cs="宋体"/>
                <w:kern w:val="0"/>
                <w:sz w:val="22"/>
                <w:szCs w:val="22"/>
                <w:lang w:bidi="ar"/>
              </w:rPr>
            </w:pPr>
            <w:r>
              <w:rPr>
                <w:rFonts w:hint="eastAsia" w:ascii="宋体" w:hAnsi="宋体" w:cs="宋体"/>
                <w:kern w:val="0"/>
                <w:szCs w:val="21"/>
                <w:lang w:bidi="ar"/>
              </w:rPr>
              <w:t>公斤</w:t>
            </w:r>
          </w:p>
        </w:tc>
        <w:tc>
          <w:tcPr>
            <w:tcW w:w="729" w:type="dxa"/>
            <w:tcBorders>
              <w:top w:val="single" w:color="auto" w:sz="4" w:space="0"/>
              <w:left w:val="single" w:color="auto" w:sz="4" w:space="0"/>
              <w:bottom w:val="single" w:color="auto" w:sz="4" w:space="0"/>
              <w:right w:val="single" w:color="auto" w:sz="4" w:space="0"/>
            </w:tcBorders>
            <w:vAlign w:val="center"/>
          </w:tcPr>
          <w:p w14:paraId="1C621B46">
            <w:pPr>
              <w:widowControl/>
              <w:jc w:val="center"/>
              <w:textAlignment w:val="center"/>
              <w:rPr>
                <w:rFonts w:ascii="宋体" w:hAnsi="宋体" w:cs="宋体"/>
                <w:kern w:val="0"/>
                <w:sz w:val="22"/>
                <w:szCs w:val="22"/>
                <w:lang w:bidi="ar"/>
              </w:rPr>
            </w:pPr>
            <w:r>
              <w:rPr>
                <w:rFonts w:hint="eastAsia" w:ascii="宋体" w:hAnsi="宋体" w:cs="宋体"/>
                <w:kern w:val="0"/>
                <w:szCs w:val="21"/>
                <w:lang w:bidi="ar"/>
              </w:rPr>
              <w:t>40150</w:t>
            </w:r>
          </w:p>
        </w:tc>
        <w:tc>
          <w:tcPr>
            <w:tcW w:w="1337" w:type="dxa"/>
            <w:tcBorders>
              <w:top w:val="single" w:color="auto" w:sz="4" w:space="0"/>
              <w:left w:val="single" w:color="auto" w:sz="4" w:space="0"/>
              <w:bottom w:val="single" w:color="auto" w:sz="4" w:space="0"/>
              <w:right w:val="single" w:color="auto" w:sz="4" w:space="0"/>
            </w:tcBorders>
            <w:vAlign w:val="center"/>
          </w:tcPr>
          <w:p w14:paraId="7ABD115C">
            <w:pPr>
              <w:widowControl/>
              <w:jc w:val="center"/>
              <w:textAlignment w:val="center"/>
              <w:rPr>
                <w:rFonts w:ascii="宋体" w:hAnsi="宋体" w:cs="宋体"/>
                <w:sz w:val="22"/>
                <w:szCs w:val="22"/>
              </w:rPr>
            </w:pPr>
            <w:r>
              <w:rPr>
                <w:rFonts w:hint="eastAsia" w:ascii="宋体" w:hAnsi="宋体" w:cs="宋体"/>
                <w:kern w:val="0"/>
                <w:sz w:val="20"/>
                <w:szCs w:val="20"/>
                <w:lang w:bidi="ar"/>
              </w:rPr>
              <w:t xml:space="preserve">19.90 </w:t>
            </w:r>
          </w:p>
        </w:tc>
        <w:tc>
          <w:tcPr>
            <w:tcW w:w="1275" w:type="dxa"/>
            <w:tcBorders>
              <w:top w:val="single" w:color="auto" w:sz="4" w:space="0"/>
              <w:left w:val="single" w:color="auto" w:sz="4" w:space="0"/>
              <w:bottom w:val="single" w:color="auto" w:sz="4" w:space="0"/>
              <w:right w:val="single" w:color="auto" w:sz="4" w:space="0"/>
            </w:tcBorders>
            <w:vAlign w:val="center"/>
          </w:tcPr>
          <w:p w14:paraId="424FFAD2">
            <w:pPr>
              <w:widowControl/>
              <w:jc w:val="center"/>
              <w:textAlignment w:val="center"/>
              <w:rPr>
                <w:rFonts w:ascii="宋体" w:hAnsi="宋体" w:cs="宋体"/>
                <w:szCs w:val="21"/>
              </w:rPr>
            </w:pPr>
            <w:r>
              <w:rPr>
                <w:rFonts w:hint="eastAsia" w:ascii="宋体" w:hAnsi="宋体" w:cs="宋体"/>
                <w:kern w:val="0"/>
                <w:szCs w:val="21"/>
                <w:lang w:bidi="ar"/>
              </w:rPr>
              <w:t xml:space="preserve">798985 </w:t>
            </w:r>
          </w:p>
        </w:tc>
        <w:tc>
          <w:tcPr>
            <w:tcW w:w="3748" w:type="dxa"/>
            <w:vMerge w:val="restart"/>
            <w:tcBorders>
              <w:top w:val="single" w:color="auto" w:sz="4" w:space="0"/>
              <w:left w:val="single" w:color="auto" w:sz="4" w:space="0"/>
              <w:right w:val="single" w:color="auto" w:sz="4" w:space="0"/>
            </w:tcBorders>
            <w:vAlign w:val="center"/>
          </w:tcPr>
          <w:p w14:paraId="115622A2">
            <w:pPr>
              <w:widowControl/>
              <w:jc w:val="center"/>
              <w:textAlignment w:val="center"/>
              <w:rPr>
                <w:rFonts w:ascii="宋体" w:hAnsi="宋体" w:cs="宋体"/>
                <w:szCs w:val="21"/>
              </w:rPr>
            </w:pPr>
            <w:r>
              <w:rPr>
                <w:rFonts w:hint="eastAsia" w:ascii="宋体" w:hAnsi="宋体" w:cs="宋体"/>
                <w:szCs w:val="21"/>
              </w:rPr>
              <w:t>1.必须符合最新鲜畜肉国家质量标准，猪需来自非疫区；非公、母种猪、晚阉猪、病死猪等。保证无异味、无变质。2.所供每批次鲜肉当天屠宰，必须有齐全的“两证两章”（《肉品品质检验合格证明》、《动物产品检疫合格证明》、《肉品品质检验合格验讫印章》和《动物产品检疫合格印章》），采购人现场查验。3.色泽：肌肉有光泽，颜色均匀，脂肪乳白色；组织状态：纤维清晰，有坚韧性，指压后凹陷立即恢复，肉质紧密，有坚韧性。4.粘度：外表湿润，不粘手，切面有渗出液，不粘手；气味：具有肉类固有的气味，无异味，煮沸后肉汤澄清透明，脂肪团聚于表面澄清透明或稍有浑浊。5.供应商提供切割服务，可根据需求将猪肉清洗干净，骨肉分离，分割小块或小片，直接用于菜品加工。</w:t>
            </w:r>
          </w:p>
        </w:tc>
      </w:tr>
      <w:tr w14:paraId="3B24CB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502" w:type="dxa"/>
            <w:vMerge w:val="continue"/>
            <w:tcBorders>
              <w:left w:val="single" w:color="auto" w:sz="4" w:space="0"/>
              <w:right w:val="single" w:color="auto" w:sz="4" w:space="0"/>
            </w:tcBorders>
            <w:vAlign w:val="center"/>
          </w:tcPr>
          <w:p w14:paraId="074201F9">
            <w:pPr>
              <w:spacing w:line="380" w:lineRule="exact"/>
              <w:jc w:val="center"/>
              <w:rPr>
                <w:rFonts w:ascii="宋体" w:hAnsi="宋体" w:cs="宋体"/>
                <w:szCs w:val="21"/>
              </w:rPr>
            </w:pPr>
          </w:p>
        </w:tc>
        <w:tc>
          <w:tcPr>
            <w:tcW w:w="508"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A527431">
            <w:pPr>
              <w:widowControl/>
              <w:jc w:val="center"/>
              <w:textAlignment w:val="center"/>
              <w:rPr>
                <w:rFonts w:ascii="宋体" w:hAnsi="宋体" w:cs="宋体"/>
                <w:szCs w:val="21"/>
              </w:rPr>
            </w:pPr>
            <w:r>
              <w:rPr>
                <w:rFonts w:hint="eastAsia" w:ascii="宋体" w:hAnsi="宋体" w:cs="宋体"/>
                <w:kern w:val="0"/>
                <w:sz w:val="22"/>
                <w:szCs w:val="22"/>
                <w:lang w:bidi="ar"/>
              </w:rPr>
              <w:t>2</w:t>
            </w:r>
          </w:p>
        </w:tc>
        <w:tc>
          <w:tcPr>
            <w:tcW w:w="937" w:type="dxa"/>
            <w:tcBorders>
              <w:top w:val="single" w:color="auto" w:sz="4" w:space="0"/>
              <w:left w:val="single" w:color="auto" w:sz="4" w:space="0"/>
              <w:bottom w:val="single" w:color="auto" w:sz="4" w:space="0"/>
              <w:right w:val="single" w:color="auto" w:sz="4" w:space="0"/>
            </w:tcBorders>
            <w:vAlign w:val="center"/>
          </w:tcPr>
          <w:p w14:paraId="18404143">
            <w:pPr>
              <w:widowControl/>
              <w:jc w:val="center"/>
              <w:textAlignment w:val="center"/>
              <w:rPr>
                <w:rFonts w:ascii="宋体" w:hAnsi="宋体" w:cs="宋体"/>
                <w:sz w:val="22"/>
                <w:szCs w:val="22"/>
              </w:rPr>
            </w:pPr>
            <w:r>
              <w:rPr>
                <w:rFonts w:hint="eastAsia" w:ascii="宋体" w:hAnsi="宋体" w:cs="宋体"/>
                <w:kern w:val="0"/>
                <w:szCs w:val="21"/>
                <w:lang w:bidi="ar"/>
              </w:rPr>
              <w:t>排骨</w:t>
            </w:r>
          </w:p>
        </w:tc>
        <w:tc>
          <w:tcPr>
            <w:tcW w:w="794" w:type="dxa"/>
            <w:tcBorders>
              <w:top w:val="single" w:color="auto" w:sz="4" w:space="0"/>
              <w:left w:val="single" w:color="auto" w:sz="4" w:space="0"/>
              <w:bottom w:val="single" w:color="auto" w:sz="4" w:space="0"/>
              <w:right w:val="single" w:color="auto" w:sz="4" w:space="0"/>
            </w:tcBorders>
            <w:vAlign w:val="center"/>
          </w:tcPr>
          <w:p w14:paraId="7414696C">
            <w:pPr>
              <w:widowControl/>
              <w:jc w:val="center"/>
              <w:textAlignment w:val="center"/>
              <w:rPr>
                <w:rFonts w:ascii="宋体" w:hAnsi="宋体" w:cs="宋体"/>
                <w:kern w:val="0"/>
                <w:sz w:val="22"/>
                <w:szCs w:val="22"/>
                <w:lang w:bidi="ar"/>
              </w:rPr>
            </w:pPr>
            <w:r>
              <w:rPr>
                <w:rFonts w:hint="eastAsia" w:ascii="宋体" w:hAnsi="宋体" w:cs="宋体"/>
                <w:kern w:val="0"/>
                <w:szCs w:val="21"/>
                <w:lang w:bidi="ar"/>
              </w:rPr>
              <w:t>公斤</w:t>
            </w:r>
          </w:p>
        </w:tc>
        <w:tc>
          <w:tcPr>
            <w:tcW w:w="729" w:type="dxa"/>
            <w:tcBorders>
              <w:top w:val="single" w:color="auto" w:sz="4" w:space="0"/>
              <w:left w:val="single" w:color="auto" w:sz="4" w:space="0"/>
              <w:bottom w:val="single" w:color="auto" w:sz="4" w:space="0"/>
              <w:right w:val="single" w:color="auto" w:sz="4" w:space="0"/>
            </w:tcBorders>
            <w:vAlign w:val="center"/>
          </w:tcPr>
          <w:p w14:paraId="4E1D5C61">
            <w:pPr>
              <w:widowControl/>
              <w:jc w:val="center"/>
              <w:textAlignment w:val="center"/>
              <w:rPr>
                <w:rFonts w:ascii="宋体" w:hAnsi="宋体" w:cs="宋体"/>
                <w:kern w:val="0"/>
                <w:sz w:val="22"/>
                <w:szCs w:val="22"/>
                <w:lang w:bidi="ar"/>
              </w:rPr>
            </w:pPr>
            <w:r>
              <w:rPr>
                <w:rFonts w:hint="eastAsia" w:ascii="宋体" w:hAnsi="宋体" w:cs="宋体"/>
                <w:kern w:val="0"/>
                <w:szCs w:val="21"/>
                <w:lang w:bidi="ar"/>
              </w:rPr>
              <w:t>10500</w:t>
            </w:r>
          </w:p>
        </w:tc>
        <w:tc>
          <w:tcPr>
            <w:tcW w:w="1337" w:type="dxa"/>
            <w:tcBorders>
              <w:top w:val="single" w:color="auto" w:sz="4" w:space="0"/>
              <w:left w:val="single" w:color="auto" w:sz="4" w:space="0"/>
              <w:bottom w:val="single" w:color="auto" w:sz="4" w:space="0"/>
              <w:right w:val="single" w:color="auto" w:sz="4" w:space="0"/>
            </w:tcBorders>
            <w:vAlign w:val="center"/>
          </w:tcPr>
          <w:p w14:paraId="576DD0BA">
            <w:pPr>
              <w:widowControl/>
              <w:jc w:val="center"/>
              <w:textAlignment w:val="center"/>
              <w:rPr>
                <w:rFonts w:ascii="宋体" w:hAnsi="宋体" w:cs="宋体"/>
                <w:sz w:val="22"/>
                <w:szCs w:val="22"/>
              </w:rPr>
            </w:pPr>
            <w:r>
              <w:rPr>
                <w:rFonts w:hint="eastAsia" w:ascii="宋体" w:hAnsi="宋体" w:cs="宋体"/>
                <w:kern w:val="0"/>
                <w:sz w:val="20"/>
                <w:szCs w:val="20"/>
                <w:lang w:bidi="ar"/>
              </w:rPr>
              <w:t xml:space="preserve">39.50 </w:t>
            </w:r>
          </w:p>
        </w:tc>
        <w:tc>
          <w:tcPr>
            <w:tcW w:w="1275" w:type="dxa"/>
            <w:tcBorders>
              <w:top w:val="single" w:color="auto" w:sz="4" w:space="0"/>
              <w:left w:val="single" w:color="auto" w:sz="4" w:space="0"/>
              <w:bottom w:val="single" w:color="auto" w:sz="4" w:space="0"/>
              <w:right w:val="single" w:color="auto" w:sz="4" w:space="0"/>
            </w:tcBorders>
            <w:vAlign w:val="center"/>
          </w:tcPr>
          <w:p w14:paraId="2AED4118">
            <w:pPr>
              <w:widowControl/>
              <w:jc w:val="center"/>
              <w:textAlignment w:val="center"/>
              <w:rPr>
                <w:rFonts w:ascii="宋体" w:hAnsi="宋体" w:cs="宋体"/>
                <w:szCs w:val="21"/>
              </w:rPr>
            </w:pPr>
            <w:r>
              <w:rPr>
                <w:rFonts w:hint="eastAsia" w:ascii="宋体" w:hAnsi="宋体" w:cs="宋体"/>
                <w:kern w:val="0"/>
                <w:szCs w:val="21"/>
                <w:lang w:bidi="ar"/>
              </w:rPr>
              <w:t xml:space="preserve">414750 </w:t>
            </w:r>
          </w:p>
        </w:tc>
        <w:tc>
          <w:tcPr>
            <w:tcW w:w="3748" w:type="dxa"/>
            <w:vMerge w:val="continue"/>
            <w:tcBorders>
              <w:left w:val="single" w:color="auto" w:sz="4" w:space="0"/>
              <w:right w:val="single" w:color="auto" w:sz="4" w:space="0"/>
            </w:tcBorders>
            <w:vAlign w:val="center"/>
          </w:tcPr>
          <w:p w14:paraId="6AE7012B">
            <w:pPr>
              <w:widowControl/>
              <w:jc w:val="center"/>
              <w:textAlignment w:val="center"/>
              <w:rPr>
                <w:rFonts w:ascii="宋体" w:hAnsi="宋体" w:cs="宋体"/>
                <w:szCs w:val="21"/>
              </w:rPr>
            </w:pPr>
          </w:p>
        </w:tc>
      </w:tr>
      <w:tr w14:paraId="11B2B6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502" w:type="dxa"/>
            <w:vMerge w:val="continue"/>
            <w:tcBorders>
              <w:left w:val="single" w:color="auto" w:sz="4" w:space="0"/>
              <w:right w:val="single" w:color="auto" w:sz="4" w:space="0"/>
            </w:tcBorders>
            <w:vAlign w:val="center"/>
          </w:tcPr>
          <w:p w14:paraId="0D9DEC4C">
            <w:pPr>
              <w:spacing w:line="380" w:lineRule="exact"/>
              <w:jc w:val="center"/>
              <w:rPr>
                <w:rFonts w:ascii="宋体" w:hAnsi="宋体" w:cs="宋体"/>
                <w:szCs w:val="21"/>
              </w:rPr>
            </w:pPr>
          </w:p>
        </w:tc>
        <w:tc>
          <w:tcPr>
            <w:tcW w:w="508"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E7EDA33">
            <w:pPr>
              <w:widowControl/>
              <w:jc w:val="center"/>
              <w:textAlignment w:val="center"/>
              <w:rPr>
                <w:rFonts w:ascii="宋体" w:hAnsi="宋体" w:cs="宋体"/>
                <w:szCs w:val="21"/>
              </w:rPr>
            </w:pPr>
            <w:r>
              <w:rPr>
                <w:rFonts w:hint="eastAsia" w:ascii="宋体" w:hAnsi="宋体" w:cs="宋体"/>
                <w:kern w:val="0"/>
                <w:sz w:val="22"/>
                <w:szCs w:val="22"/>
                <w:lang w:bidi="ar"/>
              </w:rPr>
              <w:t>3</w:t>
            </w:r>
          </w:p>
        </w:tc>
        <w:tc>
          <w:tcPr>
            <w:tcW w:w="937" w:type="dxa"/>
            <w:tcBorders>
              <w:top w:val="single" w:color="auto" w:sz="4" w:space="0"/>
              <w:left w:val="single" w:color="auto" w:sz="4" w:space="0"/>
              <w:bottom w:val="single" w:color="auto" w:sz="4" w:space="0"/>
              <w:right w:val="single" w:color="auto" w:sz="4" w:space="0"/>
            </w:tcBorders>
            <w:vAlign w:val="center"/>
          </w:tcPr>
          <w:p w14:paraId="6385D860">
            <w:pPr>
              <w:widowControl/>
              <w:jc w:val="center"/>
              <w:textAlignment w:val="center"/>
              <w:rPr>
                <w:rFonts w:ascii="宋体" w:hAnsi="宋体" w:cs="宋体"/>
                <w:sz w:val="22"/>
                <w:szCs w:val="22"/>
              </w:rPr>
            </w:pPr>
            <w:r>
              <w:rPr>
                <w:rFonts w:hint="eastAsia" w:ascii="宋体" w:hAnsi="宋体" w:cs="宋体"/>
                <w:kern w:val="0"/>
                <w:szCs w:val="21"/>
                <w:lang w:bidi="ar"/>
              </w:rPr>
              <w:t>后腿肉</w:t>
            </w:r>
          </w:p>
        </w:tc>
        <w:tc>
          <w:tcPr>
            <w:tcW w:w="794" w:type="dxa"/>
            <w:tcBorders>
              <w:top w:val="single" w:color="auto" w:sz="4" w:space="0"/>
              <w:left w:val="single" w:color="auto" w:sz="4" w:space="0"/>
              <w:bottom w:val="single" w:color="auto" w:sz="4" w:space="0"/>
              <w:right w:val="single" w:color="auto" w:sz="4" w:space="0"/>
            </w:tcBorders>
            <w:vAlign w:val="center"/>
          </w:tcPr>
          <w:p w14:paraId="20CAD2D6">
            <w:pPr>
              <w:widowControl/>
              <w:jc w:val="center"/>
              <w:textAlignment w:val="center"/>
              <w:rPr>
                <w:rFonts w:ascii="宋体" w:hAnsi="宋体" w:cs="宋体"/>
                <w:kern w:val="0"/>
                <w:sz w:val="22"/>
                <w:szCs w:val="22"/>
                <w:lang w:bidi="ar"/>
              </w:rPr>
            </w:pPr>
            <w:r>
              <w:rPr>
                <w:rFonts w:hint="eastAsia" w:ascii="宋体" w:hAnsi="宋体" w:cs="宋体"/>
                <w:kern w:val="0"/>
                <w:szCs w:val="21"/>
                <w:lang w:bidi="ar"/>
              </w:rPr>
              <w:t>公斤</w:t>
            </w:r>
          </w:p>
        </w:tc>
        <w:tc>
          <w:tcPr>
            <w:tcW w:w="729" w:type="dxa"/>
            <w:tcBorders>
              <w:top w:val="single" w:color="auto" w:sz="4" w:space="0"/>
              <w:left w:val="single" w:color="auto" w:sz="4" w:space="0"/>
              <w:bottom w:val="single" w:color="auto" w:sz="4" w:space="0"/>
              <w:right w:val="single" w:color="auto" w:sz="4" w:space="0"/>
            </w:tcBorders>
            <w:vAlign w:val="center"/>
          </w:tcPr>
          <w:p w14:paraId="20072E2A">
            <w:pPr>
              <w:widowControl/>
              <w:jc w:val="center"/>
              <w:textAlignment w:val="center"/>
              <w:rPr>
                <w:rFonts w:ascii="宋体" w:hAnsi="宋体" w:cs="宋体"/>
                <w:kern w:val="0"/>
                <w:sz w:val="22"/>
                <w:szCs w:val="22"/>
                <w:lang w:bidi="ar"/>
              </w:rPr>
            </w:pPr>
            <w:r>
              <w:rPr>
                <w:rFonts w:hint="eastAsia" w:ascii="宋体" w:hAnsi="宋体" w:cs="宋体"/>
                <w:kern w:val="0"/>
                <w:szCs w:val="21"/>
                <w:lang w:bidi="ar"/>
              </w:rPr>
              <w:t>40150</w:t>
            </w:r>
          </w:p>
        </w:tc>
        <w:tc>
          <w:tcPr>
            <w:tcW w:w="1337" w:type="dxa"/>
            <w:tcBorders>
              <w:top w:val="single" w:color="auto" w:sz="4" w:space="0"/>
              <w:left w:val="single" w:color="auto" w:sz="4" w:space="0"/>
              <w:bottom w:val="single" w:color="auto" w:sz="4" w:space="0"/>
              <w:right w:val="single" w:color="auto" w:sz="4" w:space="0"/>
            </w:tcBorders>
            <w:vAlign w:val="center"/>
          </w:tcPr>
          <w:p w14:paraId="4E82D39A">
            <w:pPr>
              <w:widowControl/>
              <w:jc w:val="center"/>
              <w:textAlignment w:val="center"/>
              <w:rPr>
                <w:rFonts w:ascii="宋体" w:hAnsi="宋体" w:cs="宋体"/>
                <w:sz w:val="22"/>
                <w:szCs w:val="22"/>
              </w:rPr>
            </w:pPr>
            <w:r>
              <w:rPr>
                <w:rFonts w:hint="eastAsia" w:ascii="宋体" w:hAnsi="宋体" w:cs="宋体"/>
                <w:kern w:val="0"/>
                <w:sz w:val="20"/>
                <w:szCs w:val="20"/>
                <w:lang w:bidi="ar"/>
              </w:rPr>
              <w:t xml:space="preserve">14.20 </w:t>
            </w:r>
          </w:p>
        </w:tc>
        <w:tc>
          <w:tcPr>
            <w:tcW w:w="1275" w:type="dxa"/>
            <w:tcBorders>
              <w:top w:val="single" w:color="auto" w:sz="4" w:space="0"/>
              <w:left w:val="single" w:color="auto" w:sz="4" w:space="0"/>
              <w:bottom w:val="single" w:color="auto" w:sz="4" w:space="0"/>
              <w:right w:val="single" w:color="auto" w:sz="4" w:space="0"/>
            </w:tcBorders>
            <w:vAlign w:val="center"/>
          </w:tcPr>
          <w:p w14:paraId="0BFCACB1">
            <w:pPr>
              <w:widowControl/>
              <w:jc w:val="center"/>
              <w:textAlignment w:val="center"/>
              <w:rPr>
                <w:rFonts w:ascii="宋体" w:hAnsi="宋体" w:cs="宋体"/>
                <w:szCs w:val="21"/>
              </w:rPr>
            </w:pPr>
            <w:r>
              <w:rPr>
                <w:rFonts w:hint="eastAsia" w:ascii="宋体" w:hAnsi="宋体" w:cs="宋体"/>
                <w:kern w:val="0"/>
                <w:szCs w:val="21"/>
                <w:lang w:bidi="ar"/>
              </w:rPr>
              <w:t xml:space="preserve">570130 </w:t>
            </w:r>
          </w:p>
        </w:tc>
        <w:tc>
          <w:tcPr>
            <w:tcW w:w="3748" w:type="dxa"/>
            <w:vMerge w:val="continue"/>
            <w:tcBorders>
              <w:left w:val="single" w:color="auto" w:sz="4" w:space="0"/>
              <w:right w:val="single" w:color="auto" w:sz="4" w:space="0"/>
            </w:tcBorders>
            <w:vAlign w:val="center"/>
          </w:tcPr>
          <w:p w14:paraId="7779AB6F">
            <w:pPr>
              <w:widowControl/>
              <w:jc w:val="center"/>
              <w:textAlignment w:val="center"/>
              <w:rPr>
                <w:rFonts w:ascii="宋体" w:hAnsi="宋体" w:cs="宋体"/>
                <w:szCs w:val="21"/>
              </w:rPr>
            </w:pPr>
          </w:p>
        </w:tc>
      </w:tr>
      <w:tr w14:paraId="7294DA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502" w:type="dxa"/>
            <w:vMerge w:val="continue"/>
            <w:tcBorders>
              <w:left w:val="single" w:color="auto" w:sz="4" w:space="0"/>
              <w:right w:val="single" w:color="auto" w:sz="4" w:space="0"/>
            </w:tcBorders>
            <w:vAlign w:val="center"/>
          </w:tcPr>
          <w:p w14:paraId="101C1C36">
            <w:pPr>
              <w:spacing w:line="380" w:lineRule="exact"/>
              <w:jc w:val="center"/>
              <w:rPr>
                <w:rFonts w:ascii="宋体" w:hAnsi="宋体" w:cs="宋体"/>
                <w:szCs w:val="21"/>
              </w:rPr>
            </w:pPr>
          </w:p>
        </w:tc>
        <w:tc>
          <w:tcPr>
            <w:tcW w:w="508"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1730482">
            <w:pPr>
              <w:widowControl/>
              <w:jc w:val="center"/>
              <w:textAlignment w:val="center"/>
              <w:rPr>
                <w:rFonts w:ascii="宋体" w:hAnsi="宋体" w:cs="宋体"/>
                <w:szCs w:val="21"/>
              </w:rPr>
            </w:pPr>
            <w:r>
              <w:rPr>
                <w:rFonts w:hint="eastAsia" w:ascii="宋体" w:hAnsi="宋体" w:cs="宋体"/>
                <w:kern w:val="0"/>
                <w:sz w:val="22"/>
                <w:szCs w:val="22"/>
                <w:lang w:bidi="ar"/>
              </w:rPr>
              <w:t>4</w:t>
            </w:r>
          </w:p>
        </w:tc>
        <w:tc>
          <w:tcPr>
            <w:tcW w:w="937" w:type="dxa"/>
            <w:tcBorders>
              <w:top w:val="single" w:color="auto" w:sz="4" w:space="0"/>
              <w:left w:val="single" w:color="auto" w:sz="4" w:space="0"/>
              <w:bottom w:val="single" w:color="auto" w:sz="4" w:space="0"/>
              <w:right w:val="single" w:color="auto" w:sz="4" w:space="0"/>
            </w:tcBorders>
            <w:vAlign w:val="center"/>
          </w:tcPr>
          <w:p w14:paraId="5480AE3E">
            <w:pPr>
              <w:widowControl/>
              <w:jc w:val="center"/>
              <w:textAlignment w:val="center"/>
              <w:rPr>
                <w:rFonts w:ascii="宋体" w:hAnsi="宋体" w:cs="宋体"/>
                <w:sz w:val="22"/>
                <w:szCs w:val="22"/>
              </w:rPr>
            </w:pPr>
            <w:r>
              <w:rPr>
                <w:rFonts w:hint="eastAsia" w:ascii="宋体" w:hAnsi="宋体" w:cs="宋体"/>
                <w:kern w:val="0"/>
                <w:sz w:val="20"/>
                <w:szCs w:val="20"/>
                <w:lang w:bidi="ar"/>
              </w:rPr>
              <w:t>猪脚</w:t>
            </w:r>
          </w:p>
        </w:tc>
        <w:tc>
          <w:tcPr>
            <w:tcW w:w="794" w:type="dxa"/>
            <w:tcBorders>
              <w:top w:val="single" w:color="auto" w:sz="4" w:space="0"/>
              <w:left w:val="single" w:color="auto" w:sz="4" w:space="0"/>
              <w:bottom w:val="single" w:color="auto" w:sz="4" w:space="0"/>
              <w:right w:val="single" w:color="auto" w:sz="4" w:space="0"/>
            </w:tcBorders>
            <w:vAlign w:val="center"/>
          </w:tcPr>
          <w:p w14:paraId="67A95125">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公斤</w:t>
            </w:r>
          </w:p>
        </w:tc>
        <w:tc>
          <w:tcPr>
            <w:tcW w:w="729" w:type="dxa"/>
            <w:tcBorders>
              <w:top w:val="single" w:color="auto" w:sz="4" w:space="0"/>
              <w:left w:val="single" w:color="auto" w:sz="4" w:space="0"/>
              <w:bottom w:val="single" w:color="auto" w:sz="4" w:space="0"/>
              <w:right w:val="single" w:color="auto" w:sz="4" w:space="0"/>
            </w:tcBorders>
            <w:vAlign w:val="center"/>
          </w:tcPr>
          <w:p w14:paraId="659AE35D">
            <w:pPr>
              <w:widowControl/>
              <w:jc w:val="center"/>
              <w:textAlignment w:val="center"/>
              <w:rPr>
                <w:rFonts w:ascii="宋体" w:hAnsi="宋体" w:cs="宋体"/>
                <w:sz w:val="22"/>
                <w:szCs w:val="22"/>
              </w:rPr>
            </w:pPr>
            <w:r>
              <w:rPr>
                <w:rFonts w:hint="eastAsia" w:ascii="宋体" w:hAnsi="宋体" w:cs="宋体"/>
                <w:kern w:val="0"/>
                <w:sz w:val="20"/>
                <w:szCs w:val="20"/>
                <w:lang w:bidi="ar"/>
              </w:rPr>
              <w:t>10492</w:t>
            </w:r>
          </w:p>
        </w:tc>
        <w:tc>
          <w:tcPr>
            <w:tcW w:w="1337" w:type="dxa"/>
            <w:tcBorders>
              <w:top w:val="single" w:color="auto" w:sz="4" w:space="0"/>
              <w:left w:val="single" w:color="auto" w:sz="4" w:space="0"/>
              <w:bottom w:val="single" w:color="auto" w:sz="4" w:space="0"/>
              <w:right w:val="single" w:color="auto" w:sz="4" w:space="0"/>
            </w:tcBorders>
            <w:vAlign w:val="center"/>
          </w:tcPr>
          <w:p w14:paraId="02114859">
            <w:pPr>
              <w:widowControl/>
              <w:jc w:val="center"/>
              <w:textAlignment w:val="center"/>
              <w:rPr>
                <w:rFonts w:ascii="宋体" w:hAnsi="宋体" w:cs="宋体"/>
                <w:bCs/>
                <w:kern w:val="0"/>
                <w:sz w:val="22"/>
                <w:szCs w:val="22"/>
              </w:rPr>
            </w:pPr>
            <w:r>
              <w:rPr>
                <w:rFonts w:hint="eastAsia" w:ascii="宋体" w:hAnsi="宋体" w:cs="宋体"/>
                <w:kern w:val="0"/>
                <w:sz w:val="20"/>
                <w:szCs w:val="20"/>
                <w:lang w:bidi="ar"/>
              </w:rPr>
              <w:t xml:space="preserve">20.60 </w:t>
            </w:r>
          </w:p>
        </w:tc>
        <w:tc>
          <w:tcPr>
            <w:tcW w:w="1275" w:type="dxa"/>
            <w:tcBorders>
              <w:top w:val="single" w:color="auto" w:sz="4" w:space="0"/>
              <w:left w:val="single" w:color="auto" w:sz="4" w:space="0"/>
              <w:bottom w:val="single" w:color="auto" w:sz="4" w:space="0"/>
              <w:right w:val="single" w:color="auto" w:sz="4" w:space="0"/>
            </w:tcBorders>
            <w:vAlign w:val="center"/>
          </w:tcPr>
          <w:p w14:paraId="6C111E79">
            <w:pPr>
              <w:widowControl/>
              <w:jc w:val="center"/>
              <w:textAlignment w:val="center"/>
              <w:rPr>
                <w:rFonts w:ascii="宋体" w:hAnsi="宋体" w:cs="宋体"/>
                <w:szCs w:val="21"/>
              </w:rPr>
            </w:pPr>
            <w:r>
              <w:rPr>
                <w:rFonts w:hint="eastAsia" w:ascii="宋体" w:hAnsi="宋体" w:cs="宋体"/>
                <w:kern w:val="0"/>
                <w:szCs w:val="21"/>
                <w:lang w:bidi="ar"/>
              </w:rPr>
              <w:t xml:space="preserve">216135 </w:t>
            </w:r>
          </w:p>
        </w:tc>
        <w:tc>
          <w:tcPr>
            <w:tcW w:w="3748" w:type="dxa"/>
            <w:vMerge w:val="continue"/>
            <w:tcBorders>
              <w:left w:val="single" w:color="auto" w:sz="4" w:space="0"/>
              <w:bottom w:val="single" w:color="auto" w:sz="4" w:space="0"/>
              <w:right w:val="single" w:color="auto" w:sz="4" w:space="0"/>
            </w:tcBorders>
            <w:vAlign w:val="center"/>
          </w:tcPr>
          <w:p w14:paraId="67CB053D">
            <w:pPr>
              <w:widowControl/>
              <w:jc w:val="center"/>
              <w:textAlignment w:val="center"/>
              <w:rPr>
                <w:rFonts w:ascii="宋体" w:hAnsi="宋体" w:cs="宋体"/>
                <w:szCs w:val="21"/>
              </w:rPr>
            </w:pPr>
          </w:p>
        </w:tc>
      </w:tr>
      <w:tr w14:paraId="206622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97" w:hRule="atLeast"/>
          <w:jc w:val="center"/>
        </w:trPr>
        <w:tc>
          <w:tcPr>
            <w:tcW w:w="502" w:type="dxa"/>
            <w:tcBorders>
              <w:top w:val="single" w:color="auto" w:sz="4" w:space="0"/>
              <w:left w:val="single" w:color="auto" w:sz="4" w:space="0"/>
              <w:bottom w:val="single" w:color="auto" w:sz="4" w:space="0"/>
              <w:right w:val="single" w:color="auto" w:sz="4" w:space="0"/>
            </w:tcBorders>
          </w:tcPr>
          <w:p w14:paraId="5396707F">
            <w:pPr>
              <w:spacing w:line="380" w:lineRule="exact"/>
              <w:jc w:val="center"/>
              <w:rPr>
                <w:rFonts w:ascii="宋体" w:hAnsi="宋体" w:cs="宋体"/>
                <w:szCs w:val="21"/>
              </w:rPr>
            </w:pPr>
          </w:p>
          <w:p w14:paraId="4D669AF7">
            <w:pPr>
              <w:spacing w:line="380" w:lineRule="exact"/>
              <w:jc w:val="center"/>
              <w:rPr>
                <w:rFonts w:ascii="宋体" w:hAnsi="宋体" w:cs="宋体"/>
                <w:szCs w:val="21"/>
              </w:rPr>
            </w:pPr>
          </w:p>
          <w:p w14:paraId="7453E5F8">
            <w:pPr>
              <w:spacing w:line="380" w:lineRule="exact"/>
              <w:jc w:val="center"/>
              <w:rPr>
                <w:rFonts w:ascii="宋体" w:hAnsi="宋体" w:cs="宋体"/>
                <w:szCs w:val="21"/>
              </w:rPr>
            </w:pPr>
            <w:r>
              <w:rPr>
                <w:rFonts w:hint="eastAsia" w:ascii="宋体" w:hAnsi="宋体" w:cs="宋体"/>
                <w:szCs w:val="21"/>
              </w:rPr>
              <w:t>商务条款</w:t>
            </w:r>
          </w:p>
        </w:tc>
        <w:tc>
          <w:tcPr>
            <w:tcW w:w="9328" w:type="dxa"/>
            <w:gridSpan w:val="7"/>
            <w:tcBorders>
              <w:top w:val="single" w:color="auto" w:sz="4" w:space="0"/>
              <w:left w:val="single" w:color="auto" w:sz="4" w:space="0"/>
              <w:bottom w:val="single" w:color="auto" w:sz="4" w:space="0"/>
              <w:right w:val="single" w:color="auto" w:sz="4" w:space="0"/>
            </w:tcBorders>
          </w:tcPr>
          <w:p w14:paraId="51AA5F0B">
            <w:pPr>
              <w:spacing w:line="360" w:lineRule="auto"/>
              <w:rPr>
                <w:szCs w:val="21"/>
              </w:rPr>
            </w:pPr>
            <w:r>
              <w:rPr>
                <w:rFonts w:hint="eastAsia" w:ascii="宋体" w:hAnsi="宋体" w:cs="宋体"/>
                <w:szCs w:val="21"/>
              </w:rPr>
              <w:t>▲</w:t>
            </w:r>
            <w:r>
              <w:rPr>
                <w:rFonts w:hint="eastAsia"/>
                <w:szCs w:val="21"/>
              </w:rPr>
              <w:t>1．报价要求</w:t>
            </w:r>
          </w:p>
          <w:p w14:paraId="100CFDE5">
            <w:pPr>
              <w:spacing w:line="360" w:lineRule="auto"/>
              <w:rPr>
                <w:rFonts w:ascii="宋体" w:hAnsi="宋体" w:cs="宋体"/>
                <w:szCs w:val="21"/>
              </w:rPr>
            </w:pPr>
            <w:r>
              <w:rPr>
                <w:rFonts w:hint="eastAsia" w:ascii="宋体" w:hAnsi="宋体" w:cs="宋体"/>
                <w:szCs w:val="21"/>
              </w:rPr>
              <w:t>（1）投标报价按投标折扣系数报价，供应商的投标单价为招标基准单价×投标报价折扣系数。报价包括货物及服务采购、检验检测、包装、运输、仓储、人工费及招标代理费等各种费用和售后服务、税金及其它所有成本费用的总和。采购人不再支付任何费用。</w:t>
            </w:r>
            <w:r>
              <w:rPr>
                <w:rFonts w:hint="eastAsia" w:ascii="宋体" w:hAnsi="宋体" w:cs="宋体"/>
                <w:b/>
                <w:szCs w:val="21"/>
              </w:rPr>
              <w:t>投标人的投标报价折扣系数必须≤100%，否则，投标文件按无效处理；投标文件只允许有一个报价方案，有选择的或有条件的报价将不予接受。</w:t>
            </w:r>
          </w:p>
          <w:p w14:paraId="5D74E5F3">
            <w:pPr>
              <w:spacing w:line="360" w:lineRule="auto"/>
              <w:rPr>
                <w:rFonts w:ascii="宋体" w:hAnsi="宋体" w:cs="宋体"/>
                <w:szCs w:val="21"/>
              </w:rPr>
            </w:pPr>
            <w:r>
              <w:rPr>
                <w:rFonts w:hint="eastAsia" w:ascii="宋体" w:hAnsi="宋体" w:cs="宋体"/>
                <w:szCs w:val="21"/>
              </w:rPr>
              <w:t>（2）本项目采用单价控制，即供应商的各项货物单价报价不能超出采购需求表中给出的招标基准单价，否则投标无效。</w:t>
            </w:r>
          </w:p>
          <w:p w14:paraId="68A6781D">
            <w:pPr>
              <w:spacing w:line="360" w:lineRule="auto"/>
              <w:rPr>
                <w:rFonts w:ascii="宋体" w:hAnsi="宋体" w:cs="宋体"/>
                <w:szCs w:val="21"/>
              </w:rPr>
            </w:pPr>
            <w:r>
              <w:rPr>
                <w:rFonts w:hint="eastAsia" w:ascii="宋体" w:hAnsi="宋体" w:cs="宋体"/>
                <w:szCs w:val="21"/>
              </w:rPr>
              <w:t>（3）随着季节交替，存在市场价格变动，采购单价=基准单价×中标折扣系数。合同签订之日起3个月（90天）价格不予调整，往后每3个月可以对市场价格变动幅度超过±20%的商品价格，进行基准单价调整 1 次。由供应商或者采购人提出调价申请，由采购人面向柳州市市场主体（柳州市市场主体为广西新柳邕农产品批发市场（柳州海吉星）、柳州市西江综合批发市场、鹿寨县鹿寨市场、鹿寨县桂中市场、鹿寨县开心购物超市）选择不少于 3 家具有代表性的调查对象开展市场价格调查，由采购人审议拟定新的基准单价，供应商应遵照执行。基准单价调整后，采购单价为变动后的基准单价×中标折扣系数。供应商应充分考虑到供货期间物品供应基准价上涨的风险。在调价申请未得到批复前，供应商必须按现行价格供货，否则视为单方违约，同时按违约进行处理。3个月后自动按初始中标价格执行，如需继续调升（降）价格，则供应商或采购人需重新提交调价申请，重新按规定程序进行审批。</w:t>
            </w:r>
          </w:p>
          <w:p w14:paraId="555ACC65">
            <w:pPr>
              <w:spacing w:line="360" w:lineRule="auto"/>
              <w:rPr>
                <w:szCs w:val="21"/>
              </w:rPr>
            </w:pPr>
            <w:r>
              <w:rPr>
                <w:rFonts w:hint="eastAsia" w:ascii="宋体" w:hAnsi="宋体" w:cs="宋体"/>
                <w:szCs w:val="21"/>
              </w:rPr>
              <w:t>（4）以上采购数量为采购人一年的预计采购量。上述采购数量仅作为参考，实际采购数量根据采购人的实际需求确定，供应商不得因实际供应量与中标数量不一致提出异议。</w:t>
            </w:r>
          </w:p>
          <w:p w14:paraId="1760330F">
            <w:pPr>
              <w:spacing w:line="360" w:lineRule="auto"/>
              <w:rPr>
                <w:szCs w:val="21"/>
              </w:rPr>
            </w:pPr>
            <w:r>
              <w:rPr>
                <w:rFonts w:hint="eastAsia" w:ascii="宋体" w:hAnsi="宋体" w:cs="宋体"/>
                <w:szCs w:val="21"/>
              </w:rPr>
              <w:t>▲</w:t>
            </w:r>
            <w:r>
              <w:rPr>
                <w:rFonts w:hint="eastAsia"/>
                <w:szCs w:val="21"/>
              </w:rPr>
              <w:t>2.合同签订日期</w:t>
            </w:r>
          </w:p>
          <w:p w14:paraId="60937D4C">
            <w:pPr>
              <w:spacing w:line="360" w:lineRule="auto"/>
              <w:rPr>
                <w:szCs w:val="21"/>
              </w:rPr>
            </w:pPr>
            <w:r>
              <w:rPr>
                <w:rFonts w:hint="eastAsia"/>
                <w:szCs w:val="21"/>
              </w:rPr>
              <w:t>中标通知书发出后25日内。</w:t>
            </w:r>
          </w:p>
          <w:p w14:paraId="153AA4F4">
            <w:pPr>
              <w:spacing w:line="360" w:lineRule="auto"/>
              <w:rPr>
                <w:szCs w:val="21"/>
              </w:rPr>
            </w:pPr>
            <w:r>
              <w:rPr>
                <w:rFonts w:hint="eastAsia" w:ascii="宋体" w:hAnsi="宋体" w:cs="宋体"/>
                <w:szCs w:val="21"/>
              </w:rPr>
              <w:t>▲</w:t>
            </w:r>
            <w:r>
              <w:rPr>
                <w:rFonts w:hint="eastAsia"/>
                <w:szCs w:val="21"/>
              </w:rPr>
              <w:t>3.交货（实施）时间</w:t>
            </w:r>
          </w:p>
          <w:p w14:paraId="05D6DE0A">
            <w:pPr>
              <w:spacing w:line="360" w:lineRule="auto"/>
              <w:rPr>
                <w:szCs w:val="21"/>
              </w:rPr>
            </w:pPr>
            <w:r>
              <w:rPr>
                <w:rFonts w:hint="eastAsia" w:ascii="宋体" w:hAnsi="宋体" w:cs="宋体"/>
                <w:szCs w:val="21"/>
              </w:rPr>
              <w:t>自签订合同之日起一年。分批次供货，按采购人采购计划规定的时间供货。</w:t>
            </w:r>
          </w:p>
          <w:p w14:paraId="1F10DE5B">
            <w:pPr>
              <w:spacing w:line="360" w:lineRule="auto"/>
              <w:rPr>
                <w:szCs w:val="21"/>
              </w:rPr>
            </w:pPr>
            <w:r>
              <w:rPr>
                <w:rFonts w:hint="eastAsia"/>
                <w:szCs w:val="21"/>
              </w:rPr>
              <w:t>4.交货地点或服务地点</w:t>
            </w:r>
          </w:p>
          <w:p w14:paraId="652F0FCA">
            <w:pPr>
              <w:spacing w:line="360" w:lineRule="auto"/>
              <w:rPr>
                <w:szCs w:val="21"/>
              </w:rPr>
            </w:pPr>
            <w:r>
              <w:rPr>
                <w:rFonts w:hint="eastAsia"/>
                <w:szCs w:val="21"/>
              </w:rPr>
              <w:t>广西壮族自治区中渡监狱指定地点</w:t>
            </w:r>
          </w:p>
          <w:p w14:paraId="597DA434">
            <w:pPr>
              <w:spacing w:line="360" w:lineRule="auto"/>
              <w:rPr>
                <w:szCs w:val="21"/>
              </w:rPr>
            </w:pPr>
            <w:r>
              <w:rPr>
                <w:rFonts w:hint="eastAsia"/>
                <w:szCs w:val="21"/>
              </w:rPr>
              <w:t>5.</w:t>
            </w:r>
            <w:r>
              <w:rPr>
                <w:rFonts w:hint="eastAsia"/>
              </w:rPr>
              <w:t xml:space="preserve"> </w:t>
            </w:r>
            <w:r>
              <w:rPr>
                <w:rFonts w:hint="eastAsia"/>
                <w:szCs w:val="21"/>
              </w:rPr>
              <w:t>配送要求：</w:t>
            </w:r>
          </w:p>
          <w:p w14:paraId="44114757">
            <w:pPr>
              <w:spacing w:line="360" w:lineRule="auto"/>
              <w:rPr>
                <w:szCs w:val="21"/>
              </w:rPr>
            </w:pPr>
            <w:r>
              <w:rPr>
                <w:rFonts w:hint="eastAsia"/>
                <w:szCs w:val="21"/>
              </w:rPr>
              <w:t>（1）供应商必须按照采购人通知的时间、数量、品种、品质要求及协定的价格准时送货，且不得随意增减数量，否则，采购人有权拒收，且承担相应的经济赔偿。</w:t>
            </w:r>
          </w:p>
          <w:p w14:paraId="65EAB663">
            <w:pPr>
              <w:spacing w:line="360" w:lineRule="auto"/>
              <w:rPr>
                <w:szCs w:val="21"/>
              </w:rPr>
            </w:pPr>
            <w:r>
              <w:rPr>
                <w:rFonts w:hint="eastAsia"/>
                <w:szCs w:val="21"/>
              </w:rPr>
              <w:t>（2）在收到采购人发出订货通知后，供应商最迟在次日上午8时前必须到达监管区大门。</w:t>
            </w:r>
          </w:p>
          <w:p w14:paraId="7863CF60">
            <w:pPr>
              <w:spacing w:line="360" w:lineRule="auto"/>
              <w:rPr>
                <w:szCs w:val="21"/>
              </w:rPr>
            </w:pPr>
            <w:r>
              <w:rPr>
                <w:rFonts w:hint="eastAsia"/>
                <w:szCs w:val="21"/>
              </w:rPr>
              <w:t>（3）除客观不可抗力外，供应商不得推迟送货。如确需延迟送货，供应商应在得知情况的同时告知采购人并征得采购人的同意。</w:t>
            </w:r>
          </w:p>
          <w:p w14:paraId="281786CB">
            <w:pPr>
              <w:spacing w:line="360" w:lineRule="auto"/>
              <w:rPr>
                <w:szCs w:val="21"/>
              </w:rPr>
            </w:pPr>
            <w:r>
              <w:rPr>
                <w:rFonts w:hint="eastAsia"/>
                <w:szCs w:val="21"/>
              </w:rPr>
              <w:t>（4）紧急供货要求：在收到采购人发出紧急供货通知后，供应商最迟2小时内完成当次现场供货。</w:t>
            </w:r>
          </w:p>
          <w:p w14:paraId="299AE966">
            <w:pPr>
              <w:spacing w:line="360" w:lineRule="auto"/>
              <w:rPr>
                <w:szCs w:val="21"/>
              </w:rPr>
            </w:pPr>
            <w:r>
              <w:rPr>
                <w:rFonts w:hint="eastAsia"/>
                <w:szCs w:val="21"/>
              </w:rPr>
              <w:t>（5）供应商必须在双方约定的时间内</w:t>
            </w:r>
            <w:r>
              <w:rPr>
                <w:rFonts w:hint="eastAsia"/>
              </w:rPr>
              <w:t>将货物使用冷链车配送到采购方指定的地点，装卸人员由供应商安排，运输、装卸费用由供应商承担，</w:t>
            </w:r>
            <w:r>
              <w:rPr>
                <w:rFonts w:hint="eastAsia"/>
                <w:szCs w:val="21"/>
              </w:rPr>
              <w:t>如出现不合格、损坏的情况，由供应商负责及时调换。</w:t>
            </w:r>
          </w:p>
          <w:p w14:paraId="36F8A4C1">
            <w:pPr>
              <w:spacing w:line="360" w:lineRule="auto"/>
              <w:rPr>
                <w:szCs w:val="21"/>
              </w:rPr>
            </w:pPr>
            <w:r>
              <w:rPr>
                <w:rFonts w:hint="eastAsia"/>
                <w:szCs w:val="21"/>
              </w:rPr>
              <w:t>（6）供应商必须由有健康证且无犯罪记录证明的固定人员及固定车辆长期送货（本分标至少配备2名固定人员和2辆冷链车），且必须穿着便于辨认的工衣和配戴胸卡，在办理好进入监区相关手续后不得变动，如临时非固定人员送货，须取得采购方同意。送货专员在采购人单位活动必须严格遵守采购人单位各项规章制度，不得做出有损采购人形象和利益的事情。（投标文件中必须提供固定人员有效的劳动合同扫描件、有效期内的身份证扫描件、有效的健康证扫描件、无犯罪记录证明，拟配备车辆须提供车辆行驶证或机动车登记证及车辆照片扫描件）。</w:t>
            </w:r>
          </w:p>
          <w:p w14:paraId="7BD54A84">
            <w:pPr>
              <w:spacing w:line="360" w:lineRule="auto"/>
            </w:pPr>
            <w:r>
              <w:rPr>
                <w:rFonts w:hint="eastAsia"/>
                <w:szCs w:val="21"/>
              </w:rPr>
              <w:t>（7）供应商需提供切割服务，根据采购人下单需求将猪肉清洗干净，骨肉分离，分割小块或小片，可直接用于菜品加工。猪肉必须在符合卫生防疫标准的食品预加工车间内进行切割处理后，按需配送。</w:t>
            </w:r>
          </w:p>
          <w:p w14:paraId="409891F4">
            <w:pPr>
              <w:spacing w:line="360" w:lineRule="auto"/>
              <w:rPr>
                <w:szCs w:val="21"/>
              </w:rPr>
            </w:pPr>
            <w:r>
              <w:rPr>
                <w:rFonts w:hint="eastAsia"/>
                <w:szCs w:val="21"/>
              </w:rPr>
              <w:t>（8）供应商可在投标文件中单独提供本分标针对性的配送服务及应急方案。（格式自拟）</w:t>
            </w:r>
          </w:p>
          <w:p w14:paraId="38241BFA">
            <w:pPr>
              <w:spacing w:line="360" w:lineRule="auto"/>
              <w:rPr>
                <w:szCs w:val="21"/>
              </w:rPr>
            </w:pPr>
            <w:r>
              <w:rPr>
                <w:rFonts w:hint="eastAsia"/>
                <w:szCs w:val="21"/>
              </w:rPr>
              <w:t>6.供应商提供的货物必须是具有合法销售途径的、完整、新鲜合格产品。货物的技术质量必须符合中华人民共和国农产品质量安全法等有关规定。</w:t>
            </w:r>
          </w:p>
          <w:p w14:paraId="5C521398">
            <w:pPr>
              <w:spacing w:line="360" w:lineRule="auto"/>
              <w:rPr>
                <w:szCs w:val="21"/>
              </w:rPr>
            </w:pPr>
            <w:r>
              <w:rPr>
                <w:rFonts w:hint="eastAsia"/>
                <w:szCs w:val="21"/>
              </w:rPr>
              <w:t>7.供应商要遵守采购人的防疫采购要求。</w:t>
            </w:r>
          </w:p>
          <w:p w14:paraId="53C69CE3">
            <w:pPr>
              <w:spacing w:line="360" w:lineRule="auto"/>
              <w:rPr>
                <w:szCs w:val="21"/>
              </w:rPr>
            </w:pPr>
            <w:r>
              <w:rPr>
                <w:rFonts w:hint="eastAsia"/>
              </w:rPr>
              <w:t>8.包装要求：根据《财政部等三部门联合印发商品包装和快递包装政府采购需求标准（试行）》财办库〔2020〕123号文规定，若投标产品使用塑料、纸质、木质等包装材料时应满足《商品包装政府采购需求标准（试行）》要求，若投标产品需要快递包装，快递封装材料应满足《快递包装政府采购需求标准（试行）》要求。</w:t>
            </w:r>
          </w:p>
          <w:p w14:paraId="057D952C">
            <w:pPr>
              <w:spacing w:line="360" w:lineRule="auto"/>
              <w:rPr>
                <w:szCs w:val="21"/>
              </w:rPr>
            </w:pPr>
            <w:r>
              <w:rPr>
                <w:rFonts w:hint="eastAsia"/>
                <w:szCs w:val="21"/>
              </w:rPr>
              <w:t>9.供货时，供应商必须提供以下证明文件：</w:t>
            </w:r>
          </w:p>
          <w:p w14:paraId="3DD07142">
            <w:pPr>
              <w:spacing w:line="360" w:lineRule="auto"/>
              <w:rPr>
                <w:szCs w:val="21"/>
              </w:rPr>
            </w:pPr>
            <w:r>
              <w:rPr>
                <w:rFonts w:hint="eastAsia"/>
                <w:szCs w:val="21"/>
              </w:rPr>
              <w:t>（1）每批货物必须提供相关的质量安全检验合格证明。</w:t>
            </w:r>
          </w:p>
          <w:p w14:paraId="0095B444">
            <w:pPr>
              <w:spacing w:line="360" w:lineRule="auto"/>
              <w:rPr>
                <w:szCs w:val="21"/>
              </w:rPr>
            </w:pPr>
            <w:r>
              <w:rPr>
                <w:rFonts w:hint="eastAsia"/>
                <w:szCs w:val="21"/>
              </w:rPr>
              <w:t>（2）供应商每次随货物送上一式两份的送货清单，经双方验收合格后签字确认，双方各执一份，作为送收货凭证。供应商的送货清单必须详细注明商品的单价、数量，送货清单不得涂改。标记不清的，采购人将拒绝签收。结算期末供应商还应提供送货清单供采购人结算。</w:t>
            </w:r>
          </w:p>
          <w:p w14:paraId="0A314C87">
            <w:pPr>
              <w:spacing w:line="360" w:lineRule="auto"/>
              <w:rPr>
                <w:szCs w:val="21"/>
              </w:rPr>
            </w:pPr>
            <w:r>
              <w:rPr>
                <w:rFonts w:hint="eastAsia"/>
                <w:szCs w:val="21"/>
              </w:rPr>
              <w:t>10、交货验收必须由采购人和供应商共同进行，采购人如认为有需要的，可委托相关检验部门对产品进行抽检，自检或检验部门抽检不合格的不给予验收，影响采购人实施进度的将追究相关责任，抽检所产生的费用全部由供应商负责。</w:t>
            </w:r>
          </w:p>
          <w:p w14:paraId="205196E3">
            <w:pPr>
              <w:spacing w:line="360" w:lineRule="auto"/>
              <w:rPr>
                <w:szCs w:val="21"/>
              </w:rPr>
            </w:pPr>
            <w:r>
              <w:rPr>
                <w:rFonts w:hint="eastAsia"/>
                <w:szCs w:val="21"/>
              </w:rPr>
              <w:t>11.验收工作的一般程序为：根据货物采购清单的具体要求，对所购名称进行清点、外观检查进行实测，并逐项记录。检测结束后，验收人员在验收单上签字。对未能通过验收的，一律退货、更换直至验收合格。</w:t>
            </w:r>
          </w:p>
          <w:p w14:paraId="75163826">
            <w:pPr>
              <w:spacing w:line="360" w:lineRule="auto"/>
              <w:rPr>
                <w:szCs w:val="21"/>
              </w:rPr>
            </w:pPr>
            <w:r>
              <w:rPr>
                <w:rFonts w:hint="eastAsia"/>
                <w:szCs w:val="21"/>
              </w:rPr>
              <w:t>12.</w:t>
            </w:r>
            <w:r>
              <w:rPr>
                <w:rFonts w:hint="eastAsia"/>
                <w:color w:val="0000FF"/>
                <w:szCs w:val="21"/>
              </w:rPr>
              <w:t>供应商必须遵守国家保密法规和采购人保密规定要求，未经采购人有关人员允许，不得随意进出各办公场所，不得翻阅文件，不得浏览计算机，不得记录、泄露任何保密信息，否则承担一切法律后果。</w:t>
            </w:r>
            <w:r>
              <w:rPr>
                <w:rFonts w:hint="eastAsia"/>
                <w:szCs w:val="21"/>
              </w:rPr>
              <w:t>泄密造成采购人损失的，供应商将承担由此产生的一切损失和法律责任，供应商必须在投标文件中单独提供承诺函，并由法定代表人（负责人）签字并加盖单位公章（格式自拟）。</w:t>
            </w:r>
          </w:p>
          <w:p w14:paraId="7074FC68">
            <w:pPr>
              <w:spacing w:line="360" w:lineRule="auto"/>
              <w:rPr>
                <w:szCs w:val="21"/>
              </w:rPr>
            </w:pPr>
            <w:r>
              <w:rPr>
                <w:rFonts w:hint="eastAsia"/>
                <w:szCs w:val="21"/>
              </w:rPr>
              <w:t>13.及时落实采购人安排的食材突击供应任务。</w:t>
            </w:r>
          </w:p>
          <w:p w14:paraId="530407E8">
            <w:pPr>
              <w:spacing w:line="360" w:lineRule="auto"/>
              <w:rPr>
                <w:szCs w:val="21"/>
              </w:rPr>
            </w:pPr>
            <w:r>
              <w:rPr>
                <w:rFonts w:hint="eastAsia"/>
                <w:szCs w:val="21"/>
              </w:rPr>
              <w:t>14.安全责任方面要求</w:t>
            </w:r>
          </w:p>
          <w:p w14:paraId="5CB03F4C">
            <w:pPr>
              <w:spacing w:line="360" w:lineRule="auto"/>
              <w:rPr>
                <w:szCs w:val="21"/>
              </w:rPr>
            </w:pPr>
            <w:r>
              <w:rPr>
                <w:rFonts w:hint="eastAsia"/>
                <w:szCs w:val="21"/>
              </w:rPr>
              <w:t>（1）供应商应保证所提供的的食品必须是合格安全的食品，因其所送的食品造成食物中毒等事故，立即终止合同，供应商应承担全部责任，同时通过法律途径解决。</w:t>
            </w:r>
          </w:p>
          <w:p w14:paraId="707935A7">
            <w:pPr>
              <w:spacing w:line="360" w:lineRule="auto"/>
              <w:rPr>
                <w:szCs w:val="21"/>
              </w:rPr>
            </w:pPr>
            <w:r>
              <w:rPr>
                <w:rFonts w:hint="eastAsia"/>
                <w:szCs w:val="21"/>
              </w:rPr>
              <w:t>（2）供应商应严格遵守《食品安全法》等相关规定，一经发现以下食品，除全部退货外，将取消供货资格，供应商并承担由此造成的经济责任和法律责任：</w:t>
            </w:r>
          </w:p>
          <w:p w14:paraId="750C28D9">
            <w:pPr>
              <w:spacing w:line="360" w:lineRule="auto"/>
              <w:rPr>
                <w:szCs w:val="21"/>
              </w:rPr>
            </w:pPr>
            <w:r>
              <w:rPr>
                <w:rFonts w:hint="eastAsia"/>
                <w:szCs w:val="21"/>
              </w:rPr>
              <w:t>①食材没有合法供货来源的；</w:t>
            </w:r>
          </w:p>
          <w:p w14:paraId="6E87FD4C">
            <w:pPr>
              <w:spacing w:line="360" w:lineRule="auto"/>
              <w:rPr>
                <w:szCs w:val="21"/>
              </w:rPr>
            </w:pPr>
            <w:r>
              <w:rPr>
                <w:rFonts w:hint="eastAsia"/>
                <w:szCs w:val="21"/>
              </w:rPr>
              <w:t>②腐败变质、霉变、生虫、污秽不洁、混有异物或者其他感官性状异常，对人体健康有害的；</w:t>
            </w:r>
          </w:p>
          <w:p w14:paraId="720D3F2C">
            <w:pPr>
              <w:spacing w:line="360" w:lineRule="auto"/>
              <w:rPr>
                <w:szCs w:val="21"/>
              </w:rPr>
            </w:pPr>
            <w:r>
              <w:rPr>
                <w:rFonts w:hint="eastAsia"/>
                <w:szCs w:val="21"/>
              </w:rPr>
              <w:t>③含有毒、有害物质或者被有害物质污染，对人体健康有害的；</w:t>
            </w:r>
          </w:p>
          <w:p w14:paraId="013D70DA">
            <w:pPr>
              <w:spacing w:line="360" w:lineRule="auto"/>
              <w:rPr>
                <w:szCs w:val="21"/>
              </w:rPr>
            </w:pPr>
            <w:r>
              <w:rPr>
                <w:rFonts w:hint="eastAsia"/>
                <w:szCs w:val="21"/>
              </w:rPr>
              <w:t>④含有致病性寄生虫、微生物或者微生物含量超过国家限定标准的；</w:t>
            </w:r>
          </w:p>
          <w:p w14:paraId="2D1F0408">
            <w:pPr>
              <w:spacing w:line="360" w:lineRule="auto"/>
              <w:rPr>
                <w:szCs w:val="21"/>
              </w:rPr>
            </w:pPr>
            <w:r>
              <w:rPr>
                <w:rFonts w:hint="eastAsia"/>
                <w:szCs w:val="21"/>
              </w:rPr>
              <w:t>⑤未经检疫部门检疫、检验或者检疫、检验不合格的；</w:t>
            </w:r>
          </w:p>
          <w:p w14:paraId="19EA8086">
            <w:pPr>
              <w:spacing w:line="360" w:lineRule="auto"/>
              <w:rPr>
                <w:szCs w:val="21"/>
              </w:rPr>
            </w:pPr>
            <w:r>
              <w:rPr>
                <w:rFonts w:hint="eastAsia"/>
                <w:szCs w:val="21"/>
              </w:rPr>
              <w:t>⑥掺假、掺杂、伪造，影响营养、卫生的。</w:t>
            </w:r>
          </w:p>
          <w:p w14:paraId="54515CF2">
            <w:pPr>
              <w:spacing w:line="360" w:lineRule="auto"/>
              <w:rPr>
                <w:szCs w:val="21"/>
              </w:rPr>
            </w:pPr>
            <w:r>
              <w:rPr>
                <w:rFonts w:hint="eastAsia"/>
                <w:szCs w:val="21"/>
              </w:rPr>
              <w:t>15.付款方式、时间及条件</w:t>
            </w:r>
          </w:p>
          <w:p w14:paraId="5067A451">
            <w:pPr>
              <w:spacing w:line="360" w:lineRule="auto"/>
              <w:rPr>
                <w:szCs w:val="21"/>
              </w:rPr>
            </w:pPr>
            <w:r>
              <w:rPr>
                <w:rFonts w:hint="eastAsia"/>
                <w:szCs w:val="21"/>
              </w:rPr>
              <w:t>（1）</w:t>
            </w:r>
            <w:r>
              <w:rPr>
                <w:szCs w:val="21"/>
              </w:rPr>
              <w:t>分批供货，每批次货款根据双方确认的单价及该批次的供货数量进行结算；</w:t>
            </w:r>
            <w:r>
              <w:rPr>
                <w:rFonts w:hint="eastAsia"/>
                <w:szCs w:val="21"/>
              </w:rPr>
              <w:t>（2）</w:t>
            </w:r>
            <w:r>
              <w:rPr>
                <w:szCs w:val="21"/>
              </w:rPr>
              <w:t>按月结算，采购人在收到中标供应商上月全额发票后</w:t>
            </w:r>
            <w:r>
              <w:rPr>
                <w:rFonts w:hint="eastAsia"/>
                <w:szCs w:val="21"/>
              </w:rPr>
              <w:t>1</w:t>
            </w:r>
            <w:r>
              <w:rPr>
                <w:szCs w:val="21"/>
              </w:rPr>
              <w:t>0个工作日内向中标供应商一次付清上月货物的全部货款。</w:t>
            </w:r>
            <w:r>
              <w:rPr>
                <w:rFonts w:hint="eastAsia"/>
                <w:szCs w:val="21"/>
              </w:rPr>
              <w:t>采购人未收到合格发票的，有权不予支付相应款项，并不承担延迟付款责任。供应商不得要求采购人将货款支付给供应商以外的任何人或公司。 收款方、出具发票方、合同乙方均必须与供应商名称一致。</w:t>
            </w:r>
          </w:p>
          <w:p w14:paraId="331784E7">
            <w:pPr>
              <w:spacing w:line="360" w:lineRule="auto"/>
              <w:rPr>
                <w:szCs w:val="21"/>
              </w:rPr>
            </w:pPr>
            <w:r>
              <w:rPr>
                <w:rFonts w:hint="eastAsia"/>
                <w:szCs w:val="21"/>
              </w:rPr>
              <w:t>16.履约保证金</w:t>
            </w:r>
          </w:p>
          <w:p w14:paraId="285264B7">
            <w:pPr>
              <w:spacing w:line="360" w:lineRule="auto"/>
              <w:rPr>
                <w:szCs w:val="21"/>
              </w:rPr>
            </w:pPr>
            <w:r>
              <w:rPr>
                <w:rFonts w:hint="eastAsia"/>
                <w:szCs w:val="21"/>
              </w:rPr>
              <w:t>详见招标文件合同主要条款格式部分</w:t>
            </w:r>
          </w:p>
          <w:p w14:paraId="7BEE8F4D">
            <w:pPr>
              <w:spacing w:line="360" w:lineRule="auto"/>
              <w:rPr>
                <w:szCs w:val="21"/>
              </w:rPr>
            </w:pPr>
            <w:r>
              <w:rPr>
                <w:rFonts w:hint="eastAsia" w:ascii="宋体" w:hAnsi="宋体" w:cs="宋体"/>
                <w:szCs w:val="21"/>
              </w:rPr>
              <w:t>▲</w:t>
            </w:r>
            <w:r>
              <w:rPr>
                <w:rFonts w:hint="eastAsia"/>
                <w:szCs w:val="21"/>
              </w:rPr>
              <w:t>17.售后服务</w:t>
            </w:r>
          </w:p>
          <w:p w14:paraId="09FC807A">
            <w:pPr>
              <w:spacing w:line="360" w:lineRule="auto"/>
              <w:rPr>
                <w:szCs w:val="21"/>
              </w:rPr>
            </w:pPr>
            <w:r>
              <w:rPr>
                <w:rFonts w:hint="eastAsia"/>
                <w:szCs w:val="21"/>
              </w:rPr>
              <w:t>（1）质保期：</w:t>
            </w:r>
            <w:r>
              <w:rPr>
                <w:rFonts w:hint="eastAsia"/>
                <w:color w:val="0000FF"/>
                <w:szCs w:val="21"/>
              </w:rPr>
              <w:t>肉类及家禽自每批次货物验收合格之日起计算，冷藏环境下质保期不少于24小时。</w:t>
            </w:r>
          </w:p>
          <w:p w14:paraId="36D97368">
            <w:pPr>
              <w:spacing w:line="360" w:lineRule="auto"/>
              <w:rPr>
                <w:szCs w:val="21"/>
              </w:rPr>
            </w:pPr>
            <w:r>
              <w:rPr>
                <w:rFonts w:hint="eastAsia"/>
                <w:szCs w:val="21"/>
              </w:rPr>
              <w:t>（2）供应商应承诺“三包”。在质保期内发现质量问题，供应商必须在接到采购人通知后5小时内到达现场处理，如属质量问题的及时给予更换。</w:t>
            </w:r>
          </w:p>
          <w:p w14:paraId="4F2D2144">
            <w:pPr>
              <w:spacing w:line="360" w:lineRule="auto"/>
              <w:rPr>
                <w:szCs w:val="21"/>
              </w:rPr>
            </w:pPr>
            <w:r>
              <w:rPr>
                <w:rFonts w:hint="eastAsia"/>
                <w:szCs w:val="21"/>
              </w:rPr>
              <w:t>（3）每批次供应商无法按规定时间交货，采购人从其他地方进行临时应急补货的，产生的相关成本及费用由供应商负责。</w:t>
            </w:r>
          </w:p>
          <w:p w14:paraId="1162084B">
            <w:pPr>
              <w:spacing w:line="360" w:lineRule="auto"/>
              <w:rPr>
                <w:szCs w:val="21"/>
              </w:rPr>
            </w:pPr>
            <w:r>
              <w:rPr>
                <w:rFonts w:hint="eastAsia"/>
                <w:szCs w:val="21"/>
              </w:rPr>
              <w:t>18.保险</w:t>
            </w:r>
          </w:p>
          <w:p w14:paraId="78E4EFDF">
            <w:pPr>
              <w:spacing w:line="380" w:lineRule="exact"/>
              <w:rPr>
                <w:szCs w:val="21"/>
              </w:rPr>
            </w:pPr>
            <w:r>
              <w:rPr>
                <w:rFonts w:hint="eastAsia"/>
                <w:szCs w:val="21"/>
              </w:rPr>
              <w:t>供应商负责办理运输和保险，将货物运抵交货地点。与运输、保险相关的费用由供应商承担。</w:t>
            </w:r>
          </w:p>
          <w:p w14:paraId="01D33AEC">
            <w:pPr>
              <w:spacing w:line="380" w:lineRule="exact"/>
              <w:rPr>
                <w:szCs w:val="21"/>
              </w:rPr>
            </w:pPr>
            <w:r>
              <w:rPr>
                <w:rFonts w:hint="eastAsia"/>
                <w:szCs w:val="21"/>
              </w:rPr>
              <w:t>19.考核管理办法：供应商须严格遵守采购人的监管制度规定，同意按附件中的《广西监狱罪犯生活物资供货商考核管理办法》管理，招标文件中其他未尽事宜按照《广西监狱罪犯生活物资供货商考核管理办法》有关规定执行。</w:t>
            </w:r>
          </w:p>
          <w:p w14:paraId="1F881B6B">
            <w:pPr>
              <w:spacing w:line="380" w:lineRule="exact"/>
              <w:rPr>
                <w:szCs w:val="21"/>
              </w:rPr>
            </w:pPr>
            <w:r>
              <w:rPr>
                <w:rFonts w:hint="eastAsia"/>
                <w:szCs w:val="21"/>
              </w:rPr>
              <w:t>20.供应期满6个月以后，如上级有重大采购政策调整的，采购人可以无条件提前终止合约。</w:t>
            </w:r>
          </w:p>
          <w:p w14:paraId="4390ADBE">
            <w:pPr>
              <w:spacing w:line="380" w:lineRule="exact"/>
              <w:rPr>
                <w:rFonts w:ascii="宋体" w:hAnsi="宋体" w:cs="宋体"/>
                <w:szCs w:val="21"/>
              </w:rPr>
            </w:pPr>
          </w:p>
        </w:tc>
      </w:tr>
    </w:tbl>
    <w:p w14:paraId="094BFEDE">
      <w:pPr>
        <w:widowControl/>
        <w:jc w:val="left"/>
        <w:rPr>
          <w:szCs w:val="21"/>
        </w:rPr>
      </w:pPr>
    </w:p>
    <w:tbl>
      <w:tblPr>
        <w:tblStyle w:val="51"/>
        <w:tblW w:w="978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09"/>
        <w:gridCol w:w="519"/>
        <w:gridCol w:w="954"/>
        <w:gridCol w:w="941"/>
        <w:gridCol w:w="851"/>
        <w:gridCol w:w="1527"/>
        <w:gridCol w:w="1528"/>
        <w:gridCol w:w="2954"/>
      </w:tblGrid>
      <w:tr w14:paraId="37ED35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6" w:hRule="atLeast"/>
          <w:jc w:val="center"/>
        </w:trPr>
        <w:tc>
          <w:tcPr>
            <w:tcW w:w="9783" w:type="dxa"/>
            <w:gridSpan w:val="8"/>
            <w:tcBorders>
              <w:top w:val="single" w:color="auto" w:sz="4" w:space="0"/>
              <w:left w:val="single" w:color="auto" w:sz="4" w:space="0"/>
              <w:right w:val="single" w:color="auto" w:sz="4" w:space="0"/>
            </w:tcBorders>
            <w:vAlign w:val="center"/>
          </w:tcPr>
          <w:p w14:paraId="437D45D8">
            <w:pPr>
              <w:spacing w:line="380" w:lineRule="exact"/>
              <w:jc w:val="left"/>
              <w:rPr>
                <w:rFonts w:ascii="宋体" w:hAnsi="宋体" w:cs="宋体"/>
                <w:b/>
                <w:szCs w:val="21"/>
              </w:rPr>
            </w:pPr>
            <w:r>
              <w:rPr>
                <w:rFonts w:hint="eastAsia" w:ascii="宋体" w:hAnsi="宋体" w:cs="宋体"/>
                <w:b/>
                <w:szCs w:val="21"/>
              </w:rPr>
              <w:t>分标：3分标</w:t>
            </w:r>
            <w:r>
              <w:rPr>
                <w:rFonts w:hint="eastAsia" w:ascii="宋体" w:hAnsi="宋体" w:cs="宋体"/>
                <w:b/>
                <w:bCs/>
                <w:szCs w:val="21"/>
              </w:rPr>
              <w:t>采购预算：2000000.00元（最高限价金额：2000000.00元）所属行业：批发业</w:t>
            </w:r>
          </w:p>
        </w:tc>
      </w:tr>
      <w:tr w14:paraId="083CB7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5" w:hRule="atLeast"/>
          <w:jc w:val="center"/>
        </w:trPr>
        <w:tc>
          <w:tcPr>
            <w:tcW w:w="9783" w:type="dxa"/>
            <w:gridSpan w:val="8"/>
            <w:tcBorders>
              <w:top w:val="single" w:color="auto" w:sz="4" w:space="0"/>
              <w:left w:val="single" w:color="auto" w:sz="4" w:space="0"/>
              <w:right w:val="single" w:color="auto" w:sz="4" w:space="0"/>
            </w:tcBorders>
            <w:vAlign w:val="center"/>
          </w:tcPr>
          <w:p w14:paraId="223C8EBD">
            <w:pPr>
              <w:spacing w:line="380" w:lineRule="exact"/>
              <w:jc w:val="center"/>
              <w:rPr>
                <w:rFonts w:ascii="宋体" w:hAnsi="宋体" w:cs="宋体"/>
                <w:b/>
                <w:szCs w:val="21"/>
              </w:rPr>
            </w:pPr>
            <w:r>
              <w:rPr>
                <w:rFonts w:hint="eastAsia" w:ascii="宋体" w:hAnsi="宋体" w:cs="宋体"/>
                <w:b/>
                <w:szCs w:val="21"/>
              </w:rPr>
              <w:t>采购需求一览表</w:t>
            </w:r>
          </w:p>
        </w:tc>
      </w:tr>
      <w:tr w14:paraId="7F0F17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509" w:type="dxa"/>
            <w:vMerge w:val="restart"/>
            <w:tcBorders>
              <w:top w:val="single" w:color="auto" w:sz="4" w:space="0"/>
              <w:left w:val="single" w:color="auto" w:sz="4" w:space="0"/>
              <w:right w:val="single" w:color="auto" w:sz="4" w:space="0"/>
            </w:tcBorders>
            <w:vAlign w:val="center"/>
          </w:tcPr>
          <w:p w14:paraId="1C498DD5">
            <w:pPr>
              <w:spacing w:line="380" w:lineRule="exact"/>
              <w:jc w:val="center"/>
              <w:rPr>
                <w:rFonts w:ascii="宋体" w:hAnsi="宋体" w:cs="宋体"/>
                <w:szCs w:val="21"/>
              </w:rPr>
            </w:pPr>
          </w:p>
          <w:p w14:paraId="4CD2E3FE">
            <w:pPr>
              <w:spacing w:line="380" w:lineRule="exact"/>
              <w:jc w:val="center"/>
              <w:rPr>
                <w:rFonts w:ascii="宋体" w:hAnsi="宋体" w:cs="宋体"/>
                <w:szCs w:val="21"/>
              </w:rPr>
            </w:pPr>
            <w:r>
              <w:rPr>
                <w:rFonts w:hint="eastAsia" w:ascii="宋体" w:hAnsi="宋体" w:cs="宋体"/>
                <w:szCs w:val="21"/>
              </w:rPr>
              <w:t>采购清单及货物参数</w:t>
            </w:r>
          </w:p>
        </w:tc>
        <w:tc>
          <w:tcPr>
            <w:tcW w:w="51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1816947">
            <w:pPr>
              <w:spacing w:line="380" w:lineRule="exact"/>
              <w:jc w:val="center"/>
              <w:rPr>
                <w:rFonts w:ascii="宋体" w:hAnsi="宋体" w:cs="宋体"/>
                <w:szCs w:val="21"/>
              </w:rPr>
            </w:pPr>
            <w:r>
              <w:rPr>
                <w:rFonts w:hint="eastAsia" w:ascii="宋体" w:hAnsi="宋体" w:cs="宋体"/>
                <w:szCs w:val="21"/>
              </w:rPr>
              <w:t>序号</w:t>
            </w:r>
          </w:p>
        </w:tc>
        <w:tc>
          <w:tcPr>
            <w:tcW w:w="954" w:type="dxa"/>
            <w:tcBorders>
              <w:top w:val="single" w:color="auto" w:sz="4" w:space="0"/>
              <w:left w:val="single" w:color="auto" w:sz="4" w:space="0"/>
              <w:bottom w:val="single" w:color="auto" w:sz="4" w:space="0"/>
              <w:right w:val="single" w:color="auto" w:sz="4" w:space="0"/>
            </w:tcBorders>
            <w:vAlign w:val="center"/>
          </w:tcPr>
          <w:p w14:paraId="6CB0B91C">
            <w:pPr>
              <w:spacing w:line="380" w:lineRule="exact"/>
              <w:jc w:val="center"/>
              <w:rPr>
                <w:rFonts w:ascii="宋体" w:hAnsi="宋体" w:cs="宋体"/>
                <w:szCs w:val="21"/>
              </w:rPr>
            </w:pPr>
            <w:r>
              <w:rPr>
                <w:rFonts w:hint="eastAsia" w:ascii="宋体" w:hAnsi="宋体" w:cs="宋体"/>
                <w:szCs w:val="21"/>
              </w:rPr>
              <w:t>采购货物名称</w:t>
            </w:r>
          </w:p>
        </w:tc>
        <w:tc>
          <w:tcPr>
            <w:tcW w:w="941" w:type="dxa"/>
            <w:tcBorders>
              <w:top w:val="single" w:color="auto" w:sz="4" w:space="0"/>
              <w:left w:val="single" w:color="auto" w:sz="4" w:space="0"/>
              <w:bottom w:val="single" w:color="auto" w:sz="4" w:space="0"/>
              <w:right w:val="single" w:color="auto" w:sz="4" w:space="0"/>
            </w:tcBorders>
            <w:vAlign w:val="center"/>
          </w:tcPr>
          <w:p w14:paraId="52BA4BBA">
            <w:pPr>
              <w:widowControl/>
              <w:jc w:val="center"/>
              <w:textAlignment w:val="center"/>
              <w:rPr>
                <w:rFonts w:ascii="宋体" w:hAnsi="宋体" w:cs="宋体"/>
                <w:szCs w:val="21"/>
              </w:rPr>
            </w:pPr>
            <w:r>
              <w:rPr>
                <w:rFonts w:hint="eastAsia" w:ascii="宋体" w:hAnsi="宋体" w:cs="宋体"/>
                <w:kern w:val="0"/>
                <w:szCs w:val="21"/>
                <w:lang w:bidi="ar"/>
              </w:rPr>
              <w:t>单位</w:t>
            </w:r>
          </w:p>
        </w:tc>
        <w:tc>
          <w:tcPr>
            <w:tcW w:w="851" w:type="dxa"/>
            <w:tcBorders>
              <w:top w:val="single" w:color="auto" w:sz="4" w:space="0"/>
              <w:left w:val="single" w:color="auto" w:sz="4" w:space="0"/>
              <w:bottom w:val="single" w:color="auto" w:sz="4" w:space="0"/>
              <w:right w:val="single" w:color="auto" w:sz="4" w:space="0"/>
            </w:tcBorders>
            <w:vAlign w:val="center"/>
          </w:tcPr>
          <w:p w14:paraId="4FF7EF6B">
            <w:pPr>
              <w:widowControl/>
              <w:jc w:val="center"/>
              <w:textAlignment w:val="center"/>
              <w:rPr>
                <w:rFonts w:ascii="宋体" w:hAnsi="宋体" w:cs="宋体"/>
                <w:bCs/>
                <w:szCs w:val="21"/>
              </w:rPr>
            </w:pPr>
            <w:r>
              <w:rPr>
                <w:rFonts w:hint="eastAsia" w:ascii="宋体" w:hAnsi="宋体" w:cs="宋体"/>
                <w:kern w:val="0"/>
                <w:szCs w:val="21"/>
                <w:lang w:bidi="ar"/>
              </w:rPr>
              <w:t>数量（公斤）</w:t>
            </w:r>
          </w:p>
        </w:tc>
        <w:tc>
          <w:tcPr>
            <w:tcW w:w="1527" w:type="dxa"/>
            <w:tcBorders>
              <w:top w:val="single" w:color="auto" w:sz="4" w:space="0"/>
              <w:left w:val="single" w:color="auto" w:sz="4" w:space="0"/>
              <w:bottom w:val="single" w:color="auto" w:sz="4" w:space="0"/>
              <w:right w:val="single" w:color="auto" w:sz="4" w:space="0"/>
            </w:tcBorders>
            <w:vAlign w:val="center"/>
          </w:tcPr>
          <w:p w14:paraId="75A8B555">
            <w:pPr>
              <w:pStyle w:val="17"/>
            </w:pPr>
            <w:r>
              <w:rPr>
                <w:rFonts w:hint="eastAsia"/>
              </w:rPr>
              <w:t>招标基准单价</w:t>
            </w:r>
          </w:p>
          <w:p w14:paraId="6441796F">
            <w:pPr>
              <w:widowControl/>
              <w:jc w:val="center"/>
              <w:textAlignment w:val="center"/>
              <w:rPr>
                <w:rFonts w:ascii="宋体" w:hAnsi="宋体" w:cs="宋体"/>
                <w:szCs w:val="21"/>
              </w:rPr>
            </w:pPr>
            <w:r>
              <w:rPr>
                <w:rFonts w:hint="eastAsia" w:ascii="宋体" w:hAnsi="宋体" w:cs="宋体"/>
                <w:kern w:val="0"/>
                <w:szCs w:val="21"/>
                <w:lang w:bidi="ar"/>
              </w:rPr>
              <w:t>（元）</w:t>
            </w:r>
          </w:p>
        </w:tc>
        <w:tc>
          <w:tcPr>
            <w:tcW w:w="1528" w:type="dxa"/>
            <w:tcBorders>
              <w:top w:val="single" w:color="auto" w:sz="4" w:space="0"/>
              <w:left w:val="single" w:color="auto" w:sz="4" w:space="0"/>
              <w:bottom w:val="single" w:color="auto" w:sz="4" w:space="0"/>
              <w:right w:val="single" w:color="auto" w:sz="4" w:space="0"/>
            </w:tcBorders>
            <w:vAlign w:val="center"/>
          </w:tcPr>
          <w:p w14:paraId="3EDC8565">
            <w:pPr>
              <w:widowControl/>
              <w:jc w:val="center"/>
              <w:textAlignment w:val="center"/>
              <w:rPr>
                <w:rFonts w:ascii="宋体" w:hAnsi="宋体" w:cs="宋体"/>
                <w:szCs w:val="21"/>
              </w:rPr>
            </w:pPr>
            <w:r>
              <w:rPr>
                <w:rFonts w:hint="eastAsia" w:ascii="宋体" w:hAnsi="宋体" w:cs="宋体"/>
                <w:kern w:val="0"/>
                <w:szCs w:val="21"/>
                <w:lang w:bidi="ar"/>
              </w:rPr>
              <w:t>金额（元）</w:t>
            </w:r>
          </w:p>
        </w:tc>
        <w:tc>
          <w:tcPr>
            <w:tcW w:w="2954" w:type="dxa"/>
            <w:tcBorders>
              <w:top w:val="single" w:color="auto" w:sz="4" w:space="0"/>
              <w:left w:val="single" w:color="auto" w:sz="4" w:space="0"/>
              <w:bottom w:val="single" w:color="auto" w:sz="4" w:space="0"/>
              <w:right w:val="single" w:color="auto" w:sz="4" w:space="0"/>
            </w:tcBorders>
            <w:vAlign w:val="center"/>
          </w:tcPr>
          <w:p w14:paraId="2CF64703">
            <w:pPr>
              <w:widowControl/>
              <w:jc w:val="center"/>
              <w:textAlignment w:val="center"/>
              <w:rPr>
                <w:rFonts w:ascii="宋体" w:hAnsi="宋体" w:cs="宋体"/>
                <w:szCs w:val="21"/>
              </w:rPr>
            </w:pPr>
            <w:r>
              <w:rPr>
                <w:rFonts w:hint="eastAsia" w:ascii="宋体" w:hAnsi="宋体" w:cs="宋体"/>
                <w:b/>
                <w:bCs/>
                <w:kern w:val="0"/>
                <w:szCs w:val="21"/>
                <w:lang w:bidi="ar"/>
              </w:rPr>
              <w:t>▲</w:t>
            </w:r>
            <w:r>
              <w:rPr>
                <w:rFonts w:hint="eastAsia" w:ascii="宋体" w:hAnsi="宋体" w:cs="宋体"/>
                <w:kern w:val="0"/>
                <w:szCs w:val="21"/>
                <w:lang w:bidi="ar"/>
              </w:rPr>
              <w:t>技术参数及要求</w:t>
            </w:r>
          </w:p>
        </w:tc>
      </w:tr>
      <w:tr w14:paraId="62CB46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89" w:hRule="atLeast"/>
          <w:jc w:val="center"/>
        </w:trPr>
        <w:tc>
          <w:tcPr>
            <w:tcW w:w="509" w:type="dxa"/>
            <w:vMerge w:val="continue"/>
            <w:tcBorders>
              <w:left w:val="single" w:color="auto" w:sz="4" w:space="0"/>
              <w:right w:val="single" w:color="auto" w:sz="4" w:space="0"/>
            </w:tcBorders>
            <w:vAlign w:val="center"/>
          </w:tcPr>
          <w:p w14:paraId="00FED82C">
            <w:pPr>
              <w:spacing w:line="380" w:lineRule="exact"/>
              <w:jc w:val="center"/>
              <w:rPr>
                <w:rFonts w:ascii="宋体" w:hAnsi="宋体" w:cs="宋体"/>
                <w:szCs w:val="21"/>
              </w:rPr>
            </w:pPr>
          </w:p>
        </w:tc>
        <w:tc>
          <w:tcPr>
            <w:tcW w:w="51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BB7BDC4">
            <w:pPr>
              <w:widowControl/>
              <w:jc w:val="center"/>
              <w:textAlignment w:val="center"/>
              <w:rPr>
                <w:rFonts w:ascii="宋体" w:hAnsi="宋体" w:cs="宋体"/>
                <w:szCs w:val="21"/>
              </w:rPr>
            </w:pPr>
            <w:r>
              <w:rPr>
                <w:rFonts w:hint="eastAsia" w:ascii="宋体" w:hAnsi="宋体" w:cs="宋体"/>
                <w:kern w:val="0"/>
                <w:sz w:val="20"/>
                <w:szCs w:val="20"/>
                <w:lang w:bidi="ar"/>
              </w:rPr>
              <w:t>1</w:t>
            </w:r>
          </w:p>
        </w:tc>
        <w:tc>
          <w:tcPr>
            <w:tcW w:w="954" w:type="dxa"/>
            <w:tcBorders>
              <w:top w:val="single" w:color="auto" w:sz="4" w:space="0"/>
              <w:left w:val="single" w:color="auto" w:sz="4" w:space="0"/>
              <w:bottom w:val="single" w:color="auto" w:sz="4" w:space="0"/>
              <w:right w:val="single" w:color="auto" w:sz="4" w:space="0"/>
            </w:tcBorders>
            <w:vAlign w:val="center"/>
          </w:tcPr>
          <w:p w14:paraId="62F7E15E">
            <w:pPr>
              <w:widowControl/>
              <w:jc w:val="center"/>
              <w:textAlignment w:val="center"/>
              <w:rPr>
                <w:rFonts w:ascii="宋体" w:hAnsi="宋体" w:cs="宋体"/>
                <w:sz w:val="22"/>
                <w:szCs w:val="22"/>
              </w:rPr>
            </w:pPr>
            <w:r>
              <w:rPr>
                <w:rFonts w:hint="eastAsia" w:ascii="宋体" w:hAnsi="宋体" w:cs="宋体"/>
                <w:kern w:val="0"/>
                <w:sz w:val="20"/>
                <w:szCs w:val="20"/>
                <w:lang w:bidi="ar"/>
              </w:rPr>
              <w:t>光鸭</w:t>
            </w:r>
          </w:p>
        </w:tc>
        <w:tc>
          <w:tcPr>
            <w:tcW w:w="941" w:type="dxa"/>
            <w:tcBorders>
              <w:top w:val="single" w:color="auto" w:sz="4" w:space="0"/>
              <w:left w:val="single" w:color="auto" w:sz="4" w:space="0"/>
              <w:bottom w:val="single" w:color="auto" w:sz="4" w:space="0"/>
              <w:right w:val="single" w:color="auto" w:sz="4" w:space="0"/>
            </w:tcBorders>
            <w:vAlign w:val="center"/>
          </w:tcPr>
          <w:p w14:paraId="5A8DBE4B">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公斤</w:t>
            </w:r>
          </w:p>
        </w:tc>
        <w:tc>
          <w:tcPr>
            <w:tcW w:w="851" w:type="dxa"/>
            <w:tcBorders>
              <w:top w:val="single" w:color="auto" w:sz="4" w:space="0"/>
              <w:left w:val="single" w:color="auto" w:sz="4" w:space="0"/>
              <w:bottom w:val="single" w:color="auto" w:sz="4" w:space="0"/>
              <w:right w:val="single" w:color="auto" w:sz="4" w:space="0"/>
            </w:tcBorders>
            <w:vAlign w:val="center"/>
          </w:tcPr>
          <w:p w14:paraId="0ACA39B6">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31501</w:t>
            </w:r>
          </w:p>
        </w:tc>
        <w:tc>
          <w:tcPr>
            <w:tcW w:w="1527" w:type="dxa"/>
            <w:tcBorders>
              <w:top w:val="single" w:color="auto" w:sz="4" w:space="0"/>
              <w:left w:val="single" w:color="auto" w:sz="4" w:space="0"/>
              <w:bottom w:val="single" w:color="auto" w:sz="4" w:space="0"/>
              <w:right w:val="single" w:color="auto" w:sz="4" w:space="0"/>
            </w:tcBorders>
            <w:vAlign w:val="center"/>
          </w:tcPr>
          <w:p w14:paraId="0B14B544">
            <w:pPr>
              <w:widowControl/>
              <w:jc w:val="center"/>
              <w:textAlignment w:val="center"/>
              <w:rPr>
                <w:rFonts w:ascii="宋体" w:hAnsi="宋体" w:cs="宋体"/>
                <w:szCs w:val="21"/>
              </w:rPr>
            </w:pPr>
            <w:r>
              <w:rPr>
                <w:rFonts w:hint="eastAsia" w:ascii="宋体" w:hAnsi="宋体" w:cs="宋体"/>
                <w:kern w:val="0"/>
                <w:sz w:val="20"/>
                <w:szCs w:val="20"/>
                <w:lang w:bidi="ar"/>
              </w:rPr>
              <w:t xml:space="preserve">20.50 </w:t>
            </w:r>
          </w:p>
        </w:tc>
        <w:tc>
          <w:tcPr>
            <w:tcW w:w="1528" w:type="dxa"/>
            <w:tcBorders>
              <w:top w:val="single" w:color="auto" w:sz="4" w:space="0"/>
              <w:left w:val="single" w:color="auto" w:sz="4" w:space="0"/>
              <w:bottom w:val="single" w:color="auto" w:sz="4" w:space="0"/>
              <w:right w:val="single" w:color="auto" w:sz="4" w:space="0"/>
            </w:tcBorders>
            <w:vAlign w:val="center"/>
          </w:tcPr>
          <w:p w14:paraId="347AA362">
            <w:pPr>
              <w:widowControl/>
              <w:jc w:val="center"/>
              <w:textAlignment w:val="center"/>
              <w:rPr>
                <w:rFonts w:ascii="宋体" w:hAnsi="宋体" w:cs="宋体"/>
                <w:szCs w:val="21"/>
              </w:rPr>
            </w:pPr>
            <w:r>
              <w:rPr>
                <w:rFonts w:hint="eastAsia" w:ascii="宋体" w:hAnsi="宋体" w:cs="宋体"/>
                <w:kern w:val="0"/>
                <w:sz w:val="20"/>
                <w:szCs w:val="20"/>
                <w:lang w:bidi="ar"/>
              </w:rPr>
              <w:t xml:space="preserve">645771 </w:t>
            </w:r>
          </w:p>
        </w:tc>
        <w:tc>
          <w:tcPr>
            <w:tcW w:w="2954" w:type="dxa"/>
            <w:tcBorders>
              <w:top w:val="single" w:color="auto" w:sz="4" w:space="0"/>
              <w:left w:val="single" w:color="auto" w:sz="4" w:space="0"/>
              <w:bottom w:val="single" w:color="auto" w:sz="4" w:space="0"/>
              <w:right w:val="single" w:color="auto" w:sz="4" w:space="0"/>
            </w:tcBorders>
            <w:vAlign w:val="center"/>
          </w:tcPr>
          <w:p w14:paraId="5FDAAA7C">
            <w:pPr>
              <w:widowControl/>
              <w:jc w:val="left"/>
              <w:textAlignment w:val="center"/>
              <w:rPr>
                <w:rFonts w:ascii="宋体" w:hAnsi="宋体" w:cs="宋体"/>
                <w:szCs w:val="21"/>
              </w:rPr>
            </w:pPr>
            <w:r>
              <w:rPr>
                <w:rFonts w:hint="eastAsia" w:ascii="宋体" w:hAnsi="宋体" w:cs="宋体"/>
                <w:kern w:val="0"/>
                <w:sz w:val="20"/>
                <w:szCs w:val="20"/>
                <w:lang w:bidi="ar"/>
              </w:rPr>
              <w:t>由活体鸭宰杀，除去毛、内脏及表面角质的新鲜白条鸭。无残留内脏（碎肝、肺等）、毛根、碎腊、粪便、头发等内/外源异物，无血水、淤血、严重皮炎、个体破损、残缺等。供应商提供切割服务，可根据需求将光鸭清洗干净，分割小块，直接用于菜品加工。符合国家食品安全标准。</w:t>
            </w:r>
          </w:p>
        </w:tc>
      </w:tr>
      <w:tr w14:paraId="6CA107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509" w:type="dxa"/>
            <w:vMerge w:val="continue"/>
            <w:tcBorders>
              <w:left w:val="single" w:color="auto" w:sz="4" w:space="0"/>
              <w:right w:val="single" w:color="auto" w:sz="4" w:space="0"/>
            </w:tcBorders>
            <w:vAlign w:val="center"/>
          </w:tcPr>
          <w:p w14:paraId="2B60E0A2">
            <w:pPr>
              <w:spacing w:line="380" w:lineRule="exact"/>
              <w:jc w:val="center"/>
              <w:rPr>
                <w:rFonts w:ascii="宋体" w:hAnsi="宋体" w:cs="宋体"/>
                <w:szCs w:val="21"/>
              </w:rPr>
            </w:pPr>
          </w:p>
        </w:tc>
        <w:tc>
          <w:tcPr>
            <w:tcW w:w="519"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E967A66">
            <w:pPr>
              <w:widowControl/>
              <w:jc w:val="center"/>
              <w:textAlignment w:val="center"/>
              <w:rPr>
                <w:rFonts w:ascii="宋体" w:hAnsi="宋体" w:cs="宋体"/>
                <w:szCs w:val="21"/>
              </w:rPr>
            </w:pPr>
            <w:r>
              <w:rPr>
                <w:rFonts w:hint="eastAsia" w:ascii="宋体" w:hAnsi="宋体" w:cs="宋体"/>
                <w:kern w:val="0"/>
                <w:sz w:val="20"/>
                <w:szCs w:val="20"/>
                <w:lang w:bidi="ar"/>
              </w:rPr>
              <w:t>2</w:t>
            </w:r>
          </w:p>
        </w:tc>
        <w:tc>
          <w:tcPr>
            <w:tcW w:w="954" w:type="dxa"/>
            <w:tcBorders>
              <w:top w:val="single" w:color="auto" w:sz="4" w:space="0"/>
              <w:left w:val="single" w:color="auto" w:sz="4" w:space="0"/>
              <w:bottom w:val="single" w:color="auto" w:sz="4" w:space="0"/>
              <w:right w:val="single" w:color="auto" w:sz="4" w:space="0"/>
            </w:tcBorders>
            <w:vAlign w:val="center"/>
          </w:tcPr>
          <w:p w14:paraId="2DE262D6">
            <w:pPr>
              <w:widowControl/>
              <w:jc w:val="center"/>
              <w:textAlignment w:val="center"/>
              <w:rPr>
                <w:rFonts w:ascii="宋体" w:hAnsi="宋体" w:cs="宋体"/>
                <w:sz w:val="22"/>
                <w:szCs w:val="22"/>
              </w:rPr>
            </w:pPr>
            <w:r>
              <w:rPr>
                <w:rFonts w:hint="eastAsia" w:ascii="宋体" w:hAnsi="宋体" w:cs="宋体"/>
                <w:kern w:val="0"/>
                <w:sz w:val="20"/>
                <w:szCs w:val="20"/>
                <w:lang w:bidi="ar"/>
              </w:rPr>
              <w:t>戒指鸡</w:t>
            </w:r>
          </w:p>
        </w:tc>
        <w:tc>
          <w:tcPr>
            <w:tcW w:w="941" w:type="dxa"/>
            <w:tcBorders>
              <w:top w:val="single" w:color="auto" w:sz="4" w:space="0"/>
              <w:left w:val="single" w:color="auto" w:sz="4" w:space="0"/>
              <w:bottom w:val="single" w:color="auto" w:sz="4" w:space="0"/>
              <w:right w:val="single" w:color="auto" w:sz="4" w:space="0"/>
            </w:tcBorders>
            <w:vAlign w:val="center"/>
          </w:tcPr>
          <w:p w14:paraId="60F68607">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公斤</w:t>
            </w:r>
          </w:p>
        </w:tc>
        <w:tc>
          <w:tcPr>
            <w:tcW w:w="851" w:type="dxa"/>
            <w:tcBorders>
              <w:top w:val="single" w:color="auto" w:sz="4" w:space="0"/>
              <w:left w:val="single" w:color="auto" w:sz="4" w:space="0"/>
              <w:bottom w:val="single" w:color="auto" w:sz="4" w:space="0"/>
              <w:right w:val="single" w:color="auto" w:sz="4" w:space="0"/>
            </w:tcBorders>
            <w:vAlign w:val="center"/>
          </w:tcPr>
          <w:p w14:paraId="6C80B606">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44991</w:t>
            </w:r>
          </w:p>
        </w:tc>
        <w:tc>
          <w:tcPr>
            <w:tcW w:w="1527" w:type="dxa"/>
            <w:tcBorders>
              <w:top w:val="single" w:color="auto" w:sz="4" w:space="0"/>
              <w:left w:val="single" w:color="auto" w:sz="4" w:space="0"/>
              <w:bottom w:val="single" w:color="auto" w:sz="4" w:space="0"/>
              <w:right w:val="single" w:color="auto" w:sz="4" w:space="0"/>
            </w:tcBorders>
            <w:vAlign w:val="center"/>
          </w:tcPr>
          <w:p w14:paraId="20D3EB35">
            <w:pPr>
              <w:widowControl/>
              <w:jc w:val="center"/>
              <w:textAlignment w:val="center"/>
              <w:rPr>
                <w:rFonts w:ascii="宋体" w:hAnsi="宋体" w:cs="宋体"/>
                <w:szCs w:val="21"/>
              </w:rPr>
            </w:pPr>
            <w:r>
              <w:rPr>
                <w:rFonts w:hint="eastAsia" w:ascii="宋体" w:hAnsi="宋体" w:cs="宋体"/>
                <w:kern w:val="0"/>
                <w:sz w:val="20"/>
                <w:szCs w:val="20"/>
                <w:lang w:bidi="ar"/>
              </w:rPr>
              <w:t xml:space="preserve">30.10 </w:t>
            </w:r>
          </w:p>
        </w:tc>
        <w:tc>
          <w:tcPr>
            <w:tcW w:w="1528" w:type="dxa"/>
            <w:tcBorders>
              <w:top w:val="single" w:color="auto" w:sz="4" w:space="0"/>
              <w:left w:val="single" w:color="auto" w:sz="4" w:space="0"/>
              <w:bottom w:val="single" w:color="auto" w:sz="4" w:space="0"/>
              <w:right w:val="single" w:color="auto" w:sz="4" w:space="0"/>
            </w:tcBorders>
            <w:vAlign w:val="center"/>
          </w:tcPr>
          <w:p w14:paraId="7CF320CC">
            <w:pPr>
              <w:widowControl/>
              <w:jc w:val="center"/>
              <w:textAlignment w:val="center"/>
              <w:rPr>
                <w:rFonts w:ascii="宋体" w:hAnsi="宋体" w:cs="宋体"/>
                <w:szCs w:val="21"/>
              </w:rPr>
            </w:pPr>
            <w:r>
              <w:rPr>
                <w:rFonts w:hint="eastAsia" w:ascii="宋体" w:hAnsi="宋体" w:cs="宋体"/>
                <w:kern w:val="0"/>
                <w:sz w:val="20"/>
                <w:szCs w:val="20"/>
                <w:lang w:bidi="ar"/>
              </w:rPr>
              <w:t xml:space="preserve">1354229 </w:t>
            </w:r>
          </w:p>
        </w:tc>
        <w:tc>
          <w:tcPr>
            <w:tcW w:w="2954" w:type="dxa"/>
            <w:tcBorders>
              <w:top w:val="single" w:color="auto" w:sz="4" w:space="0"/>
              <w:left w:val="single" w:color="auto" w:sz="4" w:space="0"/>
              <w:bottom w:val="single" w:color="auto" w:sz="4" w:space="0"/>
              <w:right w:val="single" w:color="auto" w:sz="4" w:space="0"/>
            </w:tcBorders>
            <w:vAlign w:val="center"/>
          </w:tcPr>
          <w:p w14:paraId="163E3C6E">
            <w:pPr>
              <w:widowControl/>
              <w:jc w:val="left"/>
              <w:textAlignment w:val="center"/>
              <w:rPr>
                <w:rFonts w:ascii="宋体" w:hAnsi="宋体" w:cs="宋体"/>
                <w:szCs w:val="21"/>
              </w:rPr>
            </w:pPr>
            <w:r>
              <w:rPr>
                <w:rFonts w:hint="eastAsia" w:ascii="宋体" w:hAnsi="宋体" w:cs="宋体"/>
                <w:kern w:val="0"/>
                <w:sz w:val="20"/>
                <w:szCs w:val="20"/>
                <w:lang w:bidi="ar"/>
              </w:rPr>
              <w:t>由活体鸡宰杀，除去毛、内脏及表面角质的新鲜白条鸡。无残留内脏（碎肝、肺等）、毛根、碎腊、粪便、头发等内/外源异物，无血水、淤血、严重皮炎、个体破损、残缺等。供应商提供切割服务，可根据需求将戒指鸡清洗干净，分割小块，直接用于菜品加工。符合国家食品安全标准。</w:t>
            </w:r>
          </w:p>
        </w:tc>
      </w:tr>
      <w:tr w14:paraId="236766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45" w:hRule="atLeast"/>
          <w:jc w:val="center"/>
        </w:trPr>
        <w:tc>
          <w:tcPr>
            <w:tcW w:w="509" w:type="dxa"/>
            <w:tcBorders>
              <w:top w:val="single" w:color="auto" w:sz="4" w:space="0"/>
              <w:left w:val="single" w:color="auto" w:sz="4" w:space="0"/>
              <w:bottom w:val="single" w:color="auto" w:sz="4" w:space="0"/>
              <w:right w:val="single" w:color="auto" w:sz="4" w:space="0"/>
            </w:tcBorders>
          </w:tcPr>
          <w:p w14:paraId="78A6B4AA">
            <w:pPr>
              <w:spacing w:line="380" w:lineRule="exact"/>
              <w:jc w:val="center"/>
              <w:rPr>
                <w:rFonts w:ascii="宋体" w:hAnsi="宋体" w:cs="宋体"/>
                <w:szCs w:val="21"/>
              </w:rPr>
            </w:pPr>
          </w:p>
          <w:p w14:paraId="2E6DD678">
            <w:pPr>
              <w:spacing w:line="380" w:lineRule="exact"/>
              <w:jc w:val="center"/>
              <w:rPr>
                <w:rFonts w:ascii="宋体" w:hAnsi="宋体" w:cs="宋体"/>
                <w:szCs w:val="21"/>
              </w:rPr>
            </w:pPr>
          </w:p>
          <w:p w14:paraId="46C9850C">
            <w:pPr>
              <w:spacing w:line="380" w:lineRule="exact"/>
              <w:jc w:val="center"/>
              <w:rPr>
                <w:rFonts w:ascii="宋体" w:hAnsi="宋体" w:cs="宋体"/>
                <w:szCs w:val="21"/>
              </w:rPr>
            </w:pPr>
            <w:r>
              <w:rPr>
                <w:rFonts w:hint="eastAsia" w:ascii="宋体" w:hAnsi="宋体" w:cs="宋体"/>
                <w:szCs w:val="21"/>
              </w:rPr>
              <w:t>商务条款</w:t>
            </w:r>
          </w:p>
        </w:tc>
        <w:tc>
          <w:tcPr>
            <w:tcW w:w="9274" w:type="dxa"/>
            <w:gridSpan w:val="7"/>
            <w:tcBorders>
              <w:top w:val="single" w:color="auto" w:sz="4" w:space="0"/>
              <w:left w:val="single" w:color="auto" w:sz="4" w:space="0"/>
              <w:bottom w:val="single" w:color="auto" w:sz="4" w:space="0"/>
              <w:right w:val="single" w:color="auto" w:sz="4" w:space="0"/>
            </w:tcBorders>
          </w:tcPr>
          <w:p w14:paraId="3C01F3D4">
            <w:pPr>
              <w:spacing w:line="360" w:lineRule="auto"/>
              <w:rPr>
                <w:szCs w:val="21"/>
              </w:rPr>
            </w:pPr>
            <w:r>
              <w:rPr>
                <w:rFonts w:hint="eastAsia" w:ascii="宋体" w:hAnsi="宋体" w:cs="宋体"/>
                <w:szCs w:val="21"/>
              </w:rPr>
              <w:t>▲</w:t>
            </w:r>
            <w:r>
              <w:rPr>
                <w:rFonts w:hint="eastAsia"/>
                <w:szCs w:val="21"/>
              </w:rPr>
              <w:t>1．报价要求</w:t>
            </w:r>
          </w:p>
          <w:p w14:paraId="31F3D705">
            <w:pPr>
              <w:spacing w:line="360" w:lineRule="auto"/>
              <w:rPr>
                <w:rFonts w:ascii="宋体" w:hAnsi="宋体" w:cs="宋体"/>
                <w:szCs w:val="21"/>
              </w:rPr>
            </w:pPr>
            <w:r>
              <w:rPr>
                <w:rFonts w:hint="eastAsia" w:ascii="宋体" w:hAnsi="宋体" w:cs="宋体"/>
                <w:szCs w:val="21"/>
              </w:rPr>
              <w:t>（1）投标报价按投标折扣系数报价，供应商的投标单价为招标基准单价×投标报价折扣系数。报价包括货物及服务采购、检验检测、包装、运输、仓储、人工费及招标代理费等各种费用和售后服务、税金及其它所有成本费用的总和。采购人不再支付任何费用。</w:t>
            </w:r>
            <w:r>
              <w:rPr>
                <w:rFonts w:hint="eastAsia" w:ascii="宋体" w:hAnsi="宋体" w:cs="宋体"/>
                <w:b/>
                <w:szCs w:val="21"/>
              </w:rPr>
              <w:t>投标人的投标报价折扣系数必须≤100%，否则，投标文件按无效处理；投标文件只允许有一个报价方案，有选择的或有条件的报价将不予接受。</w:t>
            </w:r>
          </w:p>
          <w:p w14:paraId="728CADD6">
            <w:pPr>
              <w:spacing w:line="360" w:lineRule="auto"/>
              <w:rPr>
                <w:rFonts w:ascii="宋体" w:hAnsi="宋体" w:cs="宋体"/>
                <w:szCs w:val="21"/>
              </w:rPr>
            </w:pPr>
            <w:r>
              <w:rPr>
                <w:rFonts w:hint="eastAsia" w:ascii="宋体" w:hAnsi="宋体" w:cs="宋体"/>
                <w:szCs w:val="21"/>
              </w:rPr>
              <w:t>（2）本项目采用单价控制，即供应商的各项货物单价报价不能超出采购需求表中给出的招标基准单价，否则投标无效。</w:t>
            </w:r>
          </w:p>
          <w:p w14:paraId="19F5CE79">
            <w:pPr>
              <w:spacing w:line="360" w:lineRule="auto"/>
              <w:rPr>
                <w:rFonts w:ascii="宋体" w:hAnsi="宋体" w:cs="宋体"/>
                <w:szCs w:val="21"/>
              </w:rPr>
            </w:pPr>
            <w:r>
              <w:rPr>
                <w:rFonts w:hint="eastAsia" w:ascii="宋体" w:hAnsi="宋体" w:cs="宋体"/>
                <w:szCs w:val="21"/>
              </w:rPr>
              <w:t>（3）随着季节交替，存在市场价格变动，采购单价=基准单价×中标折扣系数。合同签订之日起3个月（90天）价格不予调整，往后每3个月可以对市场价格变动幅度超过±20%的商品价格，进行基准单价调整 1 次。由供应商或者采购人提出调价申请，由采购人面向柳州市市场主体（柳州市市场主体为广西新柳邕农产品批发市场（柳州海吉星）、柳州市西江综合批发市场、鹿寨县鹿寨市场、鹿寨县桂中市场、鹿寨县开心购物超市）选择不少于 3 家具有代表性的调查对象开展市场价格调查，由采购人审议拟定新的基准单价，供应商应遵照执行。基准单价调整后，采购单价为变动后的基准单价×中标折扣系数。供应商应充分考虑到供货期间物品供应基准价上涨的风险。在调价申请未得到批复前，供应商必须按现行价格供货，否则视为单方违约，同时按违约进行处理。3个月后自动按初始中标价格执行，如需继续调升（降）价格，则供应商或采购人需重新提交调价申请，重新按规定程序进行审批。</w:t>
            </w:r>
          </w:p>
          <w:p w14:paraId="05FEC8CF">
            <w:pPr>
              <w:spacing w:line="360" w:lineRule="auto"/>
              <w:rPr>
                <w:szCs w:val="21"/>
              </w:rPr>
            </w:pPr>
            <w:r>
              <w:rPr>
                <w:rFonts w:hint="eastAsia" w:ascii="宋体" w:hAnsi="宋体" w:cs="宋体"/>
                <w:szCs w:val="21"/>
              </w:rPr>
              <w:t>（4）以上采购数量为采购人一年的预计采购量。上述采购数量仅作为参考，实际采购数量根据采购人的实际需求确定，供应商不得因实际供应量与中标数量不一致提出异议。</w:t>
            </w:r>
          </w:p>
          <w:p w14:paraId="1A6A604E">
            <w:pPr>
              <w:spacing w:line="360" w:lineRule="auto"/>
              <w:rPr>
                <w:szCs w:val="21"/>
              </w:rPr>
            </w:pPr>
            <w:r>
              <w:rPr>
                <w:rFonts w:hint="eastAsia" w:ascii="宋体" w:hAnsi="宋体" w:cs="宋体"/>
                <w:szCs w:val="21"/>
              </w:rPr>
              <w:t>▲</w:t>
            </w:r>
            <w:r>
              <w:rPr>
                <w:rFonts w:hint="eastAsia"/>
                <w:szCs w:val="21"/>
              </w:rPr>
              <w:t>2.合同签订日期</w:t>
            </w:r>
          </w:p>
          <w:p w14:paraId="7DFD3F2A">
            <w:pPr>
              <w:spacing w:line="360" w:lineRule="auto"/>
              <w:rPr>
                <w:szCs w:val="21"/>
              </w:rPr>
            </w:pPr>
            <w:r>
              <w:rPr>
                <w:rFonts w:hint="eastAsia"/>
                <w:szCs w:val="21"/>
              </w:rPr>
              <w:t>中标通知书发出后25日内。</w:t>
            </w:r>
          </w:p>
          <w:p w14:paraId="776D1C40">
            <w:pPr>
              <w:spacing w:line="360" w:lineRule="auto"/>
              <w:rPr>
                <w:szCs w:val="21"/>
              </w:rPr>
            </w:pPr>
            <w:r>
              <w:rPr>
                <w:rFonts w:hint="eastAsia" w:ascii="宋体" w:hAnsi="宋体" w:cs="宋体"/>
                <w:szCs w:val="21"/>
              </w:rPr>
              <w:t>▲</w:t>
            </w:r>
            <w:r>
              <w:rPr>
                <w:rFonts w:hint="eastAsia"/>
                <w:szCs w:val="21"/>
              </w:rPr>
              <w:t>3.交货（实施）时间</w:t>
            </w:r>
          </w:p>
          <w:p w14:paraId="2FE1B5F7">
            <w:pPr>
              <w:spacing w:line="360" w:lineRule="auto"/>
              <w:rPr>
                <w:szCs w:val="21"/>
              </w:rPr>
            </w:pPr>
            <w:r>
              <w:rPr>
                <w:rFonts w:hint="eastAsia" w:ascii="宋体" w:hAnsi="宋体" w:cs="宋体"/>
                <w:szCs w:val="21"/>
              </w:rPr>
              <w:t>自签订合同之日起一年。分批次供货，按采购人采购计划规定的时间供货。</w:t>
            </w:r>
          </w:p>
          <w:p w14:paraId="010EA22C">
            <w:pPr>
              <w:spacing w:line="360" w:lineRule="auto"/>
              <w:rPr>
                <w:szCs w:val="21"/>
              </w:rPr>
            </w:pPr>
            <w:r>
              <w:rPr>
                <w:rFonts w:hint="eastAsia"/>
                <w:szCs w:val="21"/>
              </w:rPr>
              <w:t>4.交货地点或服务地点</w:t>
            </w:r>
          </w:p>
          <w:p w14:paraId="29701281">
            <w:pPr>
              <w:spacing w:line="360" w:lineRule="auto"/>
              <w:rPr>
                <w:szCs w:val="21"/>
              </w:rPr>
            </w:pPr>
            <w:r>
              <w:rPr>
                <w:rFonts w:hint="eastAsia"/>
                <w:szCs w:val="21"/>
              </w:rPr>
              <w:t>广西壮族自治区中渡监狱</w:t>
            </w:r>
          </w:p>
          <w:p w14:paraId="4B82B242">
            <w:pPr>
              <w:spacing w:line="360" w:lineRule="auto"/>
              <w:rPr>
                <w:szCs w:val="21"/>
              </w:rPr>
            </w:pPr>
            <w:r>
              <w:rPr>
                <w:rFonts w:hint="eastAsia"/>
                <w:szCs w:val="21"/>
              </w:rPr>
              <w:t>5.</w:t>
            </w:r>
            <w:r>
              <w:rPr>
                <w:rFonts w:hint="eastAsia"/>
              </w:rPr>
              <w:t xml:space="preserve"> </w:t>
            </w:r>
            <w:r>
              <w:rPr>
                <w:rFonts w:hint="eastAsia"/>
                <w:szCs w:val="21"/>
              </w:rPr>
              <w:t>配送要求：</w:t>
            </w:r>
          </w:p>
          <w:p w14:paraId="6FFD79AF">
            <w:pPr>
              <w:spacing w:line="360" w:lineRule="auto"/>
              <w:rPr>
                <w:szCs w:val="21"/>
              </w:rPr>
            </w:pPr>
            <w:r>
              <w:rPr>
                <w:rFonts w:hint="eastAsia"/>
                <w:szCs w:val="21"/>
              </w:rPr>
              <w:t>（1）供应商必须按照采购人通知的时间、数量、品种、品质要求及协定的价格准时送货，且不得随意增减数量，否则，采购人有权拒收，且承担相应的经济赔偿。</w:t>
            </w:r>
          </w:p>
          <w:p w14:paraId="6A321FB7">
            <w:pPr>
              <w:spacing w:line="360" w:lineRule="auto"/>
              <w:rPr>
                <w:szCs w:val="21"/>
              </w:rPr>
            </w:pPr>
            <w:r>
              <w:rPr>
                <w:rFonts w:hint="eastAsia"/>
                <w:szCs w:val="21"/>
              </w:rPr>
              <w:t>（2）在收到采购人发出订货通知后，供应商最迟在次日上午8时前必须到达监管区大门。</w:t>
            </w:r>
          </w:p>
          <w:p w14:paraId="1FF7941D">
            <w:pPr>
              <w:spacing w:line="360" w:lineRule="auto"/>
              <w:rPr>
                <w:szCs w:val="21"/>
              </w:rPr>
            </w:pPr>
            <w:r>
              <w:rPr>
                <w:rFonts w:hint="eastAsia"/>
                <w:szCs w:val="21"/>
              </w:rPr>
              <w:t>（3）除客观不可抗力外，供应商不得推迟送货。如确需延迟送货，供应商应在得知情况的同时告知采购人并征得采购人的同意。</w:t>
            </w:r>
          </w:p>
          <w:p w14:paraId="77F9CDD6">
            <w:pPr>
              <w:spacing w:line="360" w:lineRule="auto"/>
              <w:rPr>
                <w:szCs w:val="21"/>
              </w:rPr>
            </w:pPr>
            <w:r>
              <w:rPr>
                <w:rFonts w:hint="eastAsia"/>
                <w:szCs w:val="21"/>
              </w:rPr>
              <w:t>（4）紧急供货要求：在收到采购人发出紧急供货通知后，供应商最迟2小时内完成当次现场供货。</w:t>
            </w:r>
          </w:p>
          <w:p w14:paraId="455A7883">
            <w:pPr>
              <w:spacing w:line="360" w:lineRule="auto"/>
              <w:rPr>
                <w:szCs w:val="21"/>
              </w:rPr>
            </w:pPr>
            <w:r>
              <w:rPr>
                <w:rFonts w:hint="eastAsia"/>
                <w:szCs w:val="21"/>
              </w:rPr>
              <w:t>（5）供应商必须在双方约定的时间内将货物使用冷链车配送到采购方指定的地点，装卸人员由供应商安排，运输、装卸费用由供应商承担，如出现不合格、损坏的情况，由供应商负责及时调换。</w:t>
            </w:r>
          </w:p>
          <w:p w14:paraId="3ACE177A">
            <w:pPr>
              <w:spacing w:line="360" w:lineRule="auto"/>
              <w:rPr>
                <w:szCs w:val="21"/>
              </w:rPr>
            </w:pPr>
            <w:r>
              <w:rPr>
                <w:rFonts w:hint="eastAsia"/>
                <w:szCs w:val="21"/>
              </w:rPr>
              <w:t>（6）供应商必须由有健康证且无犯罪记录证明的固定人员及固定车辆长期送货（本分标至少配备2名固定人员和2辆冷链车），且必须穿着便于辨认的工衣和配戴胸卡，在办理好进入监区相关手续后不得变动，如临时非固定人员送货，须取得采购方同意。送货专员在采购人单位活动必须严格遵守采购人单位各项规章制度，不得做出有损采购人形象和利益的事情。（投标文件中必须提供固定人员有效的劳动合同扫描件、有效期内的身份证扫描件、有效的健康证扫描件、无犯罪记录证明，拟配备车辆须提供车辆行驶证或机动车登记证及车辆照片扫描件）。</w:t>
            </w:r>
          </w:p>
          <w:p w14:paraId="0F676DA7">
            <w:pPr>
              <w:spacing w:line="360" w:lineRule="auto"/>
            </w:pPr>
            <w:r>
              <w:rPr>
                <w:rFonts w:hint="eastAsia"/>
                <w:szCs w:val="21"/>
              </w:rPr>
              <w:t>（7）供应商需提供切割服务，根据采购人下单需求将鸡鸭肉清洗干净，骨肉分离，分割小块或小片，可直接用于菜品加工。鸡鸭肉必须在符合卫生防疫标准的食品预加工车间内进行切割处理后，按需配送。</w:t>
            </w:r>
          </w:p>
          <w:p w14:paraId="0DE65A57">
            <w:pPr>
              <w:spacing w:line="360" w:lineRule="auto"/>
              <w:rPr>
                <w:szCs w:val="21"/>
              </w:rPr>
            </w:pPr>
            <w:r>
              <w:rPr>
                <w:rFonts w:hint="eastAsia"/>
                <w:szCs w:val="21"/>
              </w:rPr>
              <w:t>（8）供应商可在投标文件中单独提供本分标针对性的配送服务及应急方案。（格式自拟）</w:t>
            </w:r>
          </w:p>
          <w:p w14:paraId="592477B2">
            <w:pPr>
              <w:spacing w:line="360" w:lineRule="auto"/>
              <w:rPr>
                <w:szCs w:val="21"/>
              </w:rPr>
            </w:pPr>
            <w:r>
              <w:rPr>
                <w:rFonts w:hint="eastAsia"/>
                <w:szCs w:val="21"/>
              </w:rPr>
              <w:t>6.供应商提供的货物必须是具有合法销售途径的、完整、新鲜合格产品。货物的技术质量必须符合中华人民共和国农产品质量安全法等有关规定。</w:t>
            </w:r>
          </w:p>
          <w:p w14:paraId="6710DB6D">
            <w:pPr>
              <w:spacing w:line="360" w:lineRule="auto"/>
            </w:pPr>
            <w:r>
              <w:rPr>
                <w:rFonts w:hint="eastAsia"/>
                <w:szCs w:val="21"/>
              </w:rPr>
              <w:t>7.供应商要遵守采购人的防疫采购要求。</w:t>
            </w:r>
          </w:p>
          <w:p w14:paraId="0CBED6CB">
            <w:pPr>
              <w:spacing w:line="360" w:lineRule="auto"/>
            </w:pPr>
            <w:r>
              <w:rPr>
                <w:rFonts w:hint="eastAsia"/>
              </w:rPr>
              <w:t>8.包装要求：根据《财政部等三部门联合印发商品包装和快递包装政府采购需求标准（试行）》财办库〔2020〕123号文规定，若投标产品使用塑料、纸质、木质等包装材料时应满足《商品包装政府采购需求标准（试行）》要求，若投标产品需要快递包装，快递封装材料应满足《快递包装政府采购需求标准（试行）》要求。</w:t>
            </w:r>
          </w:p>
          <w:p w14:paraId="1042D655">
            <w:pPr>
              <w:spacing w:line="360" w:lineRule="auto"/>
              <w:rPr>
                <w:szCs w:val="21"/>
              </w:rPr>
            </w:pPr>
            <w:r>
              <w:rPr>
                <w:rFonts w:hint="eastAsia"/>
                <w:szCs w:val="21"/>
              </w:rPr>
              <w:t>9.供货时，供应商必须提供以下证明文件：</w:t>
            </w:r>
          </w:p>
          <w:p w14:paraId="6F253146">
            <w:pPr>
              <w:spacing w:line="360" w:lineRule="auto"/>
              <w:rPr>
                <w:szCs w:val="21"/>
              </w:rPr>
            </w:pPr>
            <w:r>
              <w:rPr>
                <w:rFonts w:hint="eastAsia"/>
                <w:szCs w:val="21"/>
              </w:rPr>
              <w:t>（1）每批货物必须提供相关的质量安全检验合格证明。</w:t>
            </w:r>
          </w:p>
          <w:p w14:paraId="00E045B1">
            <w:pPr>
              <w:spacing w:line="360" w:lineRule="auto"/>
              <w:rPr>
                <w:szCs w:val="21"/>
              </w:rPr>
            </w:pPr>
            <w:r>
              <w:rPr>
                <w:rFonts w:hint="eastAsia"/>
                <w:szCs w:val="21"/>
              </w:rPr>
              <w:t>（2）供应商每次随货物送上一式两份的送货清单，经双方验收合格后签字确认，双方各执一份，作为送收货凭证。供应商的送货清单必须详细注明商品的单价、数量，送货清单不得涂改。标记不清的，采购人将拒绝签收。结算期末供应商还应提供送货清单供采购人结算。</w:t>
            </w:r>
          </w:p>
          <w:p w14:paraId="36DE4322">
            <w:pPr>
              <w:spacing w:line="360" w:lineRule="auto"/>
              <w:rPr>
                <w:szCs w:val="21"/>
              </w:rPr>
            </w:pPr>
            <w:r>
              <w:rPr>
                <w:rFonts w:hint="eastAsia"/>
                <w:szCs w:val="21"/>
              </w:rPr>
              <w:t>10.交货验收必须由采购人和供应商共同进行，采购人如认为有需要的，可委托相关检验部门对产品进行抽检，自检或检验部门抽检不合格的不给予验收，影响采购人实施进度的将追究相关责任，抽检所产生的费用全部由供应商负责。</w:t>
            </w:r>
          </w:p>
          <w:p w14:paraId="07C25329">
            <w:pPr>
              <w:spacing w:line="360" w:lineRule="auto"/>
              <w:rPr>
                <w:szCs w:val="21"/>
              </w:rPr>
            </w:pPr>
            <w:r>
              <w:rPr>
                <w:rFonts w:hint="eastAsia"/>
                <w:szCs w:val="21"/>
              </w:rPr>
              <w:t>11.验收工作的一般程序为：根据货物采购清单的具体要求，对所购名称进行清点、外观检查进行实测，并逐项记录。检测结束后，验收人员在验收单上签字。对未能通过验收的，一律退货、更换直至验收合格。</w:t>
            </w:r>
          </w:p>
          <w:p w14:paraId="44FD08BD">
            <w:pPr>
              <w:spacing w:line="360" w:lineRule="auto"/>
              <w:rPr>
                <w:szCs w:val="21"/>
              </w:rPr>
            </w:pPr>
            <w:r>
              <w:rPr>
                <w:rFonts w:hint="eastAsia"/>
                <w:szCs w:val="21"/>
              </w:rPr>
              <w:t>12.</w:t>
            </w:r>
            <w:r>
              <w:rPr>
                <w:rFonts w:hint="eastAsia"/>
                <w:color w:val="0000FF"/>
                <w:szCs w:val="21"/>
              </w:rPr>
              <w:t>供应商必须遵守国家保密法规和采购人保密规定要求，未经采购人有关人员允许，不得随意进出各办公场所，不得翻阅文件，不得浏览计算机，不得记录、泄露任何保密信息，否则承担一切法律后果。</w:t>
            </w:r>
            <w:r>
              <w:rPr>
                <w:rFonts w:hint="eastAsia"/>
                <w:szCs w:val="21"/>
              </w:rPr>
              <w:t>泄密造成采购人损失的，供应商将承担由此产生的一切损失和法律责任，供应商必须在投标文件中单独提供承诺函，并由法定代表人（负责人）签字并加盖单位公章（格式自拟）。</w:t>
            </w:r>
          </w:p>
          <w:p w14:paraId="3A450105">
            <w:pPr>
              <w:spacing w:line="360" w:lineRule="auto"/>
              <w:rPr>
                <w:szCs w:val="21"/>
              </w:rPr>
            </w:pPr>
            <w:r>
              <w:rPr>
                <w:rFonts w:hint="eastAsia"/>
                <w:szCs w:val="21"/>
              </w:rPr>
              <w:t>13.及时落实采购人安排的食材突击供应任务。</w:t>
            </w:r>
          </w:p>
          <w:p w14:paraId="0444E5CD">
            <w:pPr>
              <w:spacing w:line="360" w:lineRule="auto"/>
              <w:rPr>
                <w:szCs w:val="21"/>
              </w:rPr>
            </w:pPr>
            <w:r>
              <w:rPr>
                <w:rFonts w:hint="eastAsia"/>
                <w:szCs w:val="21"/>
              </w:rPr>
              <w:t>14.安全责任方面要求</w:t>
            </w:r>
          </w:p>
          <w:p w14:paraId="623099CD">
            <w:pPr>
              <w:spacing w:line="360" w:lineRule="auto"/>
              <w:rPr>
                <w:szCs w:val="21"/>
              </w:rPr>
            </w:pPr>
            <w:r>
              <w:rPr>
                <w:rFonts w:hint="eastAsia"/>
                <w:szCs w:val="21"/>
              </w:rPr>
              <w:t>（1）供应商应保证所提供的的食品必须是合格安全的食品，因其所送的食品造成食物中毒等事故，立即终止合同，供应商应承担全部责任，同时通过法律途径解决。</w:t>
            </w:r>
          </w:p>
          <w:p w14:paraId="7D892D61">
            <w:pPr>
              <w:spacing w:line="360" w:lineRule="auto"/>
              <w:rPr>
                <w:szCs w:val="21"/>
              </w:rPr>
            </w:pPr>
            <w:r>
              <w:rPr>
                <w:rFonts w:hint="eastAsia"/>
                <w:szCs w:val="21"/>
              </w:rPr>
              <w:t>（2）供应商应严格遵守《食品安全法》等相关规定，一经发现以下食品，除全部退货外，将取消供货资格，供应商并承担由此造成的经济责任和法律责任：</w:t>
            </w:r>
          </w:p>
          <w:p w14:paraId="129ECF43">
            <w:pPr>
              <w:spacing w:line="360" w:lineRule="auto"/>
              <w:rPr>
                <w:szCs w:val="21"/>
              </w:rPr>
            </w:pPr>
            <w:r>
              <w:rPr>
                <w:rFonts w:hint="eastAsia"/>
                <w:szCs w:val="21"/>
              </w:rPr>
              <w:t>①食材没有合法供货来源的；</w:t>
            </w:r>
          </w:p>
          <w:p w14:paraId="7181FBE7">
            <w:pPr>
              <w:spacing w:line="360" w:lineRule="auto"/>
              <w:rPr>
                <w:szCs w:val="21"/>
              </w:rPr>
            </w:pPr>
            <w:r>
              <w:rPr>
                <w:rFonts w:hint="eastAsia"/>
                <w:szCs w:val="21"/>
              </w:rPr>
              <w:t>②腐败变质、霉变、生虫、污秽不洁、混有异物或者其他感官性状异常，对人体健康有害的；</w:t>
            </w:r>
          </w:p>
          <w:p w14:paraId="22A9C076">
            <w:pPr>
              <w:spacing w:line="360" w:lineRule="auto"/>
              <w:rPr>
                <w:szCs w:val="21"/>
              </w:rPr>
            </w:pPr>
            <w:r>
              <w:rPr>
                <w:rFonts w:hint="eastAsia"/>
                <w:szCs w:val="21"/>
              </w:rPr>
              <w:t>③含有毒、有害物质或者被有害物质污染，对人体健康有害的；</w:t>
            </w:r>
          </w:p>
          <w:p w14:paraId="654925F0">
            <w:pPr>
              <w:spacing w:line="360" w:lineRule="auto"/>
              <w:rPr>
                <w:szCs w:val="21"/>
              </w:rPr>
            </w:pPr>
            <w:r>
              <w:rPr>
                <w:rFonts w:hint="eastAsia"/>
                <w:szCs w:val="21"/>
              </w:rPr>
              <w:t>④含有致病性寄生虫、微生物或者微生物含量超过国家限定标准的；</w:t>
            </w:r>
          </w:p>
          <w:p w14:paraId="4241556F">
            <w:pPr>
              <w:spacing w:line="360" w:lineRule="auto"/>
              <w:rPr>
                <w:szCs w:val="21"/>
              </w:rPr>
            </w:pPr>
            <w:r>
              <w:rPr>
                <w:rFonts w:hint="eastAsia"/>
                <w:szCs w:val="21"/>
              </w:rPr>
              <w:t>⑤未经检疫部门检疫、检验或者检疫、检验不合格的；</w:t>
            </w:r>
          </w:p>
          <w:p w14:paraId="5F7756B8">
            <w:pPr>
              <w:spacing w:line="360" w:lineRule="auto"/>
              <w:rPr>
                <w:szCs w:val="21"/>
              </w:rPr>
            </w:pPr>
            <w:r>
              <w:rPr>
                <w:rFonts w:hint="eastAsia"/>
                <w:szCs w:val="21"/>
              </w:rPr>
              <w:t>⑥掺假、掺杂、伪造，影响营养、卫生的</w:t>
            </w:r>
            <w:r>
              <w:rPr>
                <w:rFonts w:hint="eastAsia"/>
              </w:rPr>
              <w:t>。</w:t>
            </w:r>
          </w:p>
          <w:p w14:paraId="0046B10E">
            <w:pPr>
              <w:spacing w:line="360" w:lineRule="auto"/>
              <w:rPr>
                <w:szCs w:val="21"/>
              </w:rPr>
            </w:pPr>
            <w:r>
              <w:rPr>
                <w:rFonts w:hint="eastAsia"/>
                <w:szCs w:val="21"/>
              </w:rPr>
              <w:t>15.付款方式、时间及条件</w:t>
            </w:r>
          </w:p>
          <w:p w14:paraId="33032241">
            <w:pPr>
              <w:spacing w:line="360" w:lineRule="auto"/>
              <w:rPr>
                <w:szCs w:val="21"/>
              </w:rPr>
            </w:pPr>
            <w:r>
              <w:rPr>
                <w:rFonts w:hint="eastAsia"/>
                <w:szCs w:val="21"/>
              </w:rPr>
              <w:t>（1）</w:t>
            </w:r>
            <w:r>
              <w:rPr>
                <w:szCs w:val="21"/>
              </w:rPr>
              <w:t>分批供货，每批次货款根据双方确认的单价及该批次的供货数量进行结算；</w:t>
            </w:r>
            <w:r>
              <w:rPr>
                <w:rFonts w:hint="eastAsia"/>
                <w:szCs w:val="21"/>
              </w:rPr>
              <w:t>（2）</w:t>
            </w:r>
            <w:r>
              <w:rPr>
                <w:szCs w:val="21"/>
              </w:rPr>
              <w:t>按月结算，采购人在收到中标供应商上月全额发票后</w:t>
            </w:r>
            <w:r>
              <w:rPr>
                <w:rFonts w:hint="eastAsia"/>
                <w:szCs w:val="21"/>
              </w:rPr>
              <w:t>10</w:t>
            </w:r>
            <w:r>
              <w:rPr>
                <w:szCs w:val="21"/>
              </w:rPr>
              <w:t>个工作日内向中标供应商一次付清上月货物的全部货款。</w:t>
            </w:r>
            <w:r>
              <w:rPr>
                <w:rFonts w:hint="eastAsia"/>
                <w:szCs w:val="21"/>
              </w:rPr>
              <w:t>采购人未收到合格发票的，有权不予支付相应款项，并不承担延迟付款责任。供应商不得要求采购人将货款支付给供应商以外的任何人或公司。 收款方、出具发票方、合同乙方均必须与供应商名称一致。</w:t>
            </w:r>
          </w:p>
          <w:p w14:paraId="1A45EBFD">
            <w:pPr>
              <w:spacing w:line="360" w:lineRule="auto"/>
              <w:rPr>
                <w:szCs w:val="21"/>
              </w:rPr>
            </w:pPr>
            <w:r>
              <w:rPr>
                <w:rFonts w:hint="eastAsia"/>
                <w:szCs w:val="21"/>
              </w:rPr>
              <w:t>16.履约保证金</w:t>
            </w:r>
          </w:p>
          <w:p w14:paraId="077AF8A5">
            <w:pPr>
              <w:spacing w:line="360" w:lineRule="auto"/>
              <w:rPr>
                <w:szCs w:val="21"/>
              </w:rPr>
            </w:pPr>
            <w:r>
              <w:rPr>
                <w:rFonts w:hint="eastAsia"/>
                <w:szCs w:val="21"/>
              </w:rPr>
              <w:t>详见招标文件合同主要条款格式部分</w:t>
            </w:r>
          </w:p>
          <w:p w14:paraId="13A17A1B">
            <w:pPr>
              <w:spacing w:line="360" w:lineRule="auto"/>
              <w:rPr>
                <w:szCs w:val="21"/>
              </w:rPr>
            </w:pPr>
            <w:r>
              <w:rPr>
                <w:rFonts w:hint="eastAsia" w:ascii="宋体" w:hAnsi="宋体" w:cs="宋体"/>
                <w:szCs w:val="21"/>
              </w:rPr>
              <w:t>▲</w:t>
            </w:r>
            <w:r>
              <w:rPr>
                <w:rFonts w:hint="eastAsia"/>
                <w:szCs w:val="21"/>
              </w:rPr>
              <w:t>17.售后服务</w:t>
            </w:r>
          </w:p>
          <w:p w14:paraId="34D61F12">
            <w:pPr>
              <w:spacing w:line="360" w:lineRule="auto"/>
              <w:rPr>
                <w:szCs w:val="21"/>
              </w:rPr>
            </w:pPr>
            <w:r>
              <w:rPr>
                <w:rFonts w:hint="eastAsia"/>
                <w:szCs w:val="21"/>
              </w:rPr>
              <w:t>（1）质保期：</w:t>
            </w:r>
            <w:r>
              <w:rPr>
                <w:rFonts w:hint="eastAsia"/>
                <w:color w:val="0000FF"/>
                <w:szCs w:val="21"/>
              </w:rPr>
              <w:t>肉类及家禽自每批次货物验收合格之日起计算，冷藏环境下质保期不少于24小时。</w:t>
            </w:r>
          </w:p>
          <w:p w14:paraId="1572D766">
            <w:pPr>
              <w:spacing w:line="360" w:lineRule="auto"/>
              <w:rPr>
                <w:szCs w:val="21"/>
              </w:rPr>
            </w:pPr>
            <w:r>
              <w:rPr>
                <w:rFonts w:hint="eastAsia"/>
                <w:szCs w:val="21"/>
              </w:rPr>
              <w:t>（2）供应商应承诺“三包”。在质保期内发现质量问题，供应商必须在接到采购人通知后5小时内到达现场处理，如属质量问题的及时给予更换。</w:t>
            </w:r>
          </w:p>
          <w:p w14:paraId="71BE2012">
            <w:pPr>
              <w:spacing w:line="360" w:lineRule="auto"/>
              <w:rPr>
                <w:szCs w:val="21"/>
              </w:rPr>
            </w:pPr>
            <w:r>
              <w:rPr>
                <w:rFonts w:hint="eastAsia"/>
                <w:szCs w:val="21"/>
              </w:rPr>
              <w:t>（3）每批次供应商无法按规定时间交货，采购人从其他地方进行临时应急补货的，产生的相关成本及费用由供应商负责。</w:t>
            </w:r>
          </w:p>
          <w:p w14:paraId="25E13F56">
            <w:pPr>
              <w:spacing w:line="360" w:lineRule="auto"/>
              <w:rPr>
                <w:szCs w:val="21"/>
              </w:rPr>
            </w:pPr>
            <w:r>
              <w:rPr>
                <w:rFonts w:hint="eastAsia"/>
                <w:szCs w:val="21"/>
              </w:rPr>
              <w:t>18.保险</w:t>
            </w:r>
          </w:p>
          <w:p w14:paraId="4D479631">
            <w:pPr>
              <w:spacing w:line="380" w:lineRule="exact"/>
              <w:rPr>
                <w:szCs w:val="21"/>
              </w:rPr>
            </w:pPr>
            <w:r>
              <w:rPr>
                <w:rFonts w:hint="eastAsia"/>
                <w:szCs w:val="21"/>
              </w:rPr>
              <w:t>供应商负责办理运输和保险，将货物运抵交货地点。与运输、保险相关的费用由供应商承担。</w:t>
            </w:r>
          </w:p>
          <w:p w14:paraId="4E59A85F">
            <w:pPr>
              <w:spacing w:line="380" w:lineRule="exact"/>
              <w:rPr>
                <w:rFonts w:ascii="宋体" w:hAnsi="宋体" w:cs="宋体"/>
                <w:szCs w:val="21"/>
              </w:rPr>
            </w:pPr>
            <w:r>
              <w:rPr>
                <w:rFonts w:hint="eastAsia" w:ascii="宋体" w:hAnsi="宋体" w:cs="宋体"/>
                <w:szCs w:val="21"/>
              </w:rPr>
              <w:t>19.考核管理办法：供应商须严格遵守采购人的监管制度规定，同意按附件中的《广西监狱罪犯生活物资供货商考核管理办法》管理，招标文件中其他未尽事宜按照《广西监狱罪犯生活物资供货商考核管理办法》有关规定执行。</w:t>
            </w:r>
          </w:p>
          <w:p w14:paraId="609D24CB">
            <w:pPr>
              <w:spacing w:line="380" w:lineRule="exact"/>
              <w:rPr>
                <w:rFonts w:ascii="宋体" w:hAnsi="宋体" w:cs="宋体"/>
                <w:szCs w:val="21"/>
              </w:rPr>
            </w:pPr>
            <w:r>
              <w:rPr>
                <w:rFonts w:hint="eastAsia" w:ascii="宋体" w:hAnsi="宋体" w:cs="宋体"/>
                <w:szCs w:val="21"/>
              </w:rPr>
              <w:t>20.供应期满6个月以后，如上级有重大采购政策调整的，采购人可以无条件提前终止合约。</w:t>
            </w:r>
          </w:p>
          <w:p w14:paraId="07996940">
            <w:pPr>
              <w:spacing w:line="380" w:lineRule="exact"/>
              <w:rPr>
                <w:rFonts w:ascii="宋体" w:hAnsi="宋体" w:cs="宋体"/>
                <w:szCs w:val="21"/>
              </w:rPr>
            </w:pPr>
          </w:p>
        </w:tc>
      </w:tr>
    </w:tbl>
    <w:p w14:paraId="50C614CC">
      <w:pPr>
        <w:widowControl/>
        <w:jc w:val="left"/>
        <w:rPr>
          <w:szCs w:val="21"/>
        </w:rPr>
      </w:pPr>
    </w:p>
    <w:tbl>
      <w:tblPr>
        <w:tblStyle w:val="51"/>
        <w:tblW w:w="972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71"/>
        <w:gridCol w:w="447"/>
        <w:gridCol w:w="911"/>
        <w:gridCol w:w="861"/>
        <w:gridCol w:w="852"/>
        <w:gridCol w:w="1298"/>
        <w:gridCol w:w="1277"/>
        <w:gridCol w:w="3403"/>
      </w:tblGrid>
      <w:tr w14:paraId="7EA1A0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9720" w:type="dxa"/>
            <w:gridSpan w:val="8"/>
            <w:tcBorders>
              <w:top w:val="single" w:color="auto" w:sz="4" w:space="0"/>
              <w:left w:val="single" w:color="auto" w:sz="4" w:space="0"/>
              <w:right w:val="single" w:color="auto" w:sz="4" w:space="0"/>
            </w:tcBorders>
            <w:vAlign w:val="center"/>
          </w:tcPr>
          <w:p w14:paraId="5A18A5E8">
            <w:pPr>
              <w:spacing w:line="380" w:lineRule="exact"/>
              <w:jc w:val="left"/>
              <w:rPr>
                <w:rFonts w:ascii="宋体" w:hAnsi="宋体" w:cs="宋体"/>
                <w:b/>
                <w:szCs w:val="21"/>
              </w:rPr>
            </w:pPr>
            <w:r>
              <w:rPr>
                <w:rFonts w:hint="eastAsia" w:ascii="宋体" w:hAnsi="宋体" w:cs="宋体"/>
                <w:b/>
                <w:szCs w:val="21"/>
              </w:rPr>
              <w:t>分标：4分标</w:t>
            </w:r>
            <w:r>
              <w:rPr>
                <w:rFonts w:hint="eastAsia" w:ascii="宋体" w:hAnsi="宋体" w:cs="宋体"/>
                <w:b/>
                <w:bCs/>
                <w:szCs w:val="21"/>
              </w:rPr>
              <w:t>采购预算：1800000.00元（最高限价金额：1800000.00元）所属行业：批发业</w:t>
            </w:r>
          </w:p>
        </w:tc>
      </w:tr>
      <w:tr w14:paraId="117588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9720" w:type="dxa"/>
            <w:gridSpan w:val="8"/>
            <w:tcBorders>
              <w:top w:val="single" w:color="auto" w:sz="4" w:space="0"/>
              <w:left w:val="single" w:color="auto" w:sz="4" w:space="0"/>
              <w:right w:val="single" w:color="auto" w:sz="4" w:space="0"/>
            </w:tcBorders>
            <w:vAlign w:val="center"/>
          </w:tcPr>
          <w:p w14:paraId="198EAC52">
            <w:pPr>
              <w:spacing w:line="380" w:lineRule="exact"/>
              <w:jc w:val="center"/>
              <w:rPr>
                <w:rFonts w:ascii="宋体" w:hAnsi="宋体" w:cs="宋体"/>
                <w:b/>
                <w:szCs w:val="21"/>
              </w:rPr>
            </w:pPr>
            <w:r>
              <w:rPr>
                <w:rFonts w:hint="eastAsia" w:ascii="宋体" w:hAnsi="宋体" w:cs="宋体"/>
                <w:b/>
                <w:szCs w:val="21"/>
              </w:rPr>
              <w:t>采购需求一览表</w:t>
            </w:r>
          </w:p>
        </w:tc>
      </w:tr>
      <w:tr w14:paraId="4BB74A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671" w:type="dxa"/>
            <w:vMerge w:val="restart"/>
            <w:tcBorders>
              <w:top w:val="single" w:color="auto" w:sz="4" w:space="0"/>
              <w:left w:val="single" w:color="auto" w:sz="4" w:space="0"/>
              <w:right w:val="single" w:color="auto" w:sz="4" w:space="0"/>
            </w:tcBorders>
            <w:vAlign w:val="center"/>
          </w:tcPr>
          <w:p w14:paraId="64F8DD82">
            <w:pPr>
              <w:spacing w:line="380" w:lineRule="exact"/>
              <w:jc w:val="center"/>
              <w:rPr>
                <w:rFonts w:ascii="宋体" w:hAnsi="宋体" w:cs="宋体"/>
                <w:szCs w:val="21"/>
              </w:rPr>
            </w:pPr>
            <w:r>
              <w:rPr>
                <w:rFonts w:hint="eastAsia" w:ascii="宋体" w:hAnsi="宋体" w:cs="宋体"/>
                <w:szCs w:val="21"/>
              </w:rPr>
              <w:t>采购清单及货物参数</w:t>
            </w:r>
          </w:p>
        </w:tc>
        <w:tc>
          <w:tcPr>
            <w:tcW w:w="44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A56B166">
            <w:pPr>
              <w:spacing w:line="380" w:lineRule="exact"/>
              <w:jc w:val="center"/>
              <w:rPr>
                <w:rFonts w:ascii="宋体" w:hAnsi="宋体" w:cs="宋体"/>
                <w:szCs w:val="21"/>
              </w:rPr>
            </w:pPr>
            <w:r>
              <w:rPr>
                <w:rFonts w:hint="eastAsia" w:ascii="宋体" w:hAnsi="宋体" w:cs="宋体"/>
                <w:szCs w:val="21"/>
              </w:rPr>
              <w:t>序号</w:t>
            </w:r>
          </w:p>
        </w:tc>
        <w:tc>
          <w:tcPr>
            <w:tcW w:w="911" w:type="dxa"/>
            <w:tcBorders>
              <w:top w:val="single" w:color="auto" w:sz="4" w:space="0"/>
              <w:left w:val="single" w:color="auto" w:sz="4" w:space="0"/>
              <w:bottom w:val="single" w:color="auto" w:sz="4" w:space="0"/>
              <w:right w:val="single" w:color="auto" w:sz="4" w:space="0"/>
            </w:tcBorders>
            <w:vAlign w:val="center"/>
          </w:tcPr>
          <w:p w14:paraId="2AE0627C">
            <w:pPr>
              <w:spacing w:line="380" w:lineRule="exact"/>
              <w:jc w:val="center"/>
              <w:rPr>
                <w:rFonts w:ascii="宋体" w:hAnsi="宋体" w:cs="宋体"/>
                <w:szCs w:val="21"/>
              </w:rPr>
            </w:pPr>
            <w:r>
              <w:rPr>
                <w:rFonts w:hint="eastAsia" w:ascii="宋体" w:hAnsi="宋体" w:cs="宋体"/>
                <w:szCs w:val="21"/>
              </w:rPr>
              <w:t>采购货物名称</w:t>
            </w:r>
          </w:p>
        </w:tc>
        <w:tc>
          <w:tcPr>
            <w:tcW w:w="861" w:type="dxa"/>
            <w:tcBorders>
              <w:top w:val="single" w:color="auto" w:sz="4" w:space="0"/>
              <w:left w:val="single" w:color="auto" w:sz="4" w:space="0"/>
              <w:bottom w:val="single" w:color="auto" w:sz="4" w:space="0"/>
              <w:right w:val="single" w:color="auto" w:sz="4" w:space="0"/>
            </w:tcBorders>
            <w:vAlign w:val="center"/>
          </w:tcPr>
          <w:p w14:paraId="7D2EED02">
            <w:pPr>
              <w:widowControl/>
              <w:jc w:val="center"/>
              <w:textAlignment w:val="center"/>
              <w:rPr>
                <w:rFonts w:ascii="宋体" w:hAnsi="宋体" w:cs="宋体"/>
                <w:szCs w:val="21"/>
              </w:rPr>
            </w:pPr>
            <w:r>
              <w:rPr>
                <w:rFonts w:hint="eastAsia" w:ascii="宋体" w:hAnsi="宋体" w:cs="宋体"/>
                <w:kern w:val="0"/>
                <w:szCs w:val="21"/>
                <w:lang w:bidi="ar"/>
              </w:rPr>
              <w:t>单位</w:t>
            </w:r>
          </w:p>
        </w:tc>
        <w:tc>
          <w:tcPr>
            <w:tcW w:w="852" w:type="dxa"/>
            <w:tcBorders>
              <w:top w:val="single" w:color="auto" w:sz="4" w:space="0"/>
              <w:left w:val="single" w:color="auto" w:sz="4" w:space="0"/>
              <w:bottom w:val="single" w:color="auto" w:sz="4" w:space="0"/>
              <w:right w:val="single" w:color="auto" w:sz="4" w:space="0"/>
            </w:tcBorders>
            <w:vAlign w:val="center"/>
          </w:tcPr>
          <w:p w14:paraId="0C476E40">
            <w:pPr>
              <w:widowControl/>
              <w:jc w:val="center"/>
              <w:textAlignment w:val="center"/>
              <w:rPr>
                <w:rFonts w:ascii="宋体" w:hAnsi="宋体" w:cs="宋体"/>
                <w:szCs w:val="21"/>
              </w:rPr>
            </w:pPr>
            <w:r>
              <w:rPr>
                <w:rFonts w:hint="eastAsia" w:ascii="宋体" w:hAnsi="宋体" w:cs="宋体"/>
                <w:kern w:val="0"/>
                <w:szCs w:val="21"/>
                <w:lang w:bidi="ar"/>
              </w:rPr>
              <w:t>数量（公斤）</w:t>
            </w:r>
          </w:p>
        </w:tc>
        <w:tc>
          <w:tcPr>
            <w:tcW w:w="1298" w:type="dxa"/>
            <w:tcBorders>
              <w:top w:val="single" w:color="auto" w:sz="4" w:space="0"/>
              <w:left w:val="single" w:color="auto" w:sz="4" w:space="0"/>
              <w:bottom w:val="single" w:color="auto" w:sz="4" w:space="0"/>
              <w:right w:val="single" w:color="auto" w:sz="4" w:space="0"/>
            </w:tcBorders>
            <w:vAlign w:val="center"/>
          </w:tcPr>
          <w:p w14:paraId="2B5D3EEE">
            <w:pPr>
              <w:widowControl/>
              <w:jc w:val="center"/>
              <w:textAlignment w:val="center"/>
              <w:rPr>
                <w:rFonts w:ascii="宋体" w:hAnsi="宋体" w:cs="宋体"/>
                <w:szCs w:val="21"/>
              </w:rPr>
            </w:pPr>
            <w:r>
              <w:rPr>
                <w:rFonts w:hint="eastAsia" w:ascii="宋体" w:hAnsi="宋体" w:cs="宋体"/>
                <w:kern w:val="0"/>
                <w:szCs w:val="21"/>
                <w:lang w:bidi="ar"/>
              </w:rPr>
              <w:t>招标基准单价（元）</w:t>
            </w:r>
          </w:p>
        </w:tc>
        <w:tc>
          <w:tcPr>
            <w:tcW w:w="1277" w:type="dxa"/>
            <w:tcBorders>
              <w:top w:val="single" w:color="auto" w:sz="4" w:space="0"/>
              <w:left w:val="single" w:color="auto" w:sz="4" w:space="0"/>
              <w:bottom w:val="single" w:color="auto" w:sz="4" w:space="0"/>
              <w:right w:val="single" w:color="auto" w:sz="4" w:space="0"/>
            </w:tcBorders>
            <w:vAlign w:val="center"/>
          </w:tcPr>
          <w:p w14:paraId="3343F459">
            <w:pPr>
              <w:widowControl/>
              <w:jc w:val="center"/>
              <w:textAlignment w:val="center"/>
              <w:rPr>
                <w:rFonts w:ascii="宋体" w:hAnsi="宋体" w:cs="宋体"/>
                <w:szCs w:val="21"/>
              </w:rPr>
            </w:pPr>
            <w:r>
              <w:rPr>
                <w:rFonts w:hint="eastAsia" w:ascii="宋体" w:hAnsi="宋体" w:cs="宋体"/>
                <w:kern w:val="0"/>
                <w:szCs w:val="21"/>
                <w:lang w:bidi="ar"/>
              </w:rPr>
              <w:t>金额（元）</w:t>
            </w:r>
          </w:p>
        </w:tc>
        <w:tc>
          <w:tcPr>
            <w:tcW w:w="3403" w:type="dxa"/>
            <w:tcBorders>
              <w:top w:val="single" w:color="auto" w:sz="4" w:space="0"/>
              <w:left w:val="single" w:color="auto" w:sz="4" w:space="0"/>
              <w:bottom w:val="single" w:color="auto" w:sz="4" w:space="0"/>
              <w:right w:val="single" w:color="auto" w:sz="4" w:space="0"/>
            </w:tcBorders>
            <w:vAlign w:val="center"/>
          </w:tcPr>
          <w:p w14:paraId="5101C389">
            <w:pPr>
              <w:widowControl/>
              <w:jc w:val="center"/>
              <w:textAlignment w:val="center"/>
              <w:rPr>
                <w:rFonts w:ascii="宋体" w:hAnsi="宋体" w:cs="宋体"/>
                <w:szCs w:val="21"/>
              </w:rPr>
            </w:pPr>
            <w:r>
              <w:rPr>
                <w:rFonts w:hint="eastAsia" w:ascii="宋体" w:hAnsi="宋体" w:cs="宋体"/>
                <w:b/>
                <w:bCs/>
                <w:kern w:val="0"/>
                <w:szCs w:val="21"/>
                <w:lang w:bidi="ar"/>
              </w:rPr>
              <w:t>▲</w:t>
            </w:r>
            <w:r>
              <w:rPr>
                <w:rFonts w:hint="eastAsia" w:ascii="宋体" w:hAnsi="宋体" w:cs="宋体"/>
                <w:kern w:val="0"/>
                <w:szCs w:val="21"/>
                <w:lang w:bidi="ar"/>
              </w:rPr>
              <w:t>技术参数及要求</w:t>
            </w:r>
          </w:p>
        </w:tc>
      </w:tr>
      <w:tr w14:paraId="1168FF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671" w:type="dxa"/>
            <w:vMerge w:val="continue"/>
            <w:tcBorders>
              <w:left w:val="single" w:color="auto" w:sz="4" w:space="0"/>
              <w:right w:val="single" w:color="auto" w:sz="4" w:space="0"/>
            </w:tcBorders>
            <w:vAlign w:val="center"/>
          </w:tcPr>
          <w:p w14:paraId="51ACCBB1">
            <w:pPr>
              <w:spacing w:line="380" w:lineRule="exact"/>
              <w:jc w:val="center"/>
              <w:rPr>
                <w:rFonts w:ascii="宋体" w:hAnsi="宋体" w:cs="宋体"/>
                <w:szCs w:val="21"/>
              </w:rPr>
            </w:pPr>
          </w:p>
        </w:tc>
        <w:tc>
          <w:tcPr>
            <w:tcW w:w="44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D0F3371">
            <w:pPr>
              <w:widowControl/>
              <w:jc w:val="center"/>
              <w:textAlignment w:val="center"/>
              <w:rPr>
                <w:rFonts w:ascii="宋体" w:hAnsi="宋体" w:cs="宋体"/>
                <w:szCs w:val="21"/>
              </w:rPr>
            </w:pPr>
            <w:r>
              <w:rPr>
                <w:rFonts w:hint="eastAsia" w:ascii="宋体" w:hAnsi="宋体" w:cs="宋体"/>
                <w:kern w:val="0"/>
                <w:sz w:val="20"/>
                <w:szCs w:val="20"/>
                <w:lang w:bidi="ar"/>
              </w:rPr>
              <w:t>1</w:t>
            </w:r>
          </w:p>
        </w:tc>
        <w:tc>
          <w:tcPr>
            <w:tcW w:w="911" w:type="dxa"/>
            <w:tcBorders>
              <w:top w:val="single" w:color="auto" w:sz="4" w:space="0"/>
              <w:left w:val="single" w:color="auto" w:sz="4" w:space="0"/>
              <w:bottom w:val="single" w:color="auto" w:sz="4" w:space="0"/>
              <w:right w:val="single" w:color="auto" w:sz="4" w:space="0"/>
            </w:tcBorders>
            <w:vAlign w:val="center"/>
          </w:tcPr>
          <w:p w14:paraId="7B3576B3">
            <w:pPr>
              <w:widowControl/>
              <w:jc w:val="center"/>
              <w:textAlignment w:val="center"/>
              <w:rPr>
                <w:rFonts w:ascii="宋体" w:hAnsi="宋体" w:cs="宋体"/>
                <w:szCs w:val="21"/>
              </w:rPr>
            </w:pPr>
            <w:r>
              <w:rPr>
                <w:rFonts w:hint="eastAsia" w:ascii="宋体" w:hAnsi="宋体" w:cs="宋体"/>
                <w:kern w:val="0"/>
                <w:sz w:val="20"/>
                <w:szCs w:val="20"/>
                <w:lang w:bidi="ar"/>
              </w:rPr>
              <w:t>番茄</w:t>
            </w:r>
          </w:p>
        </w:tc>
        <w:tc>
          <w:tcPr>
            <w:tcW w:w="861" w:type="dxa"/>
            <w:tcBorders>
              <w:top w:val="single" w:color="auto" w:sz="4" w:space="0"/>
              <w:left w:val="single" w:color="auto" w:sz="4" w:space="0"/>
              <w:bottom w:val="single" w:color="auto" w:sz="4" w:space="0"/>
              <w:right w:val="single" w:color="auto" w:sz="4" w:space="0"/>
            </w:tcBorders>
            <w:vAlign w:val="center"/>
          </w:tcPr>
          <w:p w14:paraId="4D17AC95">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公斤</w:t>
            </w:r>
          </w:p>
        </w:tc>
        <w:tc>
          <w:tcPr>
            <w:tcW w:w="852" w:type="dxa"/>
            <w:tcBorders>
              <w:top w:val="single" w:color="auto" w:sz="4" w:space="0"/>
              <w:left w:val="single" w:color="auto" w:sz="4" w:space="0"/>
              <w:bottom w:val="single" w:color="auto" w:sz="4" w:space="0"/>
              <w:right w:val="single" w:color="auto" w:sz="4" w:space="0"/>
            </w:tcBorders>
            <w:vAlign w:val="center"/>
          </w:tcPr>
          <w:p w14:paraId="2044BE33">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5000</w:t>
            </w:r>
          </w:p>
        </w:tc>
        <w:tc>
          <w:tcPr>
            <w:tcW w:w="1298" w:type="dxa"/>
            <w:tcBorders>
              <w:top w:val="single" w:color="auto" w:sz="4" w:space="0"/>
              <w:left w:val="single" w:color="auto" w:sz="4" w:space="0"/>
              <w:bottom w:val="single" w:color="auto" w:sz="4" w:space="0"/>
              <w:right w:val="single" w:color="auto" w:sz="4" w:space="0"/>
            </w:tcBorders>
            <w:vAlign w:val="center"/>
          </w:tcPr>
          <w:p w14:paraId="08417DDA">
            <w:pPr>
              <w:widowControl/>
              <w:jc w:val="center"/>
              <w:textAlignment w:val="center"/>
              <w:rPr>
                <w:rFonts w:ascii="宋体" w:hAnsi="宋体" w:cs="宋体"/>
                <w:szCs w:val="21"/>
              </w:rPr>
            </w:pPr>
            <w:r>
              <w:rPr>
                <w:rFonts w:hint="eastAsia" w:ascii="宋体" w:hAnsi="宋体" w:cs="宋体"/>
                <w:kern w:val="0"/>
                <w:sz w:val="20"/>
                <w:szCs w:val="20"/>
                <w:lang w:bidi="ar"/>
              </w:rPr>
              <w:t xml:space="preserve">5.90 </w:t>
            </w:r>
          </w:p>
        </w:tc>
        <w:tc>
          <w:tcPr>
            <w:tcW w:w="1277" w:type="dxa"/>
            <w:tcBorders>
              <w:top w:val="single" w:color="auto" w:sz="4" w:space="0"/>
              <w:left w:val="single" w:color="auto" w:sz="4" w:space="0"/>
              <w:bottom w:val="single" w:color="auto" w:sz="4" w:space="0"/>
              <w:right w:val="single" w:color="auto" w:sz="4" w:space="0"/>
            </w:tcBorders>
            <w:vAlign w:val="center"/>
          </w:tcPr>
          <w:p w14:paraId="5385C712">
            <w:pPr>
              <w:widowControl/>
              <w:jc w:val="center"/>
              <w:textAlignment w:val="center"/>
              <w:rPr>
                <w:rFonts w:ascii="宋体" w:hAnsi="宋体" w:cs="宋体"/>
                <w:szCs w:val="21"/>
              </w:rPr>
            </w:pPr>
            <w:r>
              <w:rPr>
                <w:rFonts w:hint="eastAsia" w:ascii="宋体" w:hAnsi="宋体" w:cs="宋体"/>
                <w:kern w:val="0"/>
                <w:sz w:val="20"/>
                <w:szCs w:val="20"/>
                <w:lang w:bidi="ar"/>
              </w:rPr>
              <w:t xml:space="preserve">29500 </w:t>
            </w:r>
          </w:p>
        </w:tc>
        <w:tc>
          <w:tcPr>
            <w:tcW w:w="3403" w:type="dxa"/>
            <w:tcBorders>
              <w:top w:val="single" w:color="auto" w:sz="4" w:space="0"/>
              <w:left w:val="single" w:color="auto" w:sz="4" w:space="0"/>
              <w:bottom w:val="single" w:color="auto" w:sz="4" w:space="0"/>
              <w:right w:val="single" w:color="auto" w:sz="4" w:space="0"/>
            </w:tcBorders>
            <w:vAlign w:val="center"/>
          </w:tcPr>
          <w:p w14:paraId="4E32E431">
            <w:pPr>
              <w:widowControl/>
              <w:jc w:val="left"/>
              <w:textAlignment w:val="center"/>
              <w:rPr>
                <w:rFonts w:ascii="宋体" w:hAnsi="宋体" w:cs="宋体"/>
                <w:szCs w:val="21"/>
              </w:rPr>
            </w:pPr>
            <w:r>
              <w:rPr>
                <w:rFonts w:hint="eastAsia" w:ascii="宋体" w:hAnsi="宋体" w:cs="宋体"/>
                <w:kern w:val="0"/>
                <w:sz w:val="20"/>
                <w:szCs w:val="20"/>
                <w:lang w:bidi="ar"/>
              </w:rPr>
              <w:t>颜色粉红色，光泽亮艳，直径5cm左右，个头不等，饱满、有弹性，新鲜、干净、无腐烂，蔬菜残留农药检测合格。</w:t>
            </w:r>
          </w:p>
        </w:tc>
      </w:tr>
      <w:tr w14:paraId="19D328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671" w:type="dxa"/>
            <w:vMerge w:val="continue"/>
            <w:tcBorders>
              <w:left w:val="single" w:color="auto" w:sz="4" w:space="0"/>
              <w:right w:val="single" w:color="auto" w:sz="4" w:space="0"/>
            </w:tcBorders>
            <w:vAlign w:val="center"/>
          </w:tcPr>
          <w:p w14:paraId="042A0057">
            <w:pPr>
              <w:spacing w:line="380" w:lineRule="exact"/>
              <w:jc w:val="center"/>
              <w:rPr>
                <w:rFonts w:ascii="宋体" w:hAnsi="宋体" w:cs="宋体"/>
                <w:szCs w:val="21"/>
              </w:rPr>
            </w:pPr>
          </w:p>
        </w:tc>
        <w:tc>
          <w:tcPr>
            <w:tcW w:w="44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A5BCB2B">
            <w:pPr>
              <w:widowControl/>
              <w:jc w:val="center"/>
              <w:textAlignment w:val="center"/>
              <w:rPr>
                <w:rFonts w:ascii="宋体" w:hAnsi="宋体" w:cs="宋体"/>
                <w:szCs w:val="21"/>
              </w:rPr>
            </w:pPr>
            <w:r>
              <w:rPr>
                <w:rFonts w:hint="eastAsia" w:ascii="宋体" w:hAnsi="宋体" w:cs="宋体"/>
                <w:kern w:val="0"/>
                <w:sz w:val="20"/>
                <w:szCs w:val="20"/>
                <w:lang w:bidi="ar"/>
              </w:rPr>
              <w:t>2</w:t>
            </w:r>
          </w:p>
        </w:tc>
        <w:tc>
          <w:tcPr>
            <w:tcW w:w="911" w:type="dxa"/>
            <w:tcBorders>
              <w:top w:val="single" w:color="auto" w:sz="4" w:space="0"/>
              <w:left w:val="single" w:color="auto" w:sz="4" w:space="0"/>
              <w:bottom w:val="single" w:color="auto" w:sz="4" w:space="0"/>
              <w:right w:val="single" w:color="auto" w:sz="4" w:space="0"/>
            </w:tcBorders>
            <w:vAlign w:val="center"/>
          </w:tcPr>
          <w:p w14:paraId="0E8E07FE">
            <w:pPr>
              <w:widowControl/>
              <w:jc w:val="center"/>
              <w:textAlignment w:val="center"/>
              <w:rPr>
                <w:rFonts w:ascii="宋体" w:hAnsi="宋体" w:cs="宋体"/>
                <w:szCs w:val="21"/>
              </w:rPr>
            </w:pPr>
            <w:r>
              <w:rPr>
                <w:rFonts w:hint="eastAsia" w:ascii="宋体" w:hAnsi="宋体" w:cs="宋体"/>
                <w:kern w:val="0"/>
                <w:sz w:val="20"/>
                <w:szCs w:val="20"/>
                <w:lang w:bidi="ar"/>
              </w:rPr>
              <w:t>大蒜</w:t>
            </w:r>
          </w:p>
        </w:tc>
        <w:tc>
          <w:tcPr>
            <w:tcW w:w="861" w:type="dxa"/>
            <w:tcBorders>
              <w:top w:val="single" w:color="auto" w:sz="4" w:space="0"/>
              <w:left w:val="single" w:color="auto" w:sz="4" w:space="0"/>
              <w:bottom w:val="single" w:color="auto" w:sz="4" w:space="0"/>
              <w:right w:val="single" w:color="auto" w:sz="4" w:space="0"/>
            </w:tcBorders>
            <w:vAlign w:val="center"/>
          </w:tcPr>
          <w:p w14:paraId="79D546CE">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 xml:space="preserve"> 公斤</w:t>
            </w:r>
          </w:p>
        </w:tc>
        <w:tc>
          <w:tcPr>
            <w:tcW w:w="852" w:type="dxa"/>
            <w:tcBorders>
              <w:top w:val="single" w:color="auto" w:sz="4" w:space="0"/>
              <w:left w:val="single" w:color="auto" w:sz="4" w:space="0"/>
              <w:bottom w:val="single" w:color="auto" w:sz="4" w:space="0"/>
              <w:right w:val="single" w:color="auto" w:sz="4" w:space="0"/>
            </w:tcBorders>
            <w:vAlign w:val="center"/>
          </w:tcPr>
          <w:p w14:paraId="060A3B22">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600</w:t>
            </w:r>
          </w:p>
        </w:tc>
        <w:tc>
          <w:tcPr>
            <w:tcW w:w="1298" w:type="dxa"/>
            <w:tcBorders>
              <w:top w:val="single" w:color="auto" w:sz="4" w:space="0"/>
              <w:left w:val="single" w:color="auto" w:sz="4" w:space="0"/>
              <w:bottom w:val="single" w:color="auto" w:sz="4" w:space="0"/>
              <w:right w:val="single" w:color="auto" w:sz="4" w:space="0"/>
            </w:tcBorders>
            <w:vAlign w:val="center"/>
          </w:tcPr>
          <w:p w14:paraId="518B4936">
            <w:pPr>
              <w:widowControl/>
              <w:jc w:val="center"/>
              <w:textAlignment w:val="center"/>
              <w:rPr>
                <w:rFonts w:ascii="宋体" w:hAnsi="宋体" w:cs="宋体"/>
                <w:szCs w:val="21"/>
              </w:rPr>
            </w:pPr>
            <w:r>
              <w:rPr>
                <w:rFonts w:hint="eastAsia" w:ascii="宋体" w:hAnsi="宋体" w:cs="宋体"/>
                <w:kern w:val="0"/>
                <w:sz w:val="20"/>
                <w:szCs w:val="20"/>
                <w:lang w:bidi="ar"/>
              </w:rPr>
              <w:t xml:space="preserve">10.30 </w:t>
            </w:r>
          </w:p>
        </w:tc>
        <w:tc>
          <w:tcPr>
            <w:tcW w:w="1277" w:type="dxa"/>
            <w:tcBorders>
              <w:top w:val="single" w:color="auto" w:sz="4" w:space="0"/>
              <w:left w:val="single" w:color="auto" w:sz="4" w:space="0"/>
              <w:bottom w:val="single" w:color="auto" w:sz="4" w:space="0"/>
              <w:right w:val="single" w:color="auto" w:sz="4" w:space="0"/>
            </w:tcBorders>
            <w:vAlign w:val="center"/>
          </w:tcPr>
          <w:p w14:paraId="67848FDB">
            <w:pPr>
              <w:widowControl/>
              <w:jc w:val="center"/>
              <w:textAlignment w:val="center"/>
              <w:rPr>
                <w:rFonts w:ascii="宋体" w:hAnsi="宋体" w:cs="宋体"/>
                <w:szCs w:val="21"/>
              </w:rPr>
            </w:pPr>
            <w:r>
              <w:rPr>
                <w:rFonts w:hint="eastAsia" w:ascii="宋体" w:hAnsi="宋体" w:cs="宋体"/>
                <w:kern w:val="0"/>
                <w:sz w:val="20"/>
                <w:szCs w:val="20"/>
                <w:lang w:bidi="ar"/>
              </w:rPr>
              <w:t xml:space="preserve">6180 </w:t>
            </w:r>
          </w:p>
        </w:tc>
        <w:tc>
          <w:tcPr>
            <w:tcW w:w="3403" w:type="dxa"/>
            <w:tcBorders>
              <w:top w:val="single" w:color="auto" w:sz="4" w:space="0"/>
              <w:left w:val="single" w:color="auto" w:sz="4" w:space="0"/>
              <w:bottom w:val="single" w:color="auto" w:sz="4" w:space="0"/>
              <w:right w:val="single" w:color="auto" w:sz="4" w:space="0"/>
            </w:tcBorders>
            <w:vAlign w:val="center"/>
          </w:tcPr>
          <w:p w14:paraId="638FAC55">
            <w:pPr>
              <w:widowControl/>
              <w:jc w:val="left"/>
              <w:textAlignment w:val="center"/>
              <w:rPr>
                <w:rFonts w:ascii="宋体" w:hAnsi="宋体" w:cs="宋体"/>
                <w:szCs w:val="21"/>
              </w:rPr>
            </w:pPr>
            <w:r>
              <w:rPr>
                <w:rFonts w:hint="eastAsia" w:ascii="宋体" w:hAnsi="宋体" w:cs="宋体"/>
                <w:kern w:val="0"/>
                <w:sz w:val="20"/>
                <w:szCs w:val="20"/>
                <w:lang w:bidi="ar"/>
              </w:rPr>
              <w:t>鲜嫩、长短一致、粗细均匀，干净、无细沙泥土，蔬菜残留农药检测合格。</w:t>
            </w:r>
          </w:p>
        </w:tc>
      </w:tr>
      <w:tr w14:paraId="77C4BF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671" w:type="dxa"/>
            <w:vMerge w:val="continue"/>
            <w:tcBorders>
              <w:left w:val="single" w:color="auto" w:sz="4" w:space="0"/>
              <w:right w:val="single" w:color="auto" w:sz="4" w:space="0"/>
            </w:tcBorders>
            <w:vAlign w:val="center"/>
          </w:tcPr>
          <w:p w14:paraId="54CC289F">
            <w:pPr>
              <w:spacing w:line="380" w:lineRule="exact"/>
              <w:jc w:val="center"/>
              <w:rPr>
                <w:rFonts w:ascii="宋体" w:hAnsi="宋体" w:cs="宋体"/>
                <w:szCs w:val="21"/>
              </w:rPr>
            </w:pPr>
          </w:p>
        </w:tc>
        <w:tc>
          <w:tcPr>
            <w:tcW w:w="44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73F494F">
            <w:pPr>
              <w:widowControl/>
              <w:jc w:val="center"/>
              <w:textAlignment w:val="center"/>
              <w:rPr>
                <w:rFonts w:ascii="宋体" w:hAnsi="宋体" w:cs="宋体"/>
                <w:szCs w:val="21"/>
              </w:rPr>
            </w:pPr>
            <w:r>
              <w:rPr>
                <w:rFonts w:hint="eastAsia" w:ascii="宋体" w:hAnsi="宋体" w:cs="宋体"/>
                <w:kern w:val="0"/>
                <w:sz w:val="20"/>
                <w:szCs w:val="20"/>
                <w:lang w:bidi="ar"/>
              </w:rPr>
              <w:t>3</w:t>
            </w:r>
          </w:p>
        </w:tc>
        <w:tc>
          <w:tcPr>
            <w:tcW w:w="911" w:type="dxa"/>
            <w:tcBorders>
              <w:top w:val="single" w:color="auto" w:sz="4" w:space="0"/>
              <w:left w:val="single" w:color="auto" w:sz="4" w:space="0"/>
              <w:bottom w:val="single" w:color="auto" w:sz="4" w:space="0"/>
              <w:right w:val="single" w:color="auto" w:sz="4" w:space="0"/>
            </w:tcBorders>
            <w:vAlign w:val="center"/>
          </w:tcPr>
          <w:p w14:paraId="11EC249C">
            <w:pPr>
              <w:widowControl/>
              <w:jc w:val="center"/>
              <w:textAlignment w:val="center"/>
              <w:rPr>
                <w:rFonts w:ascii="宋体" w:hAnsi="宋体" w:cs="宋体"/>
                <w:szCs w:val="21"/>
              </w:rPr>
            </w:pPr>
            <w:r>
              <w:rPr>
                <w:rFonts w:hint="eastAsia" w:ascii="宋体" w:hAnsi="宋体" w:cs="宋体"/>
                <w:kern w:val="0"/>
                <w:sz w:val="20"/>
                <w:szCs w:val="20"/>
                <w:lang w:bidi="ar"/>
              </w:rPr>
              <w:t>生姜</w:t>
            </w:r>
          </w:p>
        </w:tc>
        <w:tc>
          <w:tcPr>
            <w:tcW w:w="861" w:type="dxa"/>
            <w:tcBorders>
              <w:top w:val="single" w:color="auto" w:sz="4" w:space="0"/>
              <w:left w:val="single" w:color="auto" w:sz="4" w:space="0"/>
              <w:bottom w:val="single" w:color="auto" w:sz="4" w:space="0"/>
              <w:right w:val="single" w:color="auto" w:sz="4" w:space="0"/>
            </w:tcBorders>
            <w:vAlign w:val="center"/>
          </w:tcPr>
          <w:p w14:paraId="2B451E09">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公斤</w:t>
            </w:r>
          </w:p>
        </w:tc>
        <w:tc>
          <w:tcPr>
            <w:tcW w:w="852" w:type="dxa"/>
            <w:tcBorders>
              <w:top w:val="single" w:color="auto" w:sz="4" w:space="0"/>
              <w:left w:val="single" w:color="auto" w:sz="4" w:space="0"/>
              <w:bottom w:val="single" w:color="auto" w:sz="4" w:space="0"/>
              <w:right w:val="single" w:color="auto" w:sz="4" w:space="0"/>
            </w:tcBorders>
            <w:vAlign w:val="center"/>
          </w:tcPr>
          <w:p w14:paraId="159DFCF0">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2000</w:t>
            </w:r>
          </w:p>
        </w:tc>
        <w:tc>
          <w:tcPr>
            <w:tcW w:w="1298" w:type="dxa"/>
            <w:tcBorders>
              <w:top w:val="single" w:color="auto" w:sz="4" w:space="0"/>
              <w:left w:val="single" w:color="auto" w:sz="4" w:space="0"/>
              <w:bottom w:val="single" w:color="auto" w:sz="4" w:space="0"/>
              <w:right w:val="single" w:color="auto" w:sz="4" w:space="0"/>
            </w:tcBorders>
            <w:vAlign w:val="center"/>
          </w:tcPr>
          <w:p w14:paraId="68FD4978">
            <w:pPr>
              <w:widowControl/>
              <w:jc w:val="center"/>
              <w:textAlignment w:val="center"/>
              <w:rPr>
                <w:rFonts w:ascii="宋体" w:hAnsi="宋体" w:cs="宋体"/>
                <w:szCs w:val="21"/>
              </w:rPr>
            </w:pPr>
            <w:r>
              <w:rPr>
                <w:rFonts w:hint="eastAsia" w:ascii="宋体" w:hAnsi="宋体" w:cs="宋体"/>
                <w:kern w:val="0"/>
                <w:sz w:val="20"/>
                <w:szCs w:val="20"/>
                <w:lang w:bidi="ar"/>
              </w:rPr>
              <w:t xml:space="preserve">7.50 </w:t>
            </w:r>
          </w:p>
        </w:tc>
        <w:tc>
          <w:tcPr>
            <w:tcW w:w="1277" w:type="dxa"/>
            <w:tcBorders>
              <w:top w:val="single" w:color="auto" w:sz="4" w:space="0"/>
              <w:left w:val="single" w:color="auto" w:sz="4" w:space="0"/>
              <w:bottom w:val="single" w:color="auto" w:sz="4" w:space="0"/>
              <w:right w:val="single" w:color="auto" w:sz="4" w:space="0"/>
            </w:tcBorders>
            <w:vAlign w:val="center"/>
          </w:tcPr>
          <w:p w14:paraId="57F868F8">
            <w:pPr>
              <w:widowControl/>
              <w:jc w:val="center"/>
              <w:textAlignment w:val="center"/>
              <w:rPr>
                <w:rFonts w:ascii="宋体" w:hAnsi="宋体" w:cs="宋体"/>
                <w:szCs w:val="21"/>
              </w:rPr>
            </w:pPr>
            <w:r>
              <w:rPr>
                <w:rFonts w:hint="eastAsia" w:ascii="宋体" w:hAnsi="宋体" w:cs="宋体"/>
                <w:kern w:val="0"/>
                <w:sz w:val="20"/>
                <w:szCs w:val="20"/>
                <w:lang w:bidi="ar"/>
              </w:rPr>
              <w:t xml:space="preserve">15000 </w:t>
            </w:r>
          </w:p>
        </w:tc>
        <w:tc>
          <w:tcPr>
            <w:tcW w:w="3403" w:type="dxa"/>
            <w:tcBorders>
              <w:top w:val="single" w:color="auto" w:sz="4" w:space="0"/>
              <w:left w:val="single" w:color="auto" w:sz="4" w:space="0"/>
              <w:bottom w:val="single" w:color="auto" w:sz="4" w:space="0"/>
              <w:right w:val="single" w:color="auto" w:sz="4" w:space="0"/>
            </w:tcBorders>
            <w:vAlign w:val="center"/>
          </w:tcPr>
          <w:p w14:paraId="6FDFCCE7">
            <w:pPr>
              <w:widowControl/>
              <w:jc w:val="left"/>
              <w:textAlignment w:val="center"/>
              <w:rPr>
                <w:rFonts w:ascii="宋体" w:hAnsi="宋体" w:cs="宋体"/>
                <w:szCs w:val="21"/>
              </w:rPr>
            </w:pPr>
            <w:r>
              <w:rPr>
                <w:rFonts w:hint="eastAsia" w:ascii="宋体" w:hAnsi="宋体" w:cs="宋体"/>
                <w:kern w:val="0"/>
                <w:sz w:val="20"/>
                <w:szCs w:val="20"/>
                <w:lang w:bidi="ar"/>
              </w:rPr>
              <w:t>颜色浅黄、表皮允许有少量损伤、形状不规则，姜体硬脆、肥大、有辛香味。表面较干净，蔬菜残留农药检测合格。</w:t>
            </w:r>
          </w:p>
        </w:tc>
      </w:tr>
      <w:tr w14:paraId="7DF7A4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671" w:type="dxa"/>
            <w:vMerge w:val="continue"/>
            <w:tcBorders>
              <w:left w:val="single" w:color="auto" w:sz="4" w:space="0"/>
              <w:right w:val="single" w:color="auto" w:sz="4" w:space="0"/>
            </w:tcBorders>
            <w:vAlign w:val="center"/>
          </w:tcPr>
          <w:p w14:paraId="51FF7F2E">
            <w:pPr>
              <w:spacing w:line="380" w:lineRule="exact"/>
              <w:jc w:val="center"/>
              <w:rPr>
                <w:rFonts w:ascii="宋体" w:hAnsi="宋体" w:cs="宋体"/>
                <w:szCs w:val="21"/>
              </w:rPr>
            </w:pPr>
          </w:p>
        </w:tc>
        <w:tc>
          <w:tcPr>
            <w:tcW w:w="44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1BEE1D9">
            <w:pPr>
              <w:widowControl/>
              <w:jc w:val="center"/>
              <w:textAlignment w:val="center"/>
              <w:rPr>
                <w:rFonts w:ascii="宋体" w:hAnsi="宋体" w:cs="宋体"/>
                <w:szCs w:val="21"/>
              </w:rPr>
            </w:pPr>
            <w:r>
              <w:rPr>
                <w:rFonts w:hint="eastAsia" w:ascii="宋体" w:hAnsi="宋体" w:cs="宋体"/>
                <w:kern w:val="0"/>
                <w:sz w:val="20"/>
                <w:szCs w:val="20"/>
                <w:lang w:bidi="ar"/>
              </w:rPr>
              <w:t>4</w:t>
            </w:r>
          </w:p>
        </w:tc>
        <w:tc>
          <w:tcPr>
            <w:tcW w:w="911" w:type="dxa"/>
            <w:tcBorders>
              <w:top w:val="single" w:color="auto" w:sz="4" w:space="0"/>
              <w:left w:val="single" w:color="auto" w:sz="4" w:space="0"/>
              <w:bottom w:val="single" w:color="auto" w:sz="4" w:space="0"/>
              <w:right w:val="single" w:color="auto" w:sz="4" w:space="0"/>
            </w:tcBorders>
            <w:vAlign w:val="center"/>
          </w:tcPr>
          <w:p w14:paraId="22EB2F61">
            <w:pPr>
              <w:widowControl/>
              <w:jc w:val="center"/>
              <w:textAlignment w:val="center"/>
              <w:rPr>
                <w:rFonts w:ascii="宋体" w:hAnsi="宋体" w:cs="宋体"/>
                <w:szCs w:val="21"/>
              </w:rPr>
            </w:pPr>
            <w:r>
              <w:rPr>
                <w:rFonts w:hint="eastAsia" w:ascii="宋体" w:hAnsi="宋体" w:cs="宋体"/>
                <w:kern w:val="0"/>
                <w:sz w:val="20"/>
                <w:szCs w:val="20"/>
                <w:lang w:bidi="ar"/>
              </w:rPr>
              <w:t>青瓜</w:t>
            </w:r>
          </w:p>
        </w:tc>
        <w:tc>
          <w:tcPr>
            <w:tcW w:w="861" w:type="dxa"/>
            <w:tcBorders>
              <w:top w:val="single" w:color="auto" w:sz="4" w:space="0"/>
              <w:left w:val="single" w:color="auto" w:sz="4" w:space="0"/>
              <w:bottom w:val="single" w:color="auto" w:sz="4" w:space="0"/>
              <w:right w:val="single" w:color="auto" w:sz="4" w:space="0"/>
            </w:tcBorders>
            <w:vAlign w:val="center"/>
          </w:tcPr>
          <w:p w14:paraId="33856525">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公斤</w:t>
            </w:r>
          </w:p>
        </w:tc>
        <w:tc>
          <w:tcPr>
            <w:tcW w:w="852" w:type="dxa"/>
            <w:tcBorders>
              <w:top w:val="single" w:color="auto" w:sz="4" w:space="0"/>
              <w:left w:val="single" w:color="auto" w:sz="4" w:space="0"/>
              <w:bottom w:val="single" w:color="auto" w:sz="4" w:space="0"/>
              <w:right w:val="single" w:color="auto" w:sz="4" w:space="0"/>
            </w:tcBorders>
            <w:vAlign w:val="center"/>
          </w:tcPr>
          <w:p w14:paraId="1F860C2B">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20000</w:t>
            </w:r>
          </w:p>
        </w:tc>
        <w:tc>
          <w:tcPr>
            <w:tcW w:w="1298" w:type="dxa"/>
            <w:tcBorders>
              <w:top w:val="single" w:color="auto" w:sz="4" w:space="0"/>
              <w:left w:val="single" w:color="auto" w:sz="4" w:space="0"/>
              <w:bottom w:val="single" w:color="auto" w:sz="4" w:space="0"/>
              <w:right w:val="single" w:color="auto" w:sz="4" w:space="0"/>
            </w:tcBorders>
            <w:vAlign w:val="center"/>
          </w:tcPr>
          <w:p w14:paraId="748D8B49">
            <w:pPr>
              <w:widowControl/>
              <w:jc w:val="center"/>
              <w:textAlignment w:val="center"/>
              <w:rPr>
                <w:rFonts w:ascii="宋体" w:hAnsi="宋体" w:cs="宋体"/>
                <w:szCs w:val="21"/>
              </w:rPr>
            </w:pPr>
            <w:r>
              <w:rPr>
                <w:rFonts w:hint="eastAsia" w:ascii="宋体" w:hAnsi="宋体" w:cs="宋体"/>
                <w:kern w:val="0"/>
                <w:sz w:val="20"/>
                <w:szCs w:val="20"/>
                <w:lang w:bidi="ar"/>
              </w:rPr>
              <w:t xml:space="preserve">2.60 </w:t>
            </w:r>
          </w:p>
        </w:tc>
        <w:tc>
          <w:tcPr>
            <w:tcW w:w="1277" w:type="dxa"/>
            <w:tcBorders>
              <w:top w:val="single" w:color="auto" w:sz="4" w:space="0"/>
              <w:left w:val="single" w:color="auto" w:sz="4" w:space="0"/>
              <w:bottom w:val="single" w:color="auto" w:sz="4" w:space="0"/>
              <w:right w:val="single" w:color="auto" w:sz="4" w:space="0"/>
            </w:tcBorders>
            <w:vAlign w:val="center"/>
          </w:tcPr>
          <w:p w14:paraId="75255C2A">
            <w:pPr>
              <w:widowControl/>
              <w:jc w:val="center"/>
              <w:textAlignment w:val="center"/>
              <w:rPr>
                <w:rFonts w:ascii="宋体" w:hAnsi="宋体" w:cs="宋体"/>
                <w:szCs w:val="21"/>
              </w:rPr>
            </w:pPr>
            <w:r>
              <w:rPr>
                <w:rFonts w:hint="eastAsia" w:ascii="宋体" w:hAnsi="宋体" w:cs="宋体"/>
                <w:kern w:val="0"/>
                <w:sz w:val="20"/>
                <w:szCs w:val="20"/>
                <w:lang w:bidi="ar"/>
              </w:rPr>
              <w:t xml:space="preserve">52000 </w:t>
            </w:r>
          </w:p>
        </w:tc>
        <w:tc>
          <w:tcPr>
            <w:tcW w:w="3403" w:type="dxa"/>
            <w:tcBorders>
              <w:top w:val="single" w:color="auto" w:sz="4" w:space="0"/>
              <w:left w:val="single" w:color="auto" w:sz="4" w:space="0"/>
              <w:bottom w:val="single" w:color="auto" w:sz="4" w:space="0"/>
              <w:right w:val="single" w:color="auto" w:sz="4" w:space="0"/>
            </w:tcBorders>
            <w:vAlign w:val="center"/>
          </w:tcPr>
          <w:p w14:paraId="354D9FC9">
            <w:pPr>
              <w:widowControl/>
              <w:jc w:val="left"/>
              <w:textAlignment w:val="center"/>
              <w:rPr>
                <w:rFonts w:ascii="宋体" w:hAnsi="宋体" w:cs="宋体"/>
                <w:szCs w:val="21"/>
              </w:rPr>
            </w:pPr>
            <w:r>
              <w:rPr>
                <w:rFonts w:hint="eastAsia" w:ascii="宋体" w:hAnsi="宋体" w:cs="宋体"/>
                <w:kern w:val="0"/>
                <w:sz w:val="20"/>
                <w:szCs w:val="20"/>
                <w:lang w:bidi="ar"/>
              </w:rPr>
              <w:t>瓜呈深绿色，瓜条较直，低把在2cm-4cm左右，横径上下基本一致，瓜条硬实，外观良好、新鲜、干净、无腐烂，蔬菜残留农药检测合格。</w:t>
            </w:r>
          </w:p>
        </w:tc>
      </w:tr>
      <w:tr w14:paraId="273EFC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4" w:hRule="atLeast"/>
          <w:jc w:val="center"/>
        </w:trPr>
        <w:tc>
          <w:tcPr>
            <w:tcW w:w="671" w:type="dxa"/>
            <w:vMerge w:val="continue"/>
            <w:tcBorders>
              <w:left w:val="single" w:color="auto" w:sz="4" w:space="0"/>
              <w:right w:val="single" w:color="auto" w:sz="4" w:space="0"/>
            </w:tcBorders>
            <w:vAlign w:val="center"/>
          </w:tcPr>
          <w:p w14:paraId="206DE0F2">
            <w:pPr>
              <w:spacing w:line="380" w:lineRule="exact"/>
              <w:jc w:val="center"/>
              <w:rPr>
                <w:rFonts w:ascii="宋体" w:hAnsi="宋体" w:cs="宋体"/>
                <w:szCs w:val="21"/>
              </w:rPr>
            </w:pPr>
          </w:p>
        </w:tc>
        <w:tc>
          <w:tcPr>
            <w:tcW w:w="44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25B6ADF">
            <w:pPr>
              <w:widowControl/>
              <w:jc w:val="center"/>
              <w:textAlignment w:val="center"/>
              <w:rPr>
                <w:rFonts w:ascii="宋体" w:hAnsi="宋体" w:cs="宋体"/>
                <w:szCs w:val="21"/>
              </w:rPr>
            </w:pPr>
            <w:r>
              <w:rPr>
                <w:rFonts w:hint="eastAsia" w:ascii="宋体" w:hAnsi="宋体" w:cs="宋体"/>
                <w:kern w:val="0"/>
                <w:sz w:val="20"/>
                <w:szCs w:val="20"/>
                <w:lang w:bidi="ar"/>
              </w:rPr>
              <w:t>5</w:t>
            </w:r>
          </w:p>
        </w:tc>
        <w:tc>
          <w:tcPr>
            <w:tcW w:w="911" w:type="dxa"/>
            <w:tcBorders>
              <w:top w:val="single" w:color="auto" w:sz="4" w:space="0"/>
              <w:left w:val="single" w:color="auto" w:sz="4" w:space="0"/>
              <w:bottom w:val="single" w:color="auto" w:sz="4" w:space="0"/>
              <w:right w:val="single" w:color="auto" w:sz="4" w:space="0"/>
            </w:tcBorders>
            <w:vAlign w:val="center"/>
          </w:tcPr>
          <w:p w14:paraId="781FC75F">
            <w:pPr>
              <w:widowControl/>
              <w:jc w:val="center"/>
              <w:textAlignment w:val="center"/>
              <w:rPr>
                <w:rFonts w:ascii="宋体" w:hAnsi="宋体" w:cs="宋体"/>
                <w:szCs w:val="21"/>
              </w:rPr>
            </w:pPr>
            <w:r>
              <w:rPr>
                <w:rFonts w:hint="eastAsia" w:ascii="宋体" w:hAnsi="宋体" w:cs="宋体"/>
                <w:kern w:val="0"/>
                <w:sz w:val="20"/>
                <w:szCs w:val="20"/>
                <w:lang w:bidi="ar"/>
              </w:rPr>
              <w:t>蒜米</w:t>
            </w:r>
          </w:p>
        </w:tc>
        <w:tc>
          <w:tcPr>
            <w:tcW w:w="861" w:type="dxa"/>
            <w:tcBorders>
              <w:top w:val="single" w:color="auto" w:sz="4" w:space="0"/>
              <w:left w:val="single" w:color="auto" w:sz="4" w:space="0"/>
              <w:bottom w:val="single" w:color="auto" w:sz="4" w:space="0"/>
              <w:right w:val="single" w:color="auto" w:sz="4" w:space="0"/>
            </w:tcBorders>
            <w:vAlign w:val="center"/>
          </w:tcPr>
          <w:p w14:paraId="763089F5">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公斤</w:t>
            </w:r>
          </w:p>
        </w:tc>
        <w:tc>
          <w:tcPr>
            <w:tcW w:w="852" w:type="dxa"/>
            <w:tcBorders>
              <w:top w:val="single" w:color="auto" w:sz="4" w:space="0"/>
              <w:left w:val="single" w:color="auto" w:sz="4" w:space="0"/>
              <w:bottom w:val="single" w:color="auto" w:sz="4" w:space="0"/>
              <w:right w:val="single" w:color="auto" w:sz="4" w:space="0"/>
            </w:tcBorders>
            <w:vAlign w:val="center"/>
          </w:tcPr>
          <w:p w14:paraId="3F298559">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500</w:t>
            </w:r>
          </w:p>
        </w:tc>
        <w:tc>
          <w:tcPr>
            <w:tcW w:w="1298" w:type="dxa"/>
            <w:tcBorders>
              <w:top w:val="single" w:color="auto" w:sz="4" w:space="0"/>
              <w:left w:val="single" w:color="auto" w:sz="4" w:space="0"/>
              <w:bottom w:val="single" w:color="auto" w:sz="4" w:space="0"/>
              <w:right w:val="single" w:color="auto" w:sz="4" w:space="0"/>
            </w:tcBorders>
            <w:vAlign w:val="center"/>
          </w:tcPr>
          <w:p w14:paraId="36ED7F39">
            <w:pPr>
              <w:widowControl/>
              <w:jc w:val="center"/>
              <w:textAlignment w:val="center"/>
              <w:rPr>
                <w:rFonts w:ascii="宋体" w:hAnsi="宋体" w:cs="宋体"/>
                <w:szCs w:val="21"/>
              </w:rPr>
            </w:pPr>
            <w:r>
              <w:rPr>
                <w:rFonts w:hint="eastAsia" w:ascii="宋体" w:hAnsi="宋体" w:cs="宋体"/>
                <w:kern w:val="0"/>
                <w:sz w:val="20"/>
                <w:szCs w:val="20"/>
                <w:lang w:bidi="ar"/>
              </w:rPr>
              <w:t xml:space="preserve">11.70 </w:t>
            </w:r>
          </w:p>
        </w:tc>
        <w:tc>
          <w:tcPr>
            <w:tcW w:w="1277" w:type="dxa"/>
            <w:tcBorders>
              <w:top w:val="single" w:color="auto" w:sz="4" w:space="0"/>
              <w:left w:val="single" w:color="auto" w:sz="4" w:space="0"/>
              <w:bottom w:val="single" w:color="auto" w:sz="4" w:space="0"/>
              <w:right w:val="single" w:color="auto" w:sz="4" w:space="0"/>
            </w:tcBorders>
            <w:vAlign w:val="center"/>
          </w:tcPr>
          <w:p w14:paraId="50368A05">
            <w:pPr>
              <w:widowControl/>
              <w:jc w:val="center"/>
              <w:textAlignment w:val="center"/>
              <w:rPr>
                <w:rFonts w:ascii="宋体" w:hAnsi="宋体" w:cs="宋体"/>
                <w:szCs w:val="21"/>
              </w:rPr>
            </w:pPr>
            <w:r>
              <w:rPr>
                <w:rFonts w:hint="eastAsia" w:ascii="宋体" w:hAnsi="宋体" w:cs="宋体"/>
                <w:kern w:val="0"/>
                <w:sz w:val="20"/>
                <w:szCs w:val="20"/>
                <w:lang w:bidi="ar"/>
              </w:rPr>
              <w:t xml:space="preserve">5850 </w:t>
            </w:r>
          </w:p>
        </w:tc>
        <w:tc>
          <w:tcPr>
            <w:tcW w:w="3403" w:type="dxa"/>
            <w:tcBorders>
              <w:top w:val="single" w:color="auto" w:sz="4" w:space="0"/>
              <w:left w:val="single" w:color="auto" w:sz="4" w:space="0"/>
              <w:bottom w:val="single" w:color="auto" w:sz="4" w:space="0"/>
              <w:right w:val="single" w:color="auto" w:sz="4" w:space="0"/>
            </w:tcBorders>
            <w:vAlign w:val="center"/>
          </w:tcPr>
          <w:p w14:paraId="5759B343">
            <w:pPr>
              <w:widowControl/>
              <w:jc w:val="left"/>
              <w:textAlignment w:val="center"/>
              <w:rPr>
                <w:rFonts w:ascii="宋体" w:hAnsi="宋体" w:cs="宋体"/>
                <w:szCs w:val="21"/>
              </w:rPr>
            </w:pPr>
            <w:r>
              <w:rPr>
                <w:rFonts w:hint="eastAsia" w:ascii="宋体" w:hAnsi="宋体" w:cs="宋体"/>
                <w:kern w:val="0"/>
                <w:sz w:val="20"/>
                <w:szCs w:val="20"/>
                <w:lang w:bidi="ar"/>
              </w:rPr>
              <w:t>蒜粒饱满、硬实，无虫、无腐烂现象，干净、无腐烂、无细沙泥土及杂质，剥皮；蔬菜残留农药检测合格。</w:t>
            </w:r>
          </w:p>
        </w:tc>
      </w:tr>
      <w:tr w14:paraId="3ADACA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671" w:type="dxa"/>
            <w:vMerge w:val="continue"/>
            <w:tcBorders>
              <w:left w:val="single" w:color="auto" w:sz="4" w:space="0"/>
              <w:right w:val="single" w:color="auto" w:sz="4" w:space="0"/>
            </w:tcBorders>
            <w:vAlign w:val="center"/>
          </w:tcPr>
          <w:p w14:paraId="365D9807">
            <w:pPr>
              <w:spacing w:line="380" w:lineRule="exact"/>
              <w:jc w:val="center"/>
              <w:rPr>
                <w:rFonts w:ascii="宋体" w:hAnsi="宋体" w:cs="宋体"/>
                <w:szCs w:val="21"/>
              </w:rPr>
            </w:pPr>
          </w:p>
        </w:tc>
        <w:tc>
          <w:tcPr>
            <w:tcW w:w="44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F9E0F2C">
            <w:pPr>
              <w:widowControl/>
              <w:jc w:val="center"/>
              <w:textAlignment w:val="center"/>
              <w:rPr>
                <w:rFonts w:ascii="宋体" w:hAnsi="宋体" w:cs="宋体"/>
                <w:szCs w:val="21"/>
              </w:rPr>
            </w:pPr>
            <w:r>
              <w:rPr>
                <w:rFonts w:hint="eastAsia" w:ascii="宋体" w:hAnsi="宋体" w:cs="宋体"/>
                <w:kern w:val="0"/>
                <w:sz w:val="20"/>
                <w:szCs w:val="20"/>
                <w:lang w:bidi="ar"/>
              </w:rPr>
              <w:t>6</w:t>
            </w:r>
          </w:p>
        </w:tc>
        <w:tc>
          <w:tcPr>
            <w:tcW w:w="911" w:type="dxa"/>
            <w:tcBorders>
              <w:top w:val="single" w:color="auto" w:sz="4" w:space="0"/>
              <w:left w:val="single" w:color="auto" w:sz="4" w:space="0"/>
              <w:bottom w:val="single" w:color="auto" w:sz="4" w:space="0"/>
              <w:right w:val="single" w:color="auto" w:sz="4" w:space="0"/>
            </w:tcBorders>
            <w:vAlign w:val="center"/>
          </w:tcPr>
          <w:p w14:paraId="2DB8E187">
            <w:pPr>
              <w:widowControl/>
              <w:jc w:val="center"/>
              <w:textAlignment w:val="center"/>
              <w:rPr>
                <w:rFonts w:ascii="宋体" w:hAnsi="宋体" w:cs="宋体"/>
                <w:szCs w:val="21"/>
              </w:rPr>
            </w:pPr>
            <w:r>
              <w:rPr>
                <w:rFonts w:hint="eastAsia" w:ascii="宋体" w:hAnsi="宋体" w:cs="宋体"/>
                <w:kern w:val="0"/>
                <w:sz w:val="20"/>
                <w:szCs w:val="20"/>
                <w:lang w:bidi="ar"/>
              </w:rPr>
              <w:t>洋葱</w:t>
            </w:r>
          </w:p>
        </w:tc>
        <w:tc>
          <w:tcPr>
            <w:tcW w:w="861" w:type="dxa"/>
            <w:tcBorders>
              <w:top w:val="single" w:color="auto" w:sz="4" w:space="0"/>
              <w:left w:val="single" w:color="auto" w:sz="4" w:space="0"/>
              <w:bottom w:val="single" w:color="auto" w:sz="4" w:space="0"/>
              <w:right w:val="single" w:color="auto" w:sz="4" w:space="0"/>
            </w:tcBorders>
            <w:vAlign w:val="center"/>
          </w:tcPr>
          <w:p w14:paraId="28B0CA04">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公斤</w:t>
            </w:r>
          </w:p>
        </w:tc>
        <w:tc>
          <w:tcPr>
            <w:tcW w:w="852" w:type="dxa"/>
            <w:tcBorders>
              <w:top w:val="single" w:color="auto" w:sz="4" w:space="0"/>
              <w:left w:val="single" w:color="auto" w:sz="4" w:space="0"/>
              <w:bottom w:val="single" w:color="auto" w:sz="4" w:space="0"/>
              <w:right w:val="single" w:color="auto" w:sz="4" w:space="0"/>
            </w:tcBorders>
            <w:vAlign w:val="center"/>
          </w:tcPr>
          <w:p w14:paraId="2142CA5B">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5000</w:t>
            </w:r>
          </w:p>
        </w:tc>
        <w:tc>
          <w:tcPr>
            <w:tcW w:w="1298" w:type="dxa"/>
            <w:tcBorders>
              <w:top w:val="single" w:color="auto" w:sz="4" w:space="0"/>
              <w:left w:val="single" w:color="auto" w:sz="4" w:space="0"/>
              <w:bottom w:val="single" w:color="auto" w:sz="4" w:space="0"/>
              <w:right w:val="single" w:color="auto" w:sz="4" w:space="0"/>
            </w:tcBorders>
            <w:vAlign w:val="center"/>
          </w:tcPr>
          <w:p w14:paraId="1A59C2CD">
            <w:pPr>
              <w:widowControl/>
              <w:jc w:val="center"/>
              <w:textAlignment w:val="center"/>
              <w:rPr>
                <w:rFonts w:ascii="宋体" w:hAnsi="宋体" w:cs="宋体"/>
                <w:szCs w:val="21"/>
              </w:rPr>
            </w:pPr>
            <w:r>
              <w:rPr>
                <w:rFonts w:hint="eastAsia" w:ascii="宋体" w:hAnsi="宋体" w:cs="宋体"/>
                <w:kern w:val="0"/>
                <w:sz w:val="20"/>
                <w:szCs w:val="20"/>
                <w:lang w:bidi="ar"/>
              </w:rPr>
              <w:t xml:space="preserve">2.90 </w:t>
            </w:r>
          </w:p>
        </w:tc>
        <w:tc>
          <w:tcPr>
            <w:tcW w:w="1277" w:type="dxa"/>
            <w:tcBorders>
              <w:top w:val="single" w:color="auto" w:sz="4" w:space="0"/>
              <w:left w:val="single" w:color="auto" w:sz="4" w:space="0"/>
              <w:bottom w:val="single" w:color="auto" w:sz="4" w:space="0"/>
              <w:right w:val="single" w:color="auto" w:sz="4" w:space="0"/>
            </w:tcBorders>
            <w:vAlign w:val="center"/>
          </w:tcPr>
          <w:p w14:paraId="0092FFBA">
            <w:pPr>
              <w:widowControl/>
              <w:jc w:val="center"/>
              <w:textAlignment w:val="center"/>
              <w:rPr>
                <w:rFonts w:ascii="宋体" w:hAnsi="宋体" w:cs="宋体"/>
                <w:szCs w:val="21"/>
              </w:rPr>
            </w:pPr>
            <w:r>
              <w:rPr>
                <w:rFonts w:hint="eastAsia" w:ascii="宋体" w:hAnsi="宋体" w:cs="宋体"/>
                <w:kern w:val="0"/>
                <w:sz w:val="20"/>
                <w:szCs w:val="20"/>
                <w:lang w:bidi="ar"/>
              </w:rPr>
              <w:t xml:space="preserve">14500 </w:t>
            </w:r>
          </w:p>
        </w:tc>
        <w:tc>
          <w:tcPr>
            <w:tcW w:w="3403" w:type="dxa"/>
            <w:tcBorders>
              <w:top w:val="single" w:color="auto" w:sz="4" w:space="0"/>
              <w:left w:val="single" w:color="auto" w:sz="4" w:space="0"/>
              <w:bottom w:val="single" w:color="auto" w:sz="4" w:space="0"/>
              <w:right w:val="single" w:color="auto" w:sz="4" w:space="0"/>
            </w:tcBorders>
            <w:vAlign w:val="center"/>
          </w:tcPr>
          <w:p w14:paraId="22694077">
            <w:pPr>
              <w:widowControl/>
              <w:jc w:val="left"/>
              <w:textAlignment w:val="center"/>
              <w:rPr>
                <w:rFonts w:ascii="宋体" w:hAnsi="宋体" w:cs="宋体"/>
                <w:szCs w:val="21"/>
              </w:rPr>
            </w:pPr>
            <w:r>
              <w:rPr>
                <w:rFonts w:hint="eastAsia" w:ascii="宋体" w:hAnsi="宋体" w:cs="宋体"/>
                <w:kern w:val="0"/>
                <w:sz w:val="20"/>
                <w:szCs w:val="20"/>
                <w:lang w:bidi="ar"/>
              </w:rPr>
              <w:t>鳞片颜色粉白或紫白、鳞片肥厚、完整无损、抱合紧密，球茎干度适中，有一定的硬度，干净、无腐烂，蔬菜残留农药检测合格。</w:t>
            </w:r>
          </w:p>
        </w:tc>
      </w:tr>
      <w:tr w14:paraId="786EA1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671" w:type="dxa"/>
            <w:vMerge w:val="continue"/>
            <w:tcBorders>
              <w:left w:val="single" w:color="auto" w:sz="4" w:space="0"/>
              <w:right w:val="single" w:color="auto" w:sz="4" w:space="0"/>
            </w:tcBorders>
            <w:vAlign w:val="center"/>
          </w:tcPr>
          <w:p w14:paraId="76866299">
            <w:pPr>
              <w:spacing w:line="380" w:lineRule="exact"/>
              <w:jc w:val="center"/>
              <w:rPr>
                <w:rFonts w:ascii="宋体" w:hAnsi="宋体" w:cs="宋体"/>
                <w:szCs w:val="21"/>
              </w:rPr>
            </w:pPr>
          </w:p>
        </w:tc>
        <w:tc>
          <w:tcPr>
            <w:tcW w:w="44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C817222">
            <w:pPr>
              <w:widowControl/>
              <w:jc w:val="center"/>
              <w:textAlignment w:val="center"/>
              <w:rPr>
                <w:rFonts w:ascii="宋体" w:hAnsi="宋体" w:cs="宋体"/>
                <w:szCs w:val="21"/>
              </w:rPr>
            </w:pPr>
            <w:r>
              <w:rPr>
                <w:rFonts w:hint="eastAsia" w:ascii="宋体" w:hAnsi="宋体" w:cs="宋体"/>
                <w:kern w:val="0"/>
                <w:sz w:val="20"/>
                <w:szCs w:val="20"/>
                <w:lang w:bidi="ar"/>
              </w:rPr>
              <w:t>7</w:t>
            </w:r>
          </w:p>
        </w:tc>
        <w:tc>
          <w:tcPr>
            <w:tcW w:w="911" w:type="dxa"/>
            <w:tcBorders>
              <w:top w:val="single" w:color="auto" w:sz="4" w:space="0"/>
              <w:left w:val="single" w:color="auto" w:sz="4" w:space="0"/>
              <w:bottom w:val="single" w:color="auto" w:sz="4" w:space="0"/>
              <w:right w:val="single" w:color="auto" w:sz="4" w:space="0"/>
            </w:tcBorders>
            <w:vAlign w:val="center"/>
          </w:tcPr>
          <w:p w14:paraId="2D044138">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米椒</w:t>
            </w:r>
          </w:p>
        </w:tc>
        <w:tc>
          <w:tcPr>
            <w:tcW w:w="861" w:type="dxa"/>
            <w:tcBorders>
              <w:top w:val="single" w:color="auto" w:sz="4" w:space="0"/>
              <w:left w:val="single" w:color="auto" w:sz="4" w:space="0"/>
              <w:bottom w:val="single" w:color="auto" w:sz="4" w:space="0"/>
              <w:right w:val="single" w:color="auto" w:sz="4" w:space="0"/>
            </w:tcBorders>
            <w:vAlign w:val="center"/>
          </w:tcPr>
          <w:p w14:paraId="1746C408">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公斤</w:t>
            </w:r>
          </w:p>
        </w:tc>
        <w:tc>
          <w:tcPr>
            <w:tcW w:w="852" w:type="dxa"/>
            <w:tcBorders>
              <w:top w:val="single" w:color="auto" w:sz="4" w:space="0"/>
              <w:left w:val="single" w:color="auto" w:sz="4" w:space="0"/>
              <w:bottom w:val="single" w:color="auto" w:sz="4" w:space="0"/>
              <w:right w:val="single" w:color="auto" w:sz="4" w:space="0"/>
            </w:tcBorders>
            <w:vAlign w:val="center"/>
          </w:tcPr>
          <w:p w14:paraId="10DB33B6">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500</w:t>
            </w:r>
          </w:p>
        </w:tc>
        <w:tc>
          <w:tcPr>
            <w:tcW w:w="1298" w:type="dxa"/>
            <w:tcBorders>
              <w:top w:val="single" w:color="auto" w:sz="4" w:space="0"/>
              <w:left w:val="single" w:color="auto" w:sz="4" w:space="0"/>
              <w:bottom w:val="single" w:color="auto" w:sz="4" w:space="0"/>
              <w:right w:val="single" w:color="auto" w:sz="4" w:space="0"/>
            </w:tcBorders>
            <w:vAlign w:val="center"/>
          </w:tcPr>
          <w:p w14:paraId="445B8790">
            <w:pPr>
              <w:widowControl/>
              <w:jc w:val="center"/>
              <w:textAlignment w:val="center"/>
              <w:rPr>
                <w:rFonts w:ascii="宋体" w:hAnsi="宋体" w:cs="宋体"/>
                <w:szCs w:val="21"/>
              </w:rPr>
            </w:pPr>
            <w:r>
              <w:rPr>
                <w:rFonts w:hint="eastAsia" w:ascii="宋体" w:hAnsi="宋体" w:cs="宋体"/>
                <w:kern w:val="0"/>
                <w:sz w:val="20"/>
                <w:szCs w:val="20"/>
                <w:lang w:bidi="ar"/>
              </w:rPr>
              <w:t xml:space="preserve">9.10 </w:t>
            </w:r>
          </w:p>
        </w:tc>
        <w:tc>
          <w:tcPr>
            <w:tcW w:w="1277" w:type="dxa"/>
            <w:tcBorders>
              <w:top w:val="single" w:color="auto" w:sz="4" w:space="0"/>
              <w:left w:val="single" w:color="auto" w:sz="4" w:space="0"/>
              <w:bottom w:val="single" w:color="auto" w:sz="4" w:space="0"/>
              <w:right w:val="single" w:color="auto" w:sz="4" w:space="0"/>
            </w:tcBorders>
            <w:vAlign w:val="center"/>
          </w:tcPr>
          <w:p w14:paraId="066C6CDE">
            <w:pPr>
              <w:widowControl/>
              <w:jc w:val="center"/>
              <w:textAlignment w:val="center"/>
              <w:rPr>
                <w:rFonts w:ascii="宋体" w:hAnsi="宋体" w:cs="宋体"/>
                <w:kern w:val="0"/>
                <w:szCs w:val="21"/>
                <w:lang w:bidi="ar"/>
              </w:rPr>
            </w:pPr>
            <w:r>
              <w:rPr>
                <w:rFonts w:hint="eastAsia" w:ascii="宋体" w:hAnsi="宋体" w:cs="宋体"/>
                <w:kern w:val="0"/>
                <w:sz w:val="20"/>
                <w:szCs w:val="20"/>
                <w:lang w:bidi="ar"/>
              </w:rPr>
              <w:t xml:space="preserve">4550 </w:t>
            </w:r>
          </w:p>
        </w:tc>
        <w:tc>
          <w:tcPr>
            <w:tcW w:w="3403" w:type="dxa"/>
            <w:tcBorders>
              <w:top w:val="single" w:color="auto" w:sz="4" w:space="0"/>
              <w:left w:val="single" w:color="auto" w:sz="4" w:space="0"/>
              <w:bottom w:val="single" w:color="auto" w:sz="4" w:space="0"/>
              <w:right w:val="single" w:color="auto" w:sz="4" w:space="0"/>
            </w:tcBorders>
            <w:vAlign w:val="center"/>
          </w:tcPr>
          <w:p w14:paraId="0899340E">
            <w:pPr>
              <w:widowControl/>
              <w:jc w:val="left"/>
              <w:textAlignment w:val="center"/>
              <w:rPr>
                <w:rFonts w:ascii="宋体" w:hAnsi="宋体" w:cs="宋体"/>
                <w:szCs w:val="21"/>
              </w:rPr>
            </w:pPr>
            <w:r>
              <w:rPr>
                <w:rFonts w:hint="eastAsia" w:ascii="宋体" w:hAnsi="宋体" w:cs="宋体"/>
                <w:kern w:val="0"/>
                <w:sz w:val="20"/>
                <w:szCs w:val="20"/>
                <w:lang w:bidi="ar"/>
              </w:rPr>
              <w:t>颜色红艳、有光泽、表面光滑、饱满有一定硬度和弹性，辣味相对强烈；蔬菜残留农药检测合格。</w:t>
            </w:r>
          </w:p>
        </w:tc>
      </w:tr>
      <w:tr w14:paraId="7BC0B2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671" w:type="dxa"/>
            <w:vMerge w:val="continue"/>
            <w:tcBorders>
              <w:left w:val="single" w:color="auto" w:sz="4" w:space="0"/>
              <w:right w:val="single" w:color="auto" w:sz="4" w:space="0"/>
            </w:tcBorders>
            <w:vAlign w:val="center"/>
          </w:tcPr>
          <w:p w14:paraId="4733B01C">
            <w:pPr>
              <w:spacing w:line="380" w:lineRule="exact"/>
              <w:jc w:val="center"/>
              <w:rPr>
                <w:rFonts w:ascii="宋体" w:hAnsi="宋体" w:cs="宋体"/>
                <w:szCs w:val="21"/>
              </w:rPr>
            </w:pPr>
          </w:p>
        </w:tc>
        <w:tc>
          <w:tcPr>
            <w:tcW w:w="44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4F7F006">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8</w:t>
            </w:r>
          </w:p>
        </w:tc>
        <w:tc>
          <w:tcPr>
            <w:tcW w:w="911" w:type="dxa"/>
            <w:tcBorders>
              <w:top w:val="single" w:color="auto" w:sz="4" w:space="0"/>
              <w:left w:val="single" w:color="auto" w:sz="4" w:space="0"/>
              <w:bottom w:val="single" w:color="auto" w:sz="4" w:space="0"/>
              <w:right w:val="single" w:color="auto" w:sz="4" w:space="0"/>
            </w:tcBorders>
            <w:vAlign w:val="center"/>
          </w:tcPr>
          <w:p w14:paraId="56BFE574">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白萝卜</w:t>
            </w:r>
          </w:p>
        </w:tc>
        <w:tc>
          <w:tcPr>
            <w:tcW w:w="861" w:type="dxa"/>
            <w:tcBorders>
              <w:top w:val="single" w:color="auto" w:sz="4" w:space="0"/>
              <w:left w:val="single" w:color="auto" w:sz="4" w:space="0"/>
              <w:bottom w:val="single" w:color="auto" w:sz="4" w:space="0"/>
              <w:right w:val="single" w:color="auto" w:sz="4" w:space="0"/>
            </w:tcBorders>
            <w:vAlign w:val="center"/>
          </w:tcPr>
          <w:p w14:paraId="1AD273BA">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公斤</w:t>
            </w:r>
          </w:p>
        </w:tc>
        <w:tc>
          <w:tcPr>
            <w:tcW w:w="852" w:type="dxa"/>
            <w:tcBorders>
              <w:top w:val="single" w:color="auto" w:sz="4" w:space="0"/>
              <w:left w:val="single" w:color="auto" w:sz="4" w:space="0"/>
              <w:bottom w:val="single" w:color="auto" w:sz="4" w:space="0"/>
              <w:right w:val="single" w:color="auto" w:sz="4" w:space="0"/>
            </w:tcBorders>
            <w:vAlign w:val="center"/>
          </w:tcPr>
          <w:p w14:paraId="16AE5F38">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50000</w:t>
            </w:r>
          </w:p>
        </w:tc>
        <w:tc>
          <w:tcPr>
            <w:tcW w:w="1298" w:type="dxa"/>
            <w:tcBorders>
              <w:top w:val="single" w:color="auto" w:sz="4" w:space="0"/>
              <w:left w:val="single" w:color="auto" w:sz="4" w:space="0"/>
              <w:bottom w:val="single" w:color="auto" w:sz="4" w:space="0"/>
              <w:right w:val="single" w:color="auto" w:sz="4" w:space="0"/>
            </w:tcBorders>
            <w:vAlign w:val="center"/>
          </w:tcPr>
          <w:p w14:paraId="3A87A71C">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 xml:space="preserve">3.00 </w:t>
            </w:r>
          </w:p>
        </w:tc>
        <w:tc>
          <w:tcPr>
            <w:tcW w:w="1277" w:type="dxa"/>
            <w:tcBorders>
              <w:top w:val="single" w:color="auto" w:sz="4" w:space="0"/>
              <w:left w:val="single" w:color="auto" w:sz="4" w:space="0"/>
              <w:bottom w:val="single" w:color="auto" w:sz="4" w:space="0"/>
              <w:right w:val="single" w:color="auto" w:sz="4" w:space="0"/>
            </w:tcBorders>
            <w:vAlign w:val="center"/>
          </w:tcPr>
          <w:p w14:paraId="0122A6C1">
            <w:pPr>
              <w:widowControl/>
              <w:jc w:val="center"/>
              <w:textAlignment w:val="center"/>
              <w:rPr>
                <w:rFonts w:ascii="宋体" w:hAnsi="宋体"/>
                <w:sz w:val="22"/>
                <w:szCs w:val="22"/>
              </w:rPr>
            </w:pPr>
            <w:r>
              <w:rPr>
                <w:rFonts w:hint="eastAsia" w:ascii="宋体" w:hAnsi="宋体" w:cs="宋体"/>
                <w:kern w:val="0"/>
                <w:sz w:val="20"/>
                <w:szCs w:val="20"/>
                <w:lang w:bidi="ar"/>
              </w:rPr>
              <w:t xml:space="preserve">150000 </w:t>
            </w:r>
          </w:p>
        </w:tc>
        <w:tc>
          <w:tcPr>
            <w:tcW w:w="3403" w:type="dxa"/>
            <w:tcBorders>
              <w:top w:val="single" w:color="auto" w:sz="4" w:space="0"/>
              <w:left w:val="single" w:color="auto" w:sz="4" w:space="0"/>
              <w:bottom w:val="single" w:color="auto" w:sz="4" w:space="0"/>
              <w:right w:val="single" w:color="auto" w:sz="4" w:space="0"/>
            </w:tcBorders>
            <w:vAlign w:val="center"/>
          </w:tcPr>
          <w:p w14:paraId="2963FBD4">
            <w:pPr>
              <w:widowControl/>
              <w:jc w:val="left"/>
              <w:textAlignment w:val="center"/>
              <w:rPr>
                <w:rFonts w:ascii="宋体" w:hAnsi="宋体" w:cs="宋体"/>
                <w:szCs w:val="21"/>
              </w:rPr>
            </w:pPr>
            <w:r>
              <w:rPr>
                <w:rFonts w:hint="eastAsia" w:ascii="宋体" w:hAnsi="宋体" w:cs="宋体"/>
                <w:kern w:val="0"/>
                <w:sz w:val="20"/>
                <w:szCs w:val="20"/>
                <w:lang w:bidi="ar"/>
              </w:rPr>
              <w:t xml:space="preserve">具有萝卜的正常滋味，肉质鲜嫩，无异味；新鲜、清洁，无异物；无腐烂、病虫害、黑皮、黑心、糠心、冻害；蔬菜残留农药检测合格。 </w:t>
            </w:r>
          </w:p>
        </w:tc>
      </w:tr>
      <w:tr w14:paraId="004AB8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671" w:type="dxa"/>
            <w:vMerge w:val="continue"/>
            <w:tcBorders>
              <w:left w:val="single" w:color="auto" w:sz="4" w:space="0"/>
              <w:right w:val="single" w:color="auto" w:sz="4" w:space="0"/>
            </w:tcBorders>
            <w:vAlign w:val="center"/>
          </w:tcPr>
          <w:p w14:paraId="2A9E3629">
            <w:pPr>
              <w:spacing w:line="380" w:lineRule="exact"/>
              <w:jc w:val="center"/>
              <w:rPr>
                <w:rFonts w:ascii="宋体" w:hAnsi="宋体" w:cs="宋体"/>
                <w:szCs w:val="21"/>
              </w:rPr>
            </w:pPr>
          </w:p>
        </w:tc>
        <w:tc>
          <w:tcPr>
            <w:tcW w:w="44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2909A57">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9</w:t>
            </w:r>
          </w:p>
        </w:tc>
        <w:tc>
          <w:tcPr>
            <w:tcW w:w="911" w:type="dxa"/>
            <w:tcBorders>
              <w:top w:val="single" w:color="auto" w:sz="4" w:space="0"/>
              <w:left w:val="single" w:color="auto" w:sz="4" w:space="0"/>
              <w:bottom w:val="single" w:color="auto" w:sz="4" w:space="0"/>
              <w:right w:val="single" w:color="auto" w:sz="4" w:space="0"/>
            </w:tcBorders>
            <w:vAlign w:val="center"/>
          </w:tcPr>
          <w:p w14:paraId="507DAE1B">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节瓜</w:t>
            </w:r>
          </w:p>
        </w:tc>
        <w:tc>
          <w:tcPr>
            <w:tcW w:w="861" w:type="dxa"/>
            <w:tcBorders>
              <w:top w:val="single" w:color="auto" w:sz="4" w:space="0"/>
              <w:left w:val="single" w:color="auto" w:sz="4" w:space="0"/>
              <w:bottom w:val="single" w:color="auto" w:sz="4" w:space="0"/>
              <w:right w:val="single" w:color="auto" w:sz="4" w:space="0"/>
            </w:tcBorders>
            <w:vAlign w:val="center"/>
          </w:tcPr>
          <w:p w14:paraId="008D2BFC">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公斤</w:t>
            </w:r>
          </w:p>
        </w:tc>
        <w:tc>
          <w:tcPr>
            <w:tcW w:w="852" w:type="dxa"/>
            <w:tcBorders>
              <w:top w:val="single" w:color="auto" w:sz="4" w:space="0"/>
              <w:left w:val="single" w:color="auto" w:sz="4" w:space="0"/>
              <w:bottom w:val="single" w:color="auto" w:sz="4" w:space="0"/>
              <w:right w:val="single" w:color="auto" w:sz="4" w:space="0"/>
            </w:tcBorders>
            <w:vAlign w:val="center"/>
          </w:tcPr>
          <w:p w14:paraId="42DD24C9">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20000</w:t>
            </w:r>
          </w:p>
        </w:tc>
        <w:tc>
          <w:tcPr>
            <w:tcW w:w="1298" w:type="dxa"/>
            <w:tcBorders>
              <w:top w:val="single" w:color="auto" w:sz="4" w:space="0"/>
              <w:left w:val="single" w:color="auto" w:sz="4" w:space="0"/>
              <w:bottom w:val="single" w:color="auto" w:sz="4" w:space="0"/>
              <w:right w:val="single" w:color="auto" w:sz="4" w:space="0"/>
            </w:tcBorders>
            <w:vAlign w:val="center"/>
          </w:tcPr>
          <w:p w14:paraId="38D8FC60">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 xml:space="preserve">2.70 </w:t>
            </w:r>
          </w:p>
        </w:tc>
        <w:tc>
          <w:tcPr>
            <w:tcW w:w="1277" w:type="dxa"/>
            <w:tcBorders>
              <w:top w:val="single" w:color="auto" w:sz="4" w:space="0"/>
              <w:left w:val="single" w:color="auto" w:sz="4" w:space="0"/>
              <w:bottom w:val="single" w:color="auto" w:sz="4" w:space="0"/>
              <w:right w:val="single" w:color="auto" w:sz="4" w:space="0"/>
            </w:tcBorders>
            <w:vAlign w:val="center"/>
          </w:tcPr>
          <w:p w14:paraId="7756CD82">
            <w:pPr>
              <w:widowControl/>
              <w:jc w:val="center"/>
              <w:textAlignment w:val="center"/>
              <w:rPr>
                <w:rFonts w:ascii="宋体" w:hAnsi="宋体"/>
                <w:sz w:val="22"/>
                <w:szCs w:val="22"/>
              </w:rPr>
            </w:pPr>
            <w:r>
              <w:rPr>
                <w:rFonts w:hint="eastAsia" w:ascii="宋体" w:hAnsi="宋体" w:cs="宋体"/>
                <w:kern w:val="0"/>
                <w:sz w:val="20"/>
                <w:szCs w:val="20"/>
                <w:lang w:bidi="ar"/>
              </w:rPr>
              <w:t xml:space="preserve">54000 </w:t>
            </w:r>
          </w:p>
        </w:tc>
        <w:tc>
          <w:tcPr>
            <w:tcW w:w="3403" w:type="dxa"/>
            <w:tcBorders>
              <w:top w:val="single" w:color="auto" w:sz="4" w:space="0"/>
              <w:left w:val="single" w:color="auto" w:sz="4" w:space="0"/>
              <w:bottom w:val="single" w:color="auto" w:sz="4" w:space="0"/>
              <w:right w:val="single" w:color="auto" w:sz="4" w:space="0"/>
            </w:tcBorders>
            <w:vAlign w:val="center"/>
          </w:tcPr>
          <w:p w14:paraId="5816DDE0">
            <w:pPr>
              <w:widowControl/>
              <w:jc w:val="left"/>
              <w:textAlignment w:val="center"/>
              <w:rPr>
                <w:rFonts w:ascii="宋体" w:hAnsi="宋体" w:cs="宋体"/>
                <w:szCs w:val="21"/>
              </w:rPr>
            </w:pPr>
            <w:r>
              <w:rPr>
                <w:rFonts w:hint="eastAsia" w:ascii="宋体" w:hAnsi="宋体" w:cs="宋体"/>
                <w:kern w:val="0"/>
                <w:sz w:val="20"/>
                <w:szCs w:val="20"/>
                <w:lang w:bidi="ar"/>
              </w:rPr>
              <w:t>瓜新鲜不脱水，具有其特有的味道，无不良气味和滋味；瓜形均匀，瓜肉厚实，茸毛正常覆盖，无泥土及外来污染，无畸形、腐烂、病虫害等症状；蔬菜残留农药检测合格。</w:t>
            </w:r>
          </w:p>
        </w:tc>
      </w:tr>
      <w:tr w14:paraId="0B4A05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671" w:type="dxa"/>
            <w:vMerge w:val="continue"/>
            <w:tcBorders>
              <w:left w:val="single" w:color="auto" w:sz="4" w:space="0"/>
              <w:right w:val="single" w:color="auto" w:sz="4" w:space="0"/>
            </w:tcBorders>
            <w:vAlign w:val="center"/>
          </w:tcPr>
          <w:p w14:paraId="4D9CEBE4">
            <w:pPr>
              <w:spacing w:line="380" w:lineRule="exact"/>
              <w:jc w:val="center"/>
              <w:rPr>
                <w:rFonts w:ascii="宋体" w:hAnsi="宋体" w:cs="宋体"/>
                <w:szCs w:val="21"/>
              </w:rPr>
            </w:pPr>
          </w:p>
        </w:tc>
        <w:tc>
          <w:tcPr>
            <w:tcW w:w="44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8127880">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10</w:t>
            </w:r>
          </w:p>
        </w:tc>
        <w:tc>
          <w:tcPr>
            <w:tcW w:w="911" w:type="dxa"/>
            <w:tcBorders>
              <w:top w:val="single" w:color="auto" w:sz="4" w:space="0"/>
              <w:left w:val="single" w:color="auto" w:sz="4" w:space="0"/>
              <w:bottom w:val="single" w:color="auto" w:sz="4" w:space="0"/>
              <w:right w:val="single" w:color="auto" w:sz="4" w:space="0"/>
            </w:tcBorders>
            <w:vAlign w:val="center"/>
          </w:tcPr>
          <w:p w14:paraId="17A5933B">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生菜</w:t>
            </w:r>
          </w:p>
        </w:tc>
        <w:tc>
          <w:tcPr>
            <w:tcW w:w="861" w:type="dxa"/>
            <w:tcBorders>
              <w:top w:val="single" w:color="auto" w:sz="4" w:space="0"/>
              <w:left w:val="single" w:color="auto" w:sz="4" w:space="0"/>
              <w:bottom w:val="single" w:color="auto" w:sz="4" w:space="0"/>
              <w:right w:val="single" w:color="auto" w:sz="4" w:space="0"/>
            </w:tcBorders>
            <w:vAlign w:val="center"/>
          </w:tcPr>
          <w:p w14:paraId="460DF1E9">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公斤</w:t>
            </w:r>
          </w:p>
        </w:tc>
        <w:tc>
          <w:tcPr>
            <w:tcW w:w="852" w:type="dxa"/>
            <w:tcBorders>
              <w:top w:val="single" w:color="auto" w:sz="4" w:space="0"/>
              <w:left w:val="single" w:color="auto" w:sz="4" w:space="0"/>
              <w:bottom w:val="single" w:color="auto" w:sz="4" w:space="0"/>
              <w:right w:val="single" w:color="auto" w:sz="4" w:space="0"/>
            </w:tcBorders>
            <w:vAlign w:val="center"/>
          </w:tcPr>
          <w:p w14:paraId="20064952">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20000</w:t>
            </w:r>
          </w:p>
        </w:tc>
        <w:tc>
          <w:tcPr>
            <w:tcW w:w="1298" w:type="dxa"/>
            <w:tcBorders>
              <w:top w:val="single" w:color="auto" w:sz="4" w:space="0"/>
              <w:left w:val="single" w:color="auto" w:sz="4" w:space="0"/>
              <w:bottom w:val="single" w:color="auto" w:sz="4" w:space="0"/>
              <w:right w:val="single" w:color="auto" w:sz="4" w:space="0"/>
            </w:tcBorders>
            <w:vAlign w:val="center"/>
          </w:tcPr>
          <w:p w14:paraId="2C3781D1">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 xml:space="preserve">5.00 </w:t>
            </w:r>
          </w:p>
        </w:tc>
        <w:tc>
          <w:tcPr>
            <w:tcW w:w="1277" w:type="dxa"/>
            <w:tcBorders>
              <w:top w:val="single" w:color="auto" w:sz="4" w:space="0"/>
              <w:left w:val="single" w:color="auto" w:sz="4" w:space="0"/>
              <w:bottom w:val="single" w:color="auto" w:sz="4" w:space="0"/>
              <w:right w:val="single" w:color="auto" w:sz="4" w:space="0"/>
            </w:tcBorders>
            <w:vAlign w:val="center"/>
          </w:tcPr>
          <w:p w14:paraId="687BFD26">
            <w:pPr>
              <w:widowControl/>
              <w:jc w:val="center"/>
              <w:textAlignment w:val="center"/>
              <w:rPr>
                <w:rFonts w:ascii="宋体" w:hAnsi="宋体"/>
                <w:sz w:val="22"/>
                <w:szCs w:val="22"/>
              </w:rPr>
            </w:pPr>
            <w:r>
              <w:rPr>
                <w:rFonts w:hint="eastAsia" w:ascii="宋体" w:hAnsi="宋体" w:cs="宋体"/>
                <w:kern w:val="0"/>
                <w:sz w:val="20"/>
                <w:szCs w:val="20"/>
                <w:lang w:bidi="ar"/>
              </w:rPr>
              <w:t xml:space="preserve">100000 </w:t>
            </w:r>
          </w:p>
        </w:tc>
        <w:tc>
          <w:tcPr>
            <w:tcW w:w="3403" w:type="dxa"/>
            <w:tcBorders>
              <w:top w:val="single" w:color="auto" w:sz="4" w:space="0"/>
              <w:left w:val="single" w:color="auto" w:sz="4" w:space="0"/>
              <w:bottom w:val="single" w:color="auto" w:sz="4" w:space="0"/>
              <w:right w:val="single" w:color="auto" w:sz="4" w:space="0"/>
            </w:tcBorders>
            <w:vAlign w:val="center"/>
          </w:tcPr>
          <w:p w14:paraId="77AB8CEB">
            <w:pPr>
              <w:widowControl/>
              <w:jc w:val="left"/>
              <w:textAlignment w:val="center"/>
              <w:rPr>
                <w:rFonts w:ascii="宋体" w:hAnsi="宋体" w:cs="宋体"/>
                <w:szCs w:val="21"/>
              </w:rPr>
            </w:pPr>
            <w:r>
              <w:rPr>
                <w:rFonts w:hint="eastAsia" w:ascii="宋体" w:hAnsi="宋体" w:cs="宋体"/>
                <w:kern w:val="0"/>
                <w:sz w:val="20"/>
                <w:szCs w:val="20"/>
                <w:lang w:bidi="ar"/>
              </w:rPr>
              <w:t>叶新鲜光泽，干净、无杂质、无腐烂变质，可食率达95%以上，蔬菜残留农药检测合格</w:t>
            </w:r>
          </w:p>
        </w:tc>
      </w:tr>
      <w:tr w14:paraId="345D33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671" w:type="dxa"/>
            <w:vMerge w:val="continue"/>
            <w:tcBorders>
              <w:left w:val="single" w:color="auto" w:sz="4" w:space="0"/>
              <w:right w:val="single" w:color="auto" w:sz="4" w:space="0"/>
            </w:tcBorders>
            <w:vAlign w:val="center"/>
          </w:tcPr>
          <w:p w14:paraId="31C9F827">
            <w:pPr>
              <w:spacing w:line="380" w:lineRule="exact"/>
              <w:jc w:val="center"/>
              <w:rPr>
                <w:rFonts w:ascii="宋体" w:hAnsi="宋体" w:cs="宋体"/>
                <w:szCs w:val="21"/>
              </w:rPr>
            </w:pPr>
          </w:p>
        </w:tc>
        <w:tc>
          <w:tcPr>
            <w:tcW w:w="44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C41AC43">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11</w:t>
            </w:r>
          </w:p>
        </w:tc>
        <w:tc>
          <w:tcPr>
            <w:tcW w:w="911" w:type="dxa"/>
            <w:tcBorders>
              <w:top w:val="single" w:color="auto" w:sz="4" w:space="0"/>
              <w:left w:val="single" w:color="auto" w:sz="4" w:space="0"/>
              <w:bottom w:val="single" w:color="auto" w:sz="4" w:space="0"/>
              <w:right w:val="single" w:color="auto" w:sz="4" w:space="0"/>
            </w:tcBorders>
            <w:vAlign w:val="center"/>
          </w:tcPr>
          <w:p w14:paraId="6E7A53BD">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南瓜</w:t>
            </w:r>
          </w:p>
        </w:tc>
        <w:tc>
          <w:tcPr>
            <w:tcW w:w="861" w:type="dxa"/>
            <w:tcBorders>
              <w:top w:val="single" w:color="auto" w:sz="4" w:space="0"/>
              <w:left w:val="single" w:color="auto" w:sz="4" w:space="0"/>
              <w:bottom w:val="single" w:color="auto" w:sz="4" w:space="0"/>
              <w:right w:val="single" w:color="auto" w:sz="4" w:space="0"/>
            </w:tcBorders>
            <w:vAlign w:val="center"/>
          </w:tcPr>
          <w:p w14:paraId="65EB6BD9">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公斤</w:t>
            </w:r>
          </w:p>
        </w:tc>
        <w:tc>
          <w:tcPr>
            <w:tcW w:w="852" w:type="dxa"/>
            <w:tcBorders>
              <w:top w:val="single" w:color="auto" w:sz="4" w:space="0"/>
              <w:left w:val="single" w:color="auto" w:sz="4" w:space="0"/>
              <w:bottom w:val="single" w:color="auto" w:sz="4" w:space="0"/>
              <w:right w:val="single" w:color="auto" w:sz="4" w:space="0"/>
            </w:tcBorders>
            <w:vAlign w:val="center"/>
          </w:tcPr>
          <w:p w14:paraId="13955D25">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10000</w:t>
            </w:r>
          </w:p>
        </w:tc>
        <w:tc>
          <w:tcPr>
            <w:tcW w:w="1298" w:type="dxa"/>
            <w:tcBorders>
              <w:top w:val="single" w:color="auto" w:sz="4" w:space="0"/>
              <w:left w:val="single" w:color="auto" w:sz="4" w:space="0"/>
              <w:bottom w:val="single" w:color="auto" w:sz="4" w:space="0"/>
              <w:right w:val="single" w:color="auto" w:sz="4" w:space="0"/>
            </w:tcBorders>
            <w:vAlign w:val="center"/>
          </w:tcPr>
          <w:p w14:paraId="64230AD6">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 xml:space="preserve">3.20 </w:t>
            </w:r>
          </w:p>
        </w:tc>
        <w:tc>
          <w:tcPr>
            <w:tcW w:w="1277" w:type="dxa"/>
            <w:tcBorders>
              <w:top w:val="single" w:color="auto" w:sz="4" w:space="0"/>
              <w:left w:val="single" w:color="auto" w:sz="4" w:space="0"/>
              <w:bottom w:val="single" w:color="auto" w:sz="4" w:space="0"/>
              <w:right w:val="single" w:color="auto" w:sz="4" w:space="0"/>
            </w:tcBorders>
            <w:vAlign w:val="center"/>
          </w:tcPr>
          <w:p w14:paraId="2F63AF00">
            <w:pPr>
              <w:widowControl/>
              <w:jc w:val="center"/>
              <w:textAlignment w:val="center"/>
              <w:rPr>
                <w:rFonts w:ascii="宋体" w:hAnsi="宋体"/>
                <w:sz w:val="22"/>
                <w:szCs w:val="22"/>
              </w:rPr>
            </w:pPr>
            <w:r>
              <w:rPr>
                <w:rFonts w:hint="eastAsia" w:ascii="宋体" w:hAnsi="宋体" w:cs="宋体"/>
                <w:kern w:val="0"/>
                <w:sz w:val="20"/>
                <w:szCs w:val="20"/>
                <w:lang w:bidi="ar"/>
              </w:rPr>
              <w:t xml:space="preserve">32000 </w:t>
            </w:r>
          </w:p>
        </w:tc>
        <w:tc>
          <w:tcPr>
            <w:tcW w:w="3403" w:type="dxa"/>
            <w:tcBorders>
              <w:top w:val="single" w:color="auto" w:sz="4" w:space="0"/>
              <w:left w:val="single" w:color="auto" w:sz="4" w:space="0"/>
              <w:bottom w:val="single" w:color="auto" w:sz="4" w:space="0"/>
              <w:right w:val="single" w:color="auto" w:sz="4" w:space="0"/>
            </w:tcBorders>
            <w:vAlign w:val="center"/>
          </w:tcPr>
          <w:p w14:paraId="1E3D6520">
            <w:pPr>
              <w:widowControl/>
              <w:jc w:val="left"/>
              <w:textAlignment w:val="center"/>
              <w:rPr>
                <w:rFonts w:ascii="宋体" w:hAnsi="宋体" w:cs="宋体"/>
                <w:szCs w:val="21"/>
              </w:rPr>
            </w:pPr>
            <w:r>
              <w:rPr>
                <w:rFonts w:hint="eastAsia" w:ascii="宋体" w:hAnsi="宋体" w:cs="宋体"/>
                <w:kern w:val="0"/>
                <w:sz w:val="20"/>
                <w:szCs w:val="20"/>
                <w:lang w:bidi="ar"/>
              </w:rPr>
              <w:t>自然老，色泽黄亮、大小均匀、无损伤、无腐烂；蔬菜残留农药检测合格。</w:t>
            </w:r>
          </w:p>
        </w:tc>
      </w:tr>
      <w:tr w14:paraId="183BD4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671" w:type="dxa"/>
            <w:vMerge w:val="continue"/>
            <w:tcBorders>
              <w:left w:val="single" w:color="auto" w:sz="4" w:space="0"/>
              <w:right w:val="single" w:color="auto" w:sz="4" w:space="0"/>
            </w:tcBorders>
            <w:vAlign w:val="center"/>
          </w:tcPr>
          <w:p w14:paraId="767E21F1">
            <w:pPr>
              <w:spacing w:line="380" w:lineRule="exact"/>
              <w:jc w:val="center"/>
              <w:rPr>
                <w:rFonts w:ascii="宋体" w:hAnsi="宋体" w:cs="宋体"/>
                <w:szCs w:val="21"/>
              </w:rPr>
            </w:pPr>
          </w:p>
        </w:tc>
        <w:tc>
          <w:tcPr>
            <w:tcW w:w="44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FE90EEA">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12</w:t>
            </w:r>
          </w:p>
        </w:tc>
        <w:tc>
          <w:tcPr>
            <w:tcW w:w="911" w:type="dxa"/>
            <w:tcBorders>
              <w:top w:val="single" w:color="auto" w:sz="4" w:space="0"/>
              <w:left w:val="single" w:color="auto" w:sz="4" w:space="0"/>
              <w:bottom w:val="single" w:color="auto" w:sz="4" w:space="0"/>
              <w:right w:val="single" w:color="auto" w:sz="4" w:space="0"/>
            </w:tcBorders>
            <w:vAlign w:val="center"/>
          </w:tcPr>
          <w:p w14:paraId="0AEE044C">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莲藕</w:t>
            </w:r>
          </w:p>
        </w:tc>
        <w:tc>
          <w:tcPr>
            <w:tcW w:w="861" w:type="dxa"/>
            <w:tcBorders>
              <w:top w:val="single" w:color="auto" w:sz="4" w:space="0"/>
              <w:left w:val="single" w:color="auto" w:sz="4" w:space="0"/>
              <w:bottom w:val="single" w:color="auto" w:sz="4" w:space="0"/>
              <w:right w:val="single" w:color="auto" w:sz="4" w:space="0"/>
            </w:tcBorders>
            <w:vAlign w:val="center"/>
          </w:tcPr>
          <w:p w14:paraId="6827908E">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公斤</w:t>
            </w:r>
          </w:p>
        </w:tc>
        <w:tc>
          <w:tcPr>
            <w:tcW w:w="852" w:type="dxa"/>
            <w:tcBorders>
              <w:top w:val="single" w:color="auto" w:sz="4" w:space="0"/>
              <w:left w:val="single" w:color="auto" w:sz="4" w:space="0"/>
              <w:bottom w:val="single" w:color="auto" w:sz="4" w:space="0"/>
              <w:right w:val="single" w:color="auto" w:sz="4" w:space="0"/>
            </w:tcBorders>
            <w:vAlign w:val="center"/>
          </w:tcPr>
          <w:p w14:paraId="50E17339">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10000</w:t>
            </w:r>
          </w:p>
        </w:tc>
        <w:tc>
          <w:tcPr>
            <w:tcW w:w="1298" w:type="dxa"/>
            <w:tcBorders>
              <w:top w:val="single" w:color="auto" w:sz="4" w:space="0"/>
              <w:left w:val="single" w:color="auto" w:sz="4" w:space="0"/>
              <w:bottom w:val="single" w:color="auto" w:sz="4" w:space="0"/>
              <w:right w:val="single" w:color="auto" w:sz="4" w:space="0"/>
            </w:tcBorders>
            <w:vAlign w:val="center"/>
          </w:tcPr>
          <w:p w14:paraId="740E312A">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 xml:space="preserve">7.30 </w:t>
            </w:r>
          </w:p>
        </w:tc>
        <w:tc>
          <w:tcPr>
            <w:tcW w:w="1277" w:type="dxa"/>
            <w:tcBorders>
              <w:top w:val="single" w:color="auto" w:sz="4" w:space="0"/>
              <w:left w:val="single" w:color="auto" w:sz="4" w:space="0"/>
              <w:bottom w:val="single" w:color="auto" w:sz="4" w:space="0"/>
              <w:right w:val="single" w:color="auto" w:sz="4" w:space="0"/>
            </w:tcBorders>
            <w:vAlign w:val="center"/>
          </w:tcPr>
          <w:p w14:paraId="5F8101D5">
            <w:pPr>
              <w:widowControl/>
              <w:jc w:val="center"/>
              <w:textAlignment w:val="center"/>
              <w:rPr>
                <w:rFonts w:ascii="宋体" w:hAnsi="宋体"/>
                <w:sz w:val="22"/>
                <w:szCs w:val="22"/>
              </w:rPr>
            </w:pPr>
            <w:r>
              <w:rPr>
                <w:rFonts w:hint="eastAsia" w:ascii="宋体" w:hAnsi="宋体" w:cs="宋体"/>
                <w:kern w:val="0"/>
                <w:sz w:val="20"/>
                <w:szCs w:val="20"/>
                <w:lang w:bidi="ar"/>
              </w:rPr>
              <w:t xml:space="preserve">73000 </w:t>
            </w:r>
          </w:p>
        </w:tc>
        <w:tc>
          <w:tcPr>
            <w:tcW w:w="3403" w:type="dxa"/>
            <w:tcBorders>
              <w:top w:val="single" w:color="auto" w:sz="4" w:space="0"/>
              <w:left w:val="single" w:color="auto" w:sz="4" w:space="0"/>
              <w:bottom w:val="single" w:color="auto" w:sz="4" w:space="0"/>
              <w:right w:val="single" w:color="auto" w:sz="4" w:space="0"/>
            </w:tcBorders>
            <w:vAlign w:val="center"/>
          </w:tcPr>
          <w:p w14:paraId="73301FAB">
            <w:pPr>
              <w:widowControl/>
              <w:jc w:val="left"/>
              <w:textAlignment w:val="center"/>
              <w:rPr>
                <w:rFonts w:ascii="宋体" w:hAnsi="宋体" w:cs="宋体"/>
                <w:szCs w:val="21"/>
              </w:rPr>
            </w:pPr>
            <w:r>
              <w:rPr>
                <w:rFonts w:hint="eastAsia" w:ascii="宋体" w:hAnsi="宋体" w:cs="宋体"/>
                <w:kern w:val="0"/>
                <w:sz w:val="20"/>
                <w:szCs w:val="20"/>
                <w:lang w:bidi="ar"/>
              </w:rPr>
              <w:t>全部为藕节、藕棒一体，无黑心，表面良好、新鲜、无烂损，水洗净；蔬菜残留农药检测合格。</w:t>
            </w:r>
          </w:p>
        </w:tc>
      </w:tr>
      <w:tr w14:paraId="704AA9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671" w:type="dxa"/>
            <w:vMerge w:val="continue"/>
            <w:tcBorders>
              <w:left w:val="single" w:color="auto" w:sz="4" w:space="0"/>
              <w:right w:val="single" w:color="auto" w:sz="4" w:space="0"/>
            </w:tcBorders>
            <w:vAlign w:val="center"/>
          </w:tcPr>
          <w:p w14:paraId="4A50B28F">
            <w:pPr>
              <w:spacing w:line="380" w:lineRule="exact"/>
              <w:jc w:val="center"/>
              <w:rPr>
                <w:rFonts w:ascii="宋体" w:hAnsi="宋体" w:cs="宋体"/>
                <w:szCs w:val="21"/>
              </w:rPr>
            </w:pPr>
          </w:p>
        </w:tc>
        <w:tc>
          <w:tcPr>
            <w:tcW w:w="44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4DEFFCE">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13</w:t>
            </w:r>
          </w:p>
        </w:tc>
        <w:tc>
          <w:tcPr>
            <w:tcW w:w="911" w:type="dxa"/>
            <w:tcBorders>
              <w:top w:val="single" w:color="auto" w:sz="4" w:space="0"/>
              <w:left w:val="single" w:color="auto" w:sz="4" w:space="0"/>
              <w:bottom w:val="single" w:color="auto" w:sz="4" w:space="0"/>
              <w:right w:val="single" w:color="auto" w:sz="4" w:space="0"/>
            </w:tcBorders>
            <w:vAlign w:val="center"/>
          </w:tcPr>
          <w:p w14:paraId="4A082BDF">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苦瓜</w:t>
            </w:r>
          </w:p>
        </w:tc>
        <w:tc>
          <w:tcPr>
            <w:tcW w:w="861" w:type="dxa"/>
            <w:tcBorders>
              <w:top w:val="single" w:color="auto" w:sz="4" w:space="0"/>
              <w:left w:val="single" w:color="auto" w:sz="4" w:space="0"/>
              <w:bottom w:val="single" w:color="auto" w:sz="4" w:space="0"/>
              <w:right w:val="single" w:color="auto" w:sz="4" w:space="0"/>
            </w:tcBorders>
            <w:vAlign w:val="center"/>
          </w:tcPr>
          <w:p w14:paraId="3687E008">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公斤</w:t>
            </w:r>
          </w:p>
        </w:tc>
        <w:tc>
          <w:tcPr>
            <w:tcW w:w="852" w:type="dxa"/>
            <w:tcBorders>
              <w:top w:val="single" w:color="auto" w:sz="4" w:space="0"/>
              <w:left w:val="single" w:color="auto" w:sz="4" w:space="0"/>
              <w:bottom w:val="single" w:color="auto" w:sz="4" w:space="0"/>
              <w:right w:val="single" w:color="auto" w:sz="4" w:space="0"/>
            </w:tcBorders>
            <w:vAlign w:val="center"/>
          </w:tcPr>
          <w:p w14:paraId="15AA5A77">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8368</w:t>
            </w:r>
          </w:p>
        </w:tc>
        <w:tc>
          <w:tcPr>
            <w:tcW w:w="1298" w:type="dxa"/>
            <w:tcBorders>
              <w:top w:val="single" w:color="auto" w:sz="4" w:space="0"/>
              <w:left w:val="single" w:color="auto" w:sz="4" w:space="0"/>
              <w:bottom w:val="single" w:color="auto" w:sz="4" w:space="0"/>
              <w:right w:val="single" w:color="auto" w:sz="4" w:space="0"/>
            </w:tcBorders>
            <w:vAlign w:val="center"/>
          </w:tcPr>
          <w:p w14:paraId="435D4C9D">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 xml:space="preserve">5.00 </w:t>
            </w:r>
          </w:p>
        </w:tc>
        <w:tc>
          <w:tcPr>
            <w:tcW w:w="1277" w:type="dxa"/>
            <w:tcBorders>
              <w:top w:val="single" w:color="auto" w:sz="4" w:space="0"/>
              <w:left w:val="single" w:color="auto" w:sz="4" w:space="0"/>
              <w:bottom w:val="single" w:color="auto" w:sz="4" w:space="0"/>
              <w:right w:val="single" w:color="auto" w:sz="4" w:space="0"/>
            </w:tcBorders>
            <w:vAlign w:val="center"/>
          </w:tcPr>
          <w:p w14:paraId="6D510484">
            <w:pPr>
              <w:widowControl/>
              <w:jc w:val="center"/>
              <w:textAlignment w:val="center"/>
              <w:rPr>
                <w:rFonts w:ascii="宋体" w:hAnsi="宋体"/>
                <w:sz w:val="22"/>
                <w:szCs w:val="22"/>
              </w:rPr>
            </w:pPr>
            <w:r>
              <w:rPr>
                <w:rFonts w:hint="eastAsia" w:ascii="宋体" w:hAnsi="宋体" w:cs="宋体"/>
                <w:kern w:val="0"/>
                <w:sz w:val="20"/>
                <w:szCs w:val="20"/>
                <w:lang w:bidi="ar"/>
              </w:rPr>
              <w:t xml:space="preserve">41840 </w:t>
            </w:r>
          </w:p>
        </w:tc>
        <w:tc>
          <w:tcPr>
            <w:tcW w:w="3403" w:type="dxa"/>
            <w:tcBorders>
              <w:top w:val="single" w:color="auto" w:sz="4" w:space="0"/>
              <w:left w:val="single" w:color="auto" w:sz="4" w:space="0"/>
              <w:bottom w:val="single" w:color="auto" w:sz="4" w:space="0"/>
              <w:right w:val="single" w:color="auto" w:sz="4" w:space="0"/>
            </w:tcBorders>
            <w:vAlign w:val="center"/>
          </w:tcPr>
          <w:p w14:paraId="582721DB">
            <w:pPr>
              <w:widowControl/>
              <w:jc w:val="left"/>
              <w:textAlignment w:val="center"/>
              <w:rPr>
                <w:rFonts w:ascii="宋体" w:hAnsi="宋体" w:cs="宋体"/>
                <w:szCs w:val="21"/>
              </w:rPr>
            </w:pPr>
            <w:r>
              <w:rPr>
                <w:rFonts w:hint="eastAsia" w:ascii="宋体" w:hAnsi="宋体" w:cs="宋体"/>
                <w:kern w:val="0"/>
                <w:sz w:val="20"/>
                <w:szCs w:val="20"/>
                <w:lang w:bidi="ar"/>
              </w:rPr>
              <w:t>表面良好、新鲜、干净，果实略硬，色泽嫩绿，个头均匀、无裂口、碰伤、折断，无虫眼，蔬菜残留农药检测合格。</w:t>
            </w:r>
          </w:p>
        </w:tc>
      </w:tr>
      <w:tr w14:paraId="55F4BA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671" w:type="dxa"/>
            <w:vMerge w:val="continue"/>
            <w:tcBorders>
              <w:left w:val="single" w:color="auto" w:sz="4" w:space="0"/>
              <w:right w:val="single" w:color="auto" w:sz="4" w:space="0"/>
            </w:tcBorders>
            <w:vAlign w:val="center"/>
          </w:tcPr>
          <w:p w14:paraId="7B5920A7">
            <w:pPr>
              <w:spacing w:line="380" w:lineRule="exact"/>
              <w:jc w:val="center"/>
              <w:rPr>
                <w:rFonts w:ascii="宋体" w:hAnsi="宋体" w:cs="宋体"/>
                <w:szCs w:val="21"/>
              </w:rPr>
            </w:pPr>
          </w:p>
        </w:tc>
        <w:tc>
          <w:tcPr>
            <w:tcW w:w="44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546B15D">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14</w:t>
            </w:r>
          </w:p>
        </w:tc>
        <w:tc>
          <w:tcPr>
            <w:tcW w:w="911" w:type="dxa"/>
            <w:tcBorders>
              <w:top w:val="single" w:color="auto" w:sz="4" w:space="0"/>
              <w:left w:val="single" w:color="auto" w:sz="4" w:space="0"/>
              <w:bottom w:val="single" w:color="auto" w:sz="4" w:space="0"/>
              <w:right w:val="single" w:color="auto" w:sz="4" w:space="0"/>
            </w:tcBorders>
            <w:vAlign w:val="center"/>
          </w:tcPr>
          <w:p w14:paraId="240EF8A8">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西芹</w:t>
            </w:r>
          </w:p>
        </w:tc>
        <w:tc>
          <w:tcPr>
            <w:tcW w:w="861" w:type="dxa"/>
            <w:tcBorders>
              <w:top w:val="single" w:color="auto" w:sz="4" w:space="0"/>
              <w:left w:val="single" w:color="auto" w:sz="4" w:space="0"/>
              <w:bottom w:val="single" w:color="auto" w:sz="4" w:space="0"/>
              <w:right w:val="single" w:color="auto" w:sz="4" w:space="0"/>
            </w:tcBorders>
            <w:vAlign w:val="center"/>
          </w:tcPr>
          <w:p w14:paraId="6D65FD86">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公斤</w:t>
            </w:r>
          </w:p>
        </w:tc>
        <w:tc>
          <w:tcPr>
            <w:tcW w:w="852" w:type="dxa"/>
            <w:tcBorders>
              <w:top w:val="single" w:color="auto" w:sz="4" w:space="0"/>
              <w:left w:val="single" w:color="auto" w:sz="4" w:space="0"/>
              <w:bottom w:val="single" w:color="auto" w:sz="4" w:space="0"/>
              <w:right w:val="single" w:color="auto" w:sz="4" w:space="0"/>
            </w:tcBorders>
            <w:vAlign w:val="center"/>
          </w:tcPr>
          <w:p w14:paraId="7CBBFC3B">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10000</w:t>
            </w:r>
          </w:p>
        </w:tc>
        <w:tc>
          <w:tcPr>
            <w:tcW w:w="1298" w:type="dxa"/>
            <w:tcBorders>
              <w:top w:val="single" w:color="auto" w:sz="4" w:space="0"/>
              <w:left w:val="single" w:color="auto" w:sz="4" w:space="0"/>
              <w:bottom w:val="single" w:color="auto" w:sz="4" w:space="0"/>
              <w:right w:val="single" w:color="auto" w:sz="4" w:space="0"/>
            </w:tcBorders>
            <w:vAlign w:val="center"/>
          </w:tcPr>
          <w:p w14:paraId="52C85BB1">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 xml:space="preserve">5.70 </w:t>
            </w:r>
          </w:p>
        </w:tc>
        <w:tc>
          <w:tcPr>
            <w:tcW w:w="1277" w:type="dxa"/>
            <w:tcBorders>
              <w:top w:val="single" w:color="auto" w:sz="4" w:space="0"/>
              <w:left w:val="single" w:color="auto" w:sz="4" w:space="0"/>
              <w:bottom w:val="single" w:color="auto" w:sz="4" w:space="0"/>
              <w:right w:val="single" w:color="auto" w:sz="4" w:space="0"/>
            </w:tcBorders>
            <w:vAlign w:val="center"/>
          </w:tcPr>
          <w:p w14:paraId="6B7283AB">
            <w:pPr>
              <w:widowControl/>
              <w:jc w:val="center"/>
              <w:textAlignment w:val="center"/>
              <w:rPr>
                <w:rFonts w:ascii="宋体" w:hAnsi="宋体"/>
                <w:sz w:val="22"/>
                <w:szCs w:val="22"/>
              </w:rPr>
            </w:pPr>
            <w:r>
              <w:rPr>
                <w:rFonts w:hint="eastAsia" w:ascii="宋体" w:hAnsi="宋体" w:cs="宋体"/>
                <w:kern w:val="0"/>
                <w:sz w:val="20"/>
                <w:szCs w:val="20"/>
                <w:lang w:bidi="ar"/>
              </w:rPr>
              <w:t xml:space="preserve">57000 </w:t>
            </w:r>
          </w:p>
        </w:tc>
        <w:tc>
          <w:tcPr>
            <w:tcW w:w="3403" w:type="dxa"/>
            <w:tcBorders>
              <w:top w:val="single" w:color="auto" w:sz="4" w:space="0"/>
              <w:left w:val="single" w:color="auto" w:sz="4" w:space="0"/>
              <w:bottom w:val="single" w:color="auto" w:sz="4" w:space="0"/>
              <w:right w:val="single" w:color="auto" w:sz="4" w:space="0"/>
            </w:tcBorders>
            <w:vAlign w:val="center"/>
          </w:tcPr>
          <w:p w14:paraId="23322651">
            <w:pPr>
              <w:widowControl/>
              <w:jc w:val="left"/>
              <w:textAlignment w:val="center"/>
              <w:rPr>
                <w:rFonts w:ascii="宋体" w:hAnsi="宋体" w:cs="宋体"/>
                <w:szCs w:val="21"/>
              </w:rPr>
            </w:pPr>
            <w:r>
              <w:rPr>
                <w:rFonts w:hint="eastAsia" w:ascii="宋体" w:hAnsi="宋体" w:cs="宋体"/>
                <w:kern w:val="0"/>
                <w:sz w:val="20"/>
                <w:szCs w:val="20"/>
                <w:lang w:bidi="ar"/>
              </w:rPr>
              <w:t>叶茎宽厚、颜色深绿，新鲜肥嫩，爽口无渣，干净无泥，符合国家食品安全相关法规。</w:t>
            </w:r>
          </w:p>
        </w:tc>
      </w:tr>
      <w:tr w14:paraId="627FD8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671" w:type="dxa"/>
            <w:vMerge w:val="continue"/>
            <w:tcBorders>
              <w:left w:val="single" w:color="auto" w:sz="4" w:space="0"/>
              <w:right w:val="single" w:color="auto" w:sz="4" w:space="0"/>
            </w:tcBorders>
            <w:vAlign w:val="center"/>
          </w:tcPr>
          <w:p w14:paraId="28975EDD">
            <w:pPr>
              <w:spacing w:line="380" w:lineRule="exact"/>
              <w:jc w:val="center"/>
              <w:rPr>
                <w:rFonts w:ascii="宋体" w:hAnsi="宋体" w:cs="宋体"/>
                <w:szCs w:val="21"/>
              </w:rPr>
            </w:pPr>
          </w:p>
        </w:tc>
        <w:tc>
          <w:tcPr>
            <w:tcW w:w="44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21F0A31">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15</w:t>
            </w:r>
          </w:p>
        </w:tc>
        <w:tc>
          <w:tcPr>
            <w:tcW w:w="911" w:type="dxa"/>
            <w:tcBorders>
              <w:top w:val="single" w:color="auto" w:sz="4" w:space="0"/>
              <w:left w:val="single" w:color="auto" w:sz="4" w:space="0"/>
              <w:bottom w:val="single" w:color="auto" w:sz="4" w:space="0"/>
              <w:right w:val="single" w:color="auto" w:sz="4" w:space="0"/>
            </w:tcBorders>
            <w:vAlign w:val="center"/>
          </w:tcPr>
          <w:p w14:paraId="0BD6E5B3">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油麦菜</w:t>
            </w:r>
          </w:p>
        </w:tc>
        <w:tc>
          <w:tcPr>
            <w:tcW w:w="861" w:type="dxa"/>
            <w:tcBorders>
              <w:top w:val="single" w:color="auto" w:sz="4" w:space="0"/>
              <w:left w:val="single" w:color="auto" w:sz="4" w:space="0"/>
              <w:bottom w:val="single" w:color="auto" w:sz="4" w:space="0"/>
              <w:right w:val="single" w:color="auto" w:sz="4" w:space="0"/>
            </w:tcBorders>
            <w:vAlign w:val="center"/>
          </w:tcPr>
          <w:p w14:paraId="4E36CD15">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公斤</w:t>
            </w:r>
          </w:p>
        </w:tc>
        <w:tc>
          <w:tcPr>
            <w:tcW w:w="852" w:type="dxa"/>
            <w:tcBorders>
              <w:top w:val="single" w:color="auto" w:sz="4" w:space="0"/>
              <w:left w:val="single" w:color="auto" w:sz="4" w:space="0"/>
              <w:bottom w:val="single" w:color="auto" w:sz="4" w:space="0"/>
              <w:right w:val="single" w:color="auto" w:sz="4" w:space="0"/>
            </w:tcBorders>
            <w:vAlign w:val="center"/>
          </w:tcPr>
          <w:p w14:paraId="27667C4B">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20000</w:t>
            </w:r>
          </w:p>
        </w:tc>
        <w:tc>
          <w:tcPr>
            <w:tcW w:w="1298" w:type="dxa"/>
            <w:tcBorders>
              <w:top w:val="single" w:color="auto" w:sz="4" w:space="0"/>
              <w:left w:val="single" w:color="auto" w:sz="4" w:space="0"/>
              <w:bottom w:val="single" w:color="auto" w:sz="4" w:space="0"/>
              <w:right w:val="single" w:color="auto" w:sz="4" w:space="0"/>
            </w:tcBorders>
            <w:vAlign w:val="center"/>
          </w:tcPr>
          <w:p w14:paraId="21BAFEAC">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 xml:space="preserve">4.40 </w:t>
            </w:r>
          </w:p>
        </w:tc>
        <w:tc>
          <w:tcPr>
            <w:tcW w:w="1277" w:type="dxa"/>
            <w:tcBorders>
              <w:top w:val="single" w:color="auto" w:sz="4" w:space="0"/>
              <w:left w:val="single" w:color="auto" w:sz="4" w:space="0"/>
              <w:bottom w:val="single" w:color="auto" w:sz="4" w:space="0"/>
              <w:right w:val="single" w:color="auto" w:sz="4" w:space="0"/>
            </w:tcBorders>
            <w:vAlign w:val="center"/>
          </w:tcPr>
          <w:p w14:paraId="1DC8D385">
            <w:pPr>
              <w:widowControl/>
              <w:jc w:val="center"/>
              <w:textAlignment w:val="center"/>
              <w:rPr>
                <w:rFonts w:ascii="宋体" w:hAnsi="宋体"/>
                <w:sz w:val="22"/>
                <w:szCs w:val="22"/>
              </w:rPr>
            </w:pPr>
            <w:r>
              <w:rPr>
                <w:rFonts w:hint="eastAsia" w:ascii="宋体" w:hAnsi="宋体" w:cs="宋体"/>
                <w:kern w:val="0"/>
                <w:sz w:val="20"/>
                <w:szCs w:val="20"/>
                <w:lang w:bidi="ar"/>
              </w:rPr>
              <w:t xml:space="preserve">88000 </w:t>
            </w:r>
          </w:p>
        </w:tc>
        <w:tc>
          <w:tcPr>
            <w:tcW w:w="3403" w:type="dxa"/>
            <w:tcBorders>
              <w:top w:val="single" w:color="auto" w:sz="4" w:space="0"/>
              <w:left w:val="single" w:color="auto" w:sz="4" w:space="0"/>
              <w:bottom w:val="single" w:color="auto" w:sz="4" w:space="0"/>
              <w:right w:val="single" w:color="auto" w:sz="4" w:space="0"/>
            </w:tcBorders>
            <w:vAlign w:val="center"/>
          </w:tcPr>
          <w:p w14:paraId="3C675049">
            <w:pPr>
              <w:widowControl/>
              <w:jc w:val="left"/>
              <w:textAlignment w:val="center"/>
              <w:rPr>
                <w:rFonts w:ascii="宋体" w:hAnsi="宋体" w:cs="宋体"/>
                <w:szCs w:val="21"/>
              </w:rPr>
            </w:pPr>
            <w:r>
              <w:rPr>
                <w:rFonts w:hint="eastAsia" w:ascii="宋体" w:hAnsi="宋体" w:cs="宋体"/>
                <w:kern w:val="0"/>
                <w:sz w:val="20"/>
                <w:szCs w:val="20"/>
                <w:lang w:bidi="ar"/>
              </w:rPr>
              <w:t>叶新鲜光泽，干净、无杂质、无腐烂变质，可食率达95%以上，蔬菜残留农药检测合格</w:t>
            </w:r>
          </w:p>
        </w:tc>
      </w:tr>
      <w:tr w14:paraId="4597A1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671" w:type="dxa"/>
            <w:vMerge w:val="continue"/>
            <w:tcBorders>
              <w:left w:val="single" w:color="auto" w:sz="4" w:space="0"/>
              <w:right w:val="single" w:color="auto" w:sz="4" w:space="0"/>
            </w:tcBorders>
            <w:vAlign w:val="center"/>
          </w:tcPr>
          <w:p w14:paraId="5DA0F053">
            <w:pPr>
              <w:spacing w:line="380" w:lineRule="exact"/>
              <w:jc w:val="center"/>
              <w:rPr>
                <w:rFonts w:ascii="宋体" w:hAnsi="宋体" w:cs="宋体"/>
                <w:szCs w:val="21"/>
              </w:rPr>
            </w:pPr>
          </w:p>
        </w:tc>
        <w:tc>
          <w:tcPr>
            <w:tcW w:w="44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23093D9">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16</w:t>
            </w:r>
          </w:p>
        </w:tc>
        <w:tc>
          <w:tcPr>
            <w:tcW w:w="911" w:type="dxa"/>
            <w:tcBorders>
              <w:top w:val="single" w:color="auto" w:sz="4" w:space="0"/>
              <w:left w:val="single" w:color="auto" w:sz="4" w:space="0"/>
              <w:bottom w:val="single" w:color="auto" w:sz="4" w:space="0"/>
              <w:right w:val="single" w:color="auto" w:sz="4" w:space="0"/>
            </w:tcBorders>
            <w:vAlign w:val="center"/>
          </w:tcPr>
          <w:p w14:paraId="1CA48A55">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大白菜</w:t>
            </w:r>
          </w:p>
        </w:tc>
        <w:tc>
          <w:tcPr>
            <w:tcW w:w="861" w:type="dxa"/>
            <w:tcBorders>
              <w:top w:val="single" w:color="auto" w:sz="4" w:space="0"/>
              <w:left w:val="single" w:color="auto" w:sz="4" w:space="0"/>
              <w:bottom w:val="single" w:color="auto" w:sz="4" w:space="0"/>
              <w:right w:val="single" w:color="auto" w:sz="4" w:space="0"/>
            </w:tcBorders>
            <w:vAlign w:val="center"/>
          </w:tcPr>
          <w:p w14:paraId="6F5B8F95">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公斤</w:t>
            </w:r>
          </w:p>
        </w:tc>
        <w:tc>
          <w:tcPr>
            <w:tcW w:w="852" w:type="dxa"/>
            <w:tcBorders>
              <w:top w:val="single" w:color="auto" w:sz="4" w:space="0"/>
              <w:left w:val="single" w:color="auto" w:sz="4" w:space="0"/>
              <w:bottom w:val="single" w:color="auto" w:sz="4" w:space="0"/>
              <w:right w:val="single" w:color="auto" w:sz="4" w:space="0"/>
            </w:tcBorders>
            <w:vAlign w:val="center"/>
          </w:tcPr>
          <w:p w14:paraId="26A03A85">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100000</w:t>
            </w:r>
          </w:p>
        </w:tc>
        <w:tc>
          <w:tcPr>
            <w:tcW w:w="1298" w:type="dxa"/>
            <w:tcBorders>
              <w:top w:val="single" w:color="auto" w:sz="4" w:space="0"/>
              <w:left w:val="single" w:color="auto" w:sz="4" w:space="0"/>
              <w:bottom w:val="single" w:color="auto" w:sz="4" w:space="0"/>
              <w:right w:val="single" w:color="auto" w:sz="4" w:space="0"/>
            </w:tcBorders>
            <w:vAlign w:val="center"/>
          </w:tcPr>
          <w:p w14:paraId="6BF1CFAA">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 xml:space="preserve">2.90 </w:t>
            </w:r>
          </w:p>
        </w:tc>
        <w:tc>
          <w:tcPr>
            <w:tcW w:w="1277" w:type="dxa"/>
            <w:tcBorders>
              <w:top w:val="single" w:color="auto" w:sz="4" w:space="0"/>
              <w:left w:val="single" w:color="auto" w:sz="4" w:space="0"/>
              <w:bottom w:val="single" w:color="auto" w:sz="4" w:space="0"/>
              <w:right w:val="single" w:color="auto" w:sz="4" w:space="0"/>
            </w:tcBorders>
            <w:vAlign w:val="center"/>
          </w:tcPr>
          <w:p w14:paraId="36B8944F">
            <w:pPr>
              <w:widowControl/>
              <w:jc w:val="center"/>
              <w:textAlignment w:val="center"/>
              <w:rPr>
                <w:rFonts w:ascii="宋体" w:hAnsi="宋体"/>
                <w:sz w:val="22"/>
                <w:szCs w:val="22"/>
              </w:rPr>
            </w:pPr>
            <w:r>
              <w:rPr>
                <w:rFonts w:hint="eastAsia" w:ascii="宋体" w:hAnsi="宋体" w:cs="宋体"/>
                <w:kern w:val="0"/>
                <w:sz w:val="20"/>
                <w:szCs w:val="20"/>
                <w:lang w:bidi="ar"/>
              </w:rPr>
              <w:t xml:space="preserve">290000 </w:t>
            </w:r>
          </w:p>
        </w:tc>
        <w:tc>
          <w:tcPr>
            <w:tcW w:w="3403" w:type="dxa"/>
            <w:tcBorders>
              <w:top w:val="single" w:color="auto" w:sz="4" w:space="0"/>
              <w:left w:val="single" w:color="auto" w:sz="4" w:space="0"/>
              <w:bottom w:val="single" w:color="auto" w:sz="4" w:space="0"/>
              <w:right w:val="single" w:color="auto" w:sz="4" w:space="0"/>
            </w:tcBorders>
            <w:vAlign w:val="center"/>
          </w:tcPr>
          <w:p w14:paraId="621E75BC">
            <w:pPr>
              <w:widowControl/>
              <w:jc w:val="left"/>
              <w:textAlignment w:val="center"/>
              <w:rPr>
                <w:rFonts w:ascii="宋体" w:hAnsi="宋体" w:cs="宋体"/>
                <w:szCs w:val="21"/>
              </w:rPr>
            </w:pPr>
            <w:r>
              <w:rPr>
                <w:rFonts w:hint="eastAsia" w:ascii="宋体" w:hAnsi="宋体" w:cs="宋体"/>
                <w:kern w:val="0"/>
                <w:sz w:val="20"/>
                <w:szCs w:val="20"/>
                <w:lang w:bidi="ar"/>
              </w:rPr>
              <w:t>外叶淡绿色帮白，叶新鲜光泽，株高30cm左右，包心坚实紧密，干净、无杂质、无腐烂变质，可食率达95%以上，蔬菜残留农药检测合格</w:t>
            </w:r>
          </w:p>
        </w:tc>
      </w:tr>
      <w:tr w14:paraId="4EE5A5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671" w:type="dxa"/>
            <w:vMerge w:val="continue"/>
            <w:tcBorders>
              <w:left w:val="single" w:color="auto" w:sz="4" w:space="0"/>
              <w:right w:val="single" w:color="auto" w:sz="4" w:space="0"/>
            </w:tcBorders>
            <w:vAlign w:val="center"/>
          </w:tcPr>
          <w:p w14:paraId="65248D79">
            <w:pPr>
              <w:spacing w:line="380" w:lineRule="exact"/>
              <w:jc w:val="center"/>
              <w:rPr>
                <w:rFonts w:ascii="宋体" w:hAnsi="宋体" w:cs="宋体"/>
                <w:szCs w:val="21"/>
              </w:rPr>
            </w:pPr>
          </w:p>
        </w:tc>
        <w:tc>
          <w:tcPr>
            <w:tcW w:w="44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654558A">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17</w:t>
            </w:r>
          </w:p>
        </w:tc>
        <w:tc>
          <w:tcPr>
            <w:tcW w:w="911" w:type="dxa"/>
            <w:tcBorders>
              <w:top w:val="single" w:color="auto" w:sz="4" w:space="0"/>
              <w:left w:val="single" w:color="auto" w:sz="4" w:space="0"/>
              <w:bottom w:val="single" w:color="auto" w:sz="4" w:space="0"/>
              <w:right w:val="single" w:color="auto" w:sz="4" w:space="0"/>
            </w:tcBorders>
            <w:vAlign w:val="center"/>
          </w:tcPr>
          <w:p w14:paraId="2C626F44">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胡萝卜</w:t>
            </w:r>
          </w:p>
        </w:tc>
        <w:tc>
          <w:tcPr>
            <w:tcW w:w="861" w:type="dxa"/>
            <w:tcBorders>
              <w:top w:val="single" w:color="auto" w:sz="4" w:space="0"/>
              <w:left w:val="single" w:color="auto" w:sz="4" w:space="0"/>
              <w:bottom w:val="single" w:color="auto" w:sz="4" w:space="0"/>
              <w:right w:val="single" w:color="auto" w:sz="4" w:space="0"/>
            </w:tcBorders>
            <w:vAlign w:val="center"/>
          </w:tcPr>
          <w:p w14:paraId="57535F44">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公斤</w:t>
            </w:r>
          </w:p>
        </w:tc>
        <w:tc>
          <w:tcPr>
            <w:tcW w:w="852" w:type="dxa"/>
            <w:tcBorders>
              <w:top w:val="single" w:color="auto" w:sz="4" w:space="0"/>
              <w:left w:val="single" w:color="auto" w:sz="4" w:space="0"/>
              <w:bottom w:val="single" w:color="auto" w:sz="4" w:space="0"/>
              <w:right w:val="single" w:color="auto" w:sz="4" w:space="0"/>
            </w:tcBorders>
            <w:vAlign w:val="center"/>
          </w:tcPr>
          <w:p w14:paraId="347A8C32">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20000</w:t>
            </w:r>
          </w:p>
        </w:tc>
        <w:tc>
          <w:tcPr>
            <w:tcW w:w="1298" w:type="dxa"/>
            <w:tcBorders>
              <w:top w:val="single" w:color="auto" w:sz="4" w:space="0"/>
              <w:left w:val="single" w:color="auto" w:sz="4" w:space="0"/>
              <w:bottom w:val="single" w:color="auto" w:sz="4" w:space="0"/>
              <w:right w:val="single" w:color="auto" w:sz="4" w:space="0"/>
            </w:tcBorders>
            <w:vAlign w:val="center"/>
          </w:tcPr>
          <w:p w14:paraId="5C61217F">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 xml:space="preserve">3.80 </w:t>
            </w:r>
          </w:p>
        </w:tc>
        <w:tc>
          <w:tcPr>
            <w:tcW w:w="1277" w:type="dxa"/>
            <w:tcBorders>
              <w:top w:val="single" w:color="auto" w:sz="4" w:space="0"/>
              <w:left w:val="single" w:color="auto" w:sz="4" w:space="0"/>
              <w:bottom w:val="single" w:color="auto" w:sz="4" w:space="0"/>
              <w:right w:val="single" w:color="auto" w:sz="4" w:space="0"/>
            </w:tcBorders>
            <w:vAlign w:val="center"/>
          </w:tcPr>
          <w:p w14:paraId="154EDBFB">
            <w:pPr>
              <w:widowControl/>
              <w:jc w:val="center"/>
              <w:textAlignment w:val="center"/>
              <w:rPr>
                <w:rFonts w:ascii="宋体" w:hAnsi="宋体"/>
                <w:sz w:val="22"/>
                <w:szCs w:val="22"/>
              </w:rPr>
            </w:pPr>
            <w:r>
              <w:rPr>
                <w:rFonts w:hint="eastAsia" w:ascii="宋体" w:hAnsi="宋体" w:cs="宋体"/>
                <w:kern w:val="0"/>
                <w:sz w:val="20"/>
                <w:szCs w:val="20"/>
                <w:lang w:bidi="ar"/>
              </w:rPr>
              <w:t xml:space="preserve">76000 </w:t>
            </w:r>
          </w:p>
        </w:tc>
        <w:tc>
          <w:tcPr>
            <w:tcW w:w="3403" w:type="dxa"/>
            <w:tcBorders>
              <w:top w:val="single" w:color="auto" w:sz="4" w:space="0"/>
              <w:left w:val="single" w:color="auto" w:sz="4" w:space="0"/>
              <w:bottom w:val="single" w:color="auto" w:sz="4" w:space="0"/>
              <w:right w:val="single" w:color="auto" w:sz="4" w:space="0"/>
            </w:tcBorders>
            <w:vAlign w:val="center"/>
          </w:tcPr>
          <w:p w14:paraId="0D59F3AB">
            <w:pPr>
              <w:widowControl/>
              <w:jc w:val="left"/>
              <w:textAlignment w:val="center"/>
              <w:rPr>
                <w:rFonts w:ascii="宋体" w:hAnsi="宋体" w:cs="宋体"/>
                <w:szCs w:val="21"/>
              </w:rPr>
            </w:pPr>
            <w:r>
              <w:rPr>
                <w:rFonts w:hint="eastAsia" w:ascii="宋体" w:hAnsi="宋体" w:cs="宋体"/>
                <w:kern w:val="0"/>
                <w:sz w:val="20"/>
                <w:szCs w:val="20"/>
                <w:lang w:bidi="ar"/>
              </w:rPr>
              <w:t>表面鲜红、皮薄较细、形体完整、分量足无腐烂，直径4cm左右，个头均匀水洗，外观良好、新鲜、干净，蔬菜残留农药检测合格。</w:t>
            </w:r>
          </w:p>
        </w:tc>
      </w:tr>
      <w:tr w14:paraId="23B346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671" w:type="dxa"/>
            <w:vMerge w:val="continue"/>
            <w:tcBorders>
              <w:left w:val="single" w:color="auto" w:sz="4" w:space="0"/>
              <w:right w:val="single" w:color="auto" w:sz="4" w:space="0"/>
            </w:tcBorders>
            <w:vAlign w:val="center"/>
          </w:tcPr>
          <w:p w14:paraId="5B0C5E5F">
            <w:pPr>
              <w:spacing w:line="380" w:lineRule="exact"/>
              <w:jc w:val="center"/>
              <w:rPr>
                <w:rFonts w:ascii="宋体" w:hAnsi="宋体" w:cs="宋体"/>
                <w:szCs w:val="21"/>
              </w:rPr>
            </w:pPr>
          </w:p>
        </w:tc>
        <w:tc>
          <w:tcPr>
            <w:tcW w:w="44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48D480B">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18</w:t>
            </w:r>
          </w:p>
        </w:tc>
        <w:tc>
          <w:tcPr>
            <w:tcW w:w="911" w:type="dxa"/>
            <w:tcBorders>
              <w:top w:val="single" w:color="auto" w:sz="4" w:space="0"/>
              <w:left w:val="single" w:color="auto" w:sz="4" w:space="0"/>
              <w:bottom w:val="single" w:color="auto" w:sz="4" w:space="0"/>
              <w:right w:val="single" w:color="auto" w:sz="4" w:space="0"/>
            </w:tcBorders>
            <w:vAlign w:val="center"/>
          </w:tcPr>
          <w:p w14:paraId="3B118631">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马铃薯</w:t>
            </w:r>
          </w:p>
        </w:tc>
        <w:tc>
          <w:tcPr>
            <w:tcW w:w="861" w:type="dxa"/>
            <w:tcBorders>
              <w:top w:val="single" w:color="auto" w:sz="4" w:space="0"/>
              <w:left w:val="single" w:color="auto" w:sz="4" w:space="0"/>
              <w:bottom w:val="single" w:color="auto" w:sz="4" w:space="0"/>
              <w:right w:val="single" w:color="auto" w:sz="4" w:space="0"/>
            </w:tcBorders>
            <w:vAlign w:val="center"/>
          </w:tcPr>
          <w:p w14:paraId="2A55E87C">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公斤</w:t>
            </w:r>
          </w:p>
        </w:tc>
        <w:tc>
          <w:tcPr>
            <w:tcW w:w="852" w:type="dxa"/>
            <w:tcBorders>
              <w:top w:val="single" w:color="auto" w:sz="4" w:space="0"/>
              <w:left w:val="single" w:color="auto" w:sz="4" w:space="0"/>
              <w:bottom w:val="single" w:color="auto" w:sz="4" w:space="0"/>
              <w:right w:val="single" w:color="auto" w:sz="4" w:space="0"/>
            </w:tcBorders>
            <w:vAlign w:val="center"/>
          </w:tcPr>
          <w:p w14:paraId="3CC498FD">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20000</w:t>
            </w:r>
          </w:p>
        </w:tc>
        <w:tc>
          <w:tcPr>
            <w:tcW w:w="1298" w:type="dxa"/>
            <w:tcBorders>
              <w:top w:val="single" w:color="auto" w:sz="4" w:space="0"/>
              <w:left w:val="single" w:color="auto" w:sz="4" w:space="0"/>
              <w:bottom w:val="single" w:color="auto" w:sz="4" w:space="0"/>
              <w:right w:val="single" w:color="auto" w:sz="4" w:space="0"/>
            </w:tcBorders>
            <w:vAlign w:val="center"/>
          </w:tcPr>
          <w:p w14:paraId="5D2E07BC">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 xml:space="preserve">3.70 </w:t>
            </w:r>
          </w:p>
        </w:tc>
        <w:tc>
          <w:tcPr>
            <w:tcW w:w="1277" w:type="dxa"/>
            <w:tcBorders>
              <w:top w:val="single" w:color="auto" w:sz="4" w:space="0"/>
              <w:left w:val="single" w:color="auto" w:sz="4" w:space="0"/>
              <w:bottom w:val="single" w:color="auto" w:sz="4" w:space="0"/>
              <w:right w:val="single" w:color="auto" w:sz="4" w:space="0"/>
            </w:tcBorders>
            <w:vAlign w:val="center"/>
          </w:tcPr>
          <w:p w14:paraId="49EBB1BB">
            <w:pPr>
              <w:widowControl/>
              <w:jc w:val="center"/>
              <w:textAlignment w:val="center"/>
              <w:rPr>
                <w:rFonts w:ascii="宋体" w:hAnsi="宋体"/>
                <w:sz w:val="22"/>
                <w:szCs w:val="22"/>
              </w:rPr>
            </w:pPr>
            <w:r>
              <w:rPr>
                <w:rFonts w:hint="eastAsia" w:ascii="宋体" w:hAnsi="宋体" w:cs="宋体"/>
                <w:kern w:val="0"/>
                <w:sz w:val="20"/>
                <w:szCs w:val="20"/>
                <w:lang w:bidi="ar"/>
              </w:rPr>
              <w:t xml:space="preserve">74000 </w:t>
            </w:r>
          </w:p>
        </w:tc>
        <w:tc>
          <w:tcPr>
            <w:tcW w:w="3403" w:type="dxa"/>
            <w:tcBorders>
              <w:top w:val="single" w:color="auto" w:sz="4" w:space="0"/>
              <w:left w:val="single" w:color="auto" w:sz="4" w:space="0"/>
              <w:bottom w:val="single" w:color="auto" w:sz="4" w:space="0"/>
              <w:right w:val="single" w:color="auto" w:sz="4" w:space="0"/>
            </w:tcBorders>
            <w:vAlign w:val="center"/>
          </w:tcPr>
          <w:p w14:paraId="720E2521">
            <w:pPr>
              <w:widowControl/>
              <w:jc w:val="left"/>
              <w:textAlignment w:val="center"/>
              <w:rPr>
                <w:rFonts w:ascii="宋体" w:hAnsi="宋体" w:cs="宋体"/>
                <w:szCs w:val="21"/>
              </w:rPr>
            </w:pPr>
            <w:r>
              <w:rPr>
                <w:rFonts w:hint="eastAsia" w:ascii="宋体" w:hAnsi="宋体" w:cs="宋体"/>
                <w:kern w:val="0"/>
                <w:sz w:val="20"/>
                <w:szCs w:val="20"/>
                <w:lang w:bidi="ar"/>
              </w:rPr>
              <w:t>个大形正、个头均匀、表面光滑、有一定硬度，无发芽、青斑、糜烂、毛根、泥土等，蔬菜残留农药检测合格。</w:t>
            </w:r>
          </w:p>
        </w:tc>
      </w:tr>
      <w:tr w14:paraId="0CF069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671" w:type="dxa"/>
            <w:vMerge w:val="continue"/>
            <w:tcBorders>
              <w:left w:val="single" w:color="auto" w:sz="4" w:space="0"/>
              <w:right w:val="single" w:color="auto" w:sz="4" w:space="0"/>
            </w:tcBorders>
            <w:vAlign w:val="center"/>
          </w:tcPr>
          <w:p w14:paraId="2FAFB17D">
            <w:pPr>
              <w:spacing w:line="380" w:lineRule="exact"/>
              <w:jc w:val="center"/>
              <w:rPr>
                <w:rFonts w:ascii="宋体" w:hAnsi="宋体" w:cs="宋体"/>
                <w:szCs w:val="21"/>
              </w:rPr>
            </w:pPr>
          </w:p>
        </w:tc>
        <w:tc>
          <w:tcPr>
            <w:tcW w:w="44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238D6CA">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19</w:t>
            </w:r>
          </w:p>
        </w:tc>
        <w:tc>
          <w:tcPr>
            <w:tcW w:w="911" w:type="dxa"/>
            <w:tcBorders>
              <w:top w:val="single" w:color="auto" w:sz="4" w:space="0"/>
              <w:left w:val="single" w:color="auto" w:sz="4" w:space="0"/>
              <w:bottom w:val="single" w:color="auto" w:sz="4" w:space="0"/>
              <w:right w:val="single" w:color="auto" w:sz="4" w:space="0"/>
            </w:tcBorders>
            <w:vAlign w:val="center"/>
          </w:tcPr>
          <w:p w14:paraId="5994B6B5">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海带</w:t>
            </w:r>
          </w:p>
        </w:tc>
        <w:tc>
          <w:tcPr>
            <w:tcW w:w="861" w:type="dxa"/>
            <w:tcBorders>
              <w:top w:val="single" w:color="auto" w:sz="4" w:space="0"/>
              <w:left w:val="single" w:color="auto" w:sz="4" w:space="0"/>
              <w:bottom w:val="single" w:color="auto" w:sz="4" w:space="0"/>
              <w:right w:val="single" w:color="auto" w:sz="4" w:space="0"/>
            </w:tcBorders>
            <w:vAlign w:val="center"/>
          </w:tcPr>
          <w:p w14:paraId="393227DB">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公斤</w:t>
            </w:r>
          </w:p>
        </w:tc>
        <w:tc>
          <w:tcPr>
            <w:tcW w:w="852" w:type="dxa"/>
            <w:tcBorders>
              <w:top w:val="single" w:color="auto" w:sz="4" w:space="0"/>
              <w:left w:val="single" w:color="auto" w:sz="4" w:space="0"/>
              <w:bottom w:val="single" w:color="auto" w:sz="4" w:space="0"/>
              <w:right w:val="single" w:color="auto" w:sz="4" w:space="0"/>
            </w:tcBorders>
            <w:vAlign w:val="center"/>
          </w:tcPr>
          <w:p w14:paraId="542FCED4">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200</w:t>
            </w:r>
          </w:p>
        </w:tc>
        <w:tc>
          <w:tcPr>
            <w:tcW w:w="1298" w:type="dxa"/>
            <w:tcBorders>
              <w:top w:val="single" w:color="auto" w:sz="4" w:space="0"/>
              <w:left w:val="single" w:color="auto" w:sz="4" w:space="0"/>
              <w:bottom w:val="single" w:color="auto" w:sz="4" w:space="0"/>
              <w:right w:val="single" w:color="auto" w:sz="4" w:space="0"/>
            </w:tcBorders>
            <w:vAlign w:val="center"/>
          </w:tcPr>
          <w:p w14:paraId="491E85CA">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 xml:space="preserve">16.90 </w:t>
            </w:r>
          </w:p>
        </w:tc>
        <w:tc>
          <w:tcPr>
            <w:tcW w:w="1277" w:type="dxa"/>
            <w:tcBorders>
              <w:top w:val="single" w:color="auto" w:sz="4" w:space="0"/>
              <w:left w:val="single" w:color="auto" w:sz="4" w:space="0"/>
              <w:bottom w:val="single" w:color="auto" w:sz="4" w:space="0"/>
              <w:right w:val="single" w:color="auto" w:sz="4" w:space="0"/>
            </w:tcBorders>
            <w:vAlign w:val="center"/>
          </w:tcPr>
          <w:p w14:paraId="32FF6A01">
            <w:pPr>
              <w:widowControl/>
              <w:jc w:val="center"/>
              <w:textAlignment w:val="center"/>
              <w:rPr>
                <w:rFonts w:ascii="宋体" w:hAnsi="宋体"/>
                <w:sz w:val="22"/>
                <w:szCs w:val="22"/>
              </w:rPr>
            </w:pPr>
            <w:r>
              <w:rPr>
                <w:rFonts w:hint="eastAsia" w:ascii="宋体" w:hAnsi="宋体" w:cs="宋体"/>
                <w:kern w:val="0"/>
                <w:sz w:val="20"/>
                <w:szCs w:val="20"/>
                <w:lang w:bidi="ar"/>
              </w:rPr>
              <w:t xml:space="preserve">3380 </w:t>
            </w:r>
          </w:p>
        </w:tc>
        <w:tc>
          <w:tcPr>
            <w:tcW w:w="3403" w:type="dxa"/>
            <w:tcBorders>
              <w:top w:val="single" w:color="auto" w:sz="4" w:space="0"/>
              <w:left w:val="single" w:color="auto" w:sz="4" w:space="0"/>
              <w:bottom w:val="single" w:color="auto" w:sz="4" w:space="0"/>
              <w:right w:val="single" w:color="auto" w:sz="4" w:space="0"/>
            </w:tcBorders>
            <w:vAlign w:val="center"/>
          </w:tcPr>
          <w:p w14:paraId="0B92771E">
            <w:pPr>
              <w:widowControl/>
              <w:jc w:val="left"/>
              <w:textAlignment w:val="center"/>
              <w:rPr>
                <w:rFonts w:ascii="宋体" w:hAnsi="宋体" w:cs="宋体"/>
                <w:szCs w:val="21"/>
              </w:rPr>
            </w:pPr>
            <w:r>
              <w:rPr>
                <w:rFonts w:hint="eastAsia" w:ascii="宋体" w:hAnsi="宋体" w:cs="宋体"/>
                <w:kern w:val="0"/>
                <w:sz w:val="20"/>
                <w:szCs w:val="20"/>
                <w:lang w:bidi="ar"/>
              </w:rPr>
              <w:t>干品海带，叶体清洁平展，平直部为深褪色至浅褪色。两棵间无粘贴、无霉变、无花斑、无海带根。质量符合国家、行业相关标准。</w:t>
            </w:r>
          </w:p>
        </w:tc>
      </w:tr>
      <w:tr w14:paraId="0BC447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671" w:type="dxa"/>
            <w:vMerge w:val="continue"/>
            <w:tcBorders>
              <w:left w:val="single" w:color="auto" w:sz="4" w:space="0"/>
              <w:right w:val="single" w:color="auto" w:sz="4" w:space="0"/>
            </w:tcBorders>
            <w:vAlign w:val="center"/>
          </w:tcPr>
          <w:p w14:paraId="7E13F3E1">
            <w:pPr>
              <w:spacing w:line="380" w:lineRule="exact"/>
              <w:jc w:val="center"/>
              <w:rPr>
                <w:rFonts w:ascii="宋体" w:hAnsi="宋体" w:cs="宋体"/>
                <w:szCs w:val="21"/>
              </w:rPr>
            </w:pPr>
          </w:p>
        </w:tc>
        <w:tc>
          <w:tcPr>
            <w:tcW w:w="44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E80089B">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20</w:t>
            </w:r>
          </w:p>
        </w:tc>
        <w:tc>
          <w:tcPr>
            <w:tcW w:w="911" w:type="dxa"/>
            <w:tcBorders>
              <w:top w:val="single" w:color="auto" w:sz="4" w:space="0"/>
              <w:left w:val="single" w:color="auto" w:sz="4" w:space="0"/>
              <w:bottom w:val="single" w:color="auto" w:sz="4" w:space="0"/>
              <w:right w:val="single" w:color="auto" w:sz="4" w:space="0"/>
            </w:tcBorders>
            <w:vAlign w:val="center"/>
          </w:tcPr>
          <w:p w14:paraId="70D70489">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青椒</w:t>
            </w:r>
          </w:p>
        </w:tc>
        <w:tc>
          <w:tcPr>
            <w:tcW w:w="861" w:type="dxa"/>
            <w:tcBorders>
              <w:top w:val="single" w:color="auto" w:sz="4" w:space="0"/>
              <w:left w:val="single" w:color="auto" w:sz="4" w:space="0"/>
              <w:bottom w:val="single" w:color="auto" w:sz="4" w:space="0"/>
              <w:right w:val="single" w:color="auto" w:sz="4" w:space="0"/>
            </w:tcBorders>
            <w:vAlign w:val="center"/>
          </w:tcPr>
          <w:p w14:paraId="03D600FF">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公斤</w:t>
            </w:r>
          </w:p>
        </w:tc>
        <w:tc>
          <w:tcPr>
            <w:tcW w:w="852" w:type="dxa"/>
            <w:tcBorders>
              <w:top w:val="single" w:color="auto" w:sz="4" w:space="0"/>
              <w:left w:val="single" w:color="auto" w:sz="4" w:space="0"/>
              <w:bottom w:val="single" w:color="auto" w:sz="4" w:space="0"/>
              <w:right w:val="single" w:color="auto" w:sz="4" w:space="0"/>
            </w:tcBorders>
            <w:vAlign w:val="center"/>
          </w:tcPr>
          <w:p w14:paraId="43F0E89D">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1000</w:t>
            </w:r>
          </w:p>
        </w:tc>
        <w:tc>
          <w:tcPr>
            <w:tcW w:w="1298" w:type="dxa"/>
            <w:tcBorders>
              <w:top w:val="single" w:color="auto" w:sz="4" w:space="0"/>
              <w:left w:val="single" w:color="auto" w:sz="4" w:space="0"/>
              <w:bottom w:val="single" w:color="auto" w:sz="4" w:space="0"/>
              <w:right w:val="single" w:color="auto" w:sz="4" w:space="0"/>
            </w:tcBorders>
            <w:vAlign w:val="center"/>
          </w:tcPr>
          <w:p w14:paraId="0C18AECC">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 xml:space="preserve">6.90 </w:t>
            </w:r>
          </w:p>
        </w:tc>
        <w:tc>
          <w:tcPr>
            <w:tcW w:w="1277" w:type="dxa"/>
            <w:tcBorders>
              <w:top w:val="single" w:color="auto" w:sz="4" w:space="0"/>
              <w:left w:val="single" w:color="auto" w:sz="4" w:space="0"/>
              <w:bottom w:val="single" w:color="auto" w:sz="4" w:space="0"/>
              <w:right w:val="single" w:color="auto" w:sz="4" w:space="0"/>
            </w:tcBorders>
            <w:vAlign w:val="center"/>
          </w:tcPr>
          <w:p w14:paraId="29F680D5">
            <w:pPr>
              <w:widowControl/>
              <w:jc w:val="center"/>
              <w:textAlignment w:val="center"/>
              <w:rPr>
                <w:rFonts w:ascii="宋体" w:hAnsi="宋体"/>
                <w:sz w:val="22"/>
                <w:szCs w:val="22"/>
              </w:rPr>
            </w:pPr>
            <w:r>
              <w:rPr>
                <w:rFonts w:hint="eastAsia" w:ascii="宋体" w:hAnsi="宋体" w:cs="宋体"/>
                <w:kern w:val="0"/>
                <w:sz w:val="20"/>
                <w:szCs w:val="20"/>
                <w:lang w:bidi="ar"/>
              </w:rPr>
              <w:t xml:space="preserve">6900 </w:t>
            </w:r>
          </w:p>
        </w:tc>
        <w:tc>
          <w:tcPr>
            <w:tcW w:w="3403" w:type="dxa"/>
            <w:tcBorders>
              <w:top w:val="single" w:color="auto" w:sz="4" w:space="0"/>
              <w:left w:val="single" w:color="auto" w:sz="4" w:space="0"/>
              <w:bottom w:val="single" w:color="auto" w:sz="4" w:space="0"/>
              <w:right w:val="single" w:color="auto" w:sz="4" w:space="0"/>
            </w:tcBorders>
            <w:vAlign w:val="center"/>
          </w:tcPr>
          <w:p w14:paraId="70B9321C">
            <w:pPr>
              <w:widowControl/>
              <w:jc w:val="left"/>
              <w:textAlignment w:val="center"/>
              <w:rPr>
                <w:rFonts w:ascii="宋体" w:hAnsi="宋体" w:cs="宋体"/>
                <w:szCs w:val="21"/>
              </w:rPr>
            </w:pPr>
            <w:r>
              <w:rPr>
                <w:rFonts w:hint="eastAsia" w:ascii="宋体" w:hAnsi="宋体" w:cs="宋体"/>
                <w:kern w:val="0"/>
                <w:sz w:val="20"/>
                <w:szCs w:val="20"/>
                <w:lang w:bidi="ar"/>
              </w:rPr>
              <w:t>无虫害现象，颜色深绿，长度在10cm左右，新鲜无失水、腐烂现象，表面光泽、鲜绿，外皮硬脆，不发软，皮肉厚实，蔬菜残留农药检测合格。</w:t>
            </w:r>
          </w:p>
        </w:tc>
      </w:tr>
      <w:tr w14:paraId="261864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671" w:type="dxa"/>
            <w:vMerge w:val="continue"/>
            <w:tcBorders>
              <w:left w:val="single" w:color="auto" w:sz="4" w:space="0"/>
              <w:right w:val="single" w:color="auto" w:sz="4" w:space="0"/>
            </w:tcBorders>
            <w:vAlign w:val="center"/>
          </w:tcPr>
          <w:p w14:paraId="040AC3CD">
            <w:pPr>
              <w:spacing w:line="380" w:lineRule="exact"/>
              <w:jc w:val="center"/>
              <w:rPr>
                <w:rFonts w:ascii="宋体" w:hAnsi="宋体" w:cs="宋体"/>
                <w:szCs w:val="21"/>
              </w:rPr>
            </w:pPr>
          </w:p>
        </w:tc>
        <w:tc>
          <w:tcPr>
            <w:tcW w:w="44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C0651DC">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21</w:t>
            </w:r>
          </w:p>
        </w:tc>
        <w:tc>
          <w:tcPr>
            <w:tcW w:w="911" w:type="dxa"/>
            <w:tcBorders>
              <w:top w:val="single" w:color="auto" w:sz="4" w:space="0"/>
              <w:left w:val="single" w:color="auto" w:sz="4" w:space="0"/>
              <w:bottom w:val="single" w:color="auto" w:sz="4" w:space="0"/>
              <w:right w:val="single" w:color="auto" w:sz="4" w:space="0"/>
            </w:tcBorders>
            <w:vAlign w:val="center"/>
          </w:tcPr>
          <w:p w14:paraId="097F3C38">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葱花</w:t>
            </w:r>
          </w:p>
        </w:tc>
        <w:tc>
          <w:tcPr>
            <w:tcW w:w="861" w:type="dxa"/>
            <w:tcBorders>
              <w:top w:val="single" w:color="auto" w:sz="4" w:space="0"/>
              <w:left w:val="single" w:color="auto" w:sz="4" w:space="0"/>
              <w:bottom w:val="single" w:color="auto" w:sz="4" w:space="0"/>
              <w:right w:val="single" w:color="auto" w:sz="4" w:space="0"/>
            </w:tcBorders>
            <w:vAlign w:val="center"/>
          </w:tcPr>
          <w:p w14:paraId="7135D4E8">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公斤</w:t>
            </w:r>
          </w:p>
        </w:tc>
        <w:tc>
          <w:tcPr>
            <w:tcW w:w="852" w:type="dxa"/>
            <w:tcBorders>
              <w:top w:val="single" w:color="auto" w:sz="4" w:space="0"/>
              <w:left w:val="single" w:color="auto" w:sz="4" w:space="0"/>
              <w:bottom w:val="single" w:color="auto" w:sz="4" w:space="0"/>
              <w:right w:val="single" w:color="auto" w:sz="4" w:space="0"/>
            </w:tcBorders>
            <w:vAlign w:val="center"/>
          </w:tcPr>
          <w:p w14:paraId="3935BAB3">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1000</w:t>
            </w:r>
          </w:p>
        </w:tc>
        <w:tc>
          <w:tcPr>
            <w:tcW w:w="1298" w:type="dxa"/>
            <w:tcBorders>
              <w:top w:val="single" w:color="auto" w:sz="4" w:space="0"/>
              <w:left w:val="single" w:color="auto" w:sz="4" w:space="0"/>
              <w:bottom w:val="single" w:color="auto" w:sz="4" w:space="0"/>
              <w:right w:val="single" w:color="auto" w:sz="4" w:space="0"/>
            </w:tcBorders>
            <w:vAlign w:val="center"/>
          </w:tcPr>
          <w:p w14:paraId="5D482697">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 xml:space="preserve">8.80 </w:t>
            </w:r>
          </w:p>
        </w:tc>
        <w:tc>
          <w:tcPr>
            <w:tcW w:w="1277" w:type="dxa"/>
            <w:tcBorders>
              <w:top w:val="single" w:color="auto" w:sz="4" w:space="0"/>
              <w:left w:val="single" w:color="auto" w:sz="4" w:space="0"/>
              <w:bottom w:val="single" w:color="auto" w:sz="4" w:space="0"/>
              <w:right w:val="single" w:color="auto" w:sz="4" w:space="0"/>
            </w:tcBorders>
            <w:vAlign w:val="center"/>
          </w:tcPr>
          <w:p w14:paraId="33FD4639">
            <w:pPr>
              <w:widowControl/>
              <w:jc w:val="center"/>
              <w:textAlignment w:val="center"/>
              <w:rPr>
                <w:rFonts w:ascii="宋体" w:hAnsi="宋体"/>
                <w:sz w:val="22"/>
                <w:szCs w:val="22"/>
              </w:rPr>
            </w:pPr>
            <w:r>
              <w:rPr>
                <w:rFonts w:hint="eastAsia" w:ascii="宋体" w:hAnsi="宋体" w:cs="宋体"/>
                <w:kern w:val="0"/>
                <w:sz w:val="20"/>
                <w:szCs w:val="20"/>
                <w:lang w:bidi="ar"/>
              </w:rPr>
              <w:t xml:space="preserve">8800 </w:t>
            </w:r>
          </w:p>
        </w:tc>
        <w:tc>
          <w:tcPr>
            <w:tcW w:w="3403" w:type="dxa"/>
            <w:tcBorders>
              <w:top w:val="single" w:color="auto" w:sz="4" w:space="0"/>
              <w:left w:val="single" w:color="auto" w:sz="4" w:space="0"/>
              <w:bottom w:val="single" w:color="auto" w:sz="4" w:space="0"/>
              <w:right w:val="single" w:color="auto" w:sz="4" w:space="0"/>
            </w:tcBorders>
            <w:vAlign w:val="center"/>
          </w:tcPr>
          <w:p w14:paraId="167BCA9B">
            <w:pPr>
              <w:widowControl/>
              <w:jc w:val="left"/>
              <w:textAlignment w:val="center"/>
              <w:rPr>
                <w:rFonts w:ascii="宋体" w:hAnsi="宋体" w:cs="宋体"/>
                <w:szCs w:val="21"/>
              </w:rPr>
            </w:pPr>
            <w:r>
              <w:rPr>
                <w:rFonts w:hint="eastAsia" w:ascii="宋体" w:hAnsi="宋体" w:cs="宋体"/>
                <w:kern w:val="0"/>
                <w:sz w:val="20"/>
                <w:szCs w:val="20"/>
                <w:lang w:bidi="ar"/>
              </w:rPr>
              <w:t>叶翠绿、饱满充气、均匀细长，茎洁白，挺直，香味浓郁，长15-30cm，蔬菜残留农药检测合格。</w:t>
            </w:r>
          </w:p>
        </w:tc>
      </w:tr>
      <w:tr w14:paraId="56B183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671" w:type="dxa"/>
            <w:vMerge w:val="continue"/>
            <w:tcBorders>
              <w:left w:val="single" w:color="auto" w:sz="4" w:space="0"/>
              <w:right w:val="single" w:color="auto" w:sz="4" w:space="0"/>
            </w:tcBorders>
            <w:vAlign w:val="center"/>
          </w:tcPr>
          <w:p w14:paraId="10CA6063">
            <w:pPr>
              <w:spacing w:line="380" w:lineRule="exact"/>
              <w:jc w:val="center"/>
              <w:rPr>
                <w:rFonts w:ascii="宋体" w:hAnsi="宋体" w:cs="宋体"/>
                <w:szCs w:val="21"/>
              </w:rPr>
            </w:pPr>
          </w:p>
        </w:tc>
        <w:tc>
          <w:tcPr>
            <w:tcW w:w="44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EE082D7">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22</w:t>
            </w:r>
          </w:p>
        </w:tc>
        <w:tc>
          <w:tcPr>
            <w:tcW w:w="911" w:type="dxa"/>
            <w:tcBorders>
              <w:top w:val="single" w:color="auto" w:sz="4" w:space="0"/>
              <w:left w:val="single" w:color="auto" w:sz="4" w:space="0"/>
              <w:bottom w:val="single" w:color="auto" w:sz="4" w:space="0"/>
              <w:right w:val="single" w:color="auto" w:sz="4" w:space="0"/>
            </w:tcBorders>
            <w:vAlign w:val="center"/>
          </w:tcPr>
          <w:p w14:paraId="460859E2">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香菜</w:t>
            </w:r>
          </w:p>
        </w:tc>
        <w:tc>
          <w:tcPr>
            <w:tcW w:w="861" w:type="dxa"/>
            <w:tcBorders>
              <w:top w:val="single" w:color="auto" w:sz="4" w:space="0"/>
              <w:left w:val="single" w:color="auto" w:sz="4" w:space="0"/>
              <w:bottom w:val="single" w:color="auto" w:sz="4" w:space="0"/>
              <w:right w:val="single" w:color="auto" w:sz="4" w:space="0"/>
            </w:tcBorders>
            <w:vAlign w:val="center"/>
          </w:tcPr>
          <w:p w14:paraId="496CFC88">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公斤</w:t>
            </w:r>
          </w:p>
        </w:tc>
        <w:tc>
          <w:tcPr>
            <w:tcW w:w="852" w:type="dxa"/>
            <w:tcBorders>
              <w:top w:val="single" w:color="auto" w:sz="4" w:space="0"/>
              <w:left w:val="single" w:color="auto" w:sz="4" w:space="0"/>
              <w:bottom w:val="single" w:color="auto" w:sz="4" w:space="0"/>
              <w:right w:val="single" w:color="auto" w:sz="4" w:space="0"/>
            </w:tcBorders>
            <w:vAlign w:val="center"/>
          </w:tcPr>
          <w:p w14:paraId="7520C78B">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1000</w:t>
            </w:r>
          </w:p>
        </w:tc>
        <w:tc>
          <w:tcPr>
            <w:tcW w:w="1298" w:type="dxa"/>
            <w:tcBorders>
              <w:top w:val="single" w:color="auto" w:sz="4" w:space="0"/>
              <w:left w:val="single" w:color="auto" w:sz="4" w:space="0"/>
              <w:bottom w:val="single" w:color="auto" w:sz="4" w:space="0"/>
              <w:right w:val="single" w:color="auto" w:sz="4" w:space="0"/>
            </w:tcBorders>
            <w:vAlign w:val="center"/>
          </w:tcPr>
          <w:p w14:paraId="05940D0C">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 xml:space="preserve">12.50 </w:t>
            </w:r>
          </w:p>
        </w:tc>
        <w:tc>
          <w:tcPr>
            <w:tcW w:w="1277" w:type="dxa"/>
            <w:tcBorders>
              <w:top w:val="single" w:color="auto" w:sz="4" w:space="0"/>
              <w:left w:val="single" w:color="auto" w:sz="4" w:space="0"/>
              <w:bottom w:val="single" w:color="auto" w:sz="4" w:space="0"/>
              <w:right w:val="single" w:color="auto" w:sz="4" w:space="0"/>
            </w:tcBorders>
            <w:vAlign w:val="center"/>
          </w:tcPr>
          <w:p w14:paraId="1BC5280E">
            <w:pPr>
              <w:widowControl/>
              <w:jc w:val="center"/>
              <w:textAlignment w:val="center"/>
              <w:rPr>
                <w:rFonts w:ascii="宋体" w:hAnsi="宋体"/>
                <w:sz w:val="22"/>
                <w:szCs w:val="22"/>
              </w:rPr>
            </w:pPr>
            <w:r>
              <w:rPr>
                <w:rFonts w:hint="eastAsia" w:ascii="宋体" w:hAnsi="宋体" w:cs="宋体"/>
                <w:kern w:val="0"/>
                <w:sz w:val="20"/>
                <w:szCs w:val="20"/>
                <w:lang w:bidi="ar"/>
              </w:rPr>
              <w:t xml:space="preserve">12500 </w:t>
            </w:r>
          </w:p>
        </w:tc>
        <w:tc>
          <w:tcPr>
            <w:tcW w:w="3403" w:type="dxa"/>
            <w:tcBorders>
              <w:top w:val="single" w:color="auto" w:sz="4" w:space="0"/>
              <w:left w:val="single" w:color="auto" w:sz="4" w:space="0"/>
              <w:bottom w:val="single" w:color="auto" w:sz="4" w:space="0"/>
              <w:right w:val="single" w:color="auto" w:sz="4" w:space="0"/>
            </w:tcBorders>
            <w:vAlign w:val="center"/>
          </w:tcPr>
          <w:p w14:paraId="759E5861">
            <w:pPr>
              <w:widowControl/>
              <w:jc w:val="left"/>
              <w:textAlignment w:val="center"/>
              <w:rPr>
                <w:rFonts w:ascii="宋体" w:hAnsi="宋体" w:cs="宋体"/>
                <w:szCs w:val="21"/>
              </w:rPr>
            </w:pPr>
            <w:r>
              <w:rPr>
                <w:rFonts w:hint="eastAsia" w:ascii="宋体" w:hAnsi="宋体" w:cs="宋体"/>
                <w:kern w:val="0"/>
                <w:sz w:val="20"/>
                <w:szCs w:val="20"/>
                <w:lang w:bidi="ar"/>
              </w:rPr>
              <w:t>根细长，有多数纤细的支根，茎直立，多分枝，色泽青绿，香气浓郁，无黄叶，无异味、杂质，无污物污染；蔬菜残留农药检测合格。</w:t>
            </w:r>
          </w:p>
        </w:tc>
      </w:tr>
      <w:tr w14:paraId="603153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671" w:type="dxa"/>
            <w:vMerge w:val="continue"/>
            <w:tcBorders>
              <w:left w:val="single" w:color="auto" w:sz="4" w:space="0"/>
              <w:right w:val="single" w:color="auto" w:sz="4" w:space="0"/>
            </w:tcBorders>
            <w:vAlign w:val="center"/>
          </w:tcPr>
          <w:p w14:paraId="730A5A6F">
            <w:pPr>
              <w:spacing w:line="380" w:lineRule="exact"/>
              <w:jc w:val="center"/>
              <w:rPr>
                <w:rFonts w:ascii="宋体" w:hAnsi="宋体" w:cs="宋体"/>
                <w:szCs w:val="21"/>
              </w:rPr>
            </w:pPr>
          </w:p>
        </w:tc>
        <w:tc>
          <w:tcPr>
            <w:tcW w:w="44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F3C3C9F">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23</w:t>
            </w:r>
          </w:p>
        </w:tc>
        <w:tc>
          <w:tcPr>
            <w:tcW w:w="911" w:type="dxa"/>
            <w:tcBorders>
              <w:top w:val="single" w:color="auto" w:sz="4" w:space="0"/>
              <w:left w:val="single" w:color="auto" w:sz="4" w:space="0"/>
              <w:bottom w:val="single" w:color="auto" w:sz="4" w:space="0"/>
              <w:right w:val="single" w:color="auto" w:sz="4" w:space="0"/>
            </w:tcBorders>
            <w:vAlign w:val="center"/>
          </w:tcPr>
          <w:p w14:paraId="74EE99F8">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芹菜</w:t>
            </w:r>
          </w:p>
        </w:tc>
        <w:tc>
          <w:tcPr>
            <w:tcW w:w="861" w:type="dxa"/>
            <w:tcBorders>
              <w:top w:val="single" w:color="auto" w:sz="4" w:space="0"/>
              <w:left w:val="single" w:color="auto" w:sz="4" w:space="0"/>
              <w:bottom w:val="single" w:color="auto" w:sz="4" w:space="0"/>
              <w:right w:val="single" w:color="auto" w:sz="4" w:space="0"/>
            </w:tcBorders>
            <w:vAlign w:val="center"/>
          </w:tcPr>
          <w:p w14:paraId="0095A2D4">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公斤</w:t>
            </w:r>
          </w:p>
        </w:tc>
        <w:tc>
          <w:tcPr>
            <w:tcW w:w="852" w:type="dxa"/>
            <w:tcBorders>
              <w:top w:val="single" w:color="auto" w:sz="4" w:space="0"/>
              <w:left w:val="single" w:color="auto" w:sz="4" w:space="0"/>
              <w:bottom w:val="single" w:color="auto" w:sz="4" w:space="0"/>
              <w:right w:val="single" w:color="auto" w:sz="4" w:space="0"/>
            </w:tcBorders>
            <w:vAlign w:val="center"/>
          </w:tcPr>
          <w:p w14:paraId="07944981">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5000</w:t>
            </w:r>
          </w:p>
        </w:tc>
        <w:tc>
          <w:tcPr>
            <w:tcW w:w="1298" w:type="dxa"/>
            <w:tcBorders>
              <w:top w:val="single" w:color="auto" w:sz="4" w:space="0"/>
              <w:left w:val="single" w:color="auto" w:sz="4" w:space="0"/>
              <w:bottom w:val="single" w:color="auto" w:sz="4" w:space="0"/>
              <w:right w:val="single" w:color="auto" w:sz="4" w:space="0"/>
            </w:tcBorders>
            <w:vAlign w:val="center"/>
          </w:tcPr>
          <w:p w14:paraId="5ED48CF7">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 xml:space="preserve">11.00 </w:t>
            </w:r>
          </w:p>
        </w:tc>
        <w:tc>
          <w:tcPr>
            <w:tcW w:w="1277" w:type="dxa"/>
            <w:tcBorders>
              <w:top w:val="single" w:color="auto" w:sz="4" w:space="0"/>
              <w:left w:val="single" w:color="auto" w:sz="4" w:space="0"/>
              <w:bottom w:val="single" w:color="auto" w:sz="4" w:space="0"/>
              <w:right w:val="single" w:color="auto" w:sz="4" w:space="0"/>
            </w:tcBorders>
            <w:vAlign w:val="center"/>
          </w:tcPr>
          <w:p w14:paraId="1B30C06E">
            <w:pPr>
              <w:widowControl/>
              <w:jc w:val="center"/>
              <w:textAlignment w:val="center"/>
              <w:rPr>
                <w:rFonts w:ascii="宋体" w:hAnsi="宋体"/>
                <w:sz w:val="22"/>
                <w:szCs w:val="22"/>
              </w:rPr>
            </w:pPr>
            <w:r>
              <w:rPr>
                <w:rFonts w:hint="eastAsia" w:ascii="宋体" w:hAnsi="宋体" w:cs="宋体"/>
                <w:kern w:val="0"/>
                <w:sz w:val="20"/>
                <w:szCs w:val="20"/>
                <w:lang w:bidi="ar"/>
              </w:rPr>
              <w:t xml:space="preserve">55000 </w:t>
            </w:r>
          </w:p>
        </w:tc>
        <w:tc>
          <w:tcPr>
            <w:tcW w:w="3403" w:type="dxa"/>
            <w:tcBorders>
              <w:top w:val="single" w:color="auto" w:sz="4" w:space="0"/>
              <w:left w:val="single" w:color="auto" w:sz="4" w:space="0"/>
              <w:bottom w:val="single" w:color="auto" w:sz="4" w:space="0"/>
              <w:right w:val="single" w:color="auto" w:sz="4" w:space="0"/>
            </w:tcBorders>
            <w:vAlign w:val="center"/>
          </w:tcPr>
          <w:p w14:paraId="3852EBEA">
            <w:pPr>
              <w:widowControl/>
              <w:jc w:val="left"/>
              <w:textAlignment w:val="center"/>
              <w:rPr>
                <w:rFonts w:ascii="宋体" w:hAnsi="宋体" w:cs="宋体"/>
                <w:szCs w:val="21"/>
              </w:rPr>
            </w:pPr>
            <w:r>
              <w:rPr>
                <w:rFonts w:hint="eastAsia" w:ascii="宋体" w:hAnsi="宋体" w:cs="宋体"/>
                <w:kern w:val="0"/>
                <w:sz w:val="20"/>
                <w:szCs w:val="20"/>
                <w:lang w:bidi="ar"/>
              </w:rPr>
              <w:t>茎叶挺实、质地鲜嫩、无明显黄叶、腐叶，无多泥根，蔬菜残留农药检测合格。</w:t>
            </w:r>
          </w:p>
        </w:tc>
      </w:tr>
      <w:tr w14:paraId="380178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671" w:type="dxa"/>
            <w:vMerge w:val="continue"/>
            <w:tcBorders>
              <w:left w:val="single" w:color="auto" w:sz="4" w:space="0"/>
              <w:right w:val="single" w:color="auto" w:sz="4" w:space="0"/>
            </w:tcBorders>
            <w:vAlign w:val="center"/>
          </w:tcPr>
          <w:p w14:paraId="5F5ACAF3">
            <w:pPr>
              <w:spacing w:line="380" w:lineRule="exact"/>
              <w:jc w:val="center"/>
              <w:rPr>
                <w:rFonts w:ascii="宋体" w:hAnsi="宋体" w:cs="宋体"/>
                <w:szCs w:val="21"/>
              </w:rPr>
            </w:pPr>
          </w:p>
        </w:tc>
        <w:tc>
          <w:tcPr>
            <w:tcW w:w="44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928AF42">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24</w:t>
            </w:r>
          </w:p>
        </w:tc>
        <w:tc>
          <w:tcPr>
            <w:tcW w:w="911" w:type="dxa"/>
            <w:tcBorders>
              <w:top w:val="single" w:color="auto" w:sz="4" w:space="0"/>
              <w:left w:val="single" w:color="auto" w:sz="4" w:space="0"/>
              <w:bottom w:val="single" w:color="auto" w:sz="4" w:space="0"/>
              <w:right w:val="single" w:color="auto" w:sz="4" w:space="0"/>
            </w:tcBorders>
            <w:vAlign w:val="center"/>
          </w:tcPr>
          <w:p w14:paraId="68D84ECA">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西兰花</w:t>
            </w:r>
          </w:p>
        </w:tc>
        <w:tc>
          <w:tcPr>
            <w:tcW w:w="861" w:type="dxa"/>
            <w:tcBorders>
              <w:top w:val="single" w:color="auto" w:sz="4" w:space="0"/>
              <w:left w:val="single" w:color="auto" w:sz="4" w:space="0"/>
              <w:bottom w:val="single" w:color="auto" w:sz="4" w:space="0"/>
              <w:right w:val="single" w:color="auto" w:sz="4" w:space="0"/>
            </w:tcBorders>
            <w:vAlign w:val="center"/>
          </w:tcPr>
          <w:p w14:paraId="4D539717">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公斤</w:t>
            </w:r>
          </w:p>
        </w:tc>
        <w:tc>
          <w:tcPr>
            <w:tcW w:w="852" w:type="dxa"/>
            <w:tcBorders>
              <w:top w:val="single" w:color="auto" w:sz="4" w:space="0"/>
              <w:left w:val="single" w:color="auto" w:sz="4" w:space="0"/>
              <w:bottom w:val="single" w:color="auto" w:sz="4" w:space="0"/>
              <w:right w:val="single" w:color="auto" w:sz="4" w:space="0"/>
            </w:tcBorders>
            <w:vAlign w:val="center"/>
          </w:tcPr>
          <w:p w14:paraId="1AD822ED">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10000</w:t>
            </w:r>
          </w:p>
        </w:tc>
        <w:tc>
          <w:tcPr>
            <w:tcW w:w="1298" w:type="dxa"/>
            <w:tcBorders>
              <w:top w:val="single" w:color="auto" w:sz="4" w:space="0"/>
              <w:left w:val="single" w:color="auto" w:sz="4" w:space="0"/>
              <w:bottom w:val="single" w:color="auto" w:sz="4" w:space="0"/>
              <w:right w:val="single" w:color="auto" w:sz="4" w:space="0"/>
            </w:tcBorders>
            <w:vAlign w:val="center"/>
          </w:tcPr>
          <w:p w14:paraId="70C0A234">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 xml:space="preserve">7.80 </w:t>
            </w:r>
          </w:p>
        </w:tc>
        <w:tc>
          <w:tcPr>
            <w:tcW w:w="1277" w:type="dxa"/>
            <w:tcBorders>
              <w:top w:val="single" w:color="auto" w:sz="4" w:space="0"/>
              <w:left w:val="single" w:color="auto" w:sz="4" w:space="0"/>
              <w:bottom w:val="single" w:color="auto" w:sz="4" w:space="0"/>
              <w:right w:val="single" w:color="auto" w:sz="4" w:space="0"/>
            </w:tcBorders>
            <w:vAlign w:val="center"/>
          </w:tcPr>
          <w:p w14:paraId="291BA95E">
            <w:pPr>
              <w:widowControl/>
              <w:jc w:val="center"/>
              <w:textAlignment w:val="center"/>
              <w:rPr>
                <w:rFonts w:ascii="宋体" w:hAnsi="宋体"/>
                <w:sz w:val="22"/>
                <w:szCs w:val="22"/>
              </w:rPr>
            </w:pPr>
            <w:r>
              <w:rPr>
                <w:rFonts w:hint="eastAsia" w:ascii="宋体" w:hAnsi="宋体" w:cs="宋体"/>
                <w:kern w:val="0"/>
                <w:sz w:val="20"/>
                <w:szCs w:val="20"/>
                <w:lang w:bidi="ar"/>
              </w:rPr>
              <w:t xml:space="preserve">78000 </w:t>
            </w:r>
          </w:p>
        </w:tc>
        <w:tc>
          <w:tcPr>
            <w:tcW w:w="3403" w:type="dxa"/>
            <w:tcBorders>
              <w:top w:val="single" w:color="auto" w:sz="4" w:space="0"/>
              <w:left w:val="single" w:color="auto" w:sz="4" w:space="0"/>
              <w:bottom w:val="single" w:color="auto" w:sz="4" w:space="0"/>
              <w:right w:val="single" w:color="auto" w:sz="4" w:space="0"/>
            </w:tcBorders>
            <w:vAlign w:val="center"/>
          </w:tcPr>
          <w:p w14:paraId="253D3405">
            <w:pPr>
              <w:widowControl/>
              <w:jc w:val="left"/>
              <w:textAlignment w:val="center"/>
              <w:rPr>
                <w:rFonts w:ascii="宋体" w:hAnsi="宋体" w:cs="宋体"/>
                <w:szCs w:val="21"/>
              </w:rPr>
            </w:pPr>
            <w:r>
              <w:rPr>
                <w:rFonts w:hint="eastAsia" w:ascii="宋体" w:hAnsi="宋体" w:cs="宋体"/>
                <w:kern w:val="0"/>
                <w:sz w:val="20"/>
                <w:szCs w:val="20"/>
                <w:lang w:bidi="ar"/>
              </w:rPr>
              <w:t>花球饱满、表面圆、边缘尚未展开、花球紧凑、颜色浓绿，无发黄、无焦蕾、无虫害，单颗重量400至600克；蔬菜残留农药检测合格。</w:t>
            </w:r>
          </w:p>
        </w:tc>
      </w:tr>
      <w:tr w14:paraId="4EBAA3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671" w:type="dxa"/>
            <w:vMerge w:val="continue"/>
            <w:tcBorders>
              <w:left w:val="single" w:color="auto" w:sz="4" w:space="0"/>
              <w:right w:val="single" w:color="auto" w:sz="4" w:space="0"/>
            </w:tcBorders>
            <w:vAlign w:val="center"/>
          </w:tcPr>
          <w:p w14:paraId="2B7810A1">
            <w:pPr>
              <w:spacing w:line="380" w:lineRule="exact"/>
              <w:jc w:val="center"/>
              <w:rPr>
                <w:rFonts w:ascii="宋体" w:hAnsi="宋体" w:cs="宋体"/>
                <w:szCs w:val="21"/>
              </w:rPr>
            </w:pPr>
          </w:p>
        </w:tc>
        <w:tc>
          <w:tcPr>
            <w:tcW w:w="44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822B353">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25</w:t>
            </w:r>
          </w:p>
        </w:tc>
        <w:tc>
          <w:tcPr>
            <w:tcW w:w="911" w:type="dxa"/>
            <w:tcBorders>
              <w:top w:val="single" w:color="auto" w:sz="4" w:space="0"/>
              <w:left w:val="single" w:color="auto" w:sz="4" w:space="0"/>
              <w:bottom w:val="single" w:color="auto" w:sz="4" w:space="0"/>
              <w:right w:val="single" w:color="auto" w:sz="4" w:space="0"/>
            </w:tcBorders>
            <w:vAlign w:val="center"/>
          </w:tcPr>
          <w:p w14:paraId="264651E4">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冬瓜</w:t>
            </w:r>
          </w:p>
        </w:tc>
        <w:tc>
          <w:tcPr>
            <w:tcW w:w="861" w:type="dxa"/>
            <w:tcBorders>
              <w:top w:val="single" w:color="auto" w:sz="4" w:space="0"/>
              <w:left w:val="single" w:color="auto" w:sz="4" w:space="0"/>
              <w:bottom w:val="single" w:color="auto" w:sz="4" w:space="0"/>
              <w:right w:val="single" w:color="auto" w:sz="4" w:space="0"/>
            </w:tcBorders>
            <w:vAlign w:val="center"/>
          </w:tcPr>
          <w:p w14:paraId="72C07064">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公斤</w:t>
            </w:r>
          </w:p>
        </w:tc>
        <w:tc>
          <w:tcPr>
            <w:tcW w:w="852" w:type="dxa"/>
            <w:tcBorders>
              <w:top w:val="single" w:color="auto" w:sz="4" w:space="0"/>
              <w:left w:val="single" w:color="auto" w:sz="4" w:space="0"/>
              <w:bottom w:val="single" w:color="auto" w:sz="4" w:space="0"/>
              <w:right w:val="single" w:color="auto" w:sz="4" w:space="0"/>
            </w:tcBorders>
            <w:vAlign w:val="center"/>
          </w:tcPr>
          <w:p w14:paraId="5BA4A0FD">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20000</w:t>
            </w:r>
          </w:p>
        </w:tc>
        <w:tc>
          <w:tcPr>
            <w:tcW w:w="1298" w:type="dxa"/>
            <w:tcBorders>
              <w:top w:val="single" w:color="auto" w:sz="4" w:space="0"/>
              <w:left w:val="single" w:color="auto" w:sz="4" w:space="0"/>
              <w:bottom w:val="single" w:color="auto" w:sz="4" w:space="0"/>
              <w:right w:val="single" w:color="auto" w:sz="4" w:space="0"/>
            </w:tcBorders>
            <w:vAlign w:val="center"/>
          </w:tcPr>
          <w:p w14:paraId="55C10311">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 xml:space="preserve">3.30 </w:t>
            </w:r>
          </w:p>
        </w:tc>
        <w:tc>
          <w:tcPr>
            <w:tcW w:w="1277" w:type="dxa"/>
            <w:tcBorders>
              <w:top w:val="single" w:color="auto" w:sz="4" w:space="0"/>
              <w:left w:val="single" w:color="auto" w:sz="4" w:space="0"/>
              <w:bottom w:val="single" w:color="auto" w:sz="4" w:space="0"/>
              <w:right w:val="single" w:color="auto" w:sz="4" w:space="0"/>
            </w:tcBorders>
            <w:vAlign w:val="center"/>
          </w:tcPr>
          <w:p w14:paraId="689F985D">
            <w:pPr>
              <w:widowControl/>
              <w:jc w:val="center"/>
              <w:textAlignment w:val="center"/>
              <w:rPr>
                <w:rFonts w:ascii="宋体" w:hAnsi="宋体"/>
                <w:sz w:val="22"/>
                <w:szCs w:val="22"/>
              </w:rPr>
            </w:pPr>
            <w:r>
              <w:rPr>
                <w:rFonts w:hint="eastAsia" w:ascii="宋体" w:hAnsi="宋体" w:cs="宋体"/>
                <w:kern w:val="0"/>
                <w:sz w:val="20"/>
                <w:szCs w:val="20"/>
                <w:lang w:bidi="ar"/>
              </w:rPr>
              <w:t xml:space="preserve">66000 </w:t>
            </w:r>
          </w:p>
        </w:tc>
        <w:tc>
          <w:tcPr>
            <w:tcW w:w="3403" w:type="dxa"/>
            <w:tcBorders>
              <w:top w:val="single" w:color="auto" w:sz="4" w:space="0"/>
              <w:left w:val="single" w:color="auto" w:sz="4" w:space="0"/>
              <w:bottom w:val="single" w:color="auto" w:sz="4" w:space="0"/>
              <w:right w:val="single" w:color="auto" w:sz="4" w:space="0"/>
            </w:tcBorders>
            <w:vAlign w:val="center"/>
          </w:tcPr>
          <w:p w14:paraId="4DA504EC">
            <w:pPr>
              <w:widowControl/>
              <w:jc w:val="left"/>
              <w:textAlignment w:val="center"/>
              <w:rPr>
                <w:rFonts w:ascii="宋体" w:hAnsi="宋体" w:cs="宋体"/>
                <w:szCs w:val="21"/>
              </w:rPr>
            </w:pPr>
            <w:r>
              <w:rPr>
                <w:rFonts w:hint="eastAsia" w:ascii="宋体" w:hAnsi="宋体" w:cs="宋体"/>
                <w:kern w:val="0"/>
                <w:sz w:val="20"/>
                <w:szCs w:val="20"/>
                <w:lang w:bidi="ar"/>
              </w:rPr>
              <w:t>瓜形正，霜色好，无损伤、泡壳，内部无棉花心、无腐烂，蔬菜残留农药检测合格。</w:t>
            </w:r>
          </w:p>
        </w:tc>
      </w:tr>
      <w:tr w14:paraId="69B201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671" w:type="dxa"/>
            <w:vMerge w:val="continue"/>
            <w:tcBorders>
              <w:left w:val="single" w:color="auto" w:sz="4" w:space="0"/>
              <w:right w:val="single" w:color="auto" w:sz="4" w:space="0"/>
            </w:tcBorders>
            <w:vAlign w:val="center"/>
          </w:tcPr>
          <w:p w14:paraId="691026B0">
            <w:pPr>
              <w:spacing w:line="380" w:lineRule="exact"/>
              <w:jc w:val="center"/>
              <w:rPr>
                <w:rFonts w:ascii="宋体" w:hAnsi="宋体" w:cs="宋体"/>
                <w:szCs w:val="21"/>
              </w:rPr>
            </w:pPr>
          </w:p>
        </w:tc>
        <w:tc>
          <w:tcPr>
            <w:tcW w:w="44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BA90CA6">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26</w:t>
            </w:r>
          </w:p>
        </w:tc>
        <w:tc>
          <w:tcPr>
            <w:tcW w:w="911" w:type="dxa"/>
            <w:tcBorders>
              <w:top w:val="single" w:color="auto" w:sz="4" w:space="0"/>
              <w:left w:val="single" w:color="auto" w:sz="4" w:space="0"/>
              <w:bottom w:val="single" w:color="auto" w:sz="4" w:space="0"/>
              <w:right w:val="single" w:color="auto" w:sz="4" w:space="0"/>
            </w:tcBorders>
            <w:vAlign w:val="center"/>
          </w:tcPr>
          <w:p w14:paraId="0F570690">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茄子</w:t>
            </w:r>
          </w:p>
        </w:tc>
        <w:tc>
          <w:tcPr>
            <w:tcW w:w="861" w:type="dxa"/>
            <w:tcBorders>
              <w:top w:val="single" w:color="auto" w:sz="4" w:space="0"/>
              <w:left w:val="single" w:color="auto" w:sz="4" w:space="0"/>
              <w:bottom w:val="single" w:color="auto" w:sz="4" w:space="0"/>
              <w:right w:val="single" w:color="auto" w:sz="4" w:space="0"/>
            </w:tcBorders>
            <w:vAlign w:val="center"/>
          </w:tcPr>
          <w:p w14:paraId="18A37604">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公斤</w:t>
            </w:r>
          </w:p>
        </w:tc>
        <w:tc>
          <w:tcPr>
            <w:tcW w:w="852" w:type="dxa"/>
            <w:tcBorders>
              <w:top w:val="single" w:color="auto" w:sz="4" w:space="0"/>
              <w:left w:val="single" w:color="auto" w:sz="4" w:space="0"/>
              <w:bottom w:val="single" w:color="auto" w:sz="4" w:space="0"/>
              <w:right w:val="single" w:color="auto" w:sz="4" w:space="0"/>
            </w:tcBorders>
            <w:vAlign w:val="center"/>
          </w:tcPr>
          <w:p w14:paraId="51F337AA">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10000</w:t>
            </w:r>
          </w:p>
        </w:tc>
        <w:tc>
          <w:tcPr>
            <w:tcW w:w="1298" w:type="dxa"/>
            <w:tcBorders>
              <w:top w:val="single" w:color="auto" w:sz="4" w:space="0"/>
              <w:left w:val="single" w:color="auto" w:sz="4" w:space="0"/>
              <w:bottom w:val="single" w:color="auto" w:sz="4" w:space="0"/>
              <w:right w:val="single" w:color="auto" w:sz="4" w:space="0"/>
            </w:tcBorders>
            <w:vAlign w:val="center"/>
          </w:tcPr>
          <w:p w14:paraId="7AAB6825">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 xml:space="preserve">5.40 </w:t>
            </w:r>
          </w:p>
        </w:tc>
        <w:tc>
          <w:tcPr>
            <w:tcW w:w="1277" w:type="dxa"/>
            <w:tcBorders>
              <w:top w:val="single" w:color="auto" w:sz="4" w:space="0"/>
              <w:left w:val="single" w:color="auto" w:sz="4" w:space="0"/>
              <w:bottom w:val="single" w:color="auto" w:sz="4" w:space="0"/>
              <w:right w:val="single" w:color="auto" w:sz="4" w:space="0"/>
            </w:tcBorders>
            <w:vAlign w:val="center"/>
          </w:tcPr>
          <w:p w14:paraId="1CC74928">
            <w:pPr>
              <w:widowControl/>
              <w:jc w:val="center"/>
              <w:textAlignment w:val="center"/>
              <w:rPr>
                <w:rFonts w:ascii="宋体" w:hAnsi="宋体"/>
                <w:sz w:val="22"/>
                <w:szCs w:val="22"/>
              </w:rPr>
            </w:pPr>
            <w:r>
              <w:rPr>
                <w:rFonts w:hint="eastAsia" w:ascii="宋体" w:hAnsi="宋体" w:cs="宋体"/>
                <w:kern w:val="0"/>
                <w:sz w:val="20"/>
                <w:szCs w:val="20"/>
                <w:lang w:bidi="ar"/>
              </w:rPr>
              <w:t xml:space="preserve">54000 </w:t>
            </w:r>
          </w:p>
        </w:tc>
        <w:tc>
          <w:tcPr>
            <w:tcW w:w="3403" w:type="dxa"/>
            <w:tcBorders>
              <w:top w:val="single" w:color="auto" w:sz="4" w:space="0"/>
              <w:left w:val="single" w:color="auto" w:sz="4" w:space="0"/>
              <w:bottom w:val="single" w:color="auto" w:sz="4" w:space="0"/>
              <w:right w:val="single" w:color="auto" w:sz="4" w:space="0"/>
            </w:tcBorders>
            <w:vAlign w:val="center"/>
          </w:tcPr>
          <w:p w14:paraId="244E44CC">
            <w:pPr>
              <w:widowControl/>
              <w:jc w:val="left"/>
              <w:textAlignment w:val="center"/>
              <w:rPr>
                <w:rFonts w:ascii="宋体" w:hAnsi="宋体" w:cs="宋体"/>
                <w:szCs w:val="21"/>
              </w:rPr>
            </w:pPr>
            <w:r>
              <w:rPr>
                <w:rFonts w:hint="eastAsia" w:ascii="宋体" w:hAnsi="宋体" w:cs="宋体"/>
                <w:kern w:val="0"/>
                <w:sz w:val="20"/>
                <w:szCs w:val="20"/>
                <w:lang w:bidi="ar"/>
              </w:rPr>
              <w:t>紫黑色，果实横径为3cm左右，长度在20cm左右，无空心，外观良好、新鲜、干净、无霉烂，蔬菜残留农药检测合格。</w:t>
            </w:r>
          </w:p>
        </w:tc>
      </w:tr>
      <w:tr w14:paraId="0B6CFC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671" w:type="dxa"/>
            <w:vMerge w:val="continue"/>
            <w:tcBorders>
              <w:left w:val="single" w:color="auto" w:sz="4" w:space="0"/>
              <w:right w:val="single" w:color="auto" w:sz="4" w:space="0"/>
            </w:tcBorders>
            <w:vAlign w:val="center"/>
          </w:tcPr>
          <w:p w14:paraId="6CF45353">
            <w:pPr>
              <w:spacing w:line="380" w:lineRule="exact"/>
              <w:jc w:val="center"/>
              <w:rPr>
                <w:rFonts w:ascii="宋体" w:hAnsi="宋体" w:cs="宋体"/>
                <w:szCs w:val="21"/>
              </w:rPr>
            </w:pPr>
          </w:p>
        </w:tc>
        <w:tc>
          <w:tcPr>
            <w:tcW w:w="44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42D83F2">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27</w:t>
            </w:r>
          </w:p>
        </w:tc>
        <w:tc>
          <w:tcPr>
            <w:tcW w:w="911" w:type="dxa"/>
            <w:tcBorders>
              <w:top w:val="single" w:color="auto" w:sz="4" w:space="0"/>
              <w:left w:val="single" w:color="auto" w:sz="4" w:space="0"/>
              <w:bottom w:val="single" w:color="auto" w:sz="4" w:space="0"/>
              <w:right w:val="single" w:color="auto" w:sz="4" w:space="0"/>
            </w:tcBorders>
            <w:vAlign w:val="center"/>
          </w:tcPr>
          <w:p w14:paraId="112BD13B">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芥菜</w:t>
            </w:r>
          </w:p>
        </w:tc>
        <w:tc>
          <w:tcPr>
            <w:tcW w:w="861" w:type="dxa"/>
            <w:tcBorders>
              <w:top w:val="single" w:color="auto" w:sz="4" w:space="0"/>
              <w:left w:val="single" w:color="auto" w:sz="4" w:space="0"/>
              <w:bottom w:val="single" w:color="auto" w:sz="4" w:space="0"/>
              <w:right w:val="single" w:color="auto" w:sz="4" w:space="0"/>
            </w:tcBorders>
            <w:vAlign w:val="center"/>
          </w:tcPr>
          <w:p w14:paraId="590670B7">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公斤</w:t>
            </w:r>
          </w:p>
        </w:tc>
        <w:tc>
          <w:tcPr>
            <w:tcW w:w="852" w:type="dxa"/>
            <w:tcBorders>
              <w:top w:val="single" w:color="auto" w:sz="4" w:space="0"/>
              <w:left w:val="single" w:color="auto" w:sz="4" w:space="0"/>
              <w:bottom w:val="single" w:color="auto" w:sz="4" w:space="0"/>
              <w:right w:val="single" w:color="auto" w:sz="4" w:space="0"/>
            </w:tcBorders>
            <w:vAlign w:val="center"/>
          </w:tcPr>
          <w:p w14:paraId="671F03BB">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10000</w:t>
            </w:r>
          </w:p>
        </w:tc>
        <w:tc>
          <w:tcPr>
            <w:tcW w:w="1298" w:type="dxa"/>
            <w:tcBorders>
              <w:top w:val="single" w:color="auto" w:sz="4" w:space="0"/>
              <w:left w:val="single" w:color="auto" w:sz="4" w:space="0"/>
              <w:bottom w:val="single" w:color="auto" w:sz="4" w:space="0"/>
              <w:right w:val="single" w:color="auto" w:sz="4" w:space="0"/>
            </w:tcBorders>
            <w:vAlign w:val="center"/>
          </w:tcPr>
          <w:p w14:paraId="2BDF0250">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 xml:space="preserve">4.10 </w:t>
            </w:r>
          </w:p>
        </w:tc>
        <w:tc>
          <w:tcPr>
            <w:tcW w:w="1277" w:type="dxa"/>
            <w:tcBorders>
              <w:top w:val="single" w:color="auto" w:sz="4" w:space="0"/>
              <w:left w:val="single" w:color="auto" w:sz="4" w:space="0"/>
              <w:bottom w:val="single" w:color="auto" w:sz="4" w:space="0"/>
              <w:right w:val="single" w:color="auto" w:sz="4" w:space="0"/>
            </w:tcBorders>
            <w:vAlign w:val="center"/>
          </w:tcPr>
          <w:p w14:paraId="256887B0">
            <w:pPr>
              <w:widowControl/>
              <w:jc w:val="center"/>
              <w:textAlignment w:val="center"/>
              <w:rPr>
                <w:rFonts w:ascii="宋体" w:hAnsi="宋体"/>
                <w:sz w:val="22"/>
                <w:szCs w:val="22"/>
              </w:rPr>
            </w:pPr>
            <w:r>
              <w:rPr>
                <w:rFonts w:hint="eastAsia" w:ascii="宋体" w:hAnsi="宋体" w:cs="宋体"/>
                <w:kern w:val="0"/>
                <w:sz w:val="20"/>
                <w:szCs w:val="20"/>
                <w:lang w:bidi="ar"/>
              </w:rPr>
              <w:t xml:space="preserve">41000 </w:t>
            </w:r>
          </w:p>
        </w:tc>
        <w:tc>
          <w:tcPr>
            <w:tcW w:w="3403" w:type="dxa"/>
            <w:tcBorders>
              <w:top w:val="single" w:color="auto" w:sz="4" w:space="0"/>
              <w:left w:val="single" w:color="auto" w:sz="4" w:space="0"/>
              <w:bottom w:val="single" w:color="auto" w:sz="4" w:space="0"/>
              <w:right w:val="single" w:color="auto" w:sz="4" w:space="0"/>
            </w:tcBorders>
            <w:vAlign w:val="center"/>
          </w:tcPr>
          <w:p w14:paraId="362A2F7F">
            <w:pPr>
              <w:widowControl/>
              <w:jc w:val="left"/>
              <w:textAlignment w:val="center"/>
              <w:rPr>
                <w:rFonts w:ascii="宋体" w:hAnsi="宋体" w:cs="宋体"/>
                <w:szCs w:val="21"/>
              </w:rPr>
            </w:pPr>
            <w:r>
              <w:rPr>
                <w:rFonts w:hint="eastAsia" w:ascii="宋体" w:hAnsi="宋体" w:cs="宋体"/>
                <w:kern w:val="0"/>
                <w:sz w:val="20"/>
                <w:szCs w:val="20"/>
                <w:lang w:bidi="ar"/>
              </w:rPr>
              <w:t>茎叶挺实、质地鲜嫩、无明显黄叶、腐叶，无多泥根，蔬菜残留农药检测合格。</w:t>
            </w:r>
          </w:p>
        </w:tc>
      </w:tr>
      <w:tr w14:paraId="0BE4A4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671" w:type="dxa"/>
            <w:vMerge w:val="continue"/>
            <w:tcBorders>
              <w:left w:val="single" w:color="auto" w:sz="4" w:space="0"/>
              <w:right w:val="single" w:color="auto" w:sz="4" w:space="0"/>
            </w:tcBorders>
            <w:vAlign w:val="center"/>
          </w:tcPr>
          <w:p w14:paraId="6F26FF2B">
            <w:pPr>
              <w:spacing w:line="380" w:lineRule="exact"/>
              <w:jc w:val="center"/>
              <w:rPr>
                <w:rFonts w:ascii="宋体" w:hAnsi="宋体" w:cs="宋体"/>
                <w:szCs w:val="21"/>
              </w:rPr>
            </w:pPr>
          </w:p>
        </w:tc>
        <w:tc>
          <w:tcPr>
            <w:tcW w:w="44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61811E7">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28</w:t>
            </w:r>
          </w:p>
        </w:tc>
        <w:tc>
          <w:tcPr>
            <w:tcW w:w="911" w:type="dxa"/>
            <w:tcBorders>
              <w:top w:val="single" w:color="auto" w:sz="4" w:space="0"/>
              <w:left w:val="single" w:color="auto" w:sz="4" w:space="0"/>
              <w:bottom w:val="single" w:color="auto" w:sz="4" w:space="0"/>
              <w:right w:val="single" w:color="auto" w:sz="4" w:space="0"/>
            </w:tcBorders>
            <w:vAlign w:val="center"/>
          </w:tcPr>
          <w:p w14:paraId="2473995F">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生香菇</w:t>
            </w:r>
          </w:p>
        </w:tc>
        <w:tc>
          <w:tcPr>
            <w:tcW w:w="861" w:type="dxa"/>
            <w:tcBorders>
              <w:top w:val="single" w:color="auto" w:sz="4" w:space="0"/>
              <w:left w:val="single" w:color="auto" w:sz="4" w:space="0"/>
              <w:bottom w:val="single" w:color="auto" w:sz="4" w:space="0"/>
              <w:right w:val="single" w:color="auto" w:sz="4" w:space="0"/>
            </w:tcBorders>
            <w:vAlign w:val="center"/>
          </w:tcPr>
          <w:p w14:paraId="01CF8BCF">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公斤</w:t>
            </w:r>
          </w:p>
        </w:tc>
        <w:tc>
          <w:tcPr>
            <w:tcW w:w="852" w:type="dxa"/>
            <w:tcBorders>
              <w:top w:val="single" w:color="auto" w:sz="4" w:space="0"/>
              <w:left w:val="single" w:color="auto" w:sz="4" w:space="0"/>
              <w:bottom w:val="single" w:color="auto" w:sz="4" w:space="0"/>
              <w:right w:val="single" w:color="auto" w:sz="4" w:space="0"/>
            </w:tcBorders>
            <w:vAlign w:val="center"/>
          </w:tcPr>
          <w:p w14:paraId="123343D1">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5000</w:t>
            </w:r>
          </w:p>
        </w:tc>
        <w:tc>
          <w:tcPr>
            <w:tcW w:w="1298" w:type="dxa"/>
            <w:tcBorders>
              <w:top w:val="single" w:color="auto" w:sz="4" w:space="0"/>
              <w:left w:val="single" w:color="auto" w:sz="4" w:space="0"/>
              <w:bottom w:val="single" w:color="auto" w:sz="4" w:space="0"/>
              <w:right w:val="single" w:color="auto" w:sz="4" w:space="0"/>
            </w:tcBorders>
            <w:vAlign w:val="center"/>
          </w:tcPr>
          <w:p w14:paraId="53BD6492">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 xml:space="preserve">16.60 </w:t>
            </w:r>
          </w:p>
        </w:tc>
        <w:tc>
          <w:tcPr>
            <w:tcW w:w="1277" w:type="dxa"/>
            <w:tcBorders>
              <w:top w:val="single" w:color="auto" w:sz="4" w:space="0"/>
              <w:left w:val="single" w:color="auto" w:sz="4" w:space="0"/>
              <w:bottom w:val="single" w:color="auto" w:sz="4" w:space="0"/>
              <w:right w:val="single" w:color="auto" w:sz="4" w:space="0"/>
            </w:tcBorders>
            <w:vAlign w:val="center"/>
          </w:tcPr>
          <w:p w14:paraId="23C81600">
            <w:pPr>
              <w:widowControl/>
              <w:jc w:val="center"/>
              <w:textAlignment w:val="center"/>
              <w:rPr>
                <w:rFonts w:ascii="宋体" w:hAnsi="宋体"/>
                <w:sz w:val="22"/>
                <w:szCs w:val="22"/>
              </w:rPr>
            </w:pPr>
            <w:r>
              <w:rPr>
                <w:rFonts w:hint="eastAsia" w:ascii="宋体" w:hAnsi="宋体" w:cs="宋体"/>
                <w:kern w:val="0"/>
                <w:sz w:val="20"/>
                <w:szCs w:val="20"/>
                <w:lang w:bidi="ar"/>
              </w:rPr>
              <w:t xml:space="preserve">83000 </w:t>
            </w:r>
          </w:p>
        </w:tc>
        <w:tc>
          <w:tcPr>
            <w:tcW w:w="3403" w:type="dxa"/>
            <w:tcBorders>
              <w:top w:val="single" w:color="auto" w:sz="4" w:space="0"/>
              <w:left w:val="single" w:color="auto" w:sz="4" w:space="0"/>
              <w:bottom w:val="single" w:color="auto" w:sz="4" w:space="0"/>
              <w:right w:val="single" w:color="auto" w:sz="4" w:space="0"/>
            </w:tcBorders>
            <w:vAlign w:val="center"/>
          </w:tcPr>
          <w:p w14:paraId="4E00B320">
            <w:pPr>
              <w:widowControl/>
              <w:jc w:val="left"/>
              <w:textAlignment w:val="center"/>
              <w:rPr>
                <w:rFonts w:ascii="宋体" w:hAnsi="宋体" w:cs="宋体"/>
                <w:szCs w:val="21"/>
              </w:rPr>
            </w:pPr>
            <w:r>
              <w:rPr>
                <w:rFonts w:hint="eastAsia" w:ascii="宋体" w:hAnsi="宋体" w:cs="宋体"/>
                <w:kern w:val="0"/>
                <w:sz w:val="20"/>
                <w:szCs w:val="20"/>
                <w:lang w:bidi="ar"/>
              </w:rPr>
              <w:t>色呈淡黄色紫褐色，气味香浓，实体完整，肉质结实，大小均匀，无虫眼、霉烂，未发水；蔬菜残留农药检测合格。</w:t>
            </w:r>
          </w:p>
        </w:tc>
      </w:tr>
      <w:tr w14:paraId="783C8A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671" w:type="dxa"/>
            <w:vMerge w:val="continue"/>
            <w:tcBorders>
              <w:left w:val="single" w:color="auto" w:sz="4" w:space="0"/>
              <w:right w:val="single" w:color="auto" w:sz="4" w:space="0"/>
            </w:tcBorders>
            <w:vAlign w:val="center"/>
          </w:tcPr>
          <w:p w14:paraId="5D7A1142">
            <w:pPr>
              <w:spacing w:line="380" w:lineRule="exact"/>
              <w:jc w:val="center"/>
              <w:rPr>
                <w:rFonts w:ascii="宋体" w:hAnsi="宋体" w:cs="宋体"/>
                <w:szCs w:val="21"/>
              </w:rPr>
            </w:pPr>
          </w:p>
        </w:tc>
        <w:tc>
          <w:tcPr>
            <w:tcW w:w="44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EF4E772">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29</w:t>
            </w:r>
          </w:p>
        </w:tc>
        <w:tc>
          <w:tcPr>
            <w:tcW w:w="911" w:type="dxa"/>
            <w:tcBorders>
              <w:top w:val="single" w:color="auto" w:sz="4" w:space="0"/>
              <w:left w:val="single" w:color="auto" w:sz="4" w:space="0"/>
              <w:bottom w:val="single" w:color="auto" w:sz="4" w:space="0"/>
              <w:right w:val="single" w:color="auto" w:sz="4" w:space="0"/>
            </w:tcBorders>
            <w:vAlign w:val="center"/>
          </w:tcPr>
          <w:p w14:paraId="045FCB6C">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水豆腐</w:t>
            </w:r>
          </w:p>
        </w:tc>
        <w:tc>
          <w:tcPr>
            <w:tcW w:w="861" w:type="dxa"/>
            <w:tcBorders>
              <w:top w:val="single" w:color="auto" w:sz="4" w:space="0"/>
              <w:left w:val="single" w:color="auto" w:sz="4" w:space="0"/>
              <w:bottom w:val="single" w:color="auto" w:sz="4" w:space="0"/>
              <w:right w:val="single" w:color="auto" w:sz="4" w:space="0"/>
            </w:tcBorders>
            <w:vAlign w:val="center"/>
          </w:tcPr>
          <w:p w14:paraId="6A0B9AE4">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公斤</w:t>
            </w:r>
          </w:p>
        </w:tc>
        <w:tc>
          <w:tcPr>
            <w:tcW w:w="852" w:type="dxa"/>
            <w:tcBorders>
              <w:top w:val="single" w:color="auto" w:sz="4" w:space="0"/>
              <w:left w:val="single" w:color="auto" w:sz="4" w:space="0"/>
              <w:bottom w:val="single" w:color="auto" w:sz="4" w:space="0"/>
              <w:right w:val="single" w:color="auto" w:sz="4" w:space="0"/>
            </w:tcBorders>
            <w:vAlign w:val="center"/>
          </w:tcPr>
          <w:p w14:paraId="5A42008E">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10000</w:t>
            </w:r>
          </w:p>
        </w:tc>
        <w:tc>
          <w:tcPr>
            <w:tcW w:w="1298" w:type="dxa"/>
            <w:tcBorders>
              <w:top w:val="single" w:color="auto" w:sz="4" w:space="0"/>
              <w:left w:val="single" w:color="auto" w:sz="4" w:space="0"/>
              <w:bottom w:val="single" w:color="auto" w:sz="4" w:space="0"/>
              <w:right w:val="single" w:color="auto" w:sz="4" w:space="0"/>
            </w:tcBorders>
            <w:vAlign w:val="center"/>
          </w:tcPr>
          <w:p w14:paraId="311C3EB9">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 xml:space="preserve">6.40 </w:t>
            </w:r>
          </w:p>
        </w:tc>
        <w:tc>
          <w:tcPr>
            <w:tcW w:w="1277" w:type="dxa"/>
            <w:tcBorders>
              <w:top w:val="single" w:color="auto" w:sz="4" w:space="0"/>
              <w:left w:val="single" w:color="auto" w:sz="4" w:space="0"/>
              <w:bottom w:val="single" w:color="auto" w:sz="4" w:space="0"/>
              <w:right w:val="single" w:color="auto" w:sz="4" w:space="0"/>
            </w:tcBorders>
            <w:vAlign w:val="center"/>
          </w:tcPr>
          <w:p w14:paraId="239F11B5">
            <w:pPr>
              <w:widowControl/>
              <w:jc w:val="center"/>
              <w:textAlignment w:val="center"/>
              <w:rPr>
                <w:rFonts w:ascii="宋体" w:hAnsi="宋体"/>
                <w:sz w:val="22"/>
                <w:szCs w:val="22"/>
              </w:rPr>
            </w:pPr>
            <w:r>
              <w:rPr>
                <w:rFonts w:hint="eastAsia" w:ascii="宋体" w:hAnsi="宋体" w:cs="宋体"/>
                <w:kern w:val="0"/>
                <w:sz w:val="20"/>
                <w:szCs w:val="20"/>
                <w:lang w:bidi="ar"/>
              </w:rPr>
              <w:t xml:space="preserve">64000 </w:t>
            </w:r>
          </w:p>
        </w:tc>
        <w:tc>
          <w:tcPr>
            <w:tcW w:w="3403" w:type="dxa"/>
            <w:tcBorders>
              <w:top w:val="single" w:color="auto" w:sz="4" w:space="0"/>
              <w:left w:val="single" w:color="auto" w:sz="4" w:space="0"/>
              <w:bottom w:val="single" w:color="auto" w:sz="4" w:space="0"/>
              <w:right w:val="single" w:color="auto" w:sz="4" w:space="0"/>
            </w:tcBorders>
            <w:vAlign w:val="center"/>
          </w:tcPr>
          <w:p w14:paraId="2876FFB5">
            <w:pPr>
              <w:widowControl/>
              <w:jc w:val="left"/>
              <w:textAlignment w:val="center"/>
              <w:rPr>
                <w:rFonts w:ascii="宋体" w:hAnsi="宋体" w:cs="宋体"/>
                <w:szCs w:val="21"/>
              </w:rPr>
            </w:pPr>
            <w:r>
              <w:rPr>
                <w:rFonts w:hint="eastAsia" w:ascii="宋体" w:hAnsi="宋体" w:cs="宋体"/>
                <w:kern w:val="0"/>
                <w:sz w:val="20"/>
                <w:szCs w:val="20"/>
                <w:lang w:bidi="ar"/>
              </w:rPr>
              <w:t>豆腐颜色洁白，有光泽，板豆腐</w:t>
            </w:r>
            <w:r>
              <w:rPr>
                <w:rFonts w:hint="eastAsia" w:ascii="宋体" w:hAnsi="宋体" w:cs="宋体"/>
                <w:kern w:val="0"/>
                <w:sz w:val="20"/>
                <w:szCs w:val="20"/>
                <w:highlight w:val="yellow"/>
                <w:lang w:bidi="ar"/>
              </w:rPr>
              <w:t>成型</w:t>
            </w:r>
            <w:r>
              <w:rPr>
                <w:rFonts w:hint="eastAsia" w:ascii="宋体" w:hAnsi="宋体" w:cs="宋体"/>
                <w:kern w:val="0"/>
                <w:sz w:val="20"/>
                <w:szCs w:val="20"/>
                <w:lang w:bidi="ar"/>
              </w:rPr>
              <w:t>完整，厚薄一致，结构紧密，富有弹性，刀品光亮，有豆香味。质量达到《国家食品安全法》相关规定并符合行业或国家相关标准。</w:t>
            </w:r>
          </w:p>
        </w:tc>
      </w:tr>
      <w:tr w14:paraId="4F36D4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671" w:type="dxa"/>
            <w:vMerge w:val="continue"/>
            <w:tcBorders>
              <w:left w:val="single" w:color="auto" w:sz="4" w:space="0"/>
              <w:right w:val="single" w:color="auto" w:sz="4" w:space="0"/>
            </w:tcBorders>
            <w:vAlign w:val="center"/>
          </w:tcPr>
          <w:p w14:paraId="458764F7">
            <w:pPr>
              <w:spacing w:line="380" w:lineRule="exact"/>
              <w:jc w:val="center"/>
              <w:rPr>
                <w:rFonts w:ascii="宋体" w:hAnsi="宋体" w:cs="宋体"/>
                <w:szCs w:val="21"/>
              </w:rPr>
            </w:pPr>
          </w:p>
        </w:tc>
        <w:tc>
          <w:tcPr>
            <w:tcW w:w="44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639237B">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30</w:t>
            </w:r>
          </w:p>
        </w:tc>
        <w:tc>
          <w:tcPr>
            <w:tcW w:w="911" w:type="dxa"/>
            <w:tcBorders>
              <w:top w:val="single" w:color="auto" w:sz="4" w:space="0"/>
              <w:left w:val="single" w:color="auto" w:sz="4" w:space="0"/>
              <w:bottom w:val="single" w:color="auto" w:sz="4" w:space="0"/>
              <w:right w:val="single" w:color="auto" w:sz="4" w:space="0"/>
            </w:tcBorders>
            <w:vAlign w:val="center"/>
          </w:tcPr>
          <w:p w14:paraId="09131807">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油豆腐</w:t>
            </w:r>
          </w:p>
        </w:tc>
        <w:tc>
          <w:tcPr>
            <w:tcW w:w="861" w:type="dxa"/>
            <w:tcBorders>
              <w:top w:val="single" w:color="auto" w:sz="4" w:space="0"/>
              <w:left w:val="single" w:color="auto" w:sz="4" w:space="0"/>
              <w:bottom w:val="single" w:color="auto" w:sz="4" w:space="0"/>
              <w:right w:val="single" w:color="auto" w:sz="4" w:space="0"/>
            </w:tcBorders>
            <w:vAlign w:val="center"/>
          </w:tcPr>
          <w:p w14:paraId="3C8D7F36">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公斤</w:t>
            </w:r>
          </w:p>
        </w:tc>
        <w:tc>
          <w:tcPr>
            <w:tcW w:w="852" w:type="dxa"/>
            <w:tcBorders>
              <w:top w:val="single" w:color="auto" w:sz="4" w:space="0"/>
              <w:left w:val="single" w:color="auto" w:sz="4" w:space="0"/>
              <w:bottom w:val="single" w:color="auto" w:sz="4" w:space="0"/>
              <w:right w:val="single" w:color="auto" w:sz="4" w:space="0"/>
            </w:tcBorders>
            <w:vAlign w:val="center"/>
          </w:tcPr>
          <w:p w14:paraId="1B561D13">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10000</w:t>
            </w:r>
          </w:p>
        </w:tc>
        <w:tc>
          <w:tcPr>
            <w:tcW w:w="1298" w:type="dxa"/>
            <w:tcBorders>
              <w:top w:val="single" w:color="auto" w:sz="4" w:space="0"/>
              <w:left w:val="single" w:color="auto" w:sz="4" w:space="0"/>
              <w:bottom w:val="single" w:color="auto" w:sz="4" w:space="0"/>
              <w:right w:val="single" w:color="auto" w:sz="4" w:space="0"/>
            </w:tcBorders>
            <w:vAlign w:val="center"/>
          </w:tcPr>
          <w:p w14:paraId="51A62F4D">
            <w:pPr>
              <w:widowControl/>
              <w:jc w:val="center"/>
              <w:textAlignment w:val="center"/>
              <w:rPr>
                <w:rFonts w:ascii="宋体" w:hAnsi="宋体" w:cs="宋体"/>
                <w:kern w:val="0"/>
                <w:sz w:val="22"/>
                <w:szCs w:val="22"/>
                <w:lang w:bidi="ar"/>
              </w:rPr>
            </w:pPr>
            <w:r>
              <w:rPr>
                <w:rFonts w:hint="eastAsia" w:ascii="宋体" w:hAnsi="宋体" w:cs="宋体"/>
                <w:kern w:val="0"/>
                <w:sz w:val="20"/>
                <w:szCs w:val="20"/>
                <w:lang w:bidi="ar"/>
              </w:rPr>
              <w:t xml:space="preserve">16.40 </w:t>
            </w:r>
          </w:p>
        </w:tc>
        <w:tc>
          <w:tcPr>
            <w:tcW w:w="1277" w:type="dxa"/>
            <w:tcBorders>
              <w:top w:val="single" w:color="auto" w:sz="4" w:space="0"/>
              <w:left w:val="single" w:color="auto" w:sz="4" w:space="0"/>
              <w:bottom w:val="single" w:color="auto" w:sz="4" w:space="0"/>
              <w:right w:val="single" w:color="auto" w:sz="4" w:space="0"/>
            </w:tcBorders>
            <w:vAlign w:val="center"/>
          </w:tcPr>
          <w:p w14:paraId="6F718F29">
            <w:pPr>
              <w:widowControl/>
              <w:jc w:val="center"/>
              <w:textAlignment w:val="center"/>
              <w:rPr>
                <w:rFonts w:ascii="宋体" w:hAnsi="宋体"/>
                <w:sz w:val="22"/>
                <w:szCs w:val="22"/>
              </w:rPr>
            </w:pPr>
            <w:r>
              <w:rPr>
                <w:rFonts w:hint="eastAsia" w:ascii="宋体" w:hAnsi="宋体" w:cs="宋体"/>
                <w:kern w:val="0"/>
                <w:sz w:val="20"/>
                <w:szCs w:val="20"/>
                <w:lang w:bidi="ar"/>
              </w:rPr>
              <w:t xml:space="preserve">164000 </w:t>
            </w:r>
          </w:p>
        </w:tc>
        <w:tc>
          <w:tcPr>
            <w:tcW w:w="3403" w:type="dxa"/>
            <w:tcBorders>
              <w:top w:val="single" w:color="auto" w:sz="4" w:space="0"/>
              <w:left w:val="single" w:color="auto" w:sz="4" w:space="0"/>
              <w:bottom w:val="single" w:color="auto" w:sz="4" w:space="0"/>
              <w:right w:val="single" w:color="auto" w:sz="4" w:space="0"/>
            </w:tcBorders>
            <w:vAlign w:val="center"/>
          </w:tcPr>
          <w:p w14:paraId="728E1133">
            <w:pPr>
              <w:widowControl/>
              <w:jc w:val="left"/>
              <w:textAlignment w:val="center"/>
              <w:rPr>
                <w:rFonts w:ascii="宋体" w:hAnsi="宋体" w:cs="宋体"/>
                <w:szCs w:val="21"/>
              </w:rPr>
            </w:pPr>
            <w:r>
              <w:rPr>
                <w:rFonts w:hint="eastAsia" w:ascii="宋体" w:hAnsi="宋体" w:cs="宋体"/>
                <w:kern w:val="0"/>
                <w:sz w:val="20"/>
                <w:szCs w:val="20"/>
                <w:lang w:bidi="ar"/>
              </w:rPr>
              <w:t>豆腐皮厚柔软，无实心，色泽金黄，富有弹性，结构紧密，富有弹性，有豆香味。质量达到《国家食品安全法》相关规定并符合行业或国家相关标准。</w:t>
            </w:r>
          </w:p>
        </w:tc>
      </w:tr>
      <w:tr w14:paraId="04D8B1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47" w:hRule="atLeast"/>
          <w:jc w:val="center"/>
        </w:trPr>
        <w:tc>
          <w:tcPr>
            <w:tcW w:w="671" w:type="dxa"/>
            <w:tcBorders>
              <w:top w:val="single" w:color="auto" w:sz="4" w:space="0"/>
              <w:left w:val="single" w:color="auto" w:sz="4" w:space="0"/>
              <w:bottom w:val="single" w:color="auto" w:sz="4" w:space="0"/>
              <w:right w:val="single" w:color="auto" w:sz="4" w:space="0"/>
            </w:tcBorders>
          </w:tcPr>
          <w:p w14:paraId="058BBF83">
            <w:pPr>
              <w:spacing w:line="380" w:lineRule="exact"/>
              <w:jc w:val="center"/>
              <w:rPr>
                <w:rFonts w:ascii="宋体" w:hAnsi="宋体" w:cs="宋体"/>
                <w:szCs w:val="21"/>
              </w:rPr>
            </w:pPr>
          </w:p>
          <w:p w14:paraId="5D3EB332">
            <w:pPr>
              <w:spacing w:line="380" w:lineRule="exact"/>
              <w:jc w:val="center"/>
              <w:rPr>
                <w:rFonts w:ascii="宋体" w:hAnsi="宋体" w:cs="宋体"/>
                <w:szCs w:val="21"/>
              </w:rPr>
            </w:pPr>
          </w:p>
          <w:p w14:paraId="496D5E41">
            <w:pPr>
              <w:spacing w:line="380" w:lineRule="exact"/>
              <w:jc w:val="center"/>
              <w:rPr>
                <w:rFonts w:ascii="宋体" w:hAnsi="宋体" w:cs="宋体"/>
                <w:szCs w:val="21"/>
              </w:rPr>
            </w:pPr>
            <w:r>
              <w:rPr>
                <w:rFonts w:hint="eastAsia" w:ascii="宋体" w:hAnsi="宋体" w:cs="宋体"/>
                <w:szCs w:val="21"/>
              </w:rPr>
              <w:t>商务条款</w:t>
            </w:r>
          </w:p>
        </w:tc>
        <w:tc>
          <w:tcPr>
            <w:tcW w:w="9049" w:type="dxa"/>
            <w:gridSpan w:val="7"/>
            <w:tcBorders>
              <w:top w:val="single" w:color="auto" w:sz="4" w:space="0"/>
              <w:left w:val="single" w:color="auto" w:sz="4" w:space="0"/>
              <w:bottom w:val="single" w:color="auto" w:sz="4" w:space="0"/>
              <w:right w:val="single" w:color="auto" w:sz="4" w:space="0"/>
            </w:tcBorders>
          </w:tcPr>
          <w:p w14:paraId="03C5BC55">
            <w:pPr>
              <w:spacing w:line="360" w:lineRule="auto"/>
              <w:rPr>
                <w:szCs w:val="21"/>
              </w:rPr>
            </w:pPr>
            <w:r>
              <w:rPr>
                <w:rFonts w:hint="eastAsia" w:ascii="宋体" w:hAnsi="宋体" w:cs="宋体"/>
                <w:szCs w:val="21"/>
              </w:rPr>
              <w:t>▲</w:t>
            </w:r>
            <w:r>
              <w:rPr>
                <w:rFonts w:hint="eastAsia"/>
                <w:szCs w:val="21"/>
              </w:rPr>
              <w:t>1．报价要求</w:t>
            </w:r>
          </w:p>
          <w:p w14:paraId="53D6BEC0">
            <w:pPr>
              <w:spacing w:line="360" w:lineRule="auto"/>
              <w:rPr>
                <w:rFonts w:ascii="宋体" w:hAnsi="宋体" w:cs="宋体"/>
                <w:szCs w:val="21"/>
              </w:rPr>
            </w:pPr>
            <w:r>
              <w:rPr>
                <w:rFonts w:hint="eastAsia" w:ascii="宋体" w:hAnsi="宋体" w:cs="宋体"/>
                <w:szCs w:val="21"/>
              </w:rPr>
              <w:t>（1）投标报价按投标折扣系数报价，供应商的投标单价为招标基准单价×投标报价折扣系数。报价包括货物及服务采购、检验检测、包装、运输、仓储、人工费及招标代理费等各种费用和售后服务、税金及其它所有成本费用的总和。采购人不再支付任何费用。</w:t>
            </w:r>
            <w:r>
              <w:rPr>
                <w:rFonts w:hint="eastAsia" w:ascii="宋体" w:hAnsi="宋体" w:cs="宋体"/>
                <w:b/>
                <w:szCs w:val="21"/>
              </w:rPr>
              <w:t>投标人的投标报价折扣系数必须≤100%，否则，投标文件按无效处理；投标文件只允许有一个报价方案，有选择的或有条件的报价将不予接受。</w:t>
            </w:r>
          </w:p>
          <w:p w14:paraId="7060BC97">
            <w:pPr>
              <w:spacing w:line="360" w:lineRule="auto"/>
              <w:rPr>
                <w:rFonts w:ascii="宋体" w:hAnsi="宋体" w:cs="宋体"/>
                <w:szCs w:val="21"/>
              </w:rPr>
            </w:pPr>
            <w:r>
              <w:rPr>
                <w:rFonts w:hint="eastAsia" w:ascii="宋体" w:hAnsi="宋体" w:cs="宋体"/>
                <w:szCs w:val="21"/>
              </w:rPr>
              <w:t>（2）本项目采用单价控制，即供应商的各项货物单价报价不能超出采购需求表中给出的招标基准单价，否则投标无效。</w:t>
            </w:r>
          </w:p>
          <w:p w14:paraId="4A2FDBD3">
            <w:pPr>
              <w:spacing w:line="360" w:lineRule="auto"/>
              <w:rPr>
                <w:rFonts w:ascii="宋体" w:hAnsi="宋体" w:cs="宋体"/>
                <w:szCs w:val="21"/>
              </w:rPr>
            </w:pPr>
            <w:r>
              <w:rPr>
                <w:rFonts w:hint="eastAsia" w:ascii="宋体" w:hAnsi="宋体" w:cs="宋体"/>
                <w:szCs w:val="21"/>
              </w:rPr>
              <w:t>（3）该分标在合同期内不予调价。</w:t>
            </w:r>
          </w:p>
          <w:p w14:paraId="291107F1">
            <w:pPr>
              <w:spacing w:line="360" w:lineRule="auto"/>
              <w:rPr>
                <w:szCs w:val="21"/>
              </w:rPr>
            </w:pPr>
            <w:r>
              <w:rPr>
                <w:rFonts w:hint="eastAsia" w:ascii="宋体" w:hAnsi="宋体" w:cs="宋体"/>
                <w:szCs w:val="21"/>
              </w:rPr>
              <w:t>（4）以上采购数量为采购人一年的预计采购量。上述采购数量仅作为参考，实际采购数量根据采购人的实际需求确定，供应商不得因实际供应量与中标数量不一致提出异议。</w:t>
            </w:r>
          </w:p>
          <w:p w14:paraId="0D6A7DAC">
            <w:pPr>
              <w:spacing w:line="360" w:lineRule="auto"/>
              <w:rPr>
                <w:szCs w:val="21"/>
              </w:rPr>
            </w:pPr>
            <w:r>
              <w:rPr>
                <w:rFonts w:hint="eastAsia" w:ascii="宋体" w:hAnsi="宋体" w:cs="宋体"/>
                <w:szCs w:val="21"/>
              </w:rPr>
              <w:t>▲</w:t>
            </w:r>
            <w:r>
              <w:rPr>
                <w:rFonts w:hint="eastAsia"/>
                <w:szCs w:val="21"/>
              </w:rPr>
              <w:t>2.合同签订日期</w:t>
            </w:r>
          </w:p>
          <w:p w14:paraId="4963F026">
            <w:pPr>
              <w:spacing w:line="360" w:lineRule="auto"/>
              <w:rPr>
                <w:szCs w:val="21"/>
              </w:rPr>
            </w:pPr>
            <w:r>
              <w:rPr>
                <w:rFonts w:hint="eastAsia"/>
                <w:szCs w:val="21"/>
              </w:rPr>
              <w:t>中标通知书发出后25日内。</w:t>
            </w:r>
          </w:p>
          <w:p w14:paraId="1A00B248">
            <w:pPr>
              <w:spacing w:line="360" w:lineRule="auto"/>
              <w:rPr>
                <w:szCs w:val="21"/>
              </w:rPr>
            </w:pPr>
            <w:r>
              <w:rPr>
                <w:rFonts w:hint="eastAsia" w:ascii="宋体" w:hAnsi="宋体" w:cs="宋体"/>
                <w:szCs w:val="21"/>
              </w:rPr>
              <w:t>▲</w:t>
            </w:r>
            <w:r>
              <w:rPr>
                <w:rFonts w:hint="eastAsia"/>
                <w:szCs w:val="21"/>
              </w:rPr>
              <w:t>3.交货（实施）时间</w:t>
            </w:r>
          </w:p>
          <w:p w14:paraId="27C42AC8">
            <w:pPr>
              <w:spacing w:line="360" w:lineRule="auto"/>
              <w:rPr>
                <w:szCs w:val="21"/>
              </w:rPr>
            </w:pPr>
            <w:r>
              <w:rPr>
                <w:rFonts w:hint="eastAsia" w:ascii="宋体" w:hAnsi="宋体" w:cs="宋体"/>
                <w:szCs w:val="21"/>
              </w:rPr>
              <w:t>自签订合同之日起一年。分批次供货，按采购人采购计划规定的时间供货。</w:t>
            </w:r>
          </w:p>
          <w:p w14:paraId="2BA9FE18">
            <w:pPr>
              <w:spacing w:line="360" w:lineRule="auto"/>
              <w:rPr>
                <w:szCs w:val="21"/>
              </w:rPr>
            </w:pPr>
            <w:r>
              <w:rPr>
                <w:rFonts w:hint="eastAsia"/>
                <w:szCs w:val="21"/>
              </w:rPr>
              <w:t>4.交货地点或服务地点</w:t>
            </w:r>
          </w:p>
          <w:p w14:paraId="3385A47A">
            <w:pPr>
              <w:spacing w:line="360" w:lineRule="auto"/>
              <w:rPr>
                <w:szCs w:val="21"/>
              </w:rPr>
            </w:pPr>
            <w:r>
              <w:rPr>
                <w:rFonts w:hint="eastAsia"/>
              </w:rPr>
              <w:t>广西壮族自治区中渡监狱</w:t>
            </w:r>
          </w:p>
          <w:p w14:paraId="2903BA48">
            <w:pPr>
              <w:spacing w:line="360" w:lineRule="auto"/>
              <w:rPr>
                <w:szCs w:val="21"/>
              </w:rPr>
            </w:pPr>
            <w:r>
              <w:rPr>
                <w:rFonts w:hint="eastAsia"/>
                <w:szCs w:val="21"/>
              </w:rPr>
              <w:t>5.</w:t>
            </w:r>
            <w:r>
              <w:rPr>
                <w:rFonts w:hint="eastAsia"/>
              </w:rPr>
              <w:t xml:space="preserve"> </w:t>
            </w:r>
            <w:r>
              <w:rPr>
                <w:rFonts w:hint="eastAsia"/>
                <w:szCs w:val="21"/>
              </w:rPr>
              <w:t>配送要求：</w:t>
            </w:r>
          </w:p>
          <w:p w14:paraId="0F0E2D75">
            <w:pPr>
              <w:spacing w:line="360" w:lineRule="auto"/>
              <w:rPr>
                <w:szCs w:val="21"/>
              </w:rPr>
            </w:pPr>
            <w:r>
              <w:rPr>
                <w:rFonts w:hint="eastAsia"/>
                <w:szCs w:val="21"/>
              </w:rPr>
              <w:t>（1）供应商必须按照采购人通知的时间、数量、品种、品质要求及协定的价格准时送货，且不得随意增减数量，否则，采购人有权拒收，且承担相应的经济赔偿。</w:t>
            </w:r>
          </w:p>
          <w:p w14:paraId="2DF2980E">
            <w:pPr>
              <w:spacing w:line="360" w:lineRule="auto"/>
              <w:rPr>
                <w:szCs w:val="21"/>
              </w:rPr>
            </w:pPr>
            <w:r>
              <w:rPr>
                <w:rFonts w:hint="eastAsia"/>
                <w:szCs w:val="21"/>
              </w:rPr>
              <w:t>（2）在收到采购人发出订货通知后，供应商最迟在次日上午8时前必须到达监管区大门。</w:t>
            </w:r>
          </w:p>
          <w:p w14:paraId="4EC00D8D">
            <w:pPr>
              <w:spacing w:line="360" w:lineRule="auto"/>
              <w:rPr>
                <w:szCs w:val="21"/>
              </w:rPr>
            </w:pPr>
            <w:r>
              <w:rPr>
                <w:rFonts w:hint="eastAsia"/>
                <w:szCs w:val="21"/>
              </w:rPr>
              <w:t>（3）除客观不可抗力外，供应商不得推迟送货。如确需延迟送货，供应商应在得知情况的同时告知采购人并征得采购人的同意。</w:t>
            </w:r>
          </w:p>
          <w:p w14:paraId="38D4CA77">
            <w:pPr>
              <w:spacing w:line="360" w:lineRule="auto"/>
              <w:rPr>
                <w:szCs w:val="21"/>
              </w:rPr>
            </w:pPr>
            <w:r>
              <w:rPr>
                <w:rFonts w:hint="eastAsia"/>
                <w:szCs w:val="21"/>
              </w:rPr>
              <w:t>（4）紧急供货要求：在收到采购人发出紧急供货通知后，供应商最迟2小时内完成当次现场供货。</w:t>
            </w:r>
          </w:p>
          <w:p w14:paraId="566814D1">
            <w:pPr>
              <w:spacing w:line="360" w:lineRule="auto"/>
              <w:rPr>
                <w:szCs w:val="21"/>
              </w:rPr>
            </w:pPr>
            <w:r>
              <w:rPr>
                <w:rFonts w:hint="eastAsia"/>
                <w:szCs w:val="21"/>
              </w:rPr>
              <w:t>（5）供应商必须在双方约定的时间内将货物使用冷链车配送到采购方指定的地点，装卸人员由供应商安排，运输、装卸费用由供应商承担，如出现不合格、损坏的情况，由供应商负责及时调换。</w:t>
            </w:r>
          </w:p>
          <w:p w14:paraId="71F36ABE">
            <w:pPr>
              <w:spacing w:line="360" w:lineRule="auto"/>
              <w:rPr>
                <w:szCs w:val="21"/>
              </w:rPr>
            </w:pPr>
            <w:r>
              <w:rPr>
                <w:rFonts w:hint="eastAsia"/>
                <w:szCs w:val="21"/>
              </w:rPr>
              <w:t>（6）供应商必须由有健康证且无犯罪记录证明的固定人员及固定车辆长期送货（本分标至少配备2名固定人员和2辆冷链车），且必须穿着便于辨认的工衣和配戴胸卡，在办理好进入监区相关手续后不得变动，如临时非固定人员送货，须取得采购方同意。送货专员在采购人单位活动必须严格遵守采购人单位各项规章制度，不得做出有损采购人形象和利益的事情。（投标文件中必须提供固定人员有效的劳动合同扫描件、有效期内的身份证扫描件、有效的健康证扫描件、无犯罪记录证明，拟配备车辆须提供车辆行驶证或机动车登记证及车辆照片扫描件）。</w:t>
            </w:r>
          </w:p>
          <w:p w14:paraId="2252EC8B">
            <w:pPr>
              <w:spacing w:line="360" w:lineRule="auto"/>
              <w:rPr>
                <w:szCs w:val="21"/>
              </w:rPr>
            </w:pPr>
            <w:r>
              <w:rPr>
                <w:rFonts w:hint="eastAsia"/>
                <w:szCs w:val="21"/>
              </w:rPr>
              <w:t>（7）供应商可在投标文件中单独提供本分标针对性的配送服务及应急方案。（格式自拟）</w:t>
            </w:r>
          </w:p>
          <w:p w14:paraId="62494B2A">
            <w:pPr>
              <w:spacing w:line="360" w:lineRule="auto"/>
              <w:rPr>
                <w:szCs w:val="21"/>
              </w:rPr>
            </w:pPr>
            <w:r>
              <w:rPr>
                <w:rFonts w:hint="eastAsia"/>
                <w:szCs w:val="21"/>
              </w:rPr>
              <w:t>6.供应商提供的货物必须是具有合法销售途径的、完整、新鲜合格产品。货物的技术质量必须符合中华人民共和国农产品质量安全法等有关规定。</w:t>
            </w:r>
          </w:p>
          <w:p w14:paraId="30D56CB7">
            <w:pPr>
              <w:spacing w:line="360" w:lineRule="auto"/>
            </w:pPr>
            <w:r>
              <w:rPr>
                <w:rFonts w:hint="eastAsia"/>
                <w:szCs w:val="21"/>
              </w:rPr>
              <w:t>7.供应商要遵守采购人的防疫采购要求。</w:t>
            </w:r>
          </w:p>
          <w:p w14:paraId="06B875E3">
            <w:pPr>
              <w:spacing w:line="360" w:lineRule="auto"/>
            </w:pPr>
            <w:r>
              <w:rPr>
                <w:rFonts w:hint="eastAsia"/>
              </w:rPr>
              <w:t>8.包装要求：根据《财政部等三部门联合印发商品包装和快递包装政府采购需求标准（试行）》财办库〔2020〕123号文规定，若投标产品使用塑料、纸质、木质等包装材料时应满足《商品包装政府采购需求标准（试行）》要求，若投标产品需要快递包装，快递封装材料应满足《快递包装政府采购需求标准（试行）》要求。</w:t>
            </w:r>
          </w:p>
          <w:p w14:paraId="6D8F2AED">
            <w:pPr>
              <w:spacing w:line="360" w:lineRule="auto"/>
              <w:rPr>
                <w:szCs w:val="21"/>
              </w:rPr>
            </w:pPr>
            <w:r>
              <w:rPr>
                <w:rFonts w:hint="eastAsia"/>
                <w:szCs w:val="21"/>
              </w:rPr>
              <w:t>9.供货时，供应商必须提供以下证明文件：</w:t>
            </w:r>
          </w:p>
          <w:p w14:paraId="286EBF69">
            <w:pPr>
              <w:spacing w:line="360" w:lineRule="auto"/>
              <w:rPr>
                <w:szCs w:val="21"/>
              </w:rPr>
            </w:pPr>
            <w:r>
              <w:rPr>
                <w:rFonts w:hint="eastAsia"/>
                <w:szCs w:val="21"/>
              </w:rPr>
              <w:t>（1）每批货物必须提供相关的质量安全检验合格证明。</w:t>
            </w:r>
          </w:p>
          <w:p w14:paraId="3BB1D59E">
            <w:pPr>
              <w:spacing w:line="360" w:lineRule="auto"/>
              <w:rPr>
                <w:szCs w:val="21"/>
              </w:rPr>
            </w:pPr>
            <w:r>
              <w:rPr>
                <w:rFonts w:hint="eastAsia"/>
                <w:szCs w:val="21"/>
              </w:rPr>
              <w:t>（2）供应商每次随货物送上一式两份的送货清单，经双方验收合格后签字确认，双方各执一份，作为送收货凭证。供应商的送货清单必须详细注明商品的单价、数量，送货清单不得涂改。标记不清的，采购人将拒绝签收。结算期末供应商还应提供送货清单供采购人结算。</w:t>
            </w:r>
          </w:p>
          <w:p w14:paraId="305CEA43">
            <w:pPr>
              <w:spacing w:line="360" w:lineRule="auto"/>
              <w:rPr>
                <w:szCs w:val="21"/>
              </w:rPr>
            </w:pPr>
            <w:r>
              <w:rPr>
                <w:rFonts w:hint="eastAsia"/>
                <w:szCs w:val="21"/>
              </w:rPr>
              <w:t>10.交货验收必须由采购人和供应商共同进行，采购人如认为有需要的，可委托相关检验部门对产品进行抽检，自检或检验部门抽检不合格的不给予验收，影响采购人实施进度的将追究相关责任，抽检所产生的费用全部由供应商负责。</w:t>
            </w:r>
          </w:p>
          <w:p w14:paraId="7793DA56">
            <w:pPr>
              <w:spacing w:line="360" w:lineRule="auto"/>
              <w:rPr>
                <w:szCs w:val="21"/>
              </w:rPr>
            </w:pPr>
            <w:r>
              <w:rPr>
                <w:rFonts w:hint="eastAsia"/>
                <w:szCs w:val="21"/>
              </w:rPr>
              <w:t>11.验收工作的一般程序为：根据货物采购清单的具体要求，对所购名称进行清点、外观检查进行实测，并逐项记录。检测结束后，验收人员在验收单上签字。对未能通过验收的，一律退货、更换直至验收合格。</w:t>
            </w:r>
          </w:p>
          <w:p w14:paraId="7E2C18D0">
            <w:pPr>
              <w:spacing w:line="360" w:lineRule="auto"/>
              <w:rPr>
                <w:szCs w:val="21"/>
              </w:rPr>
            </w:pPr>
            <w:r>
              <w:rPr>
                <w:rFonts w:hint="eastAsia"/>
                <w:szCs w:val="21"/>
              </w:rPr>
              <w:t>12.</w:t>
            </w:r>
            <w:r>
              <w:rPr>
                <w:rFonts w:hint="eastAsia"/>
                <w:color w:val="0000FF"/>
                <w:szCs w:val="21"/>
              </w:rPr>
              <w:t>供应商必须遵守国家保密法规和采购人保密规定要求，未经采购人有关人员允许，不得随意进出各办公场所，不得翻阅文件，不得浏览计算机，不得记录、泄露任何保密信息，否则承担一切法律后果。</w:t>
            </w:r>
            <w:r>
              <w:rPr>
                <w:rFonts w:hint="eastAsia"/>
                <w:szCs w:val="21"/>
              </w:rPr>
              <w:t>泄密造成采购人损失的，供应商将承担由此产生的一切损失和法律责任，供应商必须在投标文件中单独提供承诺函，并由法定代表人（负责人）签字并加盖单位公章（格式自拟）。</w:t>
            </w:r>
          </w:p>
          <w:p w14:paraId="7CC0E243">
            <w:pPr>
              <w:spacing w:line="360" w:lineRule="auto"/>
              <w:rPr>
                <w:szCs w:val="21"/>
              </w:rPr>
            </w:pPr>
            <w:r>
              <w:rPr>
                <w:rFonts w:hint="eastAsia"/>
                <w:szCs w:val="21"/>
              </w:rPr>
              <w:t>13.及时落实采购人安排的食材突击供应任务。</w:t>
            </w:r>
          </w:p>
          <w:p w14:paraId="0EB52A8A">
            <w:pPr>
              <w:spacing w:line="360" w:lineRule="auto"/>
              <w:rPr>
                <w:szCs w:val="21"/>
              </w:rPr>
            </w:pPr>
            <w:r>
              <w:rPr>
                <w:rFonts w:hint="eastAsia"/>
                <w:szCs w:val="21"/>
              </w:rPr>
              <w:t>14.安全责任方面要求</w:t>
            </w:r>
          </w:p>
          <w:p w14:paraId="572DAFE5">
            <w:pPr>
              <w:spacing w:line="360" w:lineRule="auto"/>
              <w:rPr>
                <w:szCs w:val="21"/>
              </w:rPr>
            </w:pPr>
            <w:r>
              <w:rPr>
                <w:rFonts w:hint="eastAsia"/>
                <w:szCs w:val="21"/>
              </w:rPr>
              <w:t>（1）供应商应保证所提供的的食品必须是合格安全的食品，因其所送的食品造成食物中毒等事故，立即终止合同，供应商应承担全部责任，同时通过法律途径解决。</w:t>
            </w:r>
          </w:p>
          <w:p w14:paraId="0EC1D423">
            <w:pPr>
              <w:spacing w:line="360" w:lineRule="auto"/>
              <w:rPr>
                <w:szCs w:val="21"/>
              </w:rPr>
            </w:pPr>
            <w:r>
              <w:rPr>
                <w:rFonts w:hint="eastAsia"/>
                <w:szCs w:val="21"/>
              </w:rPr>
              <w:t>（2）供应商应严格遵守《食品安全法》等相关规定，一经发现以下食品，除全部退货外，将取消供货资格，供应商并承担由此造成的经济责任和法律责任：</w:t>
            </w:r>
          </w:p>
          <w:p w14:paraId="3CF4046D">
            <w:pPr>
              <w:spacing w:line="360" w:lineRule="auto"/>
              <w:rPr>
                <w:szCs w:val="21"/>
              </w:rPr>
            </w:pPr>
            <w:r>
              <w:rPr>
                <w:rFonts w:hint="eastAsia"/>
                <w:szCs w:val="21"/>
              </w:rPr>
              <w:t>①食材没有合法供货来源的；</w:t>
            </w:r>
          </w:p>
          <w:p w14:paraId="785AAEE6">
            <w:pPr>
              <w:spacing w:line="360" w:lineRule="auto"/>
              <w:rPr>
                <w:szCs w:val="21"/>
              </w:rPr>
            </w:pPr>
            <w:r>
              <w:rPr>
                <w:rFonts w:hint="eastAsia"/>
                <w:szCs w:val="21"/>
              </w:rPr>
              <w:t>②腐败变质、霉变、生虫、污秽不洁、混有异物或者其他感官性状异常，对人体健康有害的；</w:t>
            </w:r>
          </w:p>
          <w:p w14:paraId="49F49D92">
            <w:pPr>
              <w:spacing w:line="360" w:lineRule="auto"/>
              <w:rPr>
                <w:szCs w:val="21"/>
              </w:rPr>
            </w:pPr>
            <w:r>
              <w:rPr>
                <w:rFonts w:hint="eastAsia"/>
                <w:szCs w:val="21"/>
              </w:rPr>
              <w:t>③含有毒、有害物质或者被有害物质污染，对人体健康有害的；</w:t>
            </w:r>
          </w:p>
          <w:p w14:paraId="484DD928">
            <w:pPr>
              <w:spacing w:line="360" w:lineRule="auto"/>
              <w:rPr>
                <w:szCs w:val="21"/>
              </w:rPr>
            </w:pPr>
            <w:r>
              <w:rPr>
                <w:rFonts w:hint="eastAsia"/>
                <w:szCs w:val="21"/>
              </w:rPr>
              <w:t>④含有致病性寄生虫、微生物或者微生物含量超过国家限定标准的；</w:t>
            </w:r>
          </w:p>
          <w:p w14:paraId="6D90BBAE">
            <w:pPr>
              <w:spacing w:line="360" w:lineRule="auto"/>
              <w:rPr>
                <w:szCs w:val="21"/>
              </w:rPr>
            </w:pPr>
            <w:r>
              <w:rPr>
                <w:rFonts w:hint="eastAsia"/>
                <w:szCs w:val="21"/>
              </w:rPr>
              <w:t>⑤未经检疫部门检疫、检验或者检疫、检验不合格的；</w:t>
            </w:r>
          </w:p>
          <w:p w14:paraId="647CEE7B">
            <w:pPr>
              <w:spacing w:line="360" w:lineRule="auto"/>
              <w:rPr>
                <w:szCs w:val="21"/>
              </w:rPr>
            </w:pPr>
            <w:r>
              <w:rPr>
                <w:rFonts w:hint="eastAsia"/>
                <w:szCs w:val="21"/>
              </w:rPr>
              <w:t>⑥掺假、掺杂、伪造，影响营养、卫生的。</w:t>
            </w:r>
          </w:p>
          <w:p w14:paraId="27D5D0A8">
            <w:pPr>
              <w:spacing w:line="360" w:lineRule="auto"/>
              <w:rPr>
                <w:szCs w:val="21"/>
              </w:rPr>
            </w:pPr>
            <w:r>
              <w:rPr>
                <w:rFonts w:hint="eastAsia"/>
                <w:szCs w:val="21"/>
              </w:rPr>
              <w:t>15.付款方式、时间及条件</w:t>
            </w:r>
          </w:p>
          <w:p w14:paraId="50B28D0E">
            <w:pPr>
              <w:spacing w:line="360" w:lineRule="auto"/>
              <w:rPr>
                <w:szCs w:val="21"/>
              </w:rPr>
            </w:pPr>
            <w:r>
              <w:rPr>
                <w:rFonts w:hint="eastAsia"/>
                <w:szCs w:val="21"/>
              </w:rPr>
              <w:t>（1）</w:t>
            </w:r>
            <w:r>
              <w:rPr>
                <w:szCs w:val="21"/>
              </w:rPr>
              <w:t>分批供货，每批次货款根据双方确认的单价及该批次的供货数量进行结算；</w:t>
            </w:r>
            <w:r>
              <w:rPr>
                <w:rFonts w:hint="eastAsia"/>
                <w:szCs w:val="21"/>
              </w:rPr>
              <w:t>（2）</w:t>
            </w:r>
            <w:r>
              <w:rPr>
                <w:szCs w:val="21"/>
              </w:rPr>
              <w:t>按月结算，采购人在收到中标供应商上月全额发票后</w:t>
            </w:r>
            <w:r>
              <w:rPr>
                <w:rFonts w:hint="eastAsia"/>
                <w:szCs w:val="21"/>
              </w:rPr>
              <w:t>1</w:t>
            </w:r>
            <w:r>
              <w:rPr>
                <w:szCs w:val="21"/>
              </w:rPr>
              <w:t>0个工作日内向中标供应商一次付清上月货物的全部货款。</w:t>
            </w:r>
            <w:r>
              <w:rPr>
                <w:rFonts w:hint="eastAsia"/>
                <w:szCs w:val="21"/>
              </w:rPr>
              <w:t>采购人未收到合格发票的，有权不予支付相应款项，并不承担延迟付款责任。供应商不得要求采购人将货款支付给供应商以外的任何人或公司。 收款方、出具发票方、合同乙方均必须与供应商名称一致。</w:t>
            </w:r>
          </w:p>
          <w:p w14:paraId="6CDA2B9F">
            <w:pPr>
              <w:spacing w:line="360" w:lineRule="auto"/>
              <w:rPr>
                <w:szCs w:val="21"/>
              </w:rPr>
            </w:pPr>
            <w:r>
              <w:rPr>
                <w:rFonts w:hint="eastAsia"/>
                <w:szCs w:val="21"/>
              </w:rPr>
              <w:t>16.履约保证金</w:t>
            </w:r>
          </w:p>
          <w:p w14:paraId="08C8754A">
            <w:pPr>
              <w:spacing w:line="360" w:lineRule="auto"/>
              <w:rPr>
                <w:szCs w:val="21"/>
              </w:rPr>
            </w:pPr>
            <w:r>
              <w:rPr>
                <w:rFonts w:hint="eastAsia"/>
                <w:szCs w:val="21"/>
              </w:rPr>
              <w:t>详见招标文件合同主要条款格式部分</w:t>
            </w:r>
          </w:p>
          <w:p w14:paraId="0D485B8C">
            <w:pPr>
              <w:spacing w:line="360" w:lineRule="auto"/>
              <w:rPr>
                <w:szCs w:val="21"/>
              </w:rPr>
            </w:pPr>
            <w:r>
              <w:rPr>
                <w:rFonts w:hint="eastAsia" w:ascii="宋体" w:hAnsi="宋体" w:cs="宋体"/>
                <w:szCs w:val="21"/>
              </w:rPr>
              <w:t>▲</w:t>
            </w:r>
            <w:r>
              <w:rPr>
                <w:rFonts w:hint="eastAsia"/>
                <w:szCs w:val="21"/>
              </w:rPr>
              <w:t>17.售后服务</w:t>
            </w:r>
          </w:p>
          <w:p w14:paraId="2BECBE29">
            <w:pPr>
              <w:spacing w:line="360" w:lineRule="auto"/>
              <w:rPr>
                <w:szCs w:val="21"/>
              </w:rPr>
            </w:pPr>
            <w:r>
              <w:rPr>
                <w:rFonts w:hint="eastAsia"/>
                <w:szCs w:val="21"/>
              </w:rPr>
              <w:t>（1）质保期：</w:t>
            </w:r>
            <w:r>
              <w:rPr>
                <w:rFonts w:hint="eastAsia"/>
                <w:color w:val="0000FF"/>
                <w:szCs w:val="21"/>
              </w:rPr>
              <w:t>水豆腐、油豆腐自每批次货物验收合格之日起计算，冷藏环境下质保期不少于24小时；蔬菜类常温环境下从采摘到送货不超过24小时；瓜果类每批次货物验收合格之日起计算常温环境下质保期不少于5天。</w:t>
            </w:r>
          </w:p>
          <w:p w14:paraId="3447FC7E">
            <w:pPr>
              <w:spacing w:line="360" w:lineRule="auto"/>
              <w:rPr>
                <w:szCs w:val="21"/>
              </w:rPr>
            </w:pPr>
            <w:r>
              <w:rPr>
                <w:rFonts w:hint="eastAsia"/>
                <w:szCs w:val="21"/>
              </w:rPr>
              <w:t>（2）供应商应承诺“三包”。在质保期内发现质量问题，供应商必须在接到采购人通知后5小时内到达现场处理，如属质量问题的及时给予更换。</w:t>
            </w:r>
          </w:p>
          <w:p w14:paraId="48AE4032">
            <w:pPr>
              <w:spacing w:line="360" w:lineRule="auto"/>
              <w:rPr>
                <w:szCs w:val="21"/>
              </w:rPr>
            </w:pPr>
            <w:r>
              <w:rPr>
                <w:rFonts w:hint="eastAsia"/>
                <w:szCs w:val="21"/>
              </w:rPr>
              <w:t>（3）每批次供应商无法按规定时间交货，采购人从其他地方进行临时应急补货的，产生的相关成本及费用由供应商负责。</w:t>
            </w:r>
          </w:p>
          <w:p w14:paraId="5FE19082">
            <w:pPr>
              <w:spacing w:line="360" w:lineRule="auto"/>
              <w:rPr>
                <w:szCs w:val="21"/>
              </w:rPr>
            </w:pPr>
            <w:r>
              <w:rPr>
                <w:rFonts w:hint="eastAsia"/>
                <w:szCs w:val="21"/>
              </w:rPr>
              <w:t>18.保险</w:t>
            </w:r>
          </w:p>
          <w:p w14:paraId="6B71BCF7">
            <w:pPr>
              <w:spacing w:line="380" w:lineRule="exact"/>
              <w:rPr>
                <w:szCs w:val="21"/>
              </w:rPr>
            </w:pPr>
            <w:r>
              <w:rPr>
                <w:rFonts w:hint="eastAsia"/>
                <w:szCs w:val="21"/>
              </w:rPr>
              <w:t>供应商负责办理运输和保险，将货物运抵交货地点。与运输、保险相关的费用由供应商承担。</w:t>
            </w:r>
          </w:p>
          <w:p w14:paraId="056B4599">
            <w:pPr>
              <w:spacing w:line="380" w:lineRule="exact"/>
              <w:rPr>
                <w:rFonts w:ascii="宋体" w:hAnsi="宋体" w:cs="宋体"/>
                <w:szCs w:val="21"/>
              </w:rPr>
            </w:pPr>
            <w:r>
              <w:rPr>
                <w:rFonts w:hint="eastAsia" w:ascii="宋体" w:hAnsi="宋体" w:cs="宋体"/>
                <w:szCs w:val="21"/>
              </w:rPr>
              <w:t>19.考核管理办法：供应商须严格遵守采购人的监管制度规定，同意按附件中的《广西监狱罪犯生活物资供货商考核管理办法》管理，招标文件中其他未尽事宜按照《广西监狱罪犯生活物资供货商考核管理办法》有关规定执行。</w:t>
            </w:r>
          </w:p>
          <w:p w14:paraId="7F59A76A">
            <w:pPr>
              <w:spacing w:line="380" w:lineRule="exact"/>
              <w:rPr>
                <w:rFonts w:ascii="宋体" w:hAnsi="宋体" w:cs="宋体"/>
                <w:szCs w:val="21"/>
              </w:rPr>
            </w:pPr>
            <w:r>
              <w:rPr>
                <w:rFonts w:hint="eastAsia" w:ascii="宋体" w:hAnsi="宋体" w:cs="宋体"/>
                <w:szCs w:val="21"/>
              </w:rPr>
              <w:t>20.供应期满6个月以后，如上级有重大采购政策调整的，采购人可以无条件提前终止合约。</w:t>
            </w:r>
          </w:p>
          <w:p w14:paraId="2D788D7D">
            <w:pPr>
              <w:spacing w:line="380" w:lineRule="exact"/>
              <w:rPr>
                <w:rFonts w:ascii="宋体" w:hAnsi="宋体" w:cs="宋体"/>
                <w:szCs w:val="21"/>
              </w:rPr>
            </w:pPr>
          </w:p>
        </w:tc>
      </w:tr>
    </w:tbl>
    <w:p w14:paraId="0811F11B">
      <w:pPr>
        <w:widowControl/>
        <w:jc w:val="left"/>
        <w:rPr>
          <w:szCs w:val="21"/>
        </w:rPr>
      </w:pPr>
    </w:p>
    <w:p w14:paraId="335B3F8C">
      <w:pPr>
        <w:widowControl/>
        <w:jc w:val="left"/>
        <w:rPr>
          <w:szCs w:val="21"/>
        </w:rPr>
      </w:pPr>
      <w:r>
        <w:rPr>
          <w:szCs w:val="21"/>
        </w:rPr>
        <w:br w:type="page"/>
      </w:r>
    </w:p>
    <w:p w14:paraId="4EA1B42D">
      <w:pPr>
        <w:widowControl/>
        <w:jc w:val="left"/>
        <w:rPr>
          <w:szCs w:val="21"/>
        </w:rPr>
      </w:pPr>
    </w:p>
    <w:p w14:paraId="2C8A05C7">
      <w:pPr>
        <w:spacing w:line="528" w:lineRule="exact"/>
        <w:ind w:firstLine="280" w:firstLineChars="100"/>
        <w:rPr>
          <w:sz w:val="28"/>
          <w:szCs w:val="28"/>
        </w:rPr>
      </w:pPr>
      <w:bookmarkStart w:id="25" w:name="_Hlk132788223"/>
      <w:r>
        <w:rPr>
          <w:rFonts w:hint="eastAsia"/>
          <w:sz w:val="28"/>
          <w:szCs w:val="28"/>
        </w:rPr>
        <w:t xml:space="preserve">附件1： </w:t>
      </w:r>
      <w:r>
        <w:rPr>
          <w:sz w:val="28"/>
          <w:szCs w:val="28"/>
        </w:rPr>
        <w:t xml:space="preserve">    </w:t>
      </w:r>
    </w:p>
    <w:p w14:paraId="460C7E8E">
      <w:pPr>
        <w:spacing w:line="560" w:lineRule="exact"/>
        <w:jc w:val="center"/>
        <w:rPr>
          <w:rFonts w:ascii="Calibri" w:hAnsi="Calibri" w:eastAsia="方正小标宋简体"/>
          <w:bCs/>
          <w:sz w:val="30"/>
          <w:szCs w:val="30"/>
        </w:rPr>
      </w:pPr>
      <w:r>
        <w:rPr>
          <w:sz w:val="28"/>
          <w:szCs w:val="28"/>
        </w:rPr>
        <w:t xml:space="preserve">     </w:t>
      </w:r>
      <w:r>
        <w:rPr>
          <w:rFonts w:ascii="Calibri" w:hAnsi="Calibri" w:eastAsia="方正小标宋简体"/>
          <w:bCs/>
          <w:sz w:val="30"/>
          <w:szCs w:val="30"/>
        </w:rPr>
        <w:t>广西监狱罪犯生活物资供货商考核管理办法</w:t>
      </w:r>
    </w:p>
    <w:p w14:paraId="685FF090">
      <w:pPr>
        <w:spacing w:line="380" w:lineRule="exact"/>
        <w:ind w:firstLine="420" w:firstLineChars="200"/>
        <w:rPr>
          <w:rFonts w:ascii="宋体" w:hAnsi="宋体"/>
          <w:strike/>
          <w:szCs w:val="21"/>
        </w:rPr>
      </w:pPr>
      <w:r>
        <w:rPr>
          <w:rFonts w:ascii="宋体" w:hAnsi="宋体"/>
          <w:szCs w:val="21"/>
        </w:rPr>
        <w:t>第一条 为加强罪犯生活物资采购的管理工作，确保狱内物资的正常供应，结合广西监狱工作的实际，制定本办法。</w:t>
      </w:r>
    </w:p>
    <w:p w14:paraId="439CC27E">
      <w:pPr>
        <w:spacing w:line="380" w:lineRule="exact"/>
        <w:ind w:firstLine="420" w:firstLineChars="200"/>
        <w:rPr>
          <w:rFonts w:ascii="宋体" w:hAnsi="宋体"/>
          <w:szCs w:val="21"/>
          <w:u w:val="single"/>
        </w:rPr>
      </w:pPr>
      <w:r>
        <w:rPr>
          <w:rFonts w:ascii="宋体" w:hAnsi="宋体"/>
          <w:szCs w:val="21"/>
        </w:rPr>
        <w:t>第二条 本办法适用的对象是自治区监狱管理局和各监狱组织的罪犯生活物资采购项目评选出的中标（成交）供应商（以下统称供货商）。</w:t>
      </w:r>
    </w:p>
    <w:p w14:paraId="6FDE311D">
      <w:pPr>
        <w:spacing w:line="380" w:lineRule="exact"/>
        <w:ind w:firstLine="420" w:firstLineChars="200"/>
        <w:rPr>
          <w:rFonts w:ascii="宋体" w:hAnsi="宋体"/>
          <w:szCs w:val="21"/>
        </w:rPr>
      </w:pPr>
      <w:r>
        <w:rPr>
          <w:rFonts w:ascii="宋体" w:hAnsi="宋体"/>
          <w:szCs w:val="21"/>
        </w:rPr>
        <w:t>第三条 供货商必须向供货的每个监狱单位分别缴纳履约保证金，收取标准为</w:t>
      </w:r>
      <w:r>
        <w:rPr>
          <w:rFonts w:hint="eastAsia" w:ascii="宋体" w:hAnsi="宋体"/>
          <w:szCs w:val="21"/>
        </w:rPr>
        <w:t>大型企业须缴纳履约保证金金额：合同金额的5%；中型企业或小微企业或监狱企业或残疾人福利性单位须缴纳履约保证金金额：合同金额的2%</w:t>
      </w:r>
      <w:r>
        <w:rPr>
          <w:rFonts w:ascii="宋体" w:hAnsi="宋体"/>
          <w:szCs w:val="21"/>
        </w:rPr>
        <w:t>，货物出现质量问题或供货商出现其他违约行为时，各监狱按本办法从履约保证金中扣除相应金额</w:t>
      </w:r>
      <w:r>
        <w:rPr>
          <w:rFonts w:ascii="宋体" w:hAnsi="宋体"/>
          <w:szCs w:val="21"/>
          <w:lang w:val="en"/>
        </w:rPr>
        <w:t>，供货商应在</w:t>
      </w:r>
      <w:r>
        <w:rPr>
          <w:rFonts w:ascii="宋体" w:hAnsi="宋体"/>
          <w:szCs w:val="21"/>
        </w:rPr>
        <w:t>15个工作日内补足履约保证金。供货合同终止（解除）时剩余履约保证金按双方约定返还。</w:t>
      </w:r>
    </w:p>
    <w:p w14:paraId="3A0F2178">
      <w:pPr>
        <w:tabs>
          <w:tab w:val="center" w:pos="4153"/>
          <w:tab w:val="right" w:pos="8306"/>
        </w:tabs>
        <w:snapToGrid w:val="0"/>
        <w:spacing w:line="380" w:lineRule="exact"/>
        <w:ind w:firstLine="420" w:firstLineChars="200"/>
        <w:rPr>
          <w:rFonts w:ascii="宋体" w:hAnsi="宋体"/>
          <w:szCs w:val="21"/>
        </w:rPr>
      </w:pPr>
      <w:r>
        <w:rPr>
          <w:rFonts w:ascii="宋体" w:hAnsi="宋体"/>
          <w:szCs w:val="21"/>
        </w:rPr>
        <w:t>供货商有违反本办法规定，被取消供货商资格或者被直接终止供货合同的，履约保证金不予退还。</w:t>
      </w:r>
    </w:p>
    <w:p w14:paraId="7183BCDA">
      <w:pPr>
        <w:spacing w:line="380" w:lineRule="exact"/>
        <w:ind w:firstLine="420" w:firstLineChars="200"/>
        <w:rPr>
          <w:rFonts w:ascii="宋体" w:hAnsi="宋体"/>
          <w:szCs w:val="21"/>
        </w:rPr>
      </w:pPr>
      <w:r>
        <w:rPr>
          <w:rFonts w:ascii="宋体" w:hAnsi="宋体"/>
          <w:szCs w:val="21"/>
        </w:rPr>
        <w:t>第四条 供货商按招（投）标文件、采购（响应）文件以及双方签订的合同内容要求开展物资配送业务，安排有授权的业务代表运送货物到监狱单位，所有单据双方代表共同签字、盖章生效。</w:t>
      </w:r>
    </w:p>
    <w:p w14:paraId="65F0E33D">
      <w:pPr>
        <w:spacing w:line="380" w:lineRule="exact"/>
        <w:ind w:firstLine="420" w:firstLineChars="200"/>
        <w:rPr>
          <w:rFonts w:ascii="宋体" w:hAnsi="宋体"/>
          <w:szCs w:val="21"/>
        </w:rPr>
      </w:pPr>
      <w:r>
        <w:rPr>
          <w:rFonts w:ascii="宋体" w:hAnsi="宋体"/>
          <w:szCs w:val="21"/>
        </w:rPr>
        <w:t>第五条 供货商不得将供货资格转包、分包给第三方，一经发现核实，取消供货资格，同时依法追究供货商的相关责任。</w:t>
      </w:r>
    </w:p>
    <w:p w14:paraId="654A98AA">
      <w:pPr>
        <w:spacing w:line="380" w:lineRule="exact"/>
        <w:ind w:firstLine="420" w:firstLineChars="200"/>
        <w:rPr>
          <w:rFonts w:ascii="宋体" w:hAnsi="宋体"/>
          <w:szCs w:val="21"/>
        </w:rPr>
      </w:pPr>
      <w:r>
        <w:rPr>
          <w:rFonts w:ascii="宋体" w:hAnsi="宋体"/>
          <w:szCs w:val="21"/>
        </w:rPr>
        <w:t>第六条 本办法采用扣分制进行，标准分为100分，各监狱按本办法规定对供货商供货过程中的违约等行为进行记分考核，监狱局或各监狱根据扣分情况按规定对供货商进行处理。</w:t>
      </w:r>
    </w:p>
    <w:p w14:paraId="79CF951C">
      <w:pPr>
        <w:spacing w:line="380" w:lineRule="exact"/>
        <w:ind w:firstLine="420" w:firstLineChars="200"/>
        <w:rPr>
          <w:rFonts w:ascii="宋体" w:hAnsi="宋体"/>
          <w:szCs w:val="21"/>
        </w:rPr>
      </w:pPr>
      <w:r>
        <w:rPr>
          <w:rFonts w:ascii="宋体" w:hAnsi="宋体"/>
          <w:szCs w:val="21"/>
        </w:rPr>
        <w:t>第七条 对供货商进行处理的主要方式：</w:t>
      </w:r>
    </w:p>
    <w:p w14:paraId="2B984DD5">
      <w:pPr>
        <w:spacing w:line="380" w:lineRule="exact"/>
        <w:ind w:firstLine="420" w:firstLineChars="200"/>
        <w:rPr>
          <w:rFonts w:ascii="宋体" w:hAnsi="宋体"/>
          <w:szCs w:val="21"/>
        </w:rPr>
      </w:pPr>
      <w:r>
        <w:rPr>
          <w:rFonts w:ascii="宋体" w:hAnsi="宋体"/>
          <w:szCs w:val="21"/>
        </w:rPr>
        <w:t>（一）供货商各项扣分达到100分直接终止所有供货合同；</w:t>
      </w:r>
    </w:p>
    <w:p w14:paraId="0CEEA532">
      <w:pPr>
        <w:spacing w:line="380" w:lineRule="exact"/>
        <w:ind w:firstLine="420" w:firstLineChars="200"/>
        <w:rPr>
          <w:rFonts w:ascii="宋体" w:hAnsi="宋体"/>
          <w:szCs w:val="21"/>
        </w:rPr>
      </w:pPr>
      <w:r>
        <w:rPr>
          <w:rFonts w:ascii="宋体" w:hAnsi="宋体"/>
          <w:szCs w:val="21"/>
        </w:rPr>
        <w:t>（二）供货商单批货物按退货处理的，按合同规定扣履约保证金500-2000元，扣考核分5-20分；</w:t>
      </w:r>
    </w:p>
    <w:p w14:paraId="3A442736">
      <w:pPr>
        <w:spacing w:line="380" w:lineRule="exact"/>
        <w:ind w:firstLine="420" w:firstLineChars="200"/>
        <w:rPr>
          <w:rFonts w:ascii="宋体" w:hAnsi="宋体"/>
          <w:szCs w:val="21"/>
        </w:rPr>
      </w:pPr>
      <w:r>
        <w:rPr>
          <w:rFonts w:ascii="宋体" w:hAnsi="宋体"/>
          <w:szCs w:val="21"/>
        </w:rPr>
        <w:t>（三）累计退货记录有3-6次（根据需采购的物资品种</w:t>
      </w:r>
      <w:r>
        <w:rPr>
          <w:rFonts w:hint="eastAsia" w:ascii="宋体" w:hAnsi="宋体"/>
          <w:szCs w:val="21"/>
        </w:rPr>
        <w:t>确</w:t>
      </w:r>
      <w:r>
        <w:rPr>
          <w:rFonts w:ascii="宋体" w:hAnsi="宋体"/>
          <w:szCs w:val="21"/>
        </w:rPr>
        <w:t>定）的，直接取消该供货商的供应资格；</w:t>
      </w:r>
    </w:p>
    <w:p w14:paraId="63A1175C">
      <w:pPr>
        <w:spacing w:line="380" w:lineRule="exact"/>
        <w:ind w:firstLine="420" w:firstLineChars="200"/>
        <w:rPr>
          <w:rFonts w:ascii="宋体" w:hAnsi="宋体"/>
          <w:szCs w:val="21"/>
        </w:rPr>
      </w:pPr>
      <w:r>
        <w:rPr>
          <w:rFonts w:ascii="宋体" w:hAnsi="宋体"/>
          <w:szCs w:val="21"/>
        </w:rPr>
        <w:t>（四）按招（投）标文件和采购（响应）文件以及双方签订的合同内容设定的其他规定对供货商进行处理。</w:t>
      </w:r>
    </w:p>
    <w:p w14:paraId="360A0EF9">
      <w:pPr>
        <w:spacing w:line="380" w:lineRule="exact"/>
        <w:ind w:firstLine="420" w:firstLineChars="200"/>
        <w:rPr>
          <w:rFonts w:ascii="宋体" w:hAnsi="宋体"/>
          <w:szCs w:val="21"/>
        </w:rPr>
      </w:pPr>
      <w:r>
        <w:rPr>
          <w:rFonts w:ascii="宋体" w:hAnsi="宋体"/>
          <w:szCs w:val="21"/>
        </w:rPr>
        <w:t>第八条 供货商考核</w:t>
      </w:r>
      <w:r>
        <w:rPr>
          <w:rFonts w:hint="eastAsia" w:ascii="宋体" w:hAnsi="宋体"/>
          <w:szCs w:val="21"/>
        </w:rPr>
        <w:t>计</w:t>
      </w:r>
      <w:r>
        <w:rPr>
          <w:rFonts w:ascii="宋体" w:hAnsi="宋体"/>
          <w:szCs w:val="21"/>
        </w:rPr>
        <w:t>分的主要内容。</w:t>
      </w:r>
    </w:p>
    <w:p w14:paraId="3AED252C">
      <w:pPr>
        <w:spacing w:line="380" w:lineRule="exact"/>
        <w:ind w:firstLine="420" w:firstLineChars="200"/>
        <w:rPr>
          <w:rFonts w:ascii="宋体" w:hAnsi="宋体"/>
          <w:szCs w:val="21"/>
        </w:rPr>
      </w:pPr>
      <w:r>
        <w:rPr>
          <w:rFonts w:ascii="宋体" w:hAnsi="宋体"/>
          <w:szCs w:val="21"/>
        </w:rPr>
        <w:t>（一）供货商必须按时将货物送达监狱单位指定地点。超过规定时间在24小时内的，考核分扣1-6分；超过规定时间在48小时内的，考核分扣7-12分；超过48小时未能送达的，直接终止供货商在该监狱单位的供货合同。</w:t>
      </w:r>
    </w:p>
    <w:p w14:paraId="36B7E419">
      <w:pPr>
        <w:spacing w:line="380" w:lineRule="exact"/>
        <w:ind w:firstLine="420" w:firstLineChars="200"/>
        <w:rPr>
          <w:rFonts w:ascii="宋体" w:hAnsi="宋体"/>
          <w:szCs w:val="21"/>
        </w:rPr>
      </w:pPr>
      <w:r>
        <w:rPr>
          <w:rFonts w:ascii="宋体" w:hAnsi="宋体"/>
          <w:szCs w:val="21"/>
        </w:rPr>
        <w:t>（二）供货商的货物到达监狱单位后，要配合监狱单位进行现场验收，验收不合格则进行退货处理，考核分扣20分，按合同规定扣履约保证金。退货后供货商必须在24小时内送合格的货物到监狱单位，否则视为连续2次送货不合格。</w:t>
      </w:r>
    </w:p>
    <w:p w14:paraId="47B66820">
      <w:pPr>
        <w:spacing w:line="380" w:lineRule="exact"/>
        <w:ind w:firstLine="420" w:firstLineChars="200"/>
        <w:rPr>
          <w:rFonts w:ascii="宋体" w:hAnsi="宋体"/>
          <w:szCs w:val="21"/>
        </w:rPr>
      </w:pPr>
      <w:r>
        <w:rPr>
          <w:rFonts w:ascii="宋体" w:hAnsi="宋体"/>
          <w:szCs w:val="21"/>
        </w:rPr>
        <w:t>（三）供货商供应的货物出现违规品、违禁品流入监内，造成不良后果的，直接终止其供货资格，并依法依规追究供货商的责任。</w:t>
      </w:r>
    </w:p>
    <w:p w14:paraId="3BC573AF">
      <w:pPr>
        <w:spacing w:line="380" w:lineRule="exact"/>
        <w:ind w:firstLine="420" w:firstLineChars="200"/>
        <w:rPr>
          <w:rFonts w:ascii="宋体" w:hAnsi="宋体"/>
          <w:szCs w:val="21"/>
        </w:rPr>
      </w:pPr>
      <w:r>
        <w:rPr>
          <w:rFonts w:ascii="宋体" w:hAnsi="宋体"/>
          <w:szCs w:val="21"/>
        </w:rPr>
        <w:t>（四）入库的货物出现质量问题，由监狱单位通知供货商到场协商处理。供货商必须12小时内到场处理，超过12小时不到场处理的考核分扣5分，超过24小时不到场处理的视为质量不合格，直接按退货处理。超过48小时不应答的，直接终止供货商在该监狱单位的供货合同。</w:t>
      </w:r>
    </w:p>
    <w:p w14:paraId="20F3D52C">
      <w:pPr>
        <w:spacing w:line="380" w:lineRule="exact"/>
        <w:ind w:firstLine="420" w:firstLineChars="200"/>
        <w:rPr>
          <w:rFonts w:ascii="宋体" w:hAnsi="宋体"/>
          <w:szCs w:val="21"/>
        </w:rPr>
      </w:pPr>
      <w:r>
        <w:rPr>
          <w:rFonts w:ascii="宋体" w:hAnsi="宋体"/>
          <w:szCs w:val="21"/>
        </w:rPr>
        <w:t>（五）双方对质量问题意见不一致的，由双方共同在该批货物随机抽取3份样品到当地质量监督部门检验，有一份样品不达标即视为该批货物不达标，按退货程序处理，检测费用由供货商负责；样品都合格的视为该批货物合格，则由监狱负责检测费用。</w:t>
      </w:r>
    </w:p>
    <w:p w14:paraId="4545AF3C">
      <w:pPr>
        <w:spacing w:line="380" w:lineRule="exact"/>
        <w:ind w:firstLine="420" w:firstLineChars="200"/>
        <w:rPr>
          <w:rFonts w:ascii="宋体" w:hAnsi="宋体"/>
          <w:szCs w:val="21"/>
        </w:rPr>
      </w:pPr>
      <w:r>
        <w:rPr>
          <w:rFonts w:ascii="宋体" w:hAnsi="宋体"/>
          <w:szCs w:val="21"/>
        </w:rPr>
        <w:t>（六）供货商必须按包装要求足量向监狱单位送货。</w:t>
      </w:r>
    </w:p>
    <w:p w14:paraId="1D6057C2">
      <w:pPr>
        <w:spacing w:line="380" w:lineRule="exact"/>
        <w:ind w:firstLine="420" w:firstLineChars="200"/>
        <w:rPr>
          <w:rFonts w:ascii="宋体" w:hAnsi="宋体"/>
          <w:szCs w:val="21"/>
        </w:rPr>
      </w:pPr>
      <w:r>
        <w:rPr>
          <w:rFonts w:ascii="宋体" w:hAnsi="宋体"/>
          <w:szCs w:val="21"/>
        </w:rPr>
        <w:t>1. 供货商供应的货物不得短斤少两，分包装的重量必须达到规定重量，每发现1个分包装的重量出现短缺的扣2分，发现10个以上（含10个）分包装的重量出现短缺的扣20分，该批货物视为不达标，进行退货处理。</w:t>
      </w:r>
    </w:p>
    <w:p w14:paraId="1413617B">
      <w:pPr>
        <w:spacing w:line="380" w:lineRule="exact"/>
        <w:ind w:firstLine="420" w:firstLineChars="200"/>
        <w:rPr>
          <w:rFonts w:ascii="宋体" w:hAnsi="宋体"/>
          <w:szCs w:val="21"/>
        </w:rPr>
      </w:pPr>
      <w:r>
        <w:rPr>
          <w:rFonts w:ascii="宋体" w:hAnsi="宋体"/>
          <w:szCs w:val="21"/>
        </w:rPr>
        <w:t>2. 供货商送货的总数应当与监狱单位</w:t>
      </w:r>
      <w:r>
        <w:rPr>
          <w:rFonts w:hint="eastAsia" w:ascii="宋体" w:hAnsi="宋体"/>
          <w:szCs w:val="21"/>
        </w:rPr>
        <w:t>订</w:t>
      </w:r>
      <w:r>
        <w:rPr>
          <w:rFonts w:ascii="宋体" w:hAnsi="宋体"/>
          <w:szCs w:val="21"/>
        </w:rPr>
        <w:t>货品种、数量一致。</w:t>
      </w:r>
    </w:p>
    <w:p w14:paraId="468F6168">
      <w:pPr>
        <w:spacing w:line="380" w:lineRule="exact"/>
        <w:ind w:firstLine="420" w:firstLineChars="200"/>
        <w:rPr>
          <w:rFonts w:ascii="宋体" w:hAnsi="宋体"/>
          <w:szCs w:val="21"/>
        </w:rPr>
      </w:pPr>
      <w:r>
        <w:rPr>
          <w:rFonts w:ascii="宋体" w:hAnsi="宋体"/>
          <w:szCs w:val="21"/>
        </w:rPr>
        <w:t>3. 供货商供应必须按规定对货物进行分包装，分包装应当满足运输距离、防潮、防震、防腐和防破损的要求，每发现1个分包装不达标扣2分。</w:t>
      </w:r>
    </w:p>
    <w:p w14:paraId="0598B5B1">
      <w:pPr>
        <w:spacing w:line="380" w:lineRule="exact"/>
        <w:ind w:firstLine="420" w:firstLineChars="200"/>
        <w:rPr>
          <w:rFonts w:ascii="宋体" w:hAnsi="宋体"/>
          <w:szCs w:val="21"/>
        </w:rPr>
      </w:pPr>
      <w:r>
        <w:rPr>
          <w:rFonts w:ascii="宋体" w:hAnsi="宋体"/>
          <w:szCs w:val="21"/>
        </w:rPr>
        <w:t>（七）供货商提供的货物造成食品安全事故的，直接取消供货商的供货资格，并追究供货商相关责任。</w:t>
      </w:r>
    </w:p>
    <w:p w14:paraId="4E7EF1C9">
      <w:pPr>
        <w:spacing w:line="380" w:lineRule="exact"/>
        <w:ind w:firstLine="420" w:firstLineChars="200"/>
        <w:rPr>
          <w:rFonts w:ascii="宋体" w:hAnsi="宋体"/>
          <w:szCs w:val="21"/>
        </w:rPr>
      </w:pPr>
      <w:r>
        <w:rPr>
          <w:rFonts w:ascii="宋体" w:hAnsi="宋体"/>
          <w:szCs w:val="21"/>
        </w:rPr>
        <w:t>（八）因采购物资品种特殊性需要对供货商设定其他考核记分内容的，将增加的考核记分内容列入合同条款作为本办法的附则执行。</w:t>
      </w:r>
    </w:p>
    <w:p w14:paraId="770E857B">
      <w:pPr>
        <w:spacing w:line="380" w:lineRule="exact"/>
        <w:ind w:firstLine="420" w:firstLineChars="200"/>
        <w:rPr>
          <w:rFonts w:ascii="宋体" w:hAnsi="宋体"/>
          <w:szCs w:val="21"/>
        </w:rPr>
      </w:pPr>
      <w:r>
        <w:rPr>
          <w:rFonts w:ascii="宋体" w:hAnsi="宋体"/>
          <w:szCs w:val="21"/>
        </w:rPr>
        <w:t>（九）供货商代表（包括送货人员）进入监管场所必须服从管理，出现与罪犯私自接触、捎带物品和利益交易等违规行为经监狱查证属实的，直接取消其供货资格。</w:t>
      </w:r>
    </w:p>
    <w:p w14:paraId="0323BB3F">
      <w:pPr>
        <w:spacing w:line="380" w:lineRule="exact"/>
        <w:ind w:firstLine="420" w:firstLineChars="200"/>
        <w:rPr>
          <w:rFonts w:ascii="宋体" w:hAnsi="宋体"/>
          <w:szCs w:val="21"/>
        </w:rPr>
      </w:pPr>
      <w:r>
        <w:rPr>
          <w:rFonts w:ascii="宋体" w:hAnsi="宋体"/>
          <w:szCs w:val="21"/>
        </w:rPr>
        <w:t>第九条 对供货商的处理以监狱局或各监狱出具的书面文件（处理单据）为准，被取消供应资格的供货商两年内不得参加广西监狱系统组织的罪犯生活物资集中采购活动。</w:t>
      </w:r>
    </w:p>
    <w:p w14:paraId="0CD3013C">
      <w:pPr>
        <w:spacing w:line="380" w:lineRule="exact"/>
        <w:ind w:firstLine="420" w:firstLineChars="200"/>
        <w:rPr>
          <w:rFonts w:ascii="宋体" w:hAnsi="宋体"/>
          <w:szCs w:val="21"/>
        </w:rPr>
      </w:pPr>
      <w:r>
        <w:rPr>
          <w:rFonts w:ascii="宋体" w:hAnsi="宋体"/>
          <w:szCs w:val="21"/>
        </w:rPr>
        <w:t>第十条 本办法应当列为罪犯生活物资采购项目相应的招标文件、采购文件和合同的主要条款，具体内容可根据采购物资的需要进行适当调整。</w:t>
      </w:r>
    </w:p>
    <w:p w14:paraId="15E307C2">
      <w:pPr>
        <w:spacing w:line="380" w:lineRule="exact"/>
        <w:ind w:firstLine="420" w:firstLineChars="200"/>
        <w:rPr>
          <w:rFonts w:ascii="宋体" w:hAnsi="宋体"/>
          <w:szCs w:val="21"/>
        </w:rPr>
      </w:pPr>
      <w:r>
        <w:rPr>
          <w:rFonts w:ascii="宋体" w:hAnsi="宋体"/>
          <w:szCs w:val="21"/>
        </w:rPr>
        <w:t>第十一条 本办法由自治区监狱管理局负责解释。各监狱可根据本办法制定本单位的考核管理细则，并报自治区监狱管理局生活卫生处备案。</w:t>
      </w:r>
    </w:p>
    <w:p w14:paraId="41AD6759">
      <w:pPr>
        <w:spacing w:line="528" w:lineRule="exact"/>
        <w:ind w:firstLine="210" w:firstLineChars="100"/>
        <w:rPr>
          <w:rFonts w:ascii="宋体" w:hAnsi="宋体"/>
          <w:szCs w:val="21"/>
        </w:rPr>
      </w:pPr>
      <w:r>
        <w:rPr>
          <w:rFonts w:ascii="宋体" w:hAnsi="宋体"/>
          <w:szCs w:val="21"/>
        </w:rPr>
        <w:t>第十二条 本办法自印发之日起施行。</w:t>
      </w:r>
    </w:p>
    <w:p w14:paraId="34628FAC">
      <w:pPr>
        <w:spacing w:line="528" w:lineRule="exact"/>
        <w:ind w:firstLine="210" w:firstLineChars="100"/>
        <w:rPr>
          <w:rFonts w:ascii="宋体" w:hAnsi="宋体"/>
          <w:szCs w:val="21"/>
        </w:rPr>
      </w:pPr>
    </w:p>
    <w:p w14:paraId="442E7C78">
      <w:pPr>
        <w:spacing w:line="528" w:lineRule="exact"/>
        <w:ind w:firstLine="210" w:firstLineChars="100"/>
        <w:rPr>
          <w:rFonts w:ascii="宋体" w:hAnsi="宋体"/>
          <w:szCs w:val="21"/>
        </w:rPr>
      </w:pPr>
    </w:p>
    <w:p w14:paraId="4669F045">
      <w:pPr>
        <w:spacing w:line="528" w:lineRule="exact"/>
        <w:ind w:firstLine="210" w:firstLineChars="100"/>
        <w:rPr>
          <w:rFonts w:ascii="宋体" w:hAnsi="宋体"/>
          <w:szCs w:val="21"/>
        </w:rPr>
      </w:pPr>
    </w:p>
    <w:p w14:paraId="69335763">
      <w:pPr>
        <w:spacing w:line="528" w:lineRule="exact"/>
        <w:ind w:firstLine="210" w:firstLineChars="100"/>
        <w:rPr>
          <w:rFonts w:ascii="宋体" w:hAnsi="宋体"/>
          <w:szCs w:val="21"/>
        </w:rPr>
      </w:pPr>
    </w:p>
    <w:p w14:paraId="71AC6660">
      <w:pPr>
        <w:spacing w:line="528" w:lineRule="exact"/>
        <w:ind w:firstLine="210" w:firstLineChars="100"/>
        <w:rPr>
          <w:rFonts w:ascii="宋体" w:hAnsi="宋体"/>
          <w:szCs w:val="21"/>
        </w:rPr>
      </w:pPr>
    </w:p>
    <w:p w14:paraId="7DE062EA">
      <w:pPr>
        <w:spacing w:line="528" w:lineRule="exact"/>
        <w:ind w:firstLine="210" w:firstLineChars="100"/>
        <w:rPr>
          <w:rFonts w:ascii="宋体" w:hAnsi="宋体"/>
          <w:szCs w:val="21"/>
        </w:rPr>
      </w:pPr>
    </w:p>
    <w:p w14:paraId="243F9688">
      <w:pPr>
        <w:spacing w:line="528" w:lineRule="exact"/>
        <w:ind w:firstLine="210" w:firstLineChars="100"/>
        <w:rPr>
          <w:rFonts w:ascii="宋体" w:hAnsi="宋体"/>
          <w:szCs w:val="21"/>
        </w:rPr>
      </w:pPr>
    </w:p>
    <w:p w14:paraId="367EAC0F">
      <w:pPr>
        <w:spacing w:line="528" w:lineRule="exact"/>
        <w:ind w:firstLine="280" w:firstLineChars="100"/>
        <w:rPr>
          <w:sz w:val="28"/>
          <w:szCs w:val="28"/>
        </w:rPr>
      </w:pPr>
      <w:r>
        <w:rPr>
          <w:rFonts w:hint="eastAsia"/>
          <w:sz w:val="28"/>
          <w:szCs w:val="28"/>
        </w:rPr>
        <w:t>附件2：</w:t>
      </w:r>
      <w:r>
        <w:rPr>
          <w:sz w:val="28"/>
          <w:szCs w:val="28"/>
        </w:rPr>
        <w:t xml:space="preserve">                    </w:t>
      </w:r>
    </w:p>
    <w:p w14:paraId="349B8E52">
      <w:pPr>
        <w:spacing w:line="528" w:lineRule="exact"/>
        <w:ind w:firstLine="280" w:firstLineChars="100"/>
        <w:jc w:val="center"/>
        <w:rPr>
          <w:sz w:val="28"/>
          <w:szCs w:val="28"/>
        </w:rPr>
      </w:pPr>
      <w:r>
        <w:rPr>
          <w:rFonts w:hint="eastAsia"/>
          <w:sz w:val="28"/>
          <w:szCs w:val="28"/>
        </w:rPr>
        <w:t>中小微企业划型标准</w:t>
      </w:r>
    </w:p>
    <w:tbl>
      <w:tblPr>
        <w:tblStyle w:val="51"/>
        <w:tblW w:w="8706" w:type="dxa"/>
        <w:tblInd w:w="250" w:type="dxa"/>
        <w:tblLayout w:type="fixed"/>
        <w:tblCellMar>
          <w:top w:w="0" w:type="dxa"/>
          <w:left w:w="108" w:type="dxa"/>
          <w:bottom w:w="0" w:type="dxa"/>
          <w:right w:w="108" w:type="dxa"/>
        </w:tblCellMar>
      </w:tblPr>
      <w:tblGrid>
        <w:gridCol w:w="1446"/>
        <w:gridCol w:w="1701"/>
        <w:gridCol w:w="1134"/>
        <w:gridCol w:w="1846"/>
        <w:gridCol w:w="1570"/>
        <w:gridCol w:w="1009"/>
      </w:tblGrid>
      <w:tr w14:paraId="681387A1">
        <w:trPr>
          <w:trHeight w:val="279" w:hRule="atLeast"/>
        </w:trPr>
        <w:tc>
          <w:tcPr>
            <w:tcW w:w="1446" w:type="dxa"/>
            <w:tcBorders>
              <w:top w:val="single" w:color="auto" w:sz="4" w:space="0"/>
              <w:left w:val="single" w:color="auto" w:sz="4" w:space="0"/>
              <w:bottom w:val="single" w:color="auto" w:sz="4" w:space="0"/>
              <w:right w:val="single" w:color="auto" w:sz="4" w:space="0"/>
            </w:tcBorders>
            <w:vAlign w:val="center"/>
          </w:tcPr>
          <w:p w14:paraId="4EAFB595">
            <w:pPr>
              <w:widowControl/>
              <w:jc w:val="left"/>
              <w:rPr>
                <w:szCs w:val="21"/>
              </w:rPr>
            </w:pPr>
            <w:r>
              <w:rPr>
                <w:rFonts w:hint="eastAsia"/>
                <w:szCs w:val="21"/>
              </w:rPr>
              <w:t>行业名称</w:t>
            </w:r>
          </w:p>
        </w:tc>
        <w:tc>
          <w:tcPr>
            <w:tcW w:w="1701" w:type="dxa"/>
            <w:tcBorders>
              <w:top w:val="single" w:color="auto" w:sz="4" w:space="0"/>
              <w:left w:val="nil"/>
              <w:bottom w:val="single" w:color="auto" w:sz="4" w:space="0"/>
              <w:right w:val="single" w:color="auto" w:sz="4" w:space="0"/>
            </w:tcBorders>
            <w:vAlign w:val="center"/>
          </w:tcPr>
          <w:p w14:paraId="45D5EE25">
            <w:pPr>
              <w:widowControl/>
              <w:jc w:val="left"/>
              <w:rPr>
                <w:szCs w:val="21"/>
              </w:rPr>
            </w:pPr>
            <w:r>
              <w:rPr>
                <w:rFonts w:hint="eastAsia"/>
                <w:szCs w:val="21"/>
              </w:rPr>
              <w:t>指标名称</w:t>
            </w:r>
          </w:p>
        </w:tc>
        <w:tc>
          <w:tcPr>
            <w:tcW w:w="1134" w:type="dxa"/>
            <w:tcBorders>
              <w:top w:val="single" w:color="auto" w:sz="4" w:space="0"/>
              <w:left w:val="nil"/>
              <w:bottom w:val="single" w:color="auto" w:sz="4" w:space="0"/>
              <w:right w:val="single" w:color="auto" w:sz="4" w:space="0"/>
            </w:tcBorders>
            <w:vAlign w:val="center"/>
          </w:tcPr>
          <w:p w14:paraId="3B1DD330">
            <w:pPr>
              <w:widowControl/>
              <w:jc w:val="left"/>
              <w:rPr>
                <w:szCs w:val="21"/>
              </w:rPr>
            </w:pPr>
            <w:r>
              <w:rPr>
                <w:rFonts w:hint="eastAsia"/>
                <w:szCs w:val="21"/>
              </w:rPr>
              <w:t>计量单位</w:t>
            </w:r>
          </w:p>
        </w:tc>
        <w:tc>
          <w:tcPr>
            <w:tcW w:w="1846" w:type="dxa"/>
            <w:tcBorders>
              <w:top w:val="single" w:color="auto" w:sz="4" w:space="0"/>
              <w:left w:val="nil"/>
              <w:bottom w:val="single" w:color="auto" w:sz="4" w:space="0"/>
              <w:right w:val="single" w:color="auto" w:sz="4" w:space="0"/>
            </w:tcBorders>
            <w:vAlign w:val="center"/>
          </w:tcPr>
          <w:p w14:paraId="023BB8CD">
            <w:pPr>
              <w:widowControl/>
              <w:jc w:val="left"/>
              <w:rPr>
                <w:szCs w:val="21"/>
              </w:rPr>
            </w:pPr>
            <w:r>
              <w:rPr>
                <w:rFonts w:hint="eastAsia"/>
                <w:szCs w:val="21"/>
              </w:rPr>
              <w:t>中型</w:t>
            </w:r>
          </w:p>
        </w:tc>
        <w:tc>
          <w:tcPr>
            <w:tcW w:w="1570" w:type="dxa"/>
            <w:tcBorders>
              <w:top w:val="single" w:color="auto" w:sz="4" w:space="0"/>
              <w:left w:val="nil"/>
              <w:bottom w:val="single" w:color="auto" w:sz="4" w:space="0"/>
              <w:right w:val="single" w:color="auto" w:sz="4" w:space="0"/>
            </w:tcBorders>
            <w:vAlign w:val="center"/>
          </w:tcPr>
          <w:p w14:paraId="482D3437">
            <w:pPr>
              <w:widowControl/>
              <w:jc w:val="left"/>
              <w:rPr>
                <w:szCs w:val="21"/>
              </w:rPr>
            </w:pPr>
            <w:r>
              <w:rPr>
                <w:rFonts w:hint="eastAsia"/>
                <w:szCs w:val="21"/>
              </w:rPr>
              <w:t>小型</w:t>
            </w:r>
          </w:p>
        </w:tc>
        <w:tc>
          <w:tcPr>
            <w:tcW w:w="1009" w:type="dxa"/>
            <w:tcBorders>
              <w:top w:val="single" w:color="auto" w:sz="4" w:space="0"/>
              <w:left w:val="nil"/>
              <w:bottom w:val="single" w:color="auto" w:sz="4" w:space="0"/>
              <w:right w:val="single" w:color="auto" w:sz="4" w:space="0"/>
            </w:tcBorders>
            <w:vAlign w:val="center"/>
          </w:tcPr>
          <w:p w14:paraId="0938EE1D">
            <w:pPr>
              <w:widowControl/>
              <w:jc w:val="left"/>
              <w:rPr>
                <w:szCs w:val="21"/>
              </w:rPr>
            </w:pPr>
            <w:r>
              <w:rPr>
                <w:rFonts w:hint="eastAsia"/>
                <w:szCs w:val="21"/>
              </w:rPr>
              <w:t>微型</w:t>
            </w:r>
          </w:p>
        </w:tc>
      </w:tr>
      <w:tr w14:paraId="62C34DC1">
        <w:tblPrEx>
          <w:tblCellMar>
            <w:top w:w="0" w:type="dxa"/>
            <w:left w:w="108" w:type="dxa"/>
            <w:bottom w:w="0" w:type="dxa"/>
            <w:right w:w="108" w:type="dxa"/>
          </w:tblCellMar>
        </w:tblPrEx>
        <w:trPr>
          <w:trHeight w:val="220" w:hRule="atLeast"/>
        </w:trPr>
        <w:tc>
          <w:tcPr>
            <w:tcW w:w="1446" w:type="dxa"/>
            <w:tcBorders>
              <w:top w:val="nil"/>
              <w:left w:val="single" w:color="auto" w:sz="4" w:space="0"/>
              <w:bottom w:val="single" w:color="auto" w:sz="4" w:space="0"/>
              <w:right w:val="single" w:color="auto" w:sz="4" w:space="0"/>
            </w:tcBorders>
            <w:vAlign w:val="bottom"/>
          </w:tcPr>
          <w:p w14:paraId="50471510">
            <w:pPr>
              <w:widowControl/>
              <w:jc w:val="center"/>
              <w:rPr>
                <w:szCs w:val="21"/>
              </w:rPr>
            </w:pPr>
            <w:r>
              <w:rPr>
                <w:rFonts w:hint="eastAsia"/>
                <w:szCs w:val="21"/>
              </w:rPr>
              <w:t>农、林、牧、渔</w:t>
            </w:r>
          </w:p>
        </w:tc>
        <w:tc>
          <w:tcPr>
            <w:tcW w:w="1701" w:type="dxa"/>
            <w:tcBorders>
              <w:top w:val="nil"/>
              <w:left w:val="nil"/>
              <w:bottom w:val="single" w:color="auto" w:sz="4" w:space="0"/>
              <w:right w:val="single" w:color="auto" w:sz="4" w:space="0"/>
            </w:tcBorders>
            <w:vAlign w:val="center"/>
          </w:tcPr>
          <w:p w14:paraId="51FFDE07">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vAlign w:val="center"/>
          </w:tcPr>
          <w:p w14:paraId="5FF59CDD">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vAlign w:val="center"/>
          </w:tcPr>
          <w:p w14:paraId="6C8FC0D2">
            <w:pPr>
              <w:widowControl/>
              <w:jc w:val="left"/>
              <w:rPr>
                <w:szCs w:val="21"/>
              </w:rPr>
            </w:pPr>
            <w:r>
              <w:rPr>
                <w:rFonts w:hint="eastAsia"/>
                <w:szCs w:val="21"/>
              </w:rPr>
              <w:t>500≤Y＜20000</w:t>
            </w:r>
          </w:p>
        </w:tc>
        <w:tc>
          <w:tcPr>
            <w:tcW w:w="1570" w:type="dxa"/>
            <w:tcBorders>
              <w:top w:val="nil"/>
              <w:left w:val="nil"/>
              <w:bottom w:val="single" w:color="auto" w:sz="4" w:space="0"/>
              <w:right w:val="single" w:color="auto" w:sz="4" w:space="0"/>
            </w:tcBorders>
            <w:vAlign w:val="center"/>
          </w:tcPr>
          <w:p w14:paraId="61E51FC3">
            <w:pPr>
              <w:widowControl/>
              <w:jc w:val="left"/>
              <w:rPr>
                <w:szCs w:val="21"/>
              </w:rPr>
            </w:pPr>
            <w:r>
              <w:rPr>
                <w:rFonts w:hint="eastAsia"/>
                <w:szCs w:val="21"/>
              </w:rPr>
              <w:t>50≤Y＜500</w:t>
            </w:r>
          </w:p>
        </w:tc>
        <w:tc>
          <w:tcPr>
            <w:tcW w:w="1009" w:type="dxa"/>
            <w:tcBorders>
              <w:top w:val="nil"/>
              <w:left w:val="nil"/>
              <w:bottom w:val="single" w:color="auto" w:sz="4" w:space="0"/>
              <w:right w:val="single" w:color="auto" w:sz="4" w:space="0"/>
            </w:tcBorders>
            <w:vAlign w:val="center"/>
          </w:tcPr>
          <w:p w14:paraId="2E007633">
            <w:pPr>
              <w:widowControl/>
              <w:jc w:val="left"/>
              <w:rPr>
                <w:szCs w:val="21"/>
              </w:rPr>
            </w:pPr>
            <w:r>
              <w:rPr>
                <w:rFonts w:hint="eastAsia"/>
                <w:szCs w:val="21"/>
              </w:rPr>
              <w:t>Y＜50</w:t>
            </w:r>
          </w:p>
        </w:tc>
      </w:tr>
      <w:tr w14:paraId="5AC8B9D9">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798ACD09">
            <w:pPr>
              <w:widowControl/>
              <w:jc w:val="center"/>
              <w:rPr>
                <w:szCs w:val="21"/>
              </w:rPr>
            </w:pPr>
            <w:r>
              <w:rPr>
                <w:rFonts w:hint="eastAsia"/>
                <w:szCs w:val="21"/>
              </w:rPr>
              <w:t>工业</w:t>
            </w:r>
          </w:p>
        </w:tc>
        <w:tc>
          <w:tcPr>
            <w:tcW w:w="1701" w:type="dxa"/>
            <w:tcBorders>
              <w:top w:val="nil"/>
              <w:left w:val="nil"/>
              <w:bottom w:val="single" w:color="auto" w:sz="4" w:space="0"/>
              <w:right w:val="single" w:color="auto" w:sz="4" w:space="0"/>
            </w:tcBorders>
            <w:vAlign w:val="center"/>
          </w:tcPr>
          <w:p w14:paraId="5CE8CFFF">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vAlign w:val="center"/>
          </w:tcPr>
          <w:p w14:paraId="6A80620B">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vAlign w:val="center"/>
          </w:tcPr>
          <w:p w14:paraId="5A3E3C3A">
            <w:pPr>
              <w:widowControl/>
              <w:jc w:val="left"/>
              <w:rPr>
                <w:szCs w:val="21"/>
              </w:rPr>
            </w:pPr>
            <w:r>
              <w:rPr>
                <w:rFonts w:hint="eastAsia"/>
                <w:szCs w:val="21"/>
              </w:rPr>
              <w:t>300≤X＜1000</w:t>
            </w:r>
          </w:p>
        </w:tc>
        <w:tc>
          <w:tcPr>
            <w:tcW w:w="1570" w:type="dxa"/>
            <w:tcBorders>
              <w:top w:val="nil"/>
              <w:left w:val="nil"/>
              <w:bottom w:val="single" w:color="auto" w:sz="4" w:space="0"/>
              <w:right w:val="single" w:color="auto" w:sz="4" w:space="0"/>
            </w:tcBorders>
            <w:vAlign w:val="center"/>
          </w:tcPr>
          <w:p w14:paraId="20995D0E">
            <w:pPr>
              <w:widowControl/>
              <w:jc w:val="left"/>
              <w:rPr>
                <w:szCs w:val="21"/>
              </w:rPr>
            </w:pPr>
            <w:r>
              <w:rPr>
                <w:rFonts w:hint="eastAsia"/>
                <w:szCs w:val="21"/>
              </w:rPr>
              <w:t>20≤X＜300</w:t>
            </w:r>
          </w:p>
        </w:tc>
        <w:tc>
          <w:tcPr>
            <w:tcW w:w="1009" w:type="dxa"/>
            <w:tcBorders>
              <w:top w:val="nil"/>
              <w:left w:val="nil"/>
              <w:bottom w:val="single" w:color="auto" w:sz="4" w:space="0"/>
              <w:right w:val="single" w:color="auto" w:sz="4" w:space="0"/>
            </w:tcBorders>
            <w:vAlign w:val="center"/>
          </w:tcPr>
          <w:p w14:paraId="3693AFB6">
            <w:pPr>
              <w:widowControl/>
              <w:jc w:val="left"/>
              <w:rPr>
                <w:szCs w:val="21"/>
              </w:rPr>
            </w:pPr>
            <w:r>
              <w:rPr>
                <w:rFonts w:hint="eastAsia"/>
                <w:szCs w:val="21"/>
              </w:rPr>
              <w:t>X＜20</w:t>
            </w:r>
          </w:p>
        </w:tc>
      </w:tr>
      <w:tr w14:paraId="6CC29B6D">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618EA6C7">
            <w:pPr>
              <w:widowControl/>
              <w:jc w:val="left"/>
              <w:rPr>
                <w:szCs w:val="21"/>
              </w:rPr>
            </w:pPr>
          </w:p>
        </w:tc>
        <w:tc>
          <w:tcPr>
            <w:tcW w:w="1701" w:type="dxa"/>
            <w:tcBorders>
              <w:top w:val="nil"/>
              <w:left w:val="nil"/>
              <w:bottom w:val="single" w:color="auto" w:sz="4" w:space="0"/>
              <w:right w:val="single" w:color="auto" w:sz="4" w:space="0"/>
            </w:tcBorders>
            <w:vAlign w:val="center"/>
          </w:tcPr>
          <w:p w14:paraId="38A0FE2E">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vAlign w:val="center"/>
          </w:tcPr>
          <w:p w14:paraId="1343F50B">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vAlign w:val="center"/>
          </w:tcPr>
          <w:p w14:paraId="311C61AB">
            <w:pPr>
              <w:widowControl/>
              <w:jc w:val="left"/>
              <w:rPr>
                <w:szCs w:val="21"/>
              </w:rPr>
            </w:pPr>
            <w:r>
              <w:rPr>
                <w:rFonts w:hint="eastAsia"/>
                <w:szCs w:val="21"/>
              </w:rPr>
              <w:t>2000≤Y＜40000</w:t>
            </w:r>
          </w:p>
        </w:tc>
        <w:tc>
          <w:tcPr>
            <w:tcW w:w="1570" w:type="dxa"/>
            <w:tcBorders>
              <w:top w:val="nil"/>
              <w:left w:val="nil"/>
              <w:bottom w:val="single" w:color="auto" w:sz="4" w:space="0"/>
              <w:right w:val="single" w:color="auto" w:sz="4" w:space="0"/>
            </w:tcBorders>
            <w:vAlign w:val="center"/>
          </w:tcPr>
          <w:p w14:paraId="28DB9937">
            <w:pPr>
              <w:widowControl/>
              <w:jc w:val="left"/>
              <w:rPr>
                <w:szCs w:val="21"/>
              </w:rPr>
            </w:pPr>
            <w:r>
              <w:rPr>
                <w:rFonts w:hint="eastAsia"/>
                <w:szCs w:val="21"/>
              </w:rPr>
              <w:t>300≤Y＜2000</w:t>
            </w:r>
          </w:p>
        </w:tc>
        <w:tc>
          <w:tcPr>
            <w:tcW w:w="1009" w:type="dxa"/>
            <w:tcBorders>
              <w:top w:val="nil"/>
              <w:left w:val="nil"/>
              <w:bottom w:val="single" w:color="auto" w:sz="4" w:space="0"/>
              <w:right w:val="single" w:color="auto" w:sz="4" w:space="0"/>
            </w:tcBorders>
            <w:vAlign w:val="center"/>
          </w:tcPr>
          <w:p w14:paraId="0B91A063">
            <w:pPr>
              <w:widowControl/>
              <w:jc w:val="left"/>
              <w:rPr>
                <w:szCs w:val="21"/>
              </w:rPr>
            </w:pPr>
            <w:r>
              <w:rPr>
                <w:rFonts w:hint="eastAsia"/>
                <w:szCs w:val="21"/>
              </w:rPr>
              <w:t>Y＜300</w:t>
            </w:r>
          </w:p>
        </w:tc>
      </w:tr>
      <w:tr w14:paraId="769755A8">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00D19DE9">
            <w:pPr>
              <w:widowControl/>
              <w:jc w:val="center"/>
              <w:rPr>
                <w:szCs w:val="21"/>
              </w:rPr>
            </w:pPr>
            <w:r>
              <w:rPr>
                <w:rFonts w:hint="eastAsia"/>
                <w:szCs w:val="21"/>
              </w:rPr>
              <w:t>建筑业</w:t>
            </w:r>
          </w:p>
        </w:tc>
        <w:tc>
          <w:tcPr>
            <w:tcW w:w="1701" w:type="dxa"/>
            <w:tcBorders>
              <w:top w:val="nil"/>
              <w:left w:val="nil"/>
              <w:bottom w:val="single" w:color="auto" w:sz="4" w:space="0"/>
              <w:right w:val="single" w:color="auto" w:sz="4" w:space="0"/>
            </w:tcBorders>
            <w:vAlign w:val="center"/>
          </w:tcPr>
          <w:p w14:paraId="04A3AA1F">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vAlign w:val="center"/>
          </w:tcPr>
          <w:p w14:paraId="15C21CC4">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vAlign w:val="center"/>
          </w:tcPr>
          <w:p w14:paraId="52D63E56">
            <w:pPr>
              <w:widowControl/>
              <w:jc w:val="left"/>
              <w:rPr>
                <w:szCs w:val="21"/>
              </w:rPr>
            </w:pPr>
            <w:r>
              <w:rPr>
                <w:rFonts w:hint="eastAsia"/>
                <w:szCs w:val="21"/>
              </w:rPr>
              <w:t>6000≤Y＜80000</w:t>
            </w:r>
          </w:p>
        </w:tc>
        <w:tc>
          <w:tcPr>
            <w:tcW w:w="1570" w:type="dxa"/>
            <w:tcBorders>
              <w:top w:val="nil"/>
              <w:left w:val="nil"/>
              <w:bottom w:val="single" w:color="auto" w:sz="4" w:space="0"/>
              <w:right w:val="single" w:color="auto" w:sz="4" w:space="0"/>
            </w:tcBorders>
            <w:vAlign w:val="center"/>
          </w:tcPr>
          <w:p w14:paraId="00224D7B">
            <w:pPr>
              <w:widowControl/>
              <w:jc w:val="left"/>
              <w:rPr>
                <w:szCs w:val="21"/>
              </w:rPr>
            </w:pPr>
            <w:r>
              <w:rPr>
                <w:rFonts w:hint="eastAsia"/>
                <w:szCs w:val="21"/>
              </w:rPr>
              <w:t>300≤Y＜6000</w:t>
            </w:r>
          </w:p>
        </w:tc>
        <w:tc>
          <w:tcPr>
            <w:tcW w:w="1009" w:type="dxa"/>
            <w:tcBorders>
              <w:top w:val="nil"/>
              <w:left w:val="nil"/>
              <w:bottom w:val="single" w:color="auto" w:sz="4" w:space="0"/>
              <w:right w:val="single" w:color="auto" w:sz="4" w:space="0"/>
            </w:tcBorders>
            <w:vAlign w:val="center"/>
          </w:tcPr>
          <w:p w14:paraId="3F032460">
            <w:pPr>
              <w:widowControl/>
              <w:jc w:val="left"/>
              <w:rPr>
                <w:szCs w:val="21"/>
              </w:rPr>
            </w:pPr>
            <w:r>
              <w:rPr>
                <w:rFonts w:hint="eastAsia"/>
                <w:szCs w:val="21"/>
              </w:rPr>
              <w:t>Y＜300</w:t>
            </w:r>
          </w:p>
        </w:tc>
      </w:tr>
      <w:tr w14:paraId="1A5CF800">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26BE1401">
            <w:pPr>
              <w:widowControl/>
              <w:jc w:val="left"/>
              <w:rPr>
                <w:szCs w:val="21"/>
              </w:rPr>
            </w:pPr>
          </w:p>
        </w:tc>
        <w:tc>
          <w:tcPr>
            <w:tcW w:w="1701" w:type="dxa"/>
            <w:tcBorders>
              <w:top w:val="nil"/>
              <w:left w:val="nil"/>
              <w:bottom w:val="single" w:color="auto" w:sz="4" w:space="0"/>
              <w:right w:val="single" w:color="auto" w:sz="4" w:space="0"/>
            </w:tcBorders>
            <w:vAlign w:val="center"/>
          </w:tcPr>
          <w:p w14:paraId="65123B82">
            <w:pPr>
              <w:widowControl/>
              <w:jc w:val="left"/>
              <w:rPr>
                <w:szCs w:val="21"/>
              </w:rPr>
            </w:pPr>
            <w:r>
              <w:rPr>
                <w:rFonts w:hint="eastAsia"/>
                <w:szCs w:val="21"/>
              </w:rPr>
              <w:t>资产总额（Z）</w:t>
            </w:r>
          </w:p>
        </w:tc>
        <w:tc>
          <w:tcPr>
            <w:tcW w:w="1134" w:type="dxa"/>
            <w:tcBorders>
              <w:top w:val="nil"/>
              <w:left w:val="nil"/>
              <w:bottom w:val="single" w:color="auto" w:sz="4" w:space="0"/>
              <w:right w:val="single" w:color="auto" w:sz="4" w:space="0"/>
            </w:tcBorders>
            <w:vAlign w:val="center"/>
          </w:tcPr>
          <w:p w14:paraId="0781DF91">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vAlign w:val="center"/>
          </w:tcPr>
          <w:p w14:paraId="1C6A8263">
            <w:pPr>
              <w:widowControl/>
              <w:jc w:val="left"/>
              <w:rPr>
                <w:szCs w:val="21"/>
              </w:rPr>
            </w:pPr>
            <w:r>
              <w:rPr>
                <w:rFonts w:hint="eastAsia"/>
                <w:szCs w:val="21"/>
              </w:rPr>
              <w:t>5000≤Z＜80000</w:t>
            </w:r>
          </w:p>
        </w:tc>
        <w:tc>
          <w:tcPr>
            <w:tcW w:w="1570" w:type="dxa"/>
            <w:tcBorders>
              <w:top w:val="nil"/>
              <w:left w:val="nil"/>
              <w:bottom w:val="single" w:color="auto" w:sz="4" w:space="0"/>
              <w:right w:val="single" w:color="auto" w:sz="4" w:space="0"/>
            </w:tcBorders>
            <w:vAlign w:val="center"/>
          </w:tcPr>
          <w:p w14:paraId="3D18D918">
            <w:pPr>
              <w:widowControl/>
              <w:jc w:val="left"/>
              <w:rPr>
                <w:szCs w:val="21"/>
              </w:rPr>
            </w:pPr>
            <w:r>
              <w:rPr>
                <w:rFonts w:hint="eastAsia"/>
                <w:szCs w:val="21"/>
              </w:rPr>
              <w:t>300≤Z＜5000</w:t>
            </w:r>
          </w:p>
        </w:tc>
        <w:tc>
          <w:tcPr>
            <w:tcW w:w="1009" w:type="dxa"/>
            <w:tcBorders>
              <w:top w:val="nil"/>
              <w:left w:val="nil"/>
              <w:bottom w:val="single" w:color="auto" w:sz="4" w:space="0"/>
              <w:right w:val="single" w:color="auto" w:sz="4" w:space="0"/>
            </w:tcBorders>
            <w:vAlign w:val="center"/>
          </w:tcPr>
          <w:p w14:paraId="7D4D5258">
            <w:pPr>
              <w:widowControl/>
              <w:jc w:val="left"/>
              <w:rPr>
                <w:szCs w:val="21"/>
              </w:rPr>
            </w:pPr>
            <w:r>
              <w:rPr>
                <w:rFonts w:hint="eastAsia"/>
                <w:szCs w:val="21"/>
              </w:rPr>
              <w:t>Z＜300</w:t>
            </w:r>
          </w:p>
        </w:tc>
      </w:tr>
      <w:tr w14:paraId="5968DF4A">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7BA2DF8E">
            <w:pPr>
              <w:widowControl/>
              <w:ind w:firstLine="315" w:firstLineChars="150"/>
              <w:rPr>
                <w:szCs w:val="21"/>
              </w:rPr>
            </w:pPr>
            <w:r>
              <w:rPr>
                <w:rFonts w:hint="eastAsia"/>
                <w:szCs w:val="21"/>
              </w:rPr>
              <w:t>批发业</w:t>
            </w:r>
          </w:p>
        </w:tc>
        <w:tc>
          <w:tcPr>
            <w:tcW w:w="1701" w:type="dxa"/>
            <w:tcBorders>
              <w:top w:val="nil"/>
              <w:left w:val="nil"/>
              <w:bottom w:val="single" w:color="auto" w:sz="4" w:space="0"/>
              <w:right w:val="single" w:color="auto" w:sz="4" w:space="0"/>
            </w:tcBorders>
            <w:vAlign w:val="center"/>
          </w:tcPr>
          <w:p w14:paraId="32673656">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vAlign w:val="center"/>
          </w:tcPr>
          <w:p w14:paraId="3C9C3C83">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vAlign w:val="center"/>
          </w:tcPr>
          <w:p w14:paraId="50CA3B11">
            <w:pPr>
              <w:widowControl/>
              <w:jc w:val="left"/>
              <w:rPr>
                <w:szCs w:val="21"/>
              </w:rPr>
            </w:pPr>
            <w:r>
              <w:rPr>
                <w:rFonts w:hint="eastAsia"/>
                <w:szCs w:val="21"/>
              </w:rPr>
              <w:t>20≤X＜200</w:t>
            </w:r>
          </w:p>
        </w:tc>
        <w:tc>
          <w:tcPr>
            <w:tcW w:w="1570" w:type="dxa"/>
            <w:tcBorders>
              <w:top w:val="nil"/>
              <w:left w:val="nil"/>
              <w:bottom w:val="single" w:color="auto" w:sz="4" w:space="0"/>
              <w:right w:val="single" w:color="auto" w:sz="4" w:space="0"/>
            </w:tcBorders>
            <w:vAlign w:val="center"/>
          </w:tcPr>
          <w:p w14:paraId="7948CDF8">
            <w:pPr>
              <w:widowControl/>
              <w:jc w:val="left"/>
              <w:rPr>
                <w:szCs w:val="21"/>
              </w:rPr>
            </w:pPr>
            <w:r>
              <w:rPr>
                <w:rFonts w:hint="eastAsia"/>
                <w:szCs w:val="21"/>
              </w:rPr>
              <w:t>5≤X＜20</w:t>
            </w:r>
          </w:p>
        </w:tc>
        <w:tc>
          <w:tcPr>
            <w:tcW w:w="1009" w:type="dxa"/>
            <w:tcBorders>
              <w:top w:val="nil"/>
              <w:left w:val="nil"/>
              <w:bottom w:val="single" w:color="auto" w:sz="4" w:space="0"/>
              <w:right w:val="single" w:color="auto" w:sz="4" w:space="0"/>
            </w:tcBorders>
            <w:vAlign w:val="center"/>
          </w:tcPr>
          <w:p w14:paraId="79129847">
            <w:pPr>
              <w:widowControl/>
              <w:jc w:val="left"/>
              <w:rPr>
                <w:szCs w:val="21"/>
              </w:rPr>
            </w:pPr>
            <w:r>
              <w:rPr>
                <w:rFonts w:hint="eastAsia"/>
                <w:szCs w:val="21"/>
              </w:rPr>
              <w:t>X＜5</w:t>
            </w:r>
          </w:p>
        </w:tc>
      </w:tr>
      <w:tr w14:paraId="43B46318">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274B11B2">
            <w:pPr>
              <w:widowControl/>
              <w:jc w:val="left"/>
              <w:rPr>
                <w:szCs w:val="21"/>
              </w:rPr>
            </w:pPr>
          </w:p>
        </w:tc>
        <w:tc>
          <w:tcPr>
            <w:tcW w:w="1701" w:type="dxa"/>
            <w:tcBorders>
              <w:top w:val="nil"/>
              <w:left w:val="nil"/>
              <w:bottom w:val="single" w:color="auto" w:sz="4" w:space="0"/>
              <w:right w:val="single" w:color="auto" w:sz="4" w:space="0"/>
            </w:tcBorders>
            <w:vAlign w:val="center"/>
          </w:tcPr>
          <w:p w14:paraId="05F29E27">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vAlign w:val="center"/>
          </w:tcPr>
          <w:p w14:paraId="47A9F265">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vAlign w:val="center"/>
          </w:tcPr>
          <w:p w14:paraId="5DC4D752">
            <w:pPr>
              <w:widowControl/>
              <w:jc w:val="left"/>
              <w:rPr>
                <w:szCs w:val="21"/>
              </w:rPr>
            </w:pPr>
            <w:r>
              <w:rPr>
                <w:rFonts w:hint="eastAsia"/>
                <w:szCs w:val="21"/>
              </w:rPr>
              <w:t>5000≤Y＜40000</w:t>
            </w:r>
          </w:p>
        </w:tc>
        <w:tc>
          <w:tcPr>
            <w:tcW w:w="1570" w:type="dxa"/>
            <w:tcBorders>
              <w:top w:val="nil"/>
              <w:left w:val="nil"/>
              <w:bottom w:val="single" w:color="auto" w:sz="4" w:space="0"/>
              <w:right w:val="single" w:color="auto" w:sz="4" w:space="0"/>
            </w:tcBorders>
            <w:vAlign w:val="center"/>
          </w:tcPr>
          <w:p w14:paraId="63853B54">
            <w:pPr>
              <w:widowControl/>
              <w:jc w:val="left"/>
              <w:rPr>
                <w:szCs w:val="21"/>
              </w:rPr>
            </w:pPr>
            <w:r>
              <w:rPr>
                <w:rFonts w:hint="eastAsia"/>
                <w:szCs w:val="21"/>
              </w:rPr>
              <w:t>1000≤Y＜5000</w:t>
            </w:r>
          </w:p>
        </w:tc>
        <w:tc>
          <w:tcPr>
            <w:tcW w:w="1009" w:type="dxa"/>
            <w:tcBorders>
              <w:top w:val="nil"/>
              <w:left w:val="nil"/>
              <w:bottom w:val="single" w:color="auto" w:sz="4" w:space="0"/>
              <w:right w:val="single" w:color="auto" w:sz="4" w:space="0"/>
            </w:tcBorders>
            <w:vAlign w:val="center"/>
          </w:tcPr>
          <w:p w14:paraId="0941FDDB">
            <w:pPr>
              <w:widowControl/>
              <w:jc w:val="left"/>
              <w:rPr>
                <w:szCs w:val="21"/>
              </w:rPr>
            </w:pPr>
            <w:r>
              <w:rPr>
                <w:rFonts w:hint="eastAsia"/>
                <w:szCs w:val="21"/>
              </w:rPr>
              <w:t>Y＜1000</w:t>
            </w:r>
          </w:p>
        </w:tc>
      </w:tr>
      <w:tr w14:paraId="42E233BD">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7A4A73D2">
            <w:pPr>
              <w:widowControl/>
              <w:jc w:val="center"/>
              <w:rPr>
                <w:szCs w:val="21"/>
              </w:rPr>
            </w:pPr>
            <w:r>
              <w:rPr>
                <w:rFonts w:hint="eastAsia"/>
                <w:szCs w:val="21"/>
              </w:rPr>
              <w:t>零售业</w:t>
            </w:r>
          </w:p>
        </w:tc>
        <w:tc>
          <w:tcPr>
            <w:tcW w:w="1701" w:type="dxa"/>
            <w:tcBorders>
              <w:top w:val="nil"/>
              <w:left w:val="nil"/>
              <w:bottom w:val="single" w:color="auto" w:sz="4" w:space="0"/>
              <w:right w:val="single" w:color="auto" w:sz="4" w:space="0"/>
            </w:tcBorders>
            <w:vAlign w:val="center"/>
          </w:tcPr>
          <w:p w14:paraId="154A32E8">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vAlign w:val="center"/>
          </w:tcPr>
          <w:p w14:paraId="5A8FAC3F">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vAlign w:val="center"/>
          </w:tcPr>
          <w:p w14:paraId="54CFCF0B">
            <w:pPr>
              <w:widowControl/>
              <w:jc w:val="left"/>
              <w:rPr>
                <w:szCs w:val="21"/>
              </w:rPr>
            </w:pPr>
            <w:r>
              <w:rPr>
                <w:rFonts w:hint="eastAsia"/>
                <w:szCs w:val="21"/>
              </w:rPr>
              <w:t>50≤X＜300</w:t>
            </w:r>
          </w:p>
        </w:tc>
        <w:tc>
          <w:tcPr>
            <w:tcW w:w="1570" w:type="dxa"/>
            <w:tcBorders>
              <w:top w:val="nil"/>
              <w:left w:val="nil"/>
              <w:bottom w:val="single" w:color="auto" w:sz="4" w:space="0"/>
              <w:right w:val="single" w:color="auto" w:sz="4" w:space="0"/>
            </w:tcBorders>
            <w:vAlign w:val="center"/>
          </w:tcPr>
          <w:p w14:paraId="4346B0E3">
            <w:pPr>
              <w:widowControl/>
              <w:jc w:val="left"/>
              <w:rPr>
                <w:szCs w:val="21"/>
              </w:rPr>
            </w:pPr>
            <w:r>
              <w:rPr>
                <w:rFonts w:hint="eastAsia"/>
                <w:szCs w:val="21"/>
              </w:rPr>
              <w:t>10≤X＜50</w:t>
            </w:r>
          </w:p>
        </w:tc>
        <w:tc>
          <w:tcPr>
            <w:tcW w:w="1009" w:type="dxa"/>
            <w:tcBorders>
              <w:top w:val="nil"/>
              <w:left w:val="nil"/>
              <w:bottom w:val="single" w:color="auto" w:sz="4" w:space="0"/>
              <w:right w:val="single" w:color="auto" w:sz="4" w:space="0"/>
            </w:tcBorders>
            <w:vAlign w:val="center"/>
          </w:tcPr>
          <w:p w14:paraId="09FCD0C8">
            <w:pPr>
              <w:widowControl/>
              <w:jc w:val="left"/>
              <w:rPr>
                <w:szCs w:val="21"/>
              </w:rPr>
            </w:pPr>
            <w:r>
              <w:rPr>
                <w:rFonts w:hint="eastAsia"/>
                <w:szCs w:val="21"/>
              </w:rPr>
              <w:t>X＜10</w:t>
            </w:r>
          </w:p>
        </w:tc>
      </w:tr>
      <w:tr w14:paraId="59D2CA2D">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7AE7C481">
            <w:pPr>
              <w:widowControl/>
              <w:jc w:val="left"/>
              <w:rPr>
                <w:szCs w:val="21"/>
              </w:rPr>
            </w:pPr>
          </w:p>
        </w:tc>
        <w:tc>
          <w:tcPr>
            <w:tcW w:w="1701" w:type="dxa"/>
            <w:tcBorders>
              <w:top w:val="nil"/>
              <w:left w:val="nil"/>
              <w:bottom w:val="single" w:color="auto" w:sz="4" w:space="0"/>
              <w:right w:val="single" w:color="auto" w:sz="4" w:space="0"/>
            </w:tcBorders>
            <w:vAlign w:val="center"/>
          </w:tcPr>
          <w:p w14:paraId="286A89D1">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vAlign w:val="center"/>
          </w:tcPr>
          <w:p w14:paraId="1A35E1A2">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vAlign w:val="center"/>
          </w:tcPr>
          <w:p w14:paraId="201DBB00">
            <w:pPr>
              <w:widowControl/>
              <w:jc w:val="left"/>
              <w:rPr>
                <w:szCs w:val="21"/>
              </w:rPr>
            </w:pPr>
            <w:r>
              <w:rPr>
                <w:rFonts w:hint="eastAsia"/>
                <w:szCs w:val="21"/>
              </w:rPr>
              <w:t>500≤Y＜20000</w:t>
            </w:r>
          </w:p>
        </w:tc>
        <w:tc>
          <w:tcPr>
            <w:tcW w:w="1570" w:type="dxa"/>
            <w:tcBorders>
              <w:top w:val="nil"/>
              <w:left w:val="nil"/>
              <w:bottom w:val="single" w:color="auto" w:sz="4" w:space="0"/>
              <w:right w:val="single" w:color="auto" w:sz="4" w:space="0"/>
            </w:tcBorders>
            <w:vAlign w:val="center"/>
          </w:tcPr>
          <w:p w14:paraId="2F9BBCDA">
            <w:pPr>
              <w:widowControl/>
              <w:jc w:val="left"/>
              <w:rPr>
                <w:szCs w:val="21"/>
              </w:rPr>
            </w:pPr>
            <w:r>
              <w:rPr>
                <w:rFonts w:hint="eastAsia"/>
                <w:szCs w:val="21"/>
              </w:rPr>
              <w:t>100≤Y＜500</w:t>
            </w:r>
          </w:p>
        </w:tc>
        <w:tc>
          <w:tcPr>
            <w:tcW w:w="1009" w:type="dxa"/>
            <w:tcBorders>
              <w:top w:val="nil"/>
              <w:left w:val="nil"/>
              <w:bottom w:val="single" w:color="auto" w:sz="4" w:space="0"/>
              <w:right w:val="single" w:color="auto" w:sz="4" w:space="0"/>
            </w:tcBorders>
            <w:vAlign w:val="center"/>
          </w:tcPr>
          <w:p w14:paraId="04A8C679">
            <w:pPr>
              <w:widowControl/>
              <w:jc w:val="left"/>
              <w:rPr>
                <w:szCs w:val="21"/>
              </w:rPr>
            </w:pPr>
            <w:r>
              <w:rPr>
                <w:rFonts w:hint="eastAsia"/>
                <w:szCs w:val="21"/>
              </w:rPr>
              <w:t>Y＜100</w:t>
            </w:r>
          </w:p>
        </w:tc>
      </w:tr>
      <w:tr w14:paraId="248C4198">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06A2FF5C">
            <w:pPr>
              <w:widowControl/>
              <w:jc w:val="center"/>
              <w:rPr>
                <w:szCs w:val="21"/>
              </w:rPr>
            </w:pPr>
            <w:r>
              <w:rPr>
                <w:rFonts w:hint="eastAsia"/>
                <w:szCs w:val="21"/>
              </w:rPr>
              <w:t>交通运输业</w:t>
            </w:r>
          </w:p>
        </w:tc>
        <w:tc>
          <w:tcPr>
            <w:tcW w:w="1701" w:type="dxa"/>
            <w:tcBorders>
              <w:top w:val="nil"/>
              <w:left w:val="nil"/>
              <w:bottom w:val="single" w:color="auto" w:sz="4" w:space="0"/>
              <w:right w:val="single" w:color="auto" w:sz="4" w:space="0"/>
            </w:tcBorders>
            <w:vAlign w:val="center"/>
          </w:tcPr>
          <w:p w14:paraId="362B2C30">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vAlign w:val="center"/>
          </w:tcPr>
          <w:p w14:paraId="314AF705">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vAlign w:val="center"/>
          </w:tcPr>
          <w:p w14:paraId="23F33C88">
            <w:pPr>
              <w:widowControl/>
              <w:jc w:val="left"/>
              <w:rPr>
                <w:szCs w:val="21"/>
              </w:rPr>
            </w:pPr>
            <w:r>
              <w:rPr>
                <w:rFonts w:hint="eastAsia"/>
                <w:szCs w:val="21"/>
              </w:rPr>
              <w:t>300≤X＜1000</w:t>
            </w:r>
          </w:p>
        </w:tc>
        <w:tc>
          <w:tcPr>
            <w:tcW w:w="1570" w:type="dxa"/>
            <w:tcBorders>
              <w:top w:val="nil"/>
              <w:left w:val="nil"/>
              <w:bottom w:val="single" w:color="auto" w:sz="4" w:space="0"/>
              <w:right w:val="single" w:color="auto" w:sz="4" w:space="0"/>
            </w:tcBorders>
            <w:vAlign w:val="center"/>
          </w:tcPr>
          <w:p w14:paraId="4565EC59">
            <w:pPr>
              <w:widowControl/>
              <w:jc w:val="left"/>
              <w:rPr>
                <w:szCs w:val="21"/>
              </w:rPr>
            </w:pPr>
            <w:r>
              <w:rPr>
                <w:rFonts w:hint="eastAsia"/>
                <w:szCs w:val="21"/>
              </w:rPr>
              <w:t>20≤X＜300</w:t>
            </w:r>
          </w:p>
        </w:tc>
        <w:tc>
          <w:tcPr>
            <w:tcW w:w="1009" w:type="dxa"/>
            <w:tcBorders>
              <w:top w:val="nil"/>
              <w:left w:val="nil"/>
              <w:bottom w:val="single" w:color="auto" w:sz="4" w:space="0"/>
              <w:right w:val="single" w:color="auto" w:sz="4" w:space="0"/>
            </w:tcBorders>
            <w:vAlign w:val="center"/>
          </w:tcPr>
          <w:p w14:paraId="7228DBFC">
            <w:pPr>
              <w:widowControl/>
              <w:jc w:val="left"/>
              <w:rPr>
                <w:szCs w:val="21"/>
              </w:rPr>
            </w:pPr>
            <w:r>
              <w:rPr>
                <w:rFonts w:hint="eastAsia"/>
                <w:szCs w:val="21"/>
              </w:rPr>
              <w:t>X＜20</w:t>
            </w:r>
          </w:p>
        </w:tc>
      </w:tr>
      <w:tr w14:paraId="1B6C5848">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33BD1F30">
            <w:pPr>
              <w:widowControl/>
              <w:jc w:val="left"/>
              <w:rPr>
                <w:szCs w:val="21"/>
              </w:rPr>
            </w:pPr>
          </w:p>
        </w:tc>
        <w:tc>
          <w:tcPr>
            <w:tcW w:w="1701" w:type="dxa"/>
            <w:tcBorders>
              <w:top w:val="nil"/>
              <w:left w:val="nil"/>
              <w:bottom w:val="single" w:color="auto" w:sz="4" w:space="0"/>
              <w:right w:val="single" w:color="auto" w:sz="4" w:space="0"/>
            </w:tcBorders>
            <w:vAlign w:val="center"/>
          </w:tcPr>
          <w:p w14:paraId="79624C66">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vAlign w:val="center"/>
          </w:tcPr>
          <w:p w14:paraId="4B19EEB3">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vAlign w:val="center"/>
          </w:tcPr>
          <w:p w14:paraId="3CE7166E">
            <w:pPr>
              <w:widowControl/>
              <w:jc w:val="left"/>
              <w:rPr>
                <w:szCs w:val="21"/>
              </w:rPr>
            </w:pPr>
            <w:r>
              <w:rPr>
                <w:rFonts w:hint="eastAsia"/>
                <w:szCs w:val="21"/>
              </w:rPr>
              <w:t>3000≤Y＜30000</w:t>
            </w:r>
          </w:p>
        </w:tc>
        <w:tc>
          <w:tcPr>
            <w:tcW w:w="1570" w:type="dxa"/>
            <w:tcBorders>
              <w:top w:val="nil"/>
              <w:left w:val="nil"/>
              <w:bottom w:val="single" w:color="auto" w:sz="4" w:space="0"/>
              <w:right w:val="single" w:color="auto" w:sz="4" w:space="0"/>
            </w:tcBorders>
            <w:vAlign w:val="center"/>
          </w:tcPr>
          <w:p w14:paraId="085445CB">
            <w:pPr>
              <w:widowControl/>
              <w:jc w:val="left"/>
              <w:rPr>
                <w:szCs w:val="21"/>
              </w:rPr>
            </w:pPr>
            <w:r>
              <w:rPr>
                <w:rFonts w:hint="eastAsia"/>
                <w:szCs w:val="21"/>
              </w:rPr>
              <w:t>200≤Y＜3000</w:t>
            </w:r>
          </w:p>
        </w:tc>
        <w:tc>
          <w:tcPr>
            <w:tcW w:w="1009" w:type="dxa"/>
            <w:tcBorders>
              <w:top w:val="nil"/>
              <w:left w:val="nil"/>
              <w:bottom w:val="single" w:color="auto" w:sz="4" w:space="0"/>
              <w:right w:val="single" w:color="auto" w:sz="4" w:space="0"/>
            </w:tcBorders>
            <w:vAlign w:val="center"/>
          </w:tcPr>
          <w:p w14:paraId="24062955">
            <w:pPr>
              <w:widowControl/>
              <w:jc w:val="left"/>
              <w:rPr>
                <w:szCs w:val="21"/>
              </w:rPr>
            </w:pPr>
            <w:r>
              <w:rPr>
                <w:rFonts w:hint="eastAsia"/>
                <w:szCs w:val="21"/>
              </w:rPr>
              <w:t>Y＜200</w:t>
            </w:r>
          </w:p>
        </w:tc>
      </w:tr>
      <w:tr w14:paraId="38107AD1">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268370B0">
            <w:pPr>
              <w:widowControl/>
              <w:jc w:val="center"/>
              <w:rPr>
                <w:szCs w:val="21"/>
              </w:rPr>
            </w:pPr>
            <w:r>
              <w:rPr>
                <w:rFonts w:hint="eastAsia"/>
                <w:szCs w:val="21"/>
              </w:rPr>
              <w:t>仓储业</w:t>
            </w:r>
          </w:p>
        </w:tc>
        <w:tc>
          <w:tcPr>
            <w:tcW w:w="1701" w:type="dxa"/>
            <w:tcBorders>
              <w:top w:val="nil"/>
              <w:left w:val="nil"/>
              <w:bottom w:val="single" w:color="auto" w:sz="4" w:space="0"/>
              <w:right w:val="single" w:color="auto" w:sz="4" w:space="0"/>
            </w:tcBorders>
            <w:vAlign w:val="center"/>
          </w:tcPr>
          <w:p w14:paraId="1B86E210">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vAlign w:val="center"/>
          </w:tcPr>
          <w:p w14:paraId="209B364A">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vAlign w:val="center"/>
          </w:tcPr>
          <w:p w14:paraId="7D7E6A61">
            <w:pPr>
              <w:widowControl/>
              <w:jc w:val="left"/>
              <w:rPr>
                <w:szCs w:val="21"/>
              </w:rPr>
            </w:pPr>
            <w:r>
              <w:rPr>
                <w:rFonts w:hint="eastAsia"/>
                <w:szCs w:val="21"/>
              </w:rPr>
              <w:t>100≤X＜200</w:t>
            </w:r>
          </w:p>
        </w:tc>
        <w:tc>
          <w:tcPr>
            <w:tcW w:w="1570" w:type="dxa"/>
            <w:tcBorders>
              <w:top w:val="nil"/>
              <w:left w:val="nil"/>
              <w:bottom w:val="single" w:color="auto" w:sz="4" w:space="0"/>
              <w:right w:val="single" w:color="auto" w:sz="4" w:space="0"/>
            </w:tcBorders>
            <w:vAlign w:val="center"/>
          </w:tcPr>
          <w:p w14:paraId="75C3FF99">
            <w:pPr>
              <w:widowControl/>
              <w:jc w:val="left"/>
              <w:rPr>
                <w:szCs w:val="21"/>
              </w:rPr>
            </w:pPr>
            <w:r>
              <w:rPr>
                <w:rFonts w:hint="eastAsia"/>
                <w:szCs w:val="21"/>
              </w:rPr>
              <w:t>20≤X＜100</w:t>
            </w:r>
          </w:p>
        </w:tc>
        <w:tc>
          <w:tcPr>
            <w:tcW w:w="1009" w:type="dxa"/>
            <w:tcBorders>
              <w:top w:val="nil"/>
              <w:left w:val="nil"/>
              <w:bottom w:val="single" w:color="auto" w:sz="4" w:space="0"/>
              <w:right w:val="single" w:color="auto" w:sz="4" w:space="0"/>
            </w:tcBorders>
            <w:vAlign w:val="center"/>
          </w:tcPr>
          <w:p w14:paraId="7B31943A">
            <w:pPr>
              <w:widowControl/>
              <w:jc w:val="left"/>
              <w:rPr>
                <w:szCs w:val="21"/>
              </w:rPr>
            </w:pPr>
            <w:r>
              <w:rPr>
                <w:rFonts w:hint="eastAsia"/>
                <w:szCs w:val="21"/>
              </w:rPr>
              <w:t>X＜20</w:t>
            </w:r>
          </w:p>
        </w:tc>
      </w:tr>
      <w:tr w14:paraId="0E17229E">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6B44869B">
            <w:pPr>
              <w:widowControl/>
              <w:jc w:val="left"/>
              <w:rPr>
                <w:szCs w:val="21"/>
              </w:rPr>
            </w:pPr>
          </w:p>
        </w:tc>
        <w:tc>
          <w:tcPr>
            <w:tcW w:w="1701" w:type="dxa"/>
            <w:tcBorders>
              <w:top w:val="nil"/>
              <w:left w:val="nil"/>
              <w:bottom w:val="single" w:color="auto" w:sz="4" w:space="0"/>
              <w:right w:val="single" w:color="auto" w:sz="4" w:space="0"/>
            </w:tcBorders>
            <w:vAlign w:val="center"/>
          </w:tcPr>
          <w:p w14:paraId="3EECCA9D">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vAlign w:val="center"/>
          </w:tcPr>
          <w:p w14:paraId="1D25CEDD">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vAlign w:val="center"/>
          </w:tcPr>
          <w:p w14:paraId="4E7DC85B">
            <w:pPr>
              <w:widowControl/>
              <w:jc w:val="left"/>
              <w:rPr>
                <w:szCs w:val="21"/>
              </w:rPr>
            </w:pPr>
            <w:r>
              <w:rPr>
                <w:rFonts w:hint="eastAsia"/>
                <w:szCs w:val="21"/>
              </w:rPr>
              <w:t>1000≤Y＜30000</w:t>
            </w:r>
          </w:p>
        </w:tc>
        <w:tc>
          <w:tcPr>
            <w:tcW w:w="1570" w:type="dxa"/>
            <w:tcBorders>
              <w:top w:val="nil"/>
              <w:left w:val="nil"/>
              <w:bottom w:val="single" w:color="auto" w:sz="4" w:space="0"/>
              <w:right w:val="single" w:color="auto" w:sz="4" w:space="0"/>
            </w:tcBorders>
            <w:vAlign w:val="center"/>
          </w:tcPr>
          <w:p w14:paraId="4A7C1D41">
            <w:pPr>
              <w:widowControl/>
              <w:jc w:val="left"/>
              <w:rPr>
                <w:szCs w:val="21"/>
              </w:rPr>
            </w:pPr>
            <w:r>
              <w:rPr>
                <w:rFonts w:hint="eastAsia"/>
                <w:szCs w:val="21"/>
              </w:rPr>
              <w:t>100≤Y＜1000</w:t>
            </w:r>
          </w:p>
        </w:tc>
        <w:tc>
          <w:tcPr>
            <w:tcW w:w="1009" w:type="dxa"/>
            <w:tcBorders>
              <w:top w:val="nil"/>
              <w:left w:val="nil"/>
              <w:bottom w:val="single" w:color="auto" w:sz="4" w:space="0"/>
              <w:right w:val="single" w:color="auto" w:sz="4" w:space="0"/>
            </w:tcBorders>
            <w:vAlign w:val="center"/>
          </w:tcPr>
          <w:p w14:paraId="167B2A6C">
            <w:pPr>
              <w:widowControl/>
              <w:jc w:val="left"/>
              <w:rPr>
                <w:szCs w:val="21"/>
              </w:rPr>
            </w:pPr>
            <w:r>
              <w:rPr>
                <w:rFonts w:hint="eastAsia"/>
                <w:szCs w:val="21"/>
              </w:rPr>
              <w:t>Y＜100</w:t>
            </w:r>
          </w:p>
        </w:tc>
      </w:tr>
      <w:tr w14:paraId="7173707C">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2897AF69">
            <w:pPr>
              <w:widowControl/>
              <w:jc w:val="center"/>
              <w:rPr>
                <w:szCs w:val="21"/>
              </w:rPr>
            </w:pPr>
            <w:r>
              <w:rPr>
                <w:rFonts w:hint="eastAsia"/>
                <w:szCs w:val="21"/>
              </w:rPr>
              <w:t>邮政业</w:t>
            </w:r>
          </w:p>
        </w:tc>
        <w:tc>
          <w:tcPr>
            <w:tcW w:w="1701" w:type="dxa"/>
            <w:tcBorders>
              <w:top w:val="nil"/>
              <w:left w:val="nil"/>
              <w:bottom w:val="single" w:color="auto" w:sz="4" w:space="0"/>
              <w:right w:val="single" w:color="auto" w:sz="4" w:space="0"/>
            </w:tcBorders>
            <w:vAlign w:val="center"/>
          </w:tcPr>
          <w:p w14:paraId="5E3128D5">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vAlign w:val="center"/>
          </w:tcPr>
          <w:p w14:paraId="1EF85D7B">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vAlign w:val="center"/>
          </w:tcPr>
          <w:p w14:paraId="3926F2F4">
            <w:pPr>
              <w:widowControl/>
              <w:jc w:val="left"/>
              <w:rPr>
                <w:szCs w:val="21"/>
              </w:rPr>
            </w:pPr>
            <w:r>
              <w:rPr>
                <w:rFonts w:hint="eastAsia"/>
                <w:szCs w:val="21"/>
              </w:rPr>
              <w:t>300≤X＜1000</w:t>
            </w:r>
          </w:p>
        </w:tc>
        <w:tc>
          <w:tcPr>
            <w:tcW w:w="1570" w:type="dxa"/>
            <w:tcBorders>
              <w:top w:val="nil"/>
              <w:left w:val="nil"/>
              <w:bottom w:val="single" w:color="auto" w:sz="4" w:space="0"/>
              <w:right w:val="single" w:color="auto" w:sz="4" w:space="0"/>
            </w:tcBorders>
            <w:vAlign w:val="center"/>
          </w:tcPr>
          <w:p w14:paraId="2643481E">
            <w:pPr>
              <w:widowControl/>
              <w:jc w:val="left"/>
              <w:rPr>
                <w:szCs w:val="21"/>
              </w:rPr>
            </w:pPr>
            <w:r>
              <w:rPr>
                <w:rFonts w:hint="eastAsia"/>
                <w:szCs w:val="21"/>
              </w:rPr>
              <w:t>20≤X＜300</w:t>
            </w:r>
          </w:p>
        </w:tc>
        <w:tc>
          <w:tcPr>
            <w:tcW w:w="1009" w:type="dxa"/>
            <w:tcBorders>
              <w:top w:val="nil"/>
              <w:left w:val="nil"/>
              <w:bottom w:val="single" w:color="auto" w:sz="4" w:space="0"/>
              <w:right w:val="single" w:color="auto" w:sz="4" w:space="0"/>
            </w:tcBorders>
            <w:vAlign w:val="center"/>
          </w:tcPr>
          <w:p w14:paraId="7E3279B1">
            <w:pPr>
              <w:widowControl/>
              <w:jc w:val="left"/>
              <w:rPr>
                <w:szCs w:val="21"/>
              </w:rPr>
            </w:pPr>
            <w:r>
              <w:rPr>
                <w:rFonts w:hint="eastAsia"/>
                <w:szCs w:val="21"/>
              </w:rPr>
              <w:t>X＜20</w:t>
            </w:r>
          </w:p>
        </w:tc>
      </w:tr>
      <w:tr w14:paraId="6A0CEC91">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74AF488B">
            <w:pPr>
              <w:widowControl/>
              <w:jc w:val="left"/>
              <w:rPr>
                <w:szCs w:val="21"/>
              </w:rPr>
            </w:pPr>
          </w:p>
        </w:tc>
        <w:tc>
          <w:tcPr>
            <w:tcW w:w="1701" w:type="dxa"/>
            <w:tcBorders>
              <w:top w:val="nil"/>
              <w:left w:val="nil"/>
              <w:bottom w:val="single" w:color="auto" w:sz="4" w:space="0"/>
              <w:right w:val="single" w:color="auto" w:sz="4" w:space="0"/>
            </w:tcBorders>
            <w:vAlign w:val="center"/>
          </w:tcPr>
          <w:p w14:paraId="037EF44F">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vAlign w:val="center"/>
          </w:tcPr>
          <w:p w14:paraId="386F3F42">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vAlign w:val="center"/>
          </w:tcPr>
          <w:p w14:paraId="1EDAA889">
            <w:pPr>
              <w:widowControl/>
              <w:jc w:val="left"/>
              <w:rPr>
                <w:szCs w:val="21"/>
              </w:rPr>
            </w:pPr>
            <w:r>
              <w:rPr>
                <w:rFonts w:hint="eastAsia"/>
                <w:szCs w:val="21"/>
              </w:rPr>
              <w:t>2000≤Y＜30000</w:t>
            </w:r>
          </w:p>
        </w:tc>
        <w:tc>
          <w:tcPr>
            <w:tcW w:w="1570" w:type="dxa"/>
            <w:tcBorders>
              <w:top w:val="nil"/>
              <w:left w:val="nil"/>
              <w:bottom w:val="single" w:color="auto" w:sz="4" w:space="0"/>
              <w:right w:val="single" w:color="auto" w:sz="4" w:space="0"/>
            </w:tcBorders>
            <w:vAlign w:val="center"/>
          </w:tcPr>
          <w:p w14:paraId="45805647">
            <w:pPr>
              <w:widowControl/>
              <w:jc w:val="left"/>
              <w:rPr>
                <w:szCs w:val="21"/>
              </w:rPr>
            </w:pPr>
            <w:r>
              <w:rPr>
                <w:rFonts w:hint="eastAsia"/>
                <w:szCs w:val="21"/>
              </w:rPr>
              <w:t>100≤Y＜2000</w:t>
            </w:r>
          </w:p>
        </w:tc>
        <w:tc>
          <w:tcPr>
            <w:tcW w:w="1009" w:type="dxa"/>
            <w:tcBorders>
              <w:top w:val="nil"/>
              <w:left w:val="nil"/>
              <w:bottom w:val="single" w:color="auto" w:sz="4" w:space="0"/>
              <w:right w:val="single" w:color="auto" w:sz="4" w:space="0"/>
            </w:tcBorders>
            <w:vAlign w:val="center"/>
          </w:tcPr>
          <w:p w14:paraId="677AB8B5">
            <w:pPr>
              <w:widowControl/>
              <w:jc w:val="left"/>
              <w:rPr>
                <w:szCs w:val="21"/>
              </w:rPr>
            </w:pPr>
            <w:r>
              <w:rPr>
                <w:rFonts w:hint="eastAsia"/>
                <w:szCs w:val="21"/>
              </w:rPr>
              <w:t>Y＜100</w:t>
            </w:r>
          </w:p>
        </w:tc>
      </w:tr>
      <w:tr w14:paraId="21FFBCF5">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0CDC5756">
            <w:pPr>
              <w:widowControl/>
              <w:jc w:val="center"/>
              <w:rPr>
                <w:szCs w:val="21"/>
              </w:rPr>
            </w:pPr>
            <w:r>
              <w:rPr>
                <w:rFonts w:hint="eastAsia"/>
                <w:szCs w:val="21"/>
              </w:rPr>
              <w:t>住宿业</w:t>
            </w:r>
          </w:p>
        </w:tc>
        <w:tc>
          <w:tcPr>
            <w:tcW w:w="1701" w:type="dxa"/>
            <w:tcBorders>
              <w:top w:val="nil"/>
              <w:left w:val="nil"/>
              <w:bottom w:val="single" w:color="auto" w:sz="4" w:space="0"/>
              <w:right w:val="single" w:color="auto" w:sz="4" w:space="0"/>
            </w:tcBorders>
            <w:vAlign w:val="center"/>
          </w:tcPr>
          <w:p w14:paraId="7C0F3DDA">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vAlign w:val="center"/>
          </w:tcPr>
          <w:p w14:paraId="6FC4DC90">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vAlign w:val="center"/>
          </w:tcPr>
          <w:p w14:paraId="6E4E70A1">
            <w:pPr>
              <w:widowControl/>
              <w:jc w:val="left"/>
              <w:rPr>
                <w:szCs w:val="21"/>
              </w:rPr>
            </w:pPr>
            <w:r>
              <w:rPr>
                <w:rFonts w:hint="eastAsia"/>
                <w:szCs w:val="21"/>
              </w:rPr>
              <w:t>100≤X＜300</w:t>
            </w:r>
          </w:p>
        </w:tc>
        <w:tc>
          <w:tcPr>
            <w:tcW w:w="1570" w:type="dxa"/>
            <w:tcBorders>
              <w:top w:val="nil"/>
              <w:left w:val="nil"/>
              <w:bottom w:val="single" w:color="auto" w:sz="4" w:space="0"/>
              <w:right w:val="single" w:color="auto" w:sz="4" w:space="0"/>
            </w:tcBorders>
            <w:vAlign w:val="center"/>
          </w:tcPr>
          <w:p w14:paraId="5243B51E">
            <w:pPr>
              <w:widowControl/>
              <w:jc w:val="left"/>
              <w:rPr>
                <w:szCs w:val="21"/>
              </w:rPr>
            </w:pPr>
            <w:r>
              <w:rPr>
                <w:rFonts w:hint="eastAsia"/>
                <w:szCs w:val="21"/>
              </w:rPr>
              <w:t>10≤X＜100</w:t>
            </w:r>
          </w:p>
        </w:tc>
        <w:tc>
          <w:tcPr>
            <w:tcW w:w="1009" w:type="dxa"/>
            <w:tcBorders>
              <w:top w:val="nil"/>
              <w:left w:val="nil"/>
              <w:bottom w:val="single" w:color="auto" w:sz="4" w:space="0"/>
              <w:right w:val="single" w:color="auto" w:sz="4" w:space="0"/>
            </w:tcBorders>
            <w:vAlign w:val="center"/>
          </w:tcPr>
          <w:p w14:paraId="0A8817A5">
            <w:pPr>
              <w:widowControl/>
              <w:jc w:val="left"/>
              <w:rPr>
                <w:szCs w:val="21"/>
              </w:rPr>
            </w:pPr>
            <w:r>
              <w:rPr>
                <w:rFonts w:hint="eastAsia"/>
                <w:szCs w:val="21"/>
              </w:rPr>
              <w:t>X＜10</w:t>
            </w:r>
          </w:p>
        </w:tc>
      </w:tr>
      <w:tr w14:paraId="0EE649F4">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6B00B654">
            <w:pPr>
              <w:widowControl/>
              <w:jc w:val="left"/>
              <w:rPr>
                <w:szCs w:val="21"/>
              </w:rPr>
            </w:pPr>
          </w:p>
        </w:tc>
        <w:tc>
          <w:tcPr>
            <w:tcW w:w="1701" w:type="dxa"/>
            <w:tcBorders>
              <w:top w:val="nil"/>
              <w:left w:val="nil"/>
              <w:bottom w:val="single" w:color="auto" w:sz="4" w:space="0"/>
              <w:right w:val="single" w:color="auto" w:sz="4" w:space="0"/>
            </w:tcBorders>
            <w:vAlign w:val="center"/>
          </w:tcPr>
          <w:p w14:paraId="155F9E9E">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vAlign w:val="center"/>
          </w:tcPr>
          <w:p w14:paraId="1054CEAC">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vAlign w:val="center"/>
          </w:tcPr>
          <w:p w14:paraId="20894399">
            <w:pPr>
              <w:widowControl/>
              <w:jc w:val="left"/>
              <w:rPr>
                <w:szCs w:val="21"/>
              </w:rPr>
            </w:pPr>
            <w:r>
              <w:rPr>
                <w:rFonts w:hint="eastAsia"/>
                <w:szCs w:val="21"/>
              </w:rPr>
              <w:t>2000≤Y＜10000</w:t>
            </w:r>
          </w:p>
        </w:tc>
        <w:tc>
          <w:tcPr>
            <w:tcW w:w="1570" w:type="dxa"/>
            <w:tcBorders>
              <w:top w:val="nil"/>
              <w:left w:val="nil"/>
              <w:bottom w:val="single" w:color="auto" w:sz="4" w:space="0"/>
              <w:right w:val="single" w:color="auto" w:sz="4" w:space="0"/>
            </w:tcBorders>
            <w:vAlign w:val="center"/>
          </w:tcPr>
          <w:p w14:paraId="4CF31761">
            <w:pPr>
              <w:widowControl/>
              <w:jc w:val="left"/>
              <w:rPr>
                <w:szCs w:val="21"/>
              </w:rPr>
            </w:pPr>
            <w:r>
              <w:rPr>
                <w:rFonts w:hint="eastAsia"/>
                <w:szCs w:val="21"/>
              </w:rPr>
              <w:t>100≤Y＜2000</w:t>
            </w:r>
          </w:p>
        </w:tc>
        <w:tc>
          <w:tcPr>
            <w:tcW w:w="1009" w:type="dxa"/>
            <w:tcBorders>
              <w:top w:val="nil"/>
              <w:left w:val="nil"/>
              <w:bottom w:val="single" w:color="auto" w:sz="4" w:space="0"/>
              <w:right w:val="single" w:color="auto" w:sz="4" w:space="0"/>
            </w:tcBorders>
            <w:vAlign w:val="center"/>
          </w:tcPr>
          <w:p w14:paraId="24D4B311">
            <w:pPr>
              <w:widowControl/>
              <w:jc w:val="left"/>
              <w:rPr>
                <w:szCs w:val="21"/>
              </w:rPr>
            </w:pPr>
            <w:r>
              <w:rPr>
                <w:rFonts w:hint="eastAsia"/>
                <w:szCs w:val="21"/>
              </w:rPr>
              <w:t>Y＜100</w:t>
            </w:r>
          </w:p>
        </w:tc>
      </w:tr>
      <w:tr w14:paraId="1BD33AB9">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33AFC0A7">
            <w:pPr>
              <w:widowControl/>
              <w:jc w:val="center"/>
              <w:rPr>
                <w:szCs w:val="21"/>
              </w:rPr>
            </w:pPr>
            <w:r>
              <w:rPr>
                <w:rFonts w:hint="eastAsia"/>
                <w:szCs w:val="21"/>
              </w:rPr>
              <w:t>餐饮业</w:t>
            </w:r>
          </w:p>
        </w:tc>
        <w:tc>
          <w:tcPr>
            <w:tcW w:w="1701" w:type="dxa"/>
            <w:tcBorders>
              <w:top w:val="nil"/>
              <w:left w:val="nil"/>
              <w:bottom w:val="single" w:color="auto" w:sz="4" w:space="0"/>
              <w:right w:val="single" w:color="auto" w:sz="4" w:space="0"/>
            </w:tcBorders>
            <w:vAlign w:val="center"/>
          </w:tcPr>
          <w:p w14:paraId="787E842E">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vAlign w:val="center"/>
          </w:tcPr>
          <w:p w14:paraId="28A1DDC9">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vAlign w:val="center"/>
          </w:tcPr>
          <w:p w14:paraId="64C63246">
            <w:pPr>
              <w:widowControl/>
              <w:jc w:val="left"/>
              <w:rPr>
                <w:szCs w:val="21"/>
              </w:rPr>
            </w:pPr>
            <w:r>
              <w:rPr>
                <w:rFonts w:hint="eastAsia"/>
                <w:szCs w:val="21"/>
              </w:rPr>
              <w:t>100≤X＜300</w:t>
            </w:r>
          </w:p>
        </w:tc>
        <w:tc>
          <w:tcPr>
            <w:tcW w:w="1570" w:type="dxa"/>
            <w:tcBorders>
              <w:top w:val="nil"/>
              <w:left w:val="nil"/>
              <w:bottom w:val="single" w:color="auto" w:sz="4" w:space="0"/>
              <w:right w:val="single" w:color="auto" w:sz="4" w:space="0"/>
            </w:tcBorders>
            <w:vAlign w:val="center"/>
          </w:tcPr>
          <w:p w14:paraId="2283817F">
            <w:pPr>
              <w:widowControl/>
              <w:jc w:val="left"/>
              <w:rPr>
                <w:szCs w:val="21"/>
              </w:rPr>
            </w:pPr>
            <w:r>
              <w:rPr>
                <w:rFonts w:hint="eastAsia"/>
                <w:szCs w:val="21"/>
              </w:rPr>
              <w:t>10≤X＜100</w:t>
            </w:r>
          </w:p>
        </w:tc>
        <w:tc>
          <w:tcPr>
            <w:tcW w:w="1009" w:type="dxa"/>
            <w:tcBorders>
              <w:top w:val="nil"/>
              <w:left w:val="nil"/>
              <w:bottom w:val="single" w:color="auto" w:sz="4" w:space="0"/>
              <w:right w:val="single" w:color="auto" w:sz="4" w:space="0"/>
            </w:tcBorders>
            <w:vAlign w:val="center"/>
          </w:tcPr>
          <w:p w14:paraId="2A0BA55A">
            <w:pPr>
              <w:widowControl/>
              <w:jc w:val="left"/>
              <w:rPr>
                <w:szCs w:val="21"/>
              </w:rPr>
            </w:pPr>
            <w:r>
              <w:rPr>
                <w:rFonts w:hint="eastAsia"/>
                <w:szCs w:val="21"/>
              </w:rPr>
              <w:t>X＜10</w:t>
            </w:r>
          </w:p>
        </w:tc>
      </w:tr>
      <w:tr w14:paraId="6762B0A9">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11809A8F">
            <w:pPr>
              <w:widowControl/>
              <w:jc w:val="left"/>
              <w:rPr>
                <w:szCs w:val="21"/>
              </w:rPr>
            </w:pPr>
          </w:p>
        </w:tc>
        <w:tc>
          <w:tcPr>
            <w:tcW w:w="1701" w:type="dxa"/>
            <w:tcBorders>
              <w:top w:val="nil"/>
              <w:left w:val="nil"/>
              <w:bottom w:val="single" w:color="auto" w:sz="4" w:space="0"/>
              <w:right w:val="single" w:color="auto" w:sz="4" w:space="0"/>
            </w:tcBorders>
            <w:vAlign w:val="center"/>
          </w:tcPr>
          <w:p w14:paraId="0DB62124">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vAlign w:val="center"/>
          </w:tcPr>
          <w:p w14:paraId="1F22169B">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vAlign w:val="center"/>
          </w:tcPr>
          <w:p w14:paraId="79C9F872">
            <w:pPr>
              <w:widowControl/>
              <w:jc w:val="left"/>
              <w:rPr>
                <w:szCs w:val="21"/>
              </w:rPr>
            </w:pPr>
            <w:r>
              <w:rPr>
                <w:rFonts w:hint="eastAsia"/>
                <w:szCs w:val="21"/>
              </w:rPr>
              <w:t>2000≤Y＜10000</w:t>
            </w:r>
          </w:p>
        </w:tc>
        <w:tc>
          <w:tcPr>
            <w:tcW w:w="1570" w:type="dxa"/>
            <w:tcBorders>
              <w:top w:val="nil"/>
              <w:left w:val="nil"/>
              <w:bottom w:val="single" w:color="auto" w:sz="4" w:space="0"/>
              <w:right w:val="single" w:color="auto" w:sz="4" w:space="0"/>
            </w:tcBorders>
            <w:vAlign w:val="center"/>
          </w:tcPr>
          <w:p w14:paraId="544D19D6">
            <w:pPr>
              <w:widowControl/>
              <w:jc w:val="left"/>
              <w:rPr>
                <w:szCs w:val="21"/>
              </w:rPr>
            </w:pPr>
            <w:r>
              <w:rPr>
                <w:rFonts w:hint="eastAsia"/>
                <w:szCs w:val="21"/>
              </w:rPr>
              <w:t>100≤Y＜2000</w:t>
            </w:r>
          </w:p>
        </w:tc>
        <w:tc>
          <w:tcPr>
            <w:tcW w:w="1009" w:type="dxa"/>
            <w:tcBorders>
              <w:top w:val="nil"/>
              <w:left w:val="nil"/>
              <w:bottom w:val="single" w:color="auto" w:sz="4" w:space="0"/>
              <w:right w:val="single" w:color="auto" w:sz="4" w:space="0"/>
            </w:tcBorders>
            <w:vAlign w:val="center"/>
          </w:tcPr>
          <w:p w14:paraId="2CE4FA4A">
            <w:pPr>
              <w:widowControl/>
              <w:jc w:val="left"/>
              <w:rPr>
                <w:szCs w:val="21"/>
              </w:rPr>
            </w:pPr>
            <w:r>
              <w:rPr>
                <w:rFonts w:hint="eastAsia"/>
                <w:szCs w:val="21"/>
              </w:rPr>
              <w:t>Y＜100</w:t>
            </w:r>
          </w:p>
        </w:tc>
      </w:tr>
      <w:tr w14:paraId="4217F14B">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5020440C">
            <w:pPr>
              <w:widowControl/>
              <w:jc w:val="center"/>
              <w:rPr>
                <w:szCs w:val="21"/>
              </w:rPr>
            </w:pPr>
            <w:r>
              <w:rPr>
                <w:rFonts w:hint="eastAsia"/>
                <w:szCs w:val="21"/>
              </w:rPr>
              <w:t>信息传输业</w:t>
            </w:r>
          </w:p>
        </w:tc>
        <w:tc>
          <w:tcPr>
            <w:tcW w:w="1701" w:type="dxa"/>
            <w:tcBorders>
              <w:top w:val="nil"/>
              <w:left w:val="nil"/>
              <w:bottom w:val="single" w:color="auto" w:sz="4" w:space="0"/>
              <w:right w:val="single" w:color="auto" w:sz="4" w:space="0"/>
            </w:tcBorders>
            <w:vAlign w:val="center"/>
          </w:tcPr>
          <w:p w14:paraId="00DF557B">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vAlign w:val="center"/>
          </w:tcPr>
          <w:p w14:paraId="12DF105A">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vAlign w:val="center"/>
          </w:tcPr>
          <w:p w14:paraId="1282F6CF">
            <w:pPr>
              <w:widowControl/>
              <w:jc w:val="left"/>
              <w:rPr>
                <w:szCs w:val="21"/>
              </w:rPr>
            </w:pPr>
            <w:r>
              <w:rPr>
                <w:rFonts w:hint="eastAsia"/>
                <w:szCs w:val="21"/>
              </w:rPr>
              <w:t>100≤X＜2000</w:t>
            </w:r>
          </w:p>
        </w:tc>
        <w:tc>
          <w:tcPr>
            <w:tcW w:w="1570" w:type="dxa"/>
            <w:tcBorders>
              <w:top w:val="nil"/>
              <w:left w:val="nil"/>
              <w:bottom w:val="single" w:color="auto" w:sz="4" w:space="0"/>
              <w:right w:val="single" w:color="auto" w:sz="4" w:space="0"/>
            </w:tcBorders>
            <w:vAlign w:val="center"/>
          </w:tcPr>
          <w:p w14:paraId="45432553">
            <w:pPr>
              <w:widowControl/>
              <w:jc w:val="left"/>
              <w:rPr>
                <w:szCs w:val="21"/>
              </w:rPr>
            </w:pPr>
            <w:r>
              <w:rPr>
                <w:rFonts w:hint="eastAsia"/>
                <w:szCs w:val="21"/>
              </w:rPr>
              <w:t>10≤X＜100</w:t>
            </w:r>
          </w:p>
        </w:tc>
        <w:tc>
          <w:tcPr>
            <w:tcW w:w="1009" w:type="dxa"/>
            <w:tcBorders>
              <w:top w:val="nil"/>
              <w:left w:val="nil"/>
              <w:bottom w:val="single" w:color="auto" w:sz="4" w:space="0"/>
              <w:right w:val="single" w:color="auto" w:sz="4" w:space="0"/>
            </w:tcBorders>
            <w:vAlign w:val="center"/>
          </w:tcPr>
          <w:p w14:paraId="3BFBB33D">
            <w:pPr>
              <w:widowControl/>
              <w:jc w:val="left"/>
              <w:rPr>
                <w:szCs w:val="21"/>
              </w:rPr>
            </w:pPr>
            <w:r>
              <w:rPr>
                <w:rFonts w:hint="eastAsia"/>
                <w:szCs w:val="21"/>
              </w:rPr>
              <w:t>X＜10</w:t>
            </w:r>
          </w:p>
        </w:tc>
      </w:tr>
      <w:tr w14:paraId="1258EFA2">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2B90A4B0">
            <w:pPr>
              <w:widowControl/>
              <w:jc w:val="left"/>
              <w:rPr>
                <w:szCs w:val="21"/>
              </w:rPr>
            </w:pPr>
          </w:p>
        </w:tc>
        <w:tc>
          <w:tcPr>
            <w:tcW w:w="1701" w:type="dxa"/>
            <w:tcBorders>
              <w:top w:val="nil"/>
              <w:left w:val="nil"/>
              <w:bottom w:val="single" w:color="auto" w:sz="4" w:space="0"/>
              <w:right w:val="single" w:color="auto" w:sz="4" w:space="0"/>
            </w:tcBorders>
            <w:vAlign w:val="center"/>
          </w:tcPr>
          <w:p w14:paraId="670AB0A1">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vAlign w:val="center"/>
          </w:tcPr>
          <w:p w14:paraId="2026EF46">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vAlign w:val="center"/>
          </w:tcPr>
          <w:p w14:paraId="10B621A8">
            <w:pPr>
              <w:widowControl/>
              <w:jc w:val="left"/>
              <w:rPr>
                <w:szCs w:val="21"/>
              </w:rPr>
            </w:pPr>
            <w:r>
              <w:rPr>
                <w:rFonts w:hint="eastAsia"/>
                <w:szCs w:val="21"/>
              </w:rPr>
              <w:t>1000≤Y＜100000</w:t>
            </w:r>
          </w:p>
        </w:tc>
        <w:tc>
          <w:tcPr>
            <w:tcW w:w="1570" w:type="dxa"/>
            <w:tcBorders>
              <w:top w:val="nil"/>
              <w:left w:val="nil"/>
              <w:bottom w:val="single" w:color="auto" w:sz="4" w:space="0"/>
              <w:right w:val="single" w:color="auto" w:sz="4" w:space="0"/>
            </w:tcBorders>
            <w:vAlign w:val="center"/>
          </w:tcPr>
          <w:p w14:paraId="3635D99D">
            <w:pPr>
              <w:widowControl/>
              <w:jc w:val="left"/>
              <w:rPr>
                <w:szCs w:val="21"/>
              </w:rPr>
            </w:pPr>
            <w:r>
              <w:rPr>
                <w:rFonts w:hint="eastAsia"/>
                <w:szCs w:val="21"/>
              </w:rPr>
              <w:t>100≤Y＜1000</w:t>
            </w:r>
          </w:p>
        </w:tc>
        <w:tc>
          <w:tcPr>
            <w:tcW w:w="1009" w:type="dxa"/>
            <w:tcBorders>
              <w:top w:val="nil"/>
              <w:left w:val="nil"/>
              <w:bottom w:val="single" w:color="auto" w:sz="4" w:space="0"/>
              <w:right w:val="single" w:color="auto" w:sz="4" w:space="0"/>
            </w:tcBorders>
            <w:vAlign w:val="center"/>
          </w:tcPr>
          <w:p w14:paraId="4AEA1C9F">
            <w:pPr>
              <w:widowControl/>
              <w:jc w:val="left"/>
              <w:rPr>
                <w:szCs w:val="21"/>
              </w:rPr>
            </w:pPr>
            <w:r>
              <w:rPr>
                <w:rFonts w:hint="eastAsia"/>
                <w:szCs w:val="21"/>
              </w:rPr>
              <w:t>Y＜100</w:t>
            </w:r>
          </w:p>
        </w:tc>
      </w:tr>
      <w:tr w14:paraId="548ECF95">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78EDD498">
            <w:pPr>
              <w:widowControl/>
              <w:jc w:val="center"/>
              <w:rPr>
                <w:szCs w:val="21"/>
              </w:rPr>
            </w:pPr>
            <w:r>
              <w:rPr>
                <w:rFonts w:hint="eastAsia"/>
                <w:szCs w:val="21"/>
              </w:rPr>
              <w:t>软件和信息技术服务业</w:t>
            </w:r>
          </w:p>
        </w:tc>
        <w:tc>
          <w:tcPr>
            <w:tcW w:w="1701" w:type="dxa"/>
            <w:tcBorders>
              <w:top w:val="nil"/>
              <w:left w:val="nil"/>
              <w:bottom w:val="single" w:color="auto" w:sz="4" w:space="0"/>
              <w:right w:val="single" w:color="auto" w:sz="4" w:space="0"/>
            </w:tcBorders>
            <w:vAlign w:val="center"/>
          </w:tcPr>
          <w:p w14:paraId="5701B4A4">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vAlign w:val="center"/>
          </w:tcPr>
          <w:p w14:paraId="777BE74B">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vAlign w:val="center"/>
          </w:tcPr>
          <w:p w14:paraId="676521C7">
            <w:pPr>
              <w:widowControl/>
              <w:jc w:val="left"/>
              <w:rPr>
                <w:szCs w:val="21"/>
              </w:rPr>
            </w:pPr>
            <w:r>
              <w:rPr>
                <w:rFonts w:hint="eastAsia"/>
                <w:szCs w:val="21"/>
              </w:rPr>
              <w:t>100≤X＜300</w:t>
            </w:r>
          </w:p>
        </w:tc>
        <w:tc>
          <w:tcPr>
            <w:tcW w:w="1570" w:type="dxa"/>
            <w:tcBorders>
              <w:top w:val="nil"/>
              <w:left w:val="nil"/>
              <w:bottom w:val="single" w:color="auto" w:sz="4" w:space="0"/>
              <w:right w:val="single" w:color="auto" w:sz="4" w:space="0"/>
            </w:tcBorders>
            <w:vAlign w:val="center"/>
          </w:tcPr>
          <w:p w14:paraId="2DCDC11C">
            <w:pPr>
              <w:widowControl/>
              <w:jc w:val="left"/>
              <w:rPr>
                <w:szCs w:val="21"/>
              </w:rPr>
            </w:pPr>
            <w:r>
              <w:rPr>
                <w:rFonts w:hint="eastAsia"/>
                <w:szCs w:val="21"/>
              </w:rPr>
              <w:t>10≤X＜100</w:t>
            </w:r>
          </w:p>
        </w:tc>
        <w:tc>
          <w:tcPr>
            <w:tcW w:w="1009" w:type="dxa"/>
            <w:tcBorders>
              <w:top w:val="nil"/>
              <w:left w:val="nil"/>
              <w:bottom w:val="single" w:color="auto" w:sz="4" w:space="0"/>
              <w:right w:val="single" w:color="auto" w:sz="4" w:space="0"/>
            </w:tcBorders>
            <w:vAlign w:val="center"/>
          </w:tcPr>
          <w:p w14:paraId="497625A4">
            <w:pPr>
              <w:widowControl/>
              <w:jc w:val="left"/>
              <w:rPr>
                <w:szCs w:val="21"/>
              </w:rPr>
            </w:pPr>
            <w:r>
              <w:rPr>
                <w:rFonts w:hint="eastAsia"/>
                <w:szCs w:val="21"/>
              </w:rPr>
              <w:t>X＜10</w:t>
            </w:r>
          </w:p>
        </w:tc>
      </w:tr>
      <w:tr w14:paraId="314452D1">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05BE5A27">
            <w:pPr>
              <w:widowControl/>
              <w:jc w:val="left"/>
              <w:rPr>
                <w:szCs w:val="21"/>
              </w:rPr>
            </w:pPr>
          </w:p>
        </w:tc>
        <w:tc>
          <w:tcPr>
            <w:tcW w:w="1701" w:type="dxa"/>
            <w:tcBorders>
              <w:top w:val="nil"/>
              <w:left w:val="nil"/>
              <w:bottom w:val="single" w:color="auto" w:sz="4" w:space="0"/>
              <w:right w:val="single" w:color="auto" w:sz="4" w:space="0"/>
            </w:tcBorders>
            <w:vAlign w:val="center"/>
          </w:tcPr>
          <w:p w14:paraId="72954788">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vAlign w:val="center"/>
          </w:tcPr>
          <w:p w14:paraId="63E6238A">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vAlign w:val="center"/>
          </w:tcPr>
          <w:p w14:paraId="0EEE5E25">
            <w:pPr>
              <w:widowControl/>
              <w:jc w:val="left"/>
              <w:rPr>
                <w:szCs w:val="21"/>
              </w:rPr>
            </w:pPr>
            <w:r>
              <w:rPr>
                <w:rFonts w:hint="eastAsia"/>
                <w:szCs w:val="21"/>
              </w:rPr>
              <w:t>1000≤Y＜10000</w:t>
            </w:r>
          </w:p>
        </w:tc>
        <w:tc>
          <w:tcPr>
            <w:tcW w:w="1570" w:type="dxa"/>
            <w:tcBorders>
              <w:top w:val="nil"/>
              <w:left w:val="nil"/>
              <w:bottom w:val="single" w:color="auto" w:sz="4" w:space="0"/>
              <w:right w:val="single" w:color="auto" w:sz="4" w:space="0"/>
            </w:tcBorders>
            <w:vAlign w:val="center"/>
          </w:tcPr>
          <w:p w14:paraId="699E7254">
            <w:pPr>
              <w:widowControl/>
              <w:jc w:val="left"/>
              <w:rPr>
                <w:szCs w:val="21"/>
              </w:rPr>
            </w:pPr>
            <w:r>
              <w:rPr>
                <w:rFonts w:hint="eastAsia"/>
                <w:szCs w:val="21"/>
              </w:rPr>
              <w:t>50≤Y＜1000</w:t>
            </w:r>
          </w:p>
        </w:tc>
        <w:tc>
          <w:tcPr>
            <w:tcW w:w="1009" w:type="dxa"/>
            <w:tcBorders>
              <w:top w:val="nil"/>
              <w:left w:val="nil"/>
              <w:bottom w:val="single" w:color="auto" w:sz="4" w:space="0"/>
              <w:right w:val="single" w:color="auto" w:sz="4" w:space="0"/>
            </w:tcBorders>
            <w:vAlign w:val="center"/>
          </w:tcPr>
          <w:p w14:paraId="7E94E5E4">
            <w:pPr>
              <w:widowControl/>
              <w:jc w:val="left"/>
              <w:rPr>
                <w:szCs w:val="21"/>
              </w:rPr>
            </w:pPr>
            <w:r>
              <w:rPr>
                <w:rFonts w:hint="eastAsia"/>
                <w:szCs w:val="21"/>
              </w:rPr>
              <w:t>Y＜50</w:t>
            </w:r>
          </w:p>
        </w:tc>
      </w:tr>
      <w:tr w14:paraId="386CFC77">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2529E07D">
            <w:pPr>
              <w:widowControl/>
              <w:jc w:val="center"/>
              <w:rPr>
                <w:szCs w:val="21"/>
              </w:rPr>
            </w:pPr>
            <w:r>
              <w:rPr>
                <w:rFonts w:hint="eastAsia"/>
                <w:szCs w:val="21"/>
              </w:rPr>
              <w:t>房地产开发经营</w:t>
            </w:r>
          </w:p>
        </w:tc>
        <w:tc>
          <w:tcPr>
            <w:tcW w:w="1701" w:type="dxa"/>
            <w:tcBorders>
              <w:top w:val="nil"/>
              <w:left w:val="nil"/>
              <w:bottom w:val="single" w:color="auto" w:sz="4" w:space="0"/>
              <w:right w:val="single" w:color="auto" w:sz="4" w:space="0"/>
            </w:tcBorders>
            <w:vAlign w:val="center"/>
          </w:tcPr>
          <w:p w14:paraId="5295D69A">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vAlign w:val="center"/>
          </w:tcPr>
          <w:p w14:paraId="5956BED1">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vAlign w:val="center"/>
          </w:tcPr>
          <w:p w14:paraId="6FE32ED7">
            <w:pPr>
              <w:widowControl/>
              <w:jc w:val="left"/>
              <w:rPr>
                <w:szCs w:val="21"/>
              </w:rPr>
            </w:pPr>
            <w:r>
              <w:rPr>
                <w:rFonts w:hint="eastAsia"/>
                <w:szCs w:val="21"/>
              </w:rPr>
              <w:t>1000≤Y＜200000</w:t>
            </w:r>
          </w:p>
        </w:tc>
        <w:tc>
          <w:tcPr>
            <w:tcW w:w="1570" w:type="dxa"/>
            <w:tcBorders>
              <w:top w:val="nil"/>
              <w:left w:val="nil"/>
              <w:bottom w:val="single" w:color="auto" w:sz="4" w:space="0"/>
              <w:right w:val="single" w:color="auto" w:sz="4" w:space="0"/>
            </w:tcBorders>
            <w:vAlign w:val="center"/>
          </w:tcPr>
          <w:p w14:paraId="7988E2EA">
            <w:pPr>
              <w:widowControl/>
              <w:jc w:val="left"/>
              <w:rPr>
                <w:szCs w:val="21"/>
              </w:rPr>
            </w:pPr>
            <w:r>
              <w:rPr>
                <w:rFonts w:hint="eastAsia"/>
                <w:szCs w:val="21"/>
              </w:rPr>
              <w:t>100≤X＜1000</w:t>
            </w:r>
          </w:p>
        </w:tc>
        <w:tc>
          <w:tcPr>
            <w:tcW w:w="1009" w:type="dxa"/>
            <w:tcBorders>
              <w:top w:val="nil"/>
              <w:left w:val="nil"/>
              <w:bottom w:val="single" w:color="auto" w:sz="4" w:space="0"/>
              <w:right w:val="single" w:color="auto" w:sz="4" w:space="0"/>
            </w:tcBorders>
            <w:vAlign w:val="center"/>
          </w:tcPr>
          <w:p w14:paraId="1376321B">
            <w:pPr>
              <w:widowControl/>
              <w:jc w:val="left"/>
              <w:rPr>
                <w:szCs w:val="21"/>
              </w:rPr>
            </w:pPr>
            <w:r>
              <w:rPr>
                <w:rFonts w:hint="eastAsia"/>
                <w:szCs w:val="21"/>
              </w:rPr>
              <w:t>X＜100</w:t>
            </w:r>
          </w:p>
        </w:tc>
      </w:tr>
      <w:tr w14:paraId="7C09C3B5">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481E4615">
            <w:pPr>
              <w:widowControl/>
              <w:jc w:val="left"/>
              <w:rPr>
                <w:szCs w:val="21"/>
              </w:rPr>
            </w:pPr>
          </w:p>
        </w:tc>
        <w:tc>
          <w:tcPr>
            <w:tcW w:w="1701" w:type="dxa"/>
            <w:tcBorders>
              <w:top w:val="nil"/>
              <w:left w:val="nil"/>
              <w:bottom w:val="single" w:color="auto" w:sz="4" w:space="0"/>
              <w:right w:val="single" w:color="auto" w:sz="4" w:space="0"/>
            </w:tcBorders>
            <w:vAlign w:val="center"/>
          </w:tcPr>
          <w:p w14:paraId="4C738033">
            <w:pPr>
              <w:widowControl/>
              <w:jc w:val="left"/>
              <w:rPr>
                <w:szCs w:val="21"/>
              </w:rPr>
            </w:pPr>
            <w:r>
              <w:rPr>
                <w:rFonts w:hint="eastAsia"/>
                <w:szCs w:val="21"/>
              </w:rPr>
              <w:t>资产总额（Z）</w:t>
            </w:r>
          </w:p>
        </w:tc>
        <w:tc>
          <w:tcPr>
            <w:tcW w:w="1134" w:type="dxa"/>
            <w:tcBorders>
              <w:top w:val="nil"/>
              <w:left w:val="nil"/>
              <w:bottom w:val="single" w:color="auto" w:sz="4" w:space="0"/>
              <w:right w:val="single" w:color="auto" w:sz="4" w:space="0"/>
            </w:tcBorders>
            <w:vAlign w:val="center"/>
          </w:tcPr>
          <w:p w14:paraId="060A05F0">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vAlign w:val="center"/>
          </w:tcPr>
          <w:p w14:paraId="499280C2">
            <w:pPr>
              <w:widowControl/>
              <w:jc w:val="left"/>
              <w:rPr>
                <w:szCs w:val="21"/>
              </w:rPr>
            </w:pPr>
            <w:r>
              <w:rPr>
                <w:rFonts w:hint="eastAsia"/>
                <w:szCs w:val="21"/>
              </w:rPr>
              <w:t>5000≤Z＜10000</w:t>
            </w:r>
          </w:p>
        </w:tc>
        <w:tc>
          <w:tcPr>
            <w:tcW w:w="1570" w:type="dxa"/>
            <w:tcBorders>
              <w:top w:val="nil"/>
              <w:left w:val="nil"/>
              <w:bottom w:val="single" w:color="auto" w:sz="4" w:space="0"/>
              <w:right w:val="single" w:color="auto" w:sz="4" w:space="0"/>
            </w:tcBorders>
            <w:vAlign w:val="center"/>
          </w:tcPr>
          <w:p w14:paraId="146271A3">
            <w:pPr>
              <w:widowControl/>
              <w:jc w:val="left"/>
              <w:rPr>
                <w:szCs w:val="21"/>
              </w:rPr>
            </w:pPr>
            <w:r>
              <w:rPr>
                <w:rFonts w:hint="eastAsia"/>
                <w:szCs w:val="21"/>
              </w:rPr>
              <w:t>2000≤Y＜5000</w:t>
            </w:r>
          </w:p>
        </w:tc>
        <w:tc>
          <w:tcPr>
            <w:tcW w:w="1009" w:type="dxa"/>
            <w:tcBorders>
              <w:top w:val="nil"/>
              <w:left w:val="nil"/>
              <w:bottom w:val="single" w:color="auto" w:sz="4" w:space="0"/>
              <w:right w:val="single" w:color="auto" w:sz="4" w:space="0"/>
            </w:tcBorders>
            <w:vAlign w:val="center"/>
          </w:tcPr>
          <w:p w14:paraId="1FAE47EB">
            <w:pPr>
              <w:widowControl/>
              <w:jc w:val="left"/>
              <w:rPr>
                <w:szCs w:val="21"/>
              </w:rPr>
            </w:pPr>
            <w:r>
              <w:rPr>
                <w:rFonts w:hint="eastAsia"/>
                <w:szCs w:val="21"/>
              </w:rPr>
              <w:t>Y＜2000</w:t>
            </w:r>
          </w:p>
        </w:tc>
      </w:tr>
      <w:tr w14:paraId="40ACE94B">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1DA5DF95">
            <w:pPr>
              <w:widowControl/>
              <w:jc w:val="center"/>
              <w:rPr>
                <w:szCs w:val="21"/>
              </w:rPr>
            </w:pPr>
            <w:r>
              <w:rPr>
                <w:rFonts w:hint="eastAsia"/>
                <w:szCs w:val="21"/>
              </w:rPr>
              <w:t>物业管理</w:t>
            </w:r>
          </w:p>
        </w:tc>
        <w:tc>
          <w:tcPr>
            <w:tcW w:w="1701" w:type="dxa"/>
            <w:tcBorders>
              <w:top w:val="nil"/>
              <w:left w:val="nil"/>
              <w:bottom w:val="single" w:color="auto" w:sz="4" w:space="0"/>
              <w:right w:val="single" w:color="auto" w:sz="4" w:space="0"/>
            </w:tcBorders>
            <w:vAlign w:val="center"/>
          </w:tcPr>
          <w:p w14:paraId="7F7F0F19">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vAlign w:val="center"/>
          </w:tcPr>
          <w:p w14:paraId="48732639">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vAlign w:val="center"/>
          </w:tcPr>
          <w:p w14:paraId="048E212B">
            <w:pPr>
              <w:widowControl/>
              <w:jc w:val="left"/>
              <w:rPr>
                <w:szCs w:val="21"/>
              </w:rPr>
            </w:pPr>
            <w:r>
              <w:rPr>
                <w:rFonts w:hint="eastAsia"/>
                <w:szCs w:val="21"/>
              </w:rPr>
              <w:t>300≤X＜1000</w:t>
            </w:r>
          </w:p>
        </w:tc>
        <w:tc>
          <w:tcPr>
            <w:tcW w:w="1570" w:type="dxa"/>
            <w:tcBorders>
              <w:top w:val="nil"/>
              <w:left w:val="nil"/>
              <w:bottom w:val="single" w:color="auto" w:sz="4" w:space="0"/>
              <w:right w:val="single" w:color="auto" w:sz="4" w:space="0"/>
            </w:tcBorders>
            <w:vAlign w:val="center"/>
          </w:tcPr>
          <w:p w14:paraId="5B9B1489">
            <w:pPr>
              <w:widowControl/>
              <w:jc w:val="left"/>
              <w:rPr>
                <w:szCs w:val="21"/>
              </w:rPr>
            </w:pPr>
            <w:r>
              <w:rPr>
                <w:rFonts w:hint="eastAsia"/>
                <w:szCs w:val="21"/>
              </w:rPr>
              <w:t>100≤X＜300</w:t>
            </w:r>
          </w:p>
        </w:tc>
        <w:tc>
          <w:tcPr>
            <w:tcW w:w="1009" w:type="dxa"/>
            <w:tcBorders>
              <w:top w:val="nil"/>
              <w:left w:val="nil"/>
              <w:bottom w:val="single" w:color="auto" w:sz="4" w:space="0"/>
              <w:right w:val="single" w:color="auto" w:sz="4" w:space="0"/>
            </w:tcBorders>
            <w:vAlign w:val="center"/>
          </w:tcPr>
          <w:p w14:paraId="676FA229">
            <w:pPr>
              <w:widowControl/>
              <w:jc w:val="left"/>
              <w:rPr>
                <w:szCs w:val="21"/>
              </w:rPr>
            </w:pPr>
            <w:r>
              <w:rPr>
                <w:rFonts w:hint="eastAsia"/>
                <w:szCs w:val="21"/>
              </w:rPr>
              <w:t>X＜100</w:t>
            </w:r>
          </w:p>
        </w:tc>
      </w:tr>
      <w:tr w14:paraId="458840D5">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447EB963">
            <w:pPr>
              <w:widowControl/>
              <w:jc w:val="left"/>
              <w:rPr>
                <w:szCs w:val="21"/>
              </w:rPr>
            </w:pPr>
          </w:p>
        </w:tc>
        <w:tc>
          <w:tcPr>
            <w:tcW w:w="1701" w:type="dxa"/>
            <w:tcBorders>
              <w:top w:val="nil"/>
              <w:left w:val="nil"/>
              <w:bottom w:val="single" w:color="auto" w:sz="4" w:space="0"/>
              <w:right w:val="single" w:color="auto" w:sz="4" w:space="0"/>
            </w:tcBorders>
            <w:vAlign w:val="center"/>
          </w:tcPr>
          <w:p w14:paraId="4C9AEE52">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vAlign w:val="center"/>
          </w:tcPr>
          <w:p w14:paraId="6EB59415">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vAlign w:val="center"/>
          </w:tcPr>
          <w:p w14:paraId="46FED0BB">
            <w:pPr>
              <w:widowControl/>
              <w:jc w:val="left"/>
              <w:rPr>
                <w:szCs w:val="21"/>
              </w:rPr>
            </w:pPr>
            <w:r>
              <w:rPr>
                <w:rFonts w:hint="eastAsia"/>
                <w:szCs w:val="21"/>
              </w:rPr>
              <w:t>1000≤Y＜5000</w:t>
            </w:r>
          </w:p>
        </w:tc>
        <w:tc>
          <w:tcPr>
            <w:tcW w:w="1570" w:type="dxa"/>
            <w:tcBorders>
              <w:top w:val="nil"/>
              <w:left w:val="nil"/>
              <w:bottom w:val="single" w:color="auto" w:sz="4" w:space="0"/>
              <w:right w:val="single" w:color="auto" w:sz="4" w:space="0"/>
            </w:tcBorders>
            <w:vAlign w:val="center"/>
          </w:tcPr>
          <w:p w14:paraId="389A6D60">
            <w:pPr>
              <w:widowControl/>
              <w:jc w:val="left"/>
              <w:rPr>
                <w:szCs w:val="21"/>
              </w:rPr>
            </w:pPr>
            <w:r>
              <w:rPr>
                <w:rFonts w:hint="eastAsia"/>
                <w:szCs w:val="21"/>
              </w:rPr>
              <w:t>500≤Y＜1000</w:t>
            </w:r>
          </w:p>
        </w:tc>
        <w:tc>
          <w:tcPr>
            <w:tcW w:w="1009" w:type="dxa"/>
            <w:tcBorders>
              <w:top w:val="nil"/>
              <w:left w:val="nil"/>
              <w:bottom w:val="single" w:color="auto" w:sz="4" w:space="0"/>
              <w:right w:val="single" w:color="auto" w:sz="4" w:space="0"/>
            </w:tcBorders>
            <w:vAlign w:val="center"/>
          </w:tcPr>
          <w:p w14:paraId="1762D4BE">
            <w:pPr>
              <w:widowControl/>
              <w:jc w:val="left"/>
              <w:rPr>
                <w:szCs w:val="21"/>
              </w:rPr>
            </w:pPr>
            <w:r>
              <w:rPr>
                <w:rFonts w:hint="eastAsia"/>
                <w:szCs w:val="21"/>
              </w:rPr>
              <w:t>Y＜500</w:t>
            </w:r>
          </w:p>
        </w:tc>
      </w:tr>
      <w:tr w14:paraId="406CE925">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vAlign w:val="bottom"/>
          </w:tcPr>
          <w:p w14:paraId="172C13FB">
            <w:pPr>
              <w:widowControl/>
              <w:jc w:val="center"/>
              <w:rPr>
                <w:szCs w:val="21"/>
              </w:rPr>
            </w:pPr>
            <w:r>
              <w:rPr>
                <w:rFonts w:hint="eastAsia"/>
                <w:szCs w:val="21"/>
              </w:rPr>
              <w:t>租赁和商务服务业</w:t>
            </w:r>
          </w:p>
        </w:tc>
        <w:tc>
          <w:tcPr>
            <w:tcW w:w="1701" w:type="dxa"/>
            <w:tcBorders>
              <w:top w:val="nil"/>
              <w:left w:val="nil"/>
              <w:bottom w:val="single" w:color="auto" w:sz="4" w:space="0"/>
              <w:right w:val="single" w:color="auto" w:sz="4" w:space="0"/>
            </w:tcBorders>
            <w:vAlign w:val="center"/>
          </w:tcPr>
          <w:p w14:paraId="11074D8B">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vAlign w:val="center"/>
          </w:tcPr>
          <w:p w14:paraId="60367A4D">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vAlign w:val="center"/>
          </w:tcPr>
          <w:p w14:paraId="24FECDA4">
            <w:pPr>
              <w:widowControl/>
              <w:jc w:val="left"/>
              <w:rPr>
                <w:szCs w:val="21"/>
              </w:rPr>
            </w:pPr>
            <w:r>
              <w:rPr>
                <w:rFonts w:hint="eastAsia"/>
                <w:szCs w:val="21"/>
              </w:rPr>
              <w:t>100≤X＜300</w:t>
            </w:r>
          </w:p>
        </w:tc>
        <w:tc>
          <w:tcPr>
            <w:tcW w:w="1570" w:type="dxa"/>
            <w:tcBorders>
              <w:top w:val="nil"/>
              <w:left w:val="nil"/>
              <w:bottom w:val="single" w:color="auto" w:sz="4" w:space="0"/>
              <w:right w:val="single" w:color="auto" w:sz="4" w:space="0"/>
            </w:tcBorders>
            <w:vAlign w:val="center"/>
          </w:tcPr>
          <w:p w14:paraId="5E23D51B">
            <w:pPr>
              <w:widowControl/>
              <w:jc w:val="left"/>
              <w:rPr>
                <w:szCs w:val="21"/>
              </w:rPr>
            </w:pPr>
            <w:r>
              <w:rPr>
                <w:rFonts w:hint="eastAsia"/>
                <w:szCs w:val="21"/>
              </w:rPr>
              <w:t>10≤X＜100</w:t>
            </w:r>
          </w:p>
        </w:tc>
        <w:tc>
          <w:tcPr>
            <w:tcW w:w="1009" w:type="dxa"/>
            <w:tcBorders>
              <w:top w:val="nil"/>
              <w:left w:val="nil"/>
              <w:bottom w:val="single" w:color="auto" w:sz="4" w:space="0"/>
              <w:right w:val="single" w:color="auto" w:sz="4" w:space="0"/>
            </w:tcBorders>
            <w:vAlign w:val="center"/>
          </w:tcPr>
          <w:p w14:paraId="1FB3666B">
            <w:pPr>
              <w:widowControl/>
              <w:jc w:val="left"/>
              <w:rPr>
                <w:szCs w:val="21"/>
              </w:rPr>
            </w:pPr>
            <w:r>
              <w:rPr>
                <w:rFonts w:hint="eastAsia"/>
                <w:szCs w:val="21"/>
              </w:rPr>
              <w:t>X＜10</w:t>
            </w:r>
          </w:p>
        </w:tc>
      </w:tr>
      <w:tr w14:paraId="284AED0C">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vAlign w:val="center"/>
          </w:tcPr>
          <w:p w14:paraId="2D38F4DA">
            <w:pPr>
              <w:widowControl/>
              <w:jc w:val="left"/>
              <w:rPr>
                <w:szCs w:val="21"/>
              </w:rPr>
            </w:pPr>
          </w:p>
        </w:tc>
        <w:tc>
          <w:tcPr>
            <w:tcW w:w="1701" w:type="dxa"/>
            <w:tcBorders>
              <w:top w:val="nil"/>
              <w:left w:val="nil"/>
              <w:bottom w:val="single" w:color="auto" w:sz="4" w:space="0"/>
              <w:right w:val="single" w:color="auto" w:sz="4" w:space="0"/>
            </w:tcBorders>
            <w:vAlign w:val="center"/>
          </w:tcPr>
          <w:p w14:paraId="7D1622D0">
            <w:pPr>
              <w:widowControl/>
              <w:jc w:val="left"/>
              <w:rPr>
                <w:szCs w:val="21"/>
              </w:rPr>
            </w:pPr>
            <w:r>
              <w:rPr>
                <w:rFonts w:hint="eastAsia"/>
                <w:szCs w:val="21"/>
              </w:rPr>
              <w:t>资产总额（Z）</w:t>
            </w:r>
          </w:p>
        </w:tc>
        <w:tc>
          <w:tcPr>
            <w:tcW w:w="1134" w:type="dxa"/>
            <w:tcBorders>
              <w:top w:val="nil"/>
              <w:left w:val="nil"/>
              <w:bottom w:val="single" w:color="auto" w:sz="4" w:space="0"/>
              <w:right w:val="single" w:color="auto" w:sz="4" w:space="0"/>
            </w:tcBorders>
            <w:vAlign w:val="center"/>
          </w:tcPr>
          <w:p w14:paraId="55427AAD">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vAlign w:val="center"/>
          </w:tcPr>
          <w:p w14:paraId="72691516">
            <w:pPr>
              <w:widowControl/>
              <w:jc w:val="left"/>
              <w:rPr>
                <w:szCs w:val="21"/>
              </w:rPr>
            </w:pPr>
            <w:r>
              <w:rPr>
                <w:rFonts w:hint="eastAsia"/>
                <w:szCs w:val="21"/>
              </w:rPr>
              <w:t>8000≤Z＜120000</w:t>
            </w:r>
          </w:p>
        </w:tc>
        <w:tc>
          <w:tcPr>
            <w:tcW w:w="1570" w:type="dxa"/>
            <w:tcBorders>
              <w:top w:val="nil"/>
              <w:left w:val="nil"/>
              <w:bottom w:val="single" w:color="auto" w:sz="4" w:space="0"/>
              <w:right w:val="single" w:color="auto" w:sz="4" w:space="0"/>
            </w:tcBorders>
            <w:vAlign w:val="center"/>
          </w:tcPr>
          <w:p w14:paraId="445AEFD1">
            <w:pPr>
              <w:widowControl/>
              <w:jc w:val="left"/>
              <w:rPr>
                <w:szCs w:val="21"/>
              </w:rPr>
            </w:pPr>
            <w:r>
              <w:rPr>
                <w:rFonts w:hint="eastAsia"/>
                <w:szCs w:val="21"/>
              </w:rPr>
              <w:t>100≤Z＜8000</w:t>
            </w:r>
          </w:p>
        </w:tc>
        <w:tc>
          <w:tcPr>
            <w:tcW w:w="1009" w:type="dxa"/>
            <w:tcBorders>
              <w:top w:val="nil"/>
              <w:left w:val="nil"/>
              <w:bottom w:val="single" w:color="auto" w:sz="4" w:space="0"/>
              <w:right w:val="single" w:color="auto" w:sz="4" w:space="0"/>
            </w:tcBorders>
            <w:vAlign w:val="center"/>
          </w:tcPr>
          <w:p w14:paraId="6FAF0475">
            <w:pPr>
              <w:widowControl/>
              <w:jc w:val="left"/>
              <w:rPr>
                <w:szCs w:val="21"/>
              </w:rPr>
            </w:pPr>
            <w:r>
              <w:rPr>
                <w:rFonts w:hint="eastAsia"/>
                <w:szCs w:val="21"/>
              </w:rPr>
              <w:t>Y＜100</w:t>
            </w:r>
          </w:p>
        </w:tc>
      </w:tr>
      <w:tr w14:paraId="51F016A2">
        <w:tblPrEx>
          <w:tblCellMar>
            <w:top w:w="0" w:type="dxa"/>
            <w:left w:w="108" w:type="dxa"/>
            <w:bottom w:w="0" w:type="dxa"/>
            <w:right w:w="108" w:type="dxa"/>
          </w:tblCellMar>
        </w:tblPrEx>
        <w:trPr>
          <w:trHeight w:val="220" w:hRule="atLeast"/>
        </w:trPr>
        <w:tc>
          <w:tcPr>
            <w:tcW w:w="1446" w:type="dxa"/>
            <w:tcBorders>
              <w:top w:val="nil"/>
              <w:left w:val="single" w:color="auto" w:sz="4" w:space="0"/>
              <w:bottom w:val="single" w:color="auto" w:sz="4" w:space="0"/>
              <w:right w:val="single" w:color="auto" w:sz="4" w:space="0"/>
            </w:tcBorders>
            <w:vAlign w:val="bottom"/>
          </w:tcPr>
          <w:p w14:paraId="5D74B89A">
            <w:pPr>
              <w:widowControl/>
              <w:jc w:val="center"/>
              <w:rPr>
                <w:szCs w:val="21"/>
              </w:rPr>
            </w:pPr>
            <w:r>
              <w:rPr>
                <w:rFonts w:hint="eastAsia"/>
                <w:szCs w:val="21"/>
              </w:rPr>
              <w:t>其他未列明行业</w:t>
            </w:r>
          </w:p>
        </w:tc>
        <w:tc>
          <w:tcPr>
            <w:tcW w:w="1701" w:type="dxa"/>
            <w:tcBorders>
              <w:top w:val="nil"/>
              <w:left w:val="nil"/>
              <w:bottom w:val="single" w:color="auto" w:sz="4" w:space="0"/>
              <w:right w:val="single" w:color="auto" w:sz="4" w:space="0"/>
            </w:tcBorders>
            <w:vAlign w:val="center"/>
          </w:tcPr>
          <w:p w14:paraId="61DAE494">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vAlign w:val="center"/>
          </w:tcPr>
          <w:p w14:paraId="257FEC8A">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vAlign w:val="center"/>
          </w:tcPr>
          <w:p w14:paraId="37A23DC1">
            <w:pPr>
              <w:widowControl/>
              <w:jc w:val="left"/>
              <w:rPr>
                <w:szCs w:val="21"/>
              </w:rPr>
            </w:pPr>
            <w:r>
              <w:rPr>
                <w:rFonts w:hint="eastAsia"/>
                <w:szCs w:val="21"/>
              </w:rPr>
              <w:t>100≤X＜300</w:t>
            </w:r>
          </w:p>
        </w:tc>
        <w:tc>
          <w:tcPr>
            <w:tcW w:w="1570" w:type="dxa"/>
            <w:tcBorders>
              <w:top w:val="nil"/>
              <w:left w:val="nil"/>
              <w:bottom w:val="single" w:color="auto" w:sz="4" w:space="0"/>
              <w:right w:val="single" w:color="auto" w:sz="4" w:space="0"/>
            </w:tcBorders>
            <w:vAlign w:val="center"/>
          </w:tcPr>
          <w:p w14:paraId="6627E3DC">
            <w:pPr>
              <w:widowControl/>
              <w:jc w:val="left"/>
              <w:rPr>
                <w:szCs w:val="21"/>
              </w:rPr>
            </w:pPr>
            <w:r>
              <w:rPr>
                <w:rFonts w:hint="eastAsia"/>
                <w:szCs w:val="21"/>
              </w:rPr>
              <w:t>10≤X＜100</w:t>
            </w:r>
          </w:p>
        </w:tc>
        <w:tc>
          <w:tcPr>
            <w:tcW w:w="1009" w:type="dxa"/>
            <w:tcBorders>
              <w:top w:val="nil"/>
              <w:left w:val="nil"/>
              <w:bottom w:val="single" w:color="auto" w:sz="4" w:space="0"/>
              <w:right w:val="single" w:color="auto" w:sz="4" w:space="0"/>
            </w:tcBorders>
            <w:vAlign w:val="center"/>
          </w:tcPr>
          <w:p w14:paraId="235D6B74">
            <w:pPr>
              <w:widowControl/>
              <w:jc w:val="left"/>
              <w:rPr>
                <w:szCs w:val="21"/>
              </w:rPr>
            </w:pPr>
            <w:r>
              <w:rPr>
                <w:rFonts w:hint="eastAsia"/>
                <w:szCs w:val="21"/>
              </w:rPr>
              <w:t>X＜10</w:t>
            </w:r>
          </w:p>
        </w:tc>
      </w:tr>
    </w:tbl>
    <w:p w14:paraId="02A1285C">
      <w:pPr>
        <w:spacing w:line="360" w:lineRule="auto"/>
        <w:ind w:firstLine="525" w:firstLineChars="250"/>
        <w:rPr>
          <w:szCs w:val="21"/>
        </w:rPr>
      </w:pPr>
      <w:r>
        <w:rPr>
          <w:rFonts w:hint="eastAsia"/>
          <w:szCs w:val="21"/>
        </w:rPr>
        <w:t>说明：上述标准参照《关于印发中小企业划型标准规定的通知》（工信部联企业〔2011〕300号），大型、中型和小型企业须同时满足所列指标的下限，否则下划一档；微型企业只须满足所列指标中的一项即可。</w:t>
      </w:r>
    </w:p>
    <w:p w14:paraId="7B960D49">
      <w:pPr>
        <w:widowControl/>
        <w:jc w:val="left"/>
        <w:rPr>
          <w:szCs w:val="21"/>
        </w:rPr>
      </w:pPr>
      <w:r>
        <w:rPr>
          <w:szCs w:val="21"/>
        </w:rPr>
        <w:br w:type="page"/>
      </w:r>
    </w:p>
    <w:bookmarkEnd w:id="25"/>
    <w:p w14:paraId="4688AEBF">
      <w:pPr>
        <w:spacing w:after="120" w:line="360" w:lineRule="auto"/>
        <w:ind w:firstLine="465"/>
        <w:sectPr>
          <w:footerReference r:id="rId10" w:type="first"/>
          <w:footerReference r:id="rId9" w:type="default"/>
          <w:pgSz w:w="11906" w:h="16838"/>
          <w:pgMar w:top="993" w:right="1689" w:bottom="1246" w:left="1786" w:header="851" w:footer="992" w:gutter="0"/>
          <w:cols w:space="720" w:num="1"/>
          <w:titlePg/>
          <w:docGrid w:linePitch="312" w:charSpace="0"/>
        </w:sectPr>
      </w:pPr>
      <w:bookmarkStart w:id="26" w:name="_Hlk132788258"/>
      <w:r>
        <w:rPr>
          <w:rFonts w:ascii="宋体" w:hAnsi="宋体" w:cs="宋体"/>
          <w:position w:val="-335"/>
          <w:sz w:val="20"/>
          <w:szCs w:val="20"/>
        </w:rPr>
        <w:drawing>
          <wp:anchor distT="0" distB="0" distL="114300" distR="114300" simplePos="0" relativeHeight="251660288" behindDoc="0" locked="0" layoutInCell="1" allowOverlap="1">
            <wp:simplePos x="0" y="0"/>
            <wp:positionH relativeFrom="column">
              <wp:posOffset>1905</wp:posOffset>
            </wp:positionH>
            <wp:positionV relativeFrom="paragraph">
              <wp:posOffset>204470</wp:posOffset>
            </wp:positionV>
            <wp:extent cx="5573395" cy="8125460"/>
            <wp:effectExtent l="0" t="0" r="8255" b="8890"/>
            <wp:wrapSquare wrapText="bothSides"/>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19"/>
                    <a:stretch>
                      <a:fillRect/>
                    </a:stretch>
                  </pic:blipFill>
                  <pic:spPr>
                    <a:xfrm>
                      <a:off x="0" y="0"/>
                      <a:ext cx="5573395" cy="8125460"/>
                    </a:xfrm>
                    <a:prstGeom prst="rect">
                      <a:avLst/>
                    </a:prstGeom>
                    <a:noFill/>
                    <a:ln>
                      <a:noFill/>
                    </a:ln>
                  </pic:spPr>
                </pic:pic>
              </a:graphicData>
            </a:graphic>
          </wp:anchor>
        </w:drawing>
      </w:r>
      <w:r>
        <w:rPr>
          <w:szCs w:val="21"/>
        </w:rPr>
        <w:br w:type="page"/>
      </w:r>
    </w:p>
    <w:bookmarkEnd w:id="21"/>
    <w:bookmarkEnd w:id="26"/>
    <w:p w14:paraId="04A49E4C">
      <w:pPr>
        <w:rPr>
          <w:rFonts w:ascii="黑体" w:hAnsi="黑体" w:eastAsia="黑体" w:cs="Arial"/>
          <w:b/>
          <w:kern w:val="0"/>
          <w:sz w:val="28"/>
          <w:szCs w:val="28"/>
        </w:rPr>
      </w:pPr>
    </w:p>
    <w:p w14:paraId="3A5972F8">
      <w:pPr>
        <w:pStyle w:val="26"/>
        <w:snapToGrid w:val="0"/>
        <w:spacing w:before="120" w:after="120" w:line="320" w:lineRule="exact"/>
        <w:jc w:val="center"/>
        <w:outlineLvl w:val="0"/>
        <w:rPr>
          <w:rFonts w:ascii="Times New Roman" w:hAnsi="Times New Roman" w:cs="Times New Roman"/>
          <w:sz w:val="32"/>
          <w:szCs w:val="32"/>
        </w:rPr>
      </w:pPr>
      <w:bookmarkStart w:id="143" w:name="_GoBack"/>
      <w:bookmarkEnd w:id="143"/>
      <w:bookmarkStart w:id="27" w:name="_Toc3292"/>
      <w:r>
        <w:rPr>
          <w:rFonts w:ascii="Times New Roman" w:hAnsi="Times New Roman" w:cs="Times New Roman"/>
          <w:sz w:val="32"/>
          <w:szCs w:val="32"/>
        </w:rPr>
        <w:t xml:space="preserve">第三章  </w:t>
      </w:r>
      <w:r>
        <w:rPr>
          <w:rFonts w:hint="eastAsia" w:ascii="Times New Roman" w:hAnsi="Times New Roman" w:cs="Times New Roman"/>
          <w:sz w:val="32"/>
          <w:szCs w:val="32"/>
        </w:rPr>
        <w:t>投标人</w:t>
      </w:r>
      <w:r>
        <w:rPr>
          <w:rFonts w:ascii="Times New Roman" w:hAnsi="Times New Roman" w:cs="Times New Roman"/>
          <w:sz w:val="32"/>
          <w:szCs w:val="32"/>
        </w:rPr>
        <w:t>须知</w:t>
      </w:r>
      <w:bookmarkEnd w:id="27"/>
      <w:bookmarkStart w:id="28" w:name="_Toc254970667"/>
      <w:bookmarkStart w:id="29" w:name="_Toc254970526"/>
    </w:p>
    <w:p w14:paraId="149C7820">
      <w:pPr>
        <w:pStyle w:val="3"/>
        <w:spacing w:before="40" w:after="40"/>
        <w:jc w:val="center"/>
        <w:rPr>
          <w:rFonts w:ascii="Times New Roman" w:hAnsi="Times New Roman" w:eastAsia="宋体"/>
          <w:sz w:val="24"/>
          <w:szCs w:val="24"/>
        </w:rPr>
      </w:pPr>
      <w:r>
        <w:rPr>
          <w:rFonts w:hint="eastAsia" w:ascii="Times New Roman" w:hAnsi="Times New Roman" w:eastAsia="宋体"/>
          <w:sz w:val="24"/>
          <w:szCs w:val="24"/>
        </w:rPr>
        <w:t>投标人</w:t>
      </w:r>
      <w:r>
        <w:rPr>
          <w:rFonts w:ascii="Times New Roman" w:hAnsi="Times New Roman" w:eastAsia="宋体"/>
          <w:sz w:val="24"/>
          <w:szCs w:val="24"/>
        </w:rPr>
        <w:t>须知前附表</w:t>
      </w:r>
      <w:bookmarkEnd w:id="28"/>
      <w:bookmarkEnd w:id="29"/>
      <w:bookmarkStart w:id="30" w:name="_投标人须知前附表"/>
      <w:bookmarkEnd w:id="30"/>
      <w:bookmarkStart w:id="31" w:name="_Hlk19048934"/>
    </w:p>
    <w:tbl>
      <w:tblPr>
        <w:tblStyle w:val="51"/>
        <w:tblW w:w="9214"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55"/>
        <w:gridCol w:w="1230"/>
        <w:gridCol w:w="7229"/>
      </w:tblGrid>
      <w:tr w14:paraId="0717A2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755" w:type="dxa"/>
            <w:tcBorders>
              <w:top w:val="single" w:color="auto" w:sz="4" w:space="0"/>
              <w:left w:val="single" w:color="auto" w:sz="4" w:space="0"/>
              <w:bottom w:val="single" w:color="auto" w:sz="4" w:space="0"/>
              <w:right w:val="single" w:color="auto" w:sz="4" w:space="0"/>
            </w:tcBorders>
            <w:vAlign w:val="center"/>
          </w:tcPr>
          <w:p w14:paraId="51B929E8">
            <w:pPr>
              <w:jc w:val="center"/>
              <w:rPr>
                <w:b/>
                <w:szCs w:val="21"/>
              </w:rPr>
            </w:pPr>
            <w:r>
              <w:rPr>
                <w:b/>
                <w:szCs w:val="21"/>
              </w:rPr>
              <w:t>条款号</w:t>
            </w:r>
          </w:p>
        </w:tc>
        <w:tc>
          <w:tcPr>
            <w:tcW w:w="1230" w:type="dxa"/>
            <w:tcBorders>
              <w:top w:val="single" w:color="auto" w:sz="4" w:space="0"/>
              <w:left w:val="single" w:color="auto" w:sz="4" w:space="0"/>
              <w:bottom w:val="single" w:color="auto" w:sz="4" w:space="0"/>
              <w:right w:val="single" w:color="auto" w:sz="4" w:space="0"/>
            </w:tcBorders>
            <w:vAlign w:val="center"/>
          </w:tcPr>
          <w:p w14:paraId="478991A8">
            <w:pPr>
              <w:jc w:val="center"/>
              <w:rPr>
                <w:b/>
                <w:szCs w:val="21"/>
              </w:rPr>
            </w:pPr>
            <w:r>
              <w:rPr>
                <w:b/>
                <w:szCs w:val="21"/>
              </w:rPr>
              <w:t>要点</w:t>
            </w:r>
          </w:p>
        </w:tc>
        <w:tc>
          <w:tcPr>
            <w:tcW w:w="7229" w:type="dxa"/>
            <w:tcBorders>
              <w:top w:val="single" w:color="auto" w:sz="4" w:space="0"/>
              <w:left w:val="single" w:color="auto" w:sz="4" w:space="0"/>
              <w:bottom w:val="single" w:color="auto" w:sz="4" w:space="0"/>
              <w:right w:val="single" w:color="auto" w:sz="4" w:space="0"/>
            </w:tcBorders>
            <w:vAlign w:val="center"/>
          </w:tcPr>
          <w:p w14:paraId="03A5B4D9">
            <w:pPr>
              <w:jc w:val="center"/>
              <w:rPr>
                <w:b/>
                <w:szCs w:val="21"/>
              </w:rPr>
            </w:pPr>
            <w:r>
              <w:rPr>
                <w:b/>
                <w:szCs w:val="21"/>
              </w:rPr>
              <w:t>内容、要求</w:t>
            </w:r>
          </w:p>
        </w:tc>
      </w:tr>
      <w:tr w14:paraId="3F5867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755" w:type="dxa"/>
            <w:tcBorders>
              <w:top w:val="single" w:color="auto" w:sz="4" w:space="0"/>
              <w:left w:val="single" w:color="auto" w:sz="4" w:space="0"/>
              <w:bottom w:val="single" w:color="auto" w:sz="4" w:space="0"/>
              <w:right w:val="single" w:color="auto" w:sz="4" w:space="0"/>
            </w:tcBorders>
            <w:vAlign w:val="center"/>
          </w:tcPr>
          <w:p w14:paraId="30AECA8B">
            <w:pPr>
              <w:spacing w:line="300" w:lineRule="exact"/>
              <w:jc w:val="center"/>
              <w:rPr>
                <w:b/>
                <w:szCs w:val="21"/>
              </w:rPr>
            </w:pPr>
            <w:r>
              <w:rPr>
                <w:b/>
                <w:szCs w:val="21"/>
              </w:rPr>
              <w:t>1.3.1</w:t>
            </w:r>
          </w:p>
        </w:tc>
        <w:tc>
          <w:tcPr>
            <w:tcW w:w="1230" w:type="dxa"/>
            <w:tcBorders>
              <w:top w:val="single" w:color="auto" w:sz="4" w:space="0"/>
              <w:left w:val="single" w:color="auto" w:sz="4" w:space="0"/>
              <w:bottom w:val="single" w:color="auto" w:sz="4" w:space="0"/>
              <w:right w:val="single" w:color="auto" w:sz="4" w:space="0"/>
            </w:tcBorders>
            <w:vAlign w:val="center"/>
          </w:tcPr>
          <w:p w14:paraId="3C9D0998">
            <w:pPr>
              <w:spacing w:line="300" w:lineRule="exact"/>
              <w:jc w:val="center"/>
              <w:rPr>
                <w:szCs w:val="21"/>
              </w:rPr>
            </w:pPr>
            <w:r>
              <w:rPr>
                <w:szCs w:val="21"/>
              </w:rPr>
              <w:t>项目基本信息</w:t>
            </w:r>
          </w:p>
        </w:tc>
        <w:tc>
          <w:tcPr>
            <w:tcW w:w="7229" w:type="dxa"/>
            <w:tcBorders>
              <w:top w:val="single" w:color="auto" w:sz="4" w:space="0"/>
              <w:left w:val="single" w:color="auto" w:sz="4" w:space="0"/>
              <w:bottom w:val="single" w:color="auto" w:sz="4" w:space="0"/>
              <w:right w:val="single" w:color="auto" w:sz="4" w:space="0"/>
            </w:tcBorders>
            <w:vAlign w:val="center"/>
          </w:tcPr>
          <w:p w14:paraId="6F85D08D">
            <w:pPr>
              <w:spacing w:line="300" w:lineRule="exact"/>
              <w:jc w:val="left"/>
              <w:rPr>
                <w:szCs w:val="21"/>
              </w:rPr>
            </w:pPr>
            <w:r>
              <w:rPr>
                <w:szCs w:val="21"/>
              </w:rPr>
              <w:t>项目名称：</w:t>
            </w:r>
            <w:r>
              <w:rPr>
                <w:rFonts w:hint="eastAsia"/>
                <w:szCs w:val="21"/>
              </w:rPr>
              <w:t>中渡监狱罪犯生活物资采购项目</w:t>
            </w:r>
          </w:p>
          <w:p w14:paraId="7B9EA43C">
            <w:pPr>
              <w:spacing w:line="300" w:lineRule="exact"/>
              <w:jc w:val="left"/>
              <w:rPr>
                <w:szCs w:val="21"/>
              </w:rPr>
            </w:pPr>
            <w:r>
              <w:rPr>
                <w:szCs w:val="21"/>
              </w:rPr>
              <w:t>项目编号：</w:t>
            </w:r>
            <w:r>
              <w:rPr>
                <w:rFonts w:hint="eastAsia"/>
                <w:szCs w:val="21"/>
              </w:rPr>
              <w:t>GXZC2026-G3-002279-JDZB</w:t>
            </w:r>
          </w:p>
          <w:p w14:paraId="100F8B1C">
            <w:pPr>
              <w:pStyle w:val="17"/>
              <w:rPr>
                <w:szCs w:val="21"/>
                <w:u w:val="single"/>
              </w:rPr>
            </w:pPr>
            <w:r>
              <w:rPr>
                <w:rFonts w:hint="eastAsia"/>
                <w:szCs w:val="21"/>
              </w:rPr>
              <w:t>采购计划号：广西政采﹝2026﹞10326号</w:t>
            </w:r>
          </w:p>
        </w:tc>
      </w:tr>
      <w:tr w14:paraId="68DEEA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755" w:type="dxa"/>
            <w:tcBorders>
              <w:top w:val="single" w:color="auto" w:sz="4" w:space="0"/>
              <w:left w:val="single" w:color="auto" w:sz="4" w:space="0"/>
              <w:bottom w:val="single" w:color="auto" w:sz="4" w:space="0"/>
              <w:right w:val="single" w:color="auto" w:sz="4" w:space="0"/>
            </w:tcBorders>
            <w:vAlign w:val="center"/>
          </w:tcPr>
          <w:p w14:paraId="3D8D00CE">
            <w:pPr>
              <w:spacing w:line="300" w:lineRule="exact"/>
              <w:jc w:val="center"/>
              <w:rPr>
                <w:b/>
                <w:szCs w:val="21"/>
              </w:rPr>
            </w:pPr>
            <w:r>
              <w:rPr>
                <w:b/>
                <w:szCs w:val="21"/>
              </w:rPr>
              <w:t>1.3.2</w:t>
            </w:r>
          </w:p>
        </w:tc>
        <w:tc>
          <w:tcPr>
            <w:tcW w:w="1230" w:type="dxa"/>
            <w:tcBorders>
              <w:top w:val="single" w:color="auto" w:sz="4" w:space="0"/>
              <w:left w:val="single" w:color="auto" w:sz="4" w:space="0"/>
              <w:bottom w:val="single" w:color="auto" w:sz="4" w:space="0"/>
              <w:right w:val="single" w:color="auto" w:sz="4" w:space="0"/>
            </w:tcBorders>
            <w:vAlign w:val="center"/>
          </w:tcPr>
          <w:p w14:paraId="6564ACD6">
            <w:pPr>
              <w:spacing w:line="300" w:lineRule="exact"/>
              <w:jc w:val="center"/>
              <w:rPr>
                <w:szCs w:val="21"/>
                <w:lang w:val="zh-CN"/>
              </w:rPr>
            </w:pPr>
            <w:r>
              <w:rPr>
                <w:rFonts w:hint="eastAsia"/>
                <w:szCs w:val="21"/>
                <w:lang w:val="zh-CN"/>
              </w:rPr>
              <w:t>采购方式</w:t>
            </w:r>
          </w:p>
        </w:tc>
        <w:tc>
          <w:tcPr>
            <w:tcW w:w="7229" w:type="dxa"/>
            <w:tcBorders>
              <w:top w:val="single" w:color="auto" w:sz="4" w:space="0"/>
              <w:left w:val="single" w:color="auto" w:sz="4" w:space="0"/>
              <w:bottom w:val="single" w:color="auto" w:sz="4" w:space="0"/>
              <w:right w:val="single" w:color="auto" w:sz="4" w:space="0"/>
            </w:tcBorders>
            <w:vAlign w:val="center"/>
          </w:tcPr>
          <w:p w14:paraId="62476AF4">
            <w:pPr>
              <w:spacing w:line="300" w:lineRule="exact"/>
              <w:jc w:val="left"/>
              <w:rPr>
                <w:szCs w:val="21"/>
              </w:rPr>
            </w:pPr>
            <w:r>
              <w:rPr>
                <w:rFonts w:hint="eastAsia"/>
                <w:szCs w:val="21"/>
              </w:rPr>
              <w:t>公开招标</w:t>
            </w:r>
          </w:p>
        </w:tc>
      </w:tr>
      <w:tr w14:paraId="3FC808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755" w:type="dxa"/>
            <w:tcBorders>
              <w:top w:val="single" w:color="auto" w:sz="4" w:space="0"/>
              <w:left w:val="single" w:color="auto" w:sz="4" w:space="0"/>
              <w:bottom w:val="single" w:color="auto" w:sz="4" w:space="0"/>
              <w:right w:val="single" w:color="auto" w:sz="4" w:space="0"/>
            </w:tcBorders>
            <w:vAlign w:val="center"/>
          </w:tcPr>
          <w:p w14:paraId="4AE97EF1">
            <w:pPr>
              <w:spacing w:line="300" w:lineRule="exact"/>
              <w:jc w:val="center"/>
              <w:rPr>
                <w:b/>
                <w:szCs w:val="21"/>
              </w:rPr>
            </w:pPr>
            <w:r>
              <w:rPr>
                <w:rFonts w:hint="eastAsia"/>
                <w:b/>
                <w:szCs w:val="21"/>
              </w:rPr>
              <w:t>1</w:t>
            </w:r>
            <w:r>
              <w:rPr>
                <w:b/>
                <w:szCs w:val="21"/>
              </w:rPr>
              <w:t>.4</w:t>
            </w:r>
          </w:p>
        </w:tc>
        <w:tc>
          <w:tcPr>
            <w:tcW w:w="1230" w:type="dxa"/>
            <w:tcBorders>
              <w:top w:val="single" w:color="auto" w:sz="4" w:space="0"/>
              <w:left w:val="single" w:color="auto" w:sz="4" w:space="0"/>
              <w:bottom w:val="single" w:color="auto" w:sz="4" w:space="0"/>
              <w:right w:val="single" w:color="auto" w:sz="4" w:space="0"/>
            </w:tcBorders>
            <w:vAlign w:val="center"/>
          </w:tcPr>
          <w:p w14:paraId="7AB7C2A2">
            <w:pPr>
              <w:spacing w:line="300" w:lineRule="exact"/>
              <w:jc w:val="center"/>
              <w:rPr>
                <w:szCs w:val="21"/>
                <w:lang w:val="zh-CN"/>
              </w:rPr>
            </w:pPr>
            <w:r>
              <w:rPr>
                <w:rFonts w:hint="eastAsia"/>
                <w:szCs w:val="21"/>
                <w:lang w:val="zh-CN"/>
              </w:rPr>
              <w:t>促进中小企业发展措施</w:t>
            </w:r>
          </w:p>
        </w:tc>
        <w:tc>
          <w:tcPr>
            <w:tcW w:w="7229" w:type="dxa"/>
            <w:tcBorders>
              <w:top w:val="single" w:color="auto" w:sz="4" w:space="0"/>
              <w:left w:val="single" w:color="auto" w:sz="4" w:space="0"/>
              <w:bottom w:val="single" w:color="auto" w:sz="4" w:space="0"/>
              <w:right w:val="single" w:color="auto" w:sz="4" w:space="0"/>
            </w:tcBorders>
            <w:vAlign w:val="center"/>
          </w:tcPr>
          <w:p w14:paraId="76B2ADF2">
            <w:pPr>
              <w:spacing w:line="300" w:lineRule="exact"/>
              <w:jc w:val="left"/>
              <w:rPr>
                <w:szCs w:val="21"/>
              </w:rPr>
            </w:pPr>
            <w:r>
              <w:rPr>
                <w:rFonts w:hint="eastAsia"/>
                <w:szCs w:val="21"/>
              </w:rPr>
              <w:t xml:space="preserve"> </w:t>
            </w:r>
            <w:r>
              <w:rPr>
                <w:rFonts w:hint="eastAsia" w:ascii="宋体" w:hAnsi="宋体" w:cs="宋体"/>
              </w:rPr>
              <w:t>本项目1分标属于专门面向小微企业采购的项目，供应商须为小微企业（监狱企业、残疾人福利性单位视同小型、微型企业）；2、3、4分标：无要求</w:t>
            </w:r>
            <w:r>
              <w:rPr>
                <w:rFonts w:hint="eastAsia"/>
              </w:rPr>
              <w:t>。</w:t>
            </w:r>
          </w:p>
        </w:tc>
      </w:tr>
      <w:tr w14:paraId="319861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55" w:type="dxa"/>
            <w:tcBorders>
              <w:top w:val="single" w:color="auto" w:sz="4" w:space="0"/>
              <w:left w:val="single" w:color="auto" w:sz="4" w:space="0"/>
              <w:bottom w:val="single" w:color="auto" w:sz="4" w:space="0"/>
              <w:right w:val="single" w:color="auto" w:sz="4" w:space="0"/>
            </w:tcBorders>
            <w:vAlign w:val="center"/>
          </w:tcPr>
          <w:p w14:paraId="7803FCD2">
            <w:pPr>
              <w:spacing w:line="300" w:lineRule="exact"/>
              <w:jc w:val="center"/>
              <w:rPr>
                <w:b/>
                <w:szCs w:val="21"/>
              </w:rPr>
            </w:pPr>
            <w:r>
              <w:rPr>
                <w:b/>
                <w:szCs w:val="21"/>
              </w:rPr>
              <w:t>1.5.1</w:t>
            </w:r>
          </w:p>
        </w:tc>
        <w:tc>
          <w:tcPr>
            <w:tcW w:w="1230" w:type="dxa"/>
            <w:tcBorders>
              <w:top w:val="single" w:color="auto" w:sz="4" w:space="0"/>
              <w:left w:val="single" w:color="auto" w:sz="4" w:space="0"/>
              <w:bottom w:val="single" w:color="auto" w:sz="4" w:space="0"/>
              <w:right w:val="single" w:color="auto" w:sz="4" w:space="0"/>
            </w:tcBorders>
            <w:vAlign w:val="center"/>
          </w:tcPr>
          <w:p w14:paraId="4C06ED0A">
            <w:pPr>
              <w:spacing w:line="300" w:lineRule="exact"/>
              <w:jc w:val="center"/>
              <w:rPr>
                <w:szCs w:val="21"/>
              </w:rPr>
            </w:pPr>
            <w:r>
              <w:rPr>
                <w:rFonts w:hint="eastAsia"/>
                <w:szCs w:val="21"/>
                <w:lang w:val="zh-CN"/>
              </w:rPr>
              <w:t>投标人</w:t>
            </w:r>
            <w:r>
              <w:rPr>
                <w:szCs w:val="21"/>
                <w:lang w:val="zh-CN"/>
              </w:rPr>
              <w:t>资格条件</w:t>
            </w:r>
          </w:p>
        </w:tc>
        <w:tc>
          <w:tcPr>
            <w:tcW w:w="7229" w:type="dxa"/>
            <w:tcBorders>
              <w:top w:val="single" w:color="auto" w:sz="4" w:space="0"/>
              <w:left w:val="single" w:color="auto" w:sz="4" w:space="0"/>
              <w:bottom w:val="single" w:color="auto" w:sz="4" w:space="0"/>
              <w:right w:val="single" w:color="auto" w:sz="4" w:space="0"/>
            </w:tcBorders>
            <w:vAlign w:val="center"/>
          </w:tcPr>
          <w:p w14:paraId="40C07013">
            <w:pPr>
              <w:spacing w:line="300" w:lineRule="exact"/>
              <w:jc w:val="left"/>
              <w:rPr>
                <w:szCs w:val="21"/>
              </w:rPr>
            </w:pPr>
            <w:r>
              <w:rPr>
                <w:rFonts w:hint="eastAsia"/>
                <w:szCs w:val="21"/>
              </w:rPr>
              <w:t>详</w:t>
            </w:r>
            <w:r>
              <w:rPr>
                <w:szCs w:val="21"/>
              </w:rPr>
              <w:t>见招标公告</w:t>
            </w:r>
            <w:r>
              <w:rPr>
                <w:rFonts w:hint="eastAsia"/>
                <w:szCs w:val="21"/>
              </w:rPr>
              <w:t>。</w:t>
            </w:r>
          </w:p>
        </w:tc>
      </w:tr>
      <w:tr w14:paraId="1E0C6E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755" w:type="dxa"/>
            <w:tcBorders>
              <w:top w:val="single" w:color="auto" w:sz="4" w:space="0"/>
              <w:left w:val="single" w:color="auto" w:sz="4" w:space="0"/>
              <w:right w:val="single" w:color="auto" w:sz="4" w:space="0"/>
            </w:tcBorders>
            <w:vAlign w:val="center"/>
          </w:tcPr>
          <w:p w14:paraId="3DEB8661">
            <w:pPr>
              <w:spacing w:line="300" w:lineRule="exact"/>
              <w:jc w:val="center"/>
              <w:rPr>
                <w:b/>
                <w:szCs w:val="21"/>
              </w:rPr>
            </w:pPr>
            <w:bookmarkStart w:id="32" w:name="_Hlk85555568"/>
            <w:r>
              <w:rPr>
                <w:b/>
                <w:szCs w:val="21"/>
              </w:rPr>
              <w:t>1.5.3</w:t>
            </w:r>
          </w:p>
        </w:tc>
        <w:tc>
          <w:tcPr>
            <w:tcW w:w="1230" w:type="dxa"/>
            <w:tcBorders>
              <w:top w:val="single" w:color="auto" w:sz="4" w:space="0"/>
              <w:left w:val="single" w:color="auto" w:sz="4" w:space="0"/>
              <w:right w:val="single" w:color="auto" w:sz="4" w:space="0"/>
            </w:tcBorders>
            <w:vAlign w:val="center"/>
          </w:tcPr>
          <w:p w14:paraId="0F8EF97A">
            <w:pPr>
              <w:spacing w:line="300" w:lineRule="exact"/>
              <w:jc w:val="center"/>
              <w:rPr>
                <w:szCs w:val="21"/>
              </w:rPr>
            </w:pPr>
            <w:r>
              <w:rPr>
                <w:rFonts w:hint="eastAsia"/>
                <w:szCs w:val="21"/>
              </w:rPr>
              <w:t>联合体</w:t>
            </w:r>
          </w:p>
        </w:tc>
        <w:tc>
          <w:tcPr>
            <w:tcW w:w="7229" w:type="dxa"/>
            <w:tcBorders>
              <w:top w:val="single" w:color="auto" w:sz="4" w:space="0"/>
              <w:left w:val="single" w:color="auto" w:sz="4" w:space="0"/>
              <w:right w:val="single" w:color="auto" w:sz="4" w:space="0"/>
            </w:tcBorders>
            <w:vAlign w:val="center"/>
          </w:tcPr>
          <w:p w14:paraId="7B0586AC">
            <w:pPr>
              <w:spacing w:line="300" w:lineRule="exact"/>
              <w:jc w:val="left"/>
              <w:rPr>
                <w:szCs w:val="21"/>
              </w:rPr>
            </w:pPr>
            <w:r>
              <w:rPr>
                <w:rFonts w:hint="eastAsia"/>
                <w:szCs w:val="21"/>
              </w:rPr>
              <w:t>是否接受联合体详见招标公告</w:t>
            </w:r>
          </w:p>
        </w:tc>
      </w:tr>
      <w:bookmarkEnd w:id="32"/>
      <w:tr w14:paraId="41DFDE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55" w:type="dxa"/>
            <w:tcBorders>
              <w:top w:val="single" w:color="auto" w:sz="4" w:space="0"/>
              <w:left w:val="single" w:color="auto" w:sz="4" w:space="0"/>
              <w:bottom w:val="single" w:color="auto" w:sz="4" w:space="0"/>
              <w:right w:val="single" w:color="auto" w:sz="4" w:space="0"/>
            </w:tcBorders>
            <w:vAlign w:val="center"/>
          </w:tcPr>
          <w:p w14:paraId="5DE58145">
            <w:pPr>
              <w:spacing w:line="300" w:lineRule="exact"/>
              <w:jc w:val="center"/>
              <w:rPr>
                <w:b/>
                <w:szCs w:val="21"/>
              </w:rPr>
            </w:pPr>
            <w:r>
              <w:rPr>
                <w:b/>
                <w:szCs w:val="21"/>
              </w:rPr>
              <w:t>1.6</w:t>
            </w:r>
          </w:p>
        </w:tc>
        <w:tc>
          <w:tcPr>
            <w:tcW w:w="1230" w:type="dxa"/>
            <w:tcBorders>
              <w:top w:val="single" w:color="auto" w:sz="4" w:space="0"/>
              <w:left w:val="single" w:color="auto" w:sz="4" w:space="0"/>
              <w:bottom w:val="single" w:color="auto" w:sz="4" w:space="0"/>
              <w:right w:val="single" w:color="auto" w:sz="4" w:space="0"/>
            </w:tcBorders>
            <w:vAlign w:val="center"/>
          </w:tcPr>
          <w:p w14:paraId="489D0A89">
            <w:pPr>
              <w:spacing w:line="300" w:lineRule="exact"/>
              <w:jc w:val="center"/>
              <w:rPr>
                <w:szCs w:val="21"/>
              </w:rPr>
            </w:pPr>
            <w:r>
              <w:rPr>
                <w:rFonts w:hint="eastAsia"/>
                <w:szCs w:val="21"/>
              </w:rPr>
              <w:t>踏勘</w:t>
            </w:r>
          </w:p>
        </w:tc>
        <w:tc>
          <w:tcPr>
            <w:tcW w:w="7229" w:type="dxa"/>
            <w:tcBorders>
              <w:top w:val="single" w:color="auto" w:sz="4" w:space="0"/>
              <w:left w:val="single" w:color="auto" w:sz="4" w:space="0"/>
              <w:bottom w:val="single" w:color="auto" w:sz="4" w:space="0"/>
              <w:right w:val="single" w:color="auto" w:sz="4" w:space="0"/>
            </w:tcBorders>
            <w:vAlign w:val="center"/>
          </w:tcPr>
          <w:p w14:paraId="4BA9F4C6">
            <w:pPr>
              <w:pStyle w:val="17"/>
              <w:rPr>
                <w:szCs w:val="21"/>
              </w:rPr>
            </w:pPr>
            <w:r>
              <w:rPr>
                <w:szCs w:val="21"/>
              </w:rPr>
              <w:sym w:font="Wingdings 2" w:char="0052"/>
            </w:r>
            <w:r>
              <w:rPr>
                <w:rFonts w:hint="eastAsia"/>
                <w:szCs w:val="21"/>
              </w:rPr>
              <w:t xml:space="preserve">不组织 </w:t>
            </w:r>
          </w:p>
          <w:p w14:paraId="522022F3">
            <w:pPr>
              <w:pStyle w:val="17"/>
              <w:rPr>
                <w:szCs w:val="21"/>
              </w:rPr>
            </w:pPr>
            <w:r>
              <w:rPr>
                <w:rFonts w:hint="eastAsia"/>
                <w:szCs w:val="21"/>
              </w:rPr>
              <w:t>□组织</w:t>
            </w:r>
          </w:p>
          <w:p w14:paraId="35E9A802">
            <w:pPr>
              <w:rPr>
                <w:szCs w:val="21"/>
              </w:rPr>
            </w:pPr>
            <w:r>
              <w:rPr>
                <w:rFonts w:hint="eastAsia"/>
                <w:szCs w:val="21"/>
              </w:rPr>
              <w:t xml:space="preserve">踏勘时间：              </w:t>
            </w:r>
          </w:p>
          <w:p w14:paraId="5FDF257F">
            <w:pPr>
              <w:rPr>
                <w:szCs w:val="21"/>
              </w:rPr>
            </w:pPr>
            <w:r>
              <w:rPr>
                <w:rFonts w:hint="eastAsia"/>
                <w:szCs w:val="21"/>
              </w:rPr>
              <w:t xml:space="preserve">踏勘集中地点：           </w:t>
            </w:r>
          </w:p>
          <w:p w14:paraId="0EAE7200">
            <w:pPr>
              <w:pStyle w:val="17"/>
              <w:rPr>
                <w:szCs w:val="21"/>
              </w:rPr>
            </w:pPr>
            <w:r>
              <w:rPr>
                <w:rFonts w:hint="eastAsia"/>
                <w:szCs w:val="21"/>
              </w:rPr>
              <w:t>联系人及电话：</w:t>
            </w:r>
          </w:p>
          <w:p w14:paraId="55581CF3">
            <w:pPr>
              <w:pStyle w:val="17"/>
              <w:rPr>
                <w:szCs w:val="21"/>
              </w:rPr>
            </w:pPr>
            <w:r>
              <w:rPr>
                <w:rFonts w:hint="eastAsia"/>
                <w:szCs w:val="21"/>
              </w:rPr>
              <w:t xml:space="preserve"> □可申请踏勘（如有需要供应商自行与采购人联系申请踏勘）</w:t>
            </w:r>
            <w:r>
              <w:rPr>
                <w:szCs w:val="21"/>
              </w:rPr>
              <w:t>/</w:t>
            </w:r>
            <w:r>
              <w:rPr>
                <w:rFonts w:hint="eastAsia"/>
                <w:szCs w:val="21"/>
              </w:rPr>
              <w:t>自行踏勘</w:t>
            </w:r>
          </w:p>
          <w:p w14:paraId="305B83E6">
            <w:pPr>
              <w:pStyle w:val="17"/>
              <w:rPr>
                <w:szCs w:val="21"/>
              </w:rPr>
            </w:pPr>
            <w:r>
              <w:rPr>
                <w:rFonts w:hint="eastAsia"/>
                <w:szCs w:val="21"/>
                <w:u w:val="single"/>
              </w:rPr>
              <w:t xml:space="preserve">    </w:t>
            </w:r>
            <w:r>
              <w:rPr>
                <w:rFonts w:hint="eastAsia"/>
                <w:szCs w:val="21"/>
              </w:rPr>
              <w:t xml:space="preserve">    </w:t>
            </w:r>
          </w:p>
        </w:tc>
      </w:tr>
      <w:tr w14:paraId="4431C8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55" w:type="dxa"/>
            <w:tcBorders>
              <w:top w:val="single" w:color="auto" w:sz="4" w:space="0"/>
              <w:left w:val="single" w:color="auto" w:sz="4" w:space="0"/>
              <w:bottom w:val="single" w:color="auto" w:sz="4" w:space="0"/>
              <w:right w:val="single" w:color="auto" w:sz="4" w:space="0"/>
            </w:tcBorders>
            <w:vAlign w:val="center"/>
          </w:tcPr>
          <w:p w14:paraId="4464ED90">
            <w:pPr>
              <w:spacing w:line="300" w:lineRule="exact"/>
              <w:jc w:val="center"/>
              <w:rPr>
                <w:b/>
                <w:szCs w:val="21"/>
              </w:rPr>
            </w:pPr>
            <w:r>
              <w:rPr>
                <w:b/>
                <w:szCs w:val="21"/>
              </w:rPr>
              <w:t>1.7.2</w:t>
            </w:r>
          </w:p>
        </w:tc>
        <w:tc>
          <w:tcPr>
            <w:tcW w:w="1230" w:type="dxa"/>
            <w:tcBorders>
              <w:top w:val="single" w:color="auto" w:sz="4" w:space="0"/>
              <w:left w:val="single" w:color="auto" w:sz="4" w:space="0"/>
              <w:bottom w:val="single" w:color="auto" w:sz="4" w:space="0"/>
              <w:right w:val="single" w:color="auto" w:sz="4" w:space="0"/>
            </w:tcBorders>
            <w:vAlign w:val="center"/>
          </w:tcPr>
          <w:p w14:paraId="6EFA91B7">
            <w:pPr>
              <w:spacing w:line="300" w:lineRule="exact"/>
              <w:jc w:val="center"/>
              <w:rPr>
                <w:szCs w:val="21"/>
              </w:rPr>
            </w:pPr>
            <w:r>
              <w:rPr>
                <w:szCs w:val="21"/>
              </w:rPr>
              <w:t>分包</w:t>
            </w:r>
          </w:p>
        </w:tc>
        <w:tc>
          <w:tcPr>
            <w:tcW w:w="7229" w:type="dxa"/>
            <w:tcBorders>
              <w:top w:val="single" w:color="auto" w:sz="4" w:space="0"/>
              <w:left w:val="single" w:color="auto" w:sz="4" w:space="0"/>
              <w:bottom w:val="single" w:color="auto" w:sz="4" w:space="0"/>
              <w:right w:val="single" w:color="auto" w:sz="4" w:space="0"/>
            </w:tcBorders>
            <w:vAlign w:val="center"/>
          </w:tcPr>
          <w:p w14:paraId="1DB5029B">
            <w:pPr>
              <w:pStyle w:val="17"/>
              <w:rPr>
                <w:szCs w:val="21"/>
              </w:rPr>
            </w:pPr>
            <w:r>
              <w:rPr>
                <w:rFonts w:hint="eastAsia"/>
              </w:rPr>
              <w:t>不允许分包。</w:t>
            </w:r>
          </w:p>
        </w:tc>
      </w:tr>
      <w:tr w14:paraId="36BACD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55" w:type="dxa"/>
            <w:tcBorders>
              <w:top w:val="single" w:color="auto" w:sz="4" w:space="0"/>
              <w:left w:val="single" w:color="auto" w:sz="4" w:space="0"/>
              <w:bottom w:val="single" w:color="auto" w:sz="4" w:space="0"/>
              <w:right w:val="single" w:color="auto" w:sz="4" w:space="0"/>
            </w:tcBorders>
            <w:vAlign w:val="center"/>
          </w:tcPr>
          <w:p w14:paraId="44D863D3">
            <w:pPr>
              <w:spacing w:line="300" w:lineRule="exact"/>
              <w:jc w:val="center"/>
              <w:rPr>
                <w:b/>
                <w:szCs w:val="21"/>
              </w:rPr>
            </w:pPr>
            <w:r>
              <w:rPr>
                <w:rFonts w:hint="eastAsia"/>
                <w:b/>
                <w:szCs w:val="21"/>
              </w:rPr>
              <w:t>1.9</w:t>
            </w:r>
          </w:p>
        </w:tc>
        <w:tc>
          <w:tcPr>
            <w:tcW w:w="1230" w:type="dxa"/>
            <w:tcBorders>
              <w:top w:val="single" w:color="auto" w:sz="4" w:space="0"/>
              <w:left w:val="single" w:color="auto" w:sz="4" w:space="0"/>
              <w:bottom w:val="single" w:color="auto" w:sz="4" w:space="0"/>
              <w:right w:val="single" w:color="auto" w:sz="4" w:space="0"/>
            </w:tcBorders>
            <w:vAlign w:val="center"/>
          </w:tcPr>
          <w:p w14:paraId="3C7A5F75">
            <w:pPr>
              <w:spacing w:line="300" w:lineRule="exact"/>
              <w:jc w:val="center"/>
              <w:rPr>
                <w:szCs w:val="21"/>
              </w:rPr>
            </w:pPr>
            <w:r>
              <w:rPr>
                <w:rFonts w:hint="eastAsia"/>
                <w:szCs w:val="21"/>
              </w:rPr>
              <w:t>对本国产品的支持政策</w:t>
            </w:r>
          </w:p>
        </w:tc>
        <w:tc>
          <w:tcPr>
            <w:tcW w:w="7229" w:type="dxa"/>
            <w:tcBorders>
              <w:top w:val="single" w:color="auto" w:sz="4" w:space="0"/>
              <w:left w:val="single" w:color="auto" w:sz="4" w:space="0"/>
              <w:bottom w:val="single" w:color="auto" w:sz="4" w:space="0"/>
              <w:right w:val="single" w:color="auto" w:sz="4" w:space="0"/>
            </w:tcBorders>
            <w:vAlign w:val="center"/>
          </w:tcPr>
          <w:p w14:paraId="3DACE21F">
            <w:pPr>
              <w:spacing w:line="300" w:lineRule="exact"/>
              <w:jc w:val="left"/>
              <w:rPr>
                <w:szCs w:val="21"/>
              </w:rPr>
            </w:pPr>
            <w:r>
              <w:rPr>
                <w:rFonts w:hint="eastAsia"/>
                <w:szCs w:val="21"/>
              </w:rPr>
              <w:t>□适用</w:t>
            </w:r>
          </w:p>
          <w:p w14:paraId="2C6B9834">
            <w:pPr>
              <w:spacing w:line="300" w:lineRule="exact"/>
              <w:jc w:val="left"/>
              <w:rPr>
                <w:szCs w:val="21"/>
              </w:rPr>
            </w:pPr>
            <w:r>
              <w:rPr>
                <w:rFonts w:hint="eastAsia"/>
                <w:szCs w:val="21"/>
              </w:rPr>
              <w:t>☑不适用</w:t>
            </w:r>
          </w:p>
        </w:tc>
      </w:tr>
      <w:tr w14:paraId="4648A7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55" w:type="dxa"/>
            <w:tcBorders>
              <w:top w:val="single" w:color="auto" w:sz="4" w:space="0"/>
              <w:left w:val="single" w:color="auto" w:sz="4" w:space="0"/>
              <w:bottom w:val="single" w:color="auto" w:sz="4" w:space="0"/>
              <w:right w:val="single" w:color="auto" w:sz="4" w:space="0"/>
            </w:tcBorders>
            <w:vAlign w:val="center"/>
          </w:tcPr>
          <w:p w14:paraId="3770FD9A">
            <w:pPr>
              <w:spacing w:line="300" w:lineRule="exact"/>
              <w:jc w:val="center"/>
              <w:rPr>
                <w:b/>
                <w:szCs w:val="21"/>
              </w:rPr>
            </w:pPr>
            <w:r>
              <w:rPr>
                <w:b/>
                <w:szCs w:val="21"/>
              </w:rPr>
              <w:t>2.3</w:t>
            </w:r>
          </w:p>
        </w:tc>
        <w:tc>
          <w:tcPr>
            <w:tcW w:w="1230" w:type="dxa"/>
            <w:tcBorders>
              <w:top w:val="single" w:color="auto" w:sz="4" w:space="0"/>
              <w:left w:val="single" w:color="auto" w:sz="4" w:space="0"/>
              <w:bottom w:val="single" w:color="auto" w:sz="4" w:space="0"/>
              <w:right w:val="single" w:color="auto" w:sz="4" w:space="0"/>
            </w:tcBorders>
            <w:vAlign w:val="center"/>
          </w:tcPr>
          <w:p w14:paraId="04BDC6AE">
            <w:pPr>
              <w:spacing w:line="300" w:lineRule="exact"/>
              <w:jc w:val="center"/>
              <w:rPr>
                <w:szCs w:val="21"/>
              </w:rPr>
            </w:pPr>
            <w:r>
              <w:rPr>
                <w:szCs w:val="21"/>
              </w:rPr>
              <w:t>招标文件澄清、修改</w:t>
            </w:r>
          </w:p>
        </w:tc>
        <w:tc>
          <w:tcPr>
            <w:tcW w:w="7229" w:type="dxa"/>
            <w:tcBorders>
              <w:top w:val="single" w:color="auto" w:sz="4" w:space="0"/>
              <w:left w:val="single" w:color="auto" w:sz="4" w:space="0"/>
              <w:bottom w:val="single" w:color="auto" w:sz="4" w:space="0"/>
              <w:right w:val="single" w:color="auto" w:sz="4" w:space="0"/>
            </w:tcBorders>
            <w:vAlign w:val="center"/>
          </w:tcPr>
          <w:p w14:paraId="7F7BAA7E">
            <w:pPr>
              <w:spacing w:line="300" w:lineRule="exact"/>
              <w:jc w:val="left"/>
              <w:rPr>
                <w:szCs w:val="21"/>
              </w:rPr>
            </w:pPr>
            <w:r>
              <w:rPr>
                <w:szCs w:val="21"/>
              </w:rPr>
              <w:t>在招标公告发布媒介发布</w:t>
            </w:r>
            <w:r>
              <w:rPr>
                <w:rFonts w:hint="eastAsia"/>
                <w:szCs w:val="21"/>
              </w:rPr>
              <w:t>。</w:t>
            </w:r>
          </w:p>
        </w:tc>
      </w:tr>
      <w:tr w14:paraId="4B7E50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50" w:hRule="atLeast"/>
        </w:trPr>
        <w:tc>
          <w:tcPr>
            <w:tcW w:w="755" w:type="dxa"/>
            <w:tcBorders>
              <w:top w:val="single" w:color="auto" w:sz="4" w:space="0"/>
              <w:left w:val="single" w:color="auto" w:sz="4" w:space="0"/>
              <w:bottom w:val="single" w:color="auto" w:sz="4" w:space="0"/>
              <w:right w:val="single" w:color="auto" w:sz="4" w:space="0"/>
            </w:tcBorders>
            <w:vAlign w:val="center"/>
          </w:tcPr>
          <w:p w14:paraId="6C431A14">
            <w:pPr>
              <w:spacing w:line="300" w:lineRule="exact"/>
              <w:jc w:val="center"/>
              <w:rPr>
                <w:b/>
                <w:szCs w:val="21"/>
              </w:rPr>
            </w:pPr>
            <w:r>
              <w:rPr>
                <w:b/>
                <w:szCs w:val="21"/>
              </w:rPr>
              <w:t>2.3</w:t>
            </w:r>
          </w:p>
        </w:tc>
        <w:tc>
          <w:tcPr>
            <w:tcW w:w="1230" w:type="dxa"/>
            <w:tcBorders>
              <w:top w:val="single" w:color="auto" w:sz="4" w:space="0"/>
              <w:left w:val="single" w:color="auto" w:sz="4" w:space="0"/>
              <w:bottom w:val="single" w:color="auto" w:sz="4" w:space="0"/>
              <w:right w:val="single" w:color="auto" w:sz="4" w:space="0"/>
            </w:tcBorders>
            <w:vAlign w:val="center"/>
          </w:tcPr>
          <w:p w14:paraId="654C6733">
            <w:pPr>
              <w:spacing w:line="300" w:lineRule="exact"/>
              <w:jc w:val="center"/>
              <w:rPr>
                <w:szCs w:val="21"/>
              </w:rPr>
            </w:pPr>
            <w:r>
              <w:rPr>
                <w:szCs w:val="21"/>
              </w:rPr>
              <w:t>确认收到澄清、修改发布的方式</w:t>
            </w:r>
          </w:p>
        </w:tc>
        <w:tc>
          <w:tcPr>
            <w:tcW w:w="7229" w:type="dxa"/>
            <w:tcBorders>
              <w:top w:val="single" w:color="auto" w:sz="4" w:space="0"/>
              <w:left w:val="single" w:color="auto" w:sz="4" w:space="0"/>
              <w:bottom w:val="single" w:color="auto" w:sz="4" w:space="0"/>
              <w:right w:val="single" w:color="auto" w:sz="4" w:space="0"/>
            </w:tcBorders>
            <w:vAlign w:val="center"/>
          </w:tcPr>
          <w:p w14:paraId="3F200C22">
            <w:pPr>
              <w:spacing w:line="300" w:lineRule="exact"/>
              <w:jc w:val="left"/>
              <w:rPr>
                <w:szCs w:val="21"/>
              </w:rPr>
            </w:pPr>
            <w:r>
              <w:rPr>
                <w:szCs w:val="21"/>
              </w:rPr>
              <w:t>澄清、修改文件</w:t>
            </w:r>
            <w:r>
              <w:rPr>
                <w:rFonts w:hint="eastAsia"/>
                <w:szCs w:val="21"/>
              </w:rPr>
              <w:t>自招标</w:t>
            </w:r>
            <w:r>
              <w:rPr>
                <w:szCs w:val="21"/>
              </w:rPr>
              <w:t>公告发布媒</w:t>
            </w:r>
            <w:r>
              <w:rPr>
                <w:rFonts w:hint="eastAsia"/>
                <w:szCs w:val="21"/>
              </w:rPr>
              <w:t>体</w:t>
            </w:r>
            <w:r>
              <w:rPr>
                <w:szCs w:val="21"/>
              </w:rPr>
              <w:t>发布之日起，视为供应商已收到该澄清、修改。供应商未及时关注</w:t>
            </w:r>
            <w:r>
              <w:rPr>
                <w:rFonts w:hint="eastAsia"/>
                <w:szCs w:val="21"/>
              </w:rPr>
              <w:t>招标</w:t>
            </w:r>
            <w:r>
              <w:rPr>
                <w:szCs w:val="21"/>
              </w:rPr>
              <w:t>公告发布媒</w:t>
            </w:r>
            <w:r>
              <w:rPr>
                <w:rFonts w:hint="eastAsia"/>
                <w:szCs w:val="21"/>
              </w:rPr>
              <w:t>体</w:t>
            </w:r>
            <w:r>
              <w:rPr>
                <w:szCs w:val="21"/>
              </w:rPr>
              <w:t>造成的损失，由供应商自行负责。</w:t>
            </w:r>
          </w:p>
        </w:tc>
      </w:tr>
      <w:tr w14:paraId="2A1307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755" w:type="dxa"/>
            <w:vMerge w:val="restart"/>
            <w:tcBorders>
              <w:top w:val="single" w:color="auto" w:sz="4" w:space="0"/>
              <w:left w:val="single" w:color="auto" w:sz="4" w:space="0"/>
              <w:right w:val="single" w:color="auto" w:sz="4" w:space="0"/>
            </w:tcBorders>
            <w:vAlign w:val="center"/>
          </w:tcPr>
          <w:p w14:paraId="47EF1AF2">
            <w:pPr>
              <w:spacing w:line="300" w:lineRule="exact"/>
              <w:jc w:val="center"/>
              <w:rPr>
                <w:b/>
                <w:szCs w:val="21"/>
              </w:rPr>
            </w:pPr>
            <w:r>
              <w:rPr>
                <w:rFonts w:hint="eastAsia"/>
                <w:b/>
                <w:szCs w:val="21"/>
              </w:rPr>
              <w:t>3.1</w:t>
            </w:r>
          </w:p>
        </w:tc>
        <w:tc>
          <w:tcPr>
            <w:tcW w:w="1230" w:type="dxa"/>
            <w:tcBorders>
              <w:top w:val="single" w:color="auto" w:sz="4" w:space="0"/>
              <w:left w:val="single" w:color="auto" w:sz="4" w:space="0"/>
              <w:bottom w:val="single" w:color="auto" w:sz="4" w:space="0"/>
              <w:right w:val="single" w:color="auto" w:sz="4" w:space="0"/>
            </w:tcBorders>
            <w:vAlign w:val="center"/>
          </w:tcPr>
          <w:p w14:paraId="3AE99885">
            <w:pPr>
              <w:spacing w:line="300" w:lineRule="exact"/>
              <w:jc w:val="center"/>
              <w:rPr>
                <w:szCs w:val="21"/>
              </w:rPr>
            </w:pPr>
            <w:r>
              <w:rPr>
                <w:rFonts w:hint="eastAsia"/>
                <w:szCs w:val="21"/>
              </w:rPr>
              <w:t>资格证明文件</w:t>
            </w:r>
          </w:p>
        </w:tc>
        <w:tc>
          <w:tcPr>
            <w:tcW w:w="7229" w:type="dxa"/>
            <w:tcBorders>
              <w:top w:val="single" w:color="auto" w:sz="4" w:space="0"/>
              <w:left w:val="single" w:color="auto" w:sz="4" w:space="0"/>
              <w:bottom w:val="single" w:color="auto" w:sz="4" w:space="0"/>
              <w:right w:val="single" w:color="auto" w:sz="4" w:space="0"/>
            </w:tcBorders>
            <w:vAlign w:val="center"/>
          </w:tcPr>
          <w:p w14:paraId="2E8D01A8">
            <w:pPr>
              <w:spacing w:line="300" w:lineRule="exact"/>
              <w:jc w:val="left"/>
              <w:rPr>
                <w:szCs w:val="21"/>
              </w:rPr>
            </w:pPr>
            <w:r>
              <w:rPr>
                <w:rFonts w:hint="eastAsia"/>
                <w:szCs w:val="21"/>
              </w:rPr>
              <w:t>1.投标声明书（格式后附）；（必须提供，否则作无效投标处理）</w:t>
            </w:r>
          </w:p>
          <w:p w14:paraId="72854D9D">
            <w:pPr>
              <w:spacing w:line="300" w:lineRule="exact"/>
              <w:jc w:val="left"/>
              <w:rPr>
                <w:szCs w:val="21"/>
              </w:rPr>
            </w:pPr>
            <w:r>
              <w:rPr>
                <w:rFonts w:hint="eastAsia"/>
                <w:szCs w:val="21"/>
              </w:rPr>
              <w:t>2.投标人为法人或者其他组织的，提供营业执照等证明文件（如营业执照或者事业单位法人证书或者执业许可证或者登记证书等），投标人为自然人的，提供身份证复印件；（必须提供，否则按无效投标处理）</w:t>
            </w:r>
          </w:p>
          <w:p w14:paraId="7EFF7A17">
            <w:pPr>
              <w:spacing w:line="300" w:lineRule="exact"/>
              <w:jc w:val="left"/>
              <w:rPr>
                <w:szCs w:val="21"/>
              </w:rPr>
            </w:pPr>
            <w:r>
              <w:rPr>
                <w:rFonts w:hint="eastAsia"/>
                <w:szCs w:val="21"/>
              </w:rPr>
              <w:t>3.投标人依法缴纳税收的相关材料（2026年1月至2026年6月内连续3个月的依法缴纳税收的证明材料复印件；依法免税的供应商，必须提供符合免税条件的证明材料。从成立之日起到投标文件提交截止时间止不足要求月数的，只需提供从成立之日起的依法缴纳税收相应证明文件）；（必须提供，否则按无效投标处理）</w:t>
            </w:r>
          </w:p>
          <w:p w14:paraId="29FBC083">
            <w:pPr>
              <w:spacing w:line="300" w:lineRule="exact"/>
              <w:jc w:val="left"/>
              <w:rPr>
                <w:szCs w:val="21"/>
              </w:rPr>
            </w:pPr>
            <w:r>
              <w:rPr>
                <w:rFonts w:hint="eastAsia"/>
                <w:szCs w:val="21"/>
              </w:rPr>
              <w:t>4.投标人依法缴纳社会保障资金的相关材料[2026年1月至2026年6月连续3个月的依法缴纳社会保障资金的缴费证明材料（如：专用收据、社会保险缴纳清单或者社保部门的证明）复印件；依法不需要缴纳社会保障资金的供应商，必须提供相应文件证明不需要缴纳社会保障资金。从成立之日起到投标文件提交截止时间止不足要求月数的只需提供从成立之日起的依法缴纳社会保障资金的相应证明文件]；（必须提供，否则按无效投标处理）</w:t>
            </w:r>
          </w:p>
          <w:p w14:paraId="3A153AAE">
            <w:pPr>
              <w:spacing w:line="300" w:lineRule="exact"/>
              <w:jc w:val="left"/>
              <w:rPr>
                <w:szCs w:val="21"/>
              </w:rPr>
            </w:pPr>
            <w:r>
              <w:rPr>
                <w:rFonts w:hint="eastAsia"/>
                <w:szCs w:val="21"/>
              </w:rPr>
              <w:t>5.投标人财务状况报告[2025年度财务报表复印件，或者银行出具的资信证明，或者中国人民银行征信中心出具的信用报告（企业投标的提供企业信用报告，自然人投标的提供个人信用报告，投标人属于成立时间在规定年度之后的法人或其他组织，需提供成立之日起至投标截止时间前的月报表或银行出具的资信证明或者中国人民银行征信中心出具的企业信用报告；资信证明应在有效期内，未注明有效期的，银行出具时间至投标截止时间不超过一年]；（必须提供，否则按无效投标处理）</w:t>
            </w:r>
          </w:p>
          <w:p w14:paraId="5B78FDED">
            <w:pPr>
              <w:spacing w:line="300" w:lineRule="exact"/>
              <w:jc w:val="left"/>
              <w:rPr>
                <w:szCs w:val="21"/>
              </w:rPr>
            </w:pPr>
            <w:r>
              <w:rPr>
                <w:rFonts w:hint="eastAsia"/>
                <w:szCs w:val="21"/>
              </w:rPr>
              <w:t>6.投标人直接控股信息表（格式后附）；（必须提供，否则按无效投标处理）</w:t>
            </w:r>
          </w:p>
          <w:p w14:paraId="4BB24956">
            <w:pPr>
              <w:spacing w:line="300" w:lineRule="exact"/>
              <w:jc w:val="left"/>
              <w:rPr>
                <w:szCs w:val="21"/>
              </w:rPr>
            </w:pPr>
            <w:r>
              <w:rPr>
                <w:rFonts w:hint="eastAsia"/>
                <w:szCs w:val="21"/>
              </w:rPr>
              <w:t>7.投标人直接管理关系信息表（格式后附）；（必须提供，否则按无效投标处理）</w:t>
            </w:r>
          </w:p>
          <w:p w14:paraId="11B432B9">
            <w:pPr>
              <w:spacing w:line="300" w:lineRule="exact"/>
              <w:jc w:val="left"/>
              <w:rPr>
                <w:szCs w:val="21"/>
              </w:rPr>
            </w:pPr>
            <w:r>
              <w:rPr>
                <w:rFonts w:hint="eastAsia"/>
                <w:szCs w:val="21"/>
              </w:rPr>
              <w:t>8.分标1：本分标是专门面向小微企业采购的标的，其投标由符合本分标采购标的所属行业对应小微企业划分标准的小微企业（监狱企业、残疾人福利单位视同小微企业）承接。（必须提供中小企业声明函或残疾人福利性单位声明函或投标人属于监狱企业的证明材料，否则按无效投标处理）</w:t>
            </w:r>
          </w:p>
          <w:p w14:paraId="490AABD0">
            <w:pPr>
              <w:spacing w:line="300" w:lineRule="exact"/>
              <w:jc w:val="left"/>
              <w:rPr>
                <w:szCs w:val="21"/>
              </w:rPr>
            </w:pPr>
            <w:r>
              <w:rPr>
                <w:rFonts w:hint="eastAsia"/>
                <w:szCs w:val="21"/>
              </w:rPr>
              <w:t>分标2、3、4：无。</w:t>
            </w:r>
          </w:p>
          <w:p w14:paraId="396E24C7">
            <w:pPr>
              <w:spacing w:line="300" w:lineRule="exact"/>
              <w:jc w:val="left"/>
              <w:rPr>
                <w:szCs w:val="21"/>
              </w:rPr>
            </w:pPr>
            <w:r>
              <w:rPr>
                <w:rFonts w:hint="eastAsia"/>
                <w:szCs w:val="21"/>
              </w:rPr>
              <w:t>9.投标人必须提供有效的《食品经营许可证》或预包装食品销售备案证明，如为生产加工企业的，还须具有有效的《食品生产许可证》（分标1、分标4必须提供，否则作无效投标处理）。</w:t>
            </w:r>
          </w:p>
          <w:p w14:paraId="5185B471">
            <w:pPr>
              <w:spacing w:line="300" w:lineRule="exact"/>
              <w:jc w:val="left"/>
              <w:rPr>
                <w:rFonts w:ascii="宋体" w:hAnsi="宋体" w:cs="宋体"/>
                <w:bCs/>
              </w:rPr>
            </w:pPr>
            <w:r>
              <w:rPr>
                <w:rFonts w:hint="eastAsia" w:ascii="宋体" w:hAnsi="宋体" w:cs="宋体"/>
                <w:bCs/>
              </w:rPr>
              <w:t>10.投标人参加政府采购活动前3年内在经营活动中没有重大违法记录的书面声明。（格式自拟，必须提供，否则作无效投标处理）</w:t>
            </w:r>
          </w:p>
          <w:p w14:paraId="11683E34">
            <w:pPr>
              <w:spacing w:line="300" w:lineRule="exact"/>
              <w:jc w:val="left"/>
              <w:rPr>
                <w:rFonts w:ascii="宋体" w:hAnsi="宋体" w:cs="宋体"/>
                <w:bCs/>
              </w:rPr>
            </w:pPr>
            <w:r>
              <w:rPr>
                <w:rFonts w:hint="eastAsia" w:ascii="宋体" w:hAnsi="宋体" w:cs="宋体"/>
                <w:bCs/>
              </w:rPr>
              <w:t>11.投标保证金缴纳证明。</w:t>
            </w:r>
            <w:r>
              <w:rPr>
                <w:rFonts w:hint="eastAsia"/>
                <w:szCs w:val="21"/>
              </w:rPr>
              <w:t>（如要求提交投标保证金的则必须提供，否则按无效投标处理）</w:t>
            </w:r>
          </w:p>
          <w:p w14:paraId="6726FAA0">
            <w:pPr>
              <w:spacing w:line="300" w:lineRule="exact"/>
              <w:jc w:val="left"/>
              <w:rPr>
                <w:szCs w:val="21"/>
              </w:rPr>
            </w:pPr>
            <w:r>
              <w:rPr>
                <w:rFonts w:hint="eastAsia"/>
                <w:szCs w:val="21"/>
              </w:rPr>
              <w:t>12.除招标文件规定必须提供以外，投标人认为需要提供的其他证明材料。</w:t>
            </w:r>
          </w:p>
          <w:p w14:paraId="5D69ACA2">
            <w:pPr>
              <w:spacing w:line="300" w:lineRule="exact"/>
              <w:jc w:val="left"/>
              <w:rPr>
                <w:b/>
                <w:bCs/>
                <w:szCs w:val="21"/>
              </w:rPr>
            </w:pPr>
            <w:r>
              <w:rPr>
                <w:rFonts w:hint="eastAsia"/>
                <w:b/>
                <w:bCs/>
                <w:szCs w:val="21"/>
              </w:rPr>
              <w:t>注：</w:t>
            </w:r>
          </w:p>
          <w:p w14:paraId="3A109AE5">
            <w:pPr>
              <w:spacing w:line="300" w:lineRule="exact"/>
              <w:jc w:val="left"/>
              <w:rPr>
                <w:szCs w:val="21"/>
              </w:rPr>
            </w:pPr>
            <w:r>
              <w:rPr>
                <w:rFonts w:hint="eastAsia"/>
                <w:b/>
                <w:bCs/>
                <w:szCs w:val="21"/>
              </w:rPr>
              <w:t>以上标明“必须提供”的材料，格式中有要求法定代表人或者委托代理人签字的，必须按要求签字并加盖投标人电子签章，否则按无效投标处理。</w:t>
            </w:r>
          </w:p>
        </w:tc>
      </w:tr>
      <w:tr w14:paraId="554E5E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755" w:type="dxa"/>
            <w:vMerge w:val="continue"/>
            <w:tcBorders>
              <w:left w:val="single" w:color="auto" w:sz="4" w:space="0"/>
              <w:right w:val="single" w:color="auto" w:sz="4" w:space="0"/>
            </w:tcBorders>
            <w:vAlign w:val="center"/>
          </w:tcPr>
          <w:p w14:paraId="37035379">
            <w:pPr>
              <w:spacing w:line="300" w:lineRule="exact"/>
              <w:jc w:val="center"/>
              <w:rPr>
                <w:b/>
                <w:szCs w:val="21"/>
              </w:rPr>
            </w:pPr>
          </w:p>
        </w:tc>
        <w:tc>
          <w:tcPr>
            <w:tcW w:w="1230" w:type="dxa"/>
            <w:tcBorders>
              <w:top w:val="single" w:color="auto" w:sz="4" w:space="0"/>
              <w:left w:val="single" w:color="auto" w:sz="4" w:space="0"/>
              <w:bottom w:val="single" w:color="auto" w:sz="4" w:space="0"/>
              <w:right w:val="single" w:color="auto" w:sz="4" w:space="0"/>
            </w:tcBorders>
            <w:vAlign w:val="center"/>
          </w:tcPr>
          <w:p w14:paraId="15A60E32">
            <w:pPr>
              <w:spacing w:line="300" w:lineRule="exact"/>
              <w:jc w:val="center"/>
              <w:rPr>
                <w:szCs w:val="21"/>
              </w:rPr>
            </w:pPr>
            <w:r>
              <w:rPr>
                <w:rFonts w:hint="eastAsia"/>
              </w:rPr>
              <w:t>商务及技术文件</w:t>
            </w:r>
          </w:p>
        </w:tc>
        <w:tc>
          <w:tcPr>
            <w:tcW w:w="7229" w:type="dxa"/>
            <w:tcBorders>
              <w:top w:val="single" w:color="auto" w:sz="4" w:space="0"/>
              <w:left w:val="single" w:color="auto" w:sz="4" w:space="0"/>
              <w:bottom w:val="single" w:color="auto" w:sz="4" w:space="0"/>
              <w:right w:val="single" w:color="auto" w:sz="4" w:space="0"/>
            </w:tcBorders>
            <w:vAlign w:val="center"/>
          </w:tcPr>
          <w:p w14:paraId="1E7B4159">
            <w:pPr>
              <w:spacing w:line="300" w:lineRule="exact"/>
              <w:jc w:val="left"/>
              <w:rPr>
                <w:szCs w:val="21"/>
              </w:rPr>
            </w:pPr>
            <w:r>
              <w:rPr>
                <w:rFonts w:hint="eastAsia"/>
                <w:szCs w:val="21"/>
              </w:rPr>
              <w:t>1.法定代表人身份证明及法定代表人有效身份证正反面复印件（格式后附）；（除自然人投标外必须提供，否则按无效投标处理）</w:t>
            </w:r>
          </w:p>
          <w:p w14:paraId="7986BB1C">
            <w:pPr>
              <w:spacing w:line="300" w:lineRule="exact"/>
              <w:jc w:val="left"/>
              <w:rPr>
                <w:szCs w:val="21"/>
              </w:rPr>
            </w:pPr>
            <w:r>
              <w:rPr>
                <w:rFonts w:hint="eastAsia"/>
                <w:szCs w:val="21"/>
              </w:rPr>
              <w:t>2.授权委托书及委托代理人有效身份证正反面复印件（格式后附）；（委托时必须提供，否则按无效投标处理）</w:t>
            </w:r>
          </w:p>
          <w:p w14:paraId="40C521D3">
            <w:pPr>
              <w:spacing w:line="300" w:lineRule="exact"/>
              <w:jc w:val="left"/>
              <w:rPr>
                <w:szCs w:val="21"/>
              </w:rPr>
            </w:pPr>
            <w:r>
              <w:rPr>
                <w:rFonts w:hint="eastAsia"/>
                <w:szCs w:val="21"/>
              </w:rPr>
              <w:t>3.商务要求偏离表（格式后附）；（必须提供，否则按无效投标处理）</w:t>
            </w:r>
          </w:p>
          <w:p w14:paraId="65AF70D8">
            <w:pPr>
              <w:spacing w:line="300" w:lineRule="exact"/>
              <w:jc w:val="left"/>
              <w:rPr>
                <w:szCs w:val="21"/>
              </w:rPr>
            </w:pPr>
            <w:r>
              <w:rPr>
                <w:rFonts w:hint="eastAsia"/>
                <w:szCs w:val="21"/>
              </w:rPr>
              <w:t>4.技术要求偏离表（格式后附）；（必须提供，否则按无效投标处理）</w:t>
            </w:r>
          </w:p>
          <w:p w14:paraId="1688FC77">
            <w:pPr>
              <w:spacing w:line="300" w:lineRule="exact"/>
              <w:jc w:val="left"/>
              <w:rPr>
                <w:szCs w:val="21"/>
              </w:rPr>
            </w:pPr>
            <w:r>
              <w:rPr>
                <w:rFonts w:hint="eastAsia"/>
                <w:szCs w:val="21"/>
              </w:rPr>
              <w:t>5.投标人情况介绍（格式自拟）；</w:t>
            </w:r>
          </w:p>
          <w:p w14:paraId="204A2D96">
            <w:pPr>
              <w:spacing w:line="300" w:lineRule="exact"/>
              <w:jc w:val="left"/>
              <w:rPr>
                <w:szCs w:val="21"/>
              </w:rPr>
            </w:pPr>
            <w:r>
              <w:rPr>
                <w:rFonts w:hint="eastAsia"/>
                <w:szCs w:val="21"/>
              </w:rPr>
              <w:t>6.配送服务及应急方案（格式自拟）；</w:t>
            </w:r>
          </w:p>
          <w:p w14:paraId="58C38A7D">
            <w:pPr>
              <w:spacing w:line="300" w:lineRule="exact"/>
              <w:jc w:val="left"/>
              <w:rPr>
                <w:szCs w:val="21"/>
              </w:rPr>
            </w:pPr>
            <w:r>
              <w:rPr>
                <w:rFonts w:hint="eastAsia"/>
                <w:szCs w:val="21"/>
              </w:rPr>
              <w:t>7.食材安全措施（格式自拟）；</w:t>
            </w:r>
          </w:p>
          <w:p w14:paraId="60A4C3B0">
            <w:pPr>
              <w:spacing w:line="300" w:lineRule="exact"/>
              <w:jc w:val="left"/>
              <w:rPr>
                <w:szCs w:val="21"/>
              </w:rPr>
            </w:pPr>
            <w:r>
              <w:rPr>
                <w:rFonts w:hint="eastAsia"/>
                <w:szCs w:val="21"/>
              </w:rPr>
              <w:t>8.售后服务承诺（格式自拟）；（必须提供，否则按无效投标处理）</w:t>
            </w:r>
          </w:p>
          <w:p w14:paraId="2BF40E75">
            <w:pPr>
              <w:spacing w:line="300" w:lineRule="exact"/>
              <w:jc w:val="left"/>
              <w:rPr>
                <w:szCs w:val="21"/>
              </w:rPr>
            </w:pPr>
            <w:r>
              <w:rPr>
                <w:rFonts w:hint="eastAsia"/>
                <w:szCs w:val="21"/>
              </w:rPr>
              <w:t>9.类似业绩证明材料（格式后附）；</w:t>
            </w:r>
          </w:p>
          <w:p w14:paraId="4CDB57F9">
            <w:pPr>
              <w:spacing w:line="300" w:lineRule="exact"/>
              <w:jc w:val="left"/>
              <w:rPr>
                <w:szCs w:val="21"/>
              </w:rPr>
            </w:pPr>
            <w:r>
              <w:rPr>
                <w:rFonts w:hint="eastAsia"/>
                <w:szCs w:val="21"/>
              </w:rPr>
              <w:t>10.配送能力证明材料；</w:t>
            </w:r>
          </w:p>
          <w:p w14:paraId="15CAD183">
            <w:pPr>
              <w:spacing w:line="300" w:lineRule="exact"/>
              <w:jc w:val="left"/>
              <w:rPr>
                <w:szCs w:val="21"/>
              </w:rPr>
            </w:pPr>
            <w:r>
              <w:rPr>
                <w:rFonts w:hint="eastAsia"/>
                <w:szCs w:val="21"/>
              </w:rPr>
              <w:t>11.拟投入实施人员及相关证明材料；</w:t>
            </w:r>
          </w:p>
          <w:p w14:paraId="20D45134">
            <w:pPr>
              <w:spacing w:line="300" w:lineRule="exact"/>
              <w:jc w:val="left"/>
              <w:rPr>
                <w:szCs w:val="21"/>
              </w:rPr>
            </w:pPr>
            <w:r>
              <w:rPr>
                <w:rFonts w:hint="eastAsia"/>
                <w:szCs w:val="21"/>
              </w:rPr>
              <w:t>12.已购买食品安全责任保险证明材料；</w:t>
            </w:r>
          </w:p>
          <w:p w14:paraId="0C3BFDBA">
            <w:pPr>
              <w:spacing w:line="300" w:lineRule="exact"/>
              <w:jc w:val="left"/>
              <w:rPr>
                <w:szCs w:val="21"/>
              </w:rPr>
            </w:pPr>
            <w:r>
              <w:rPr>
                <w:rFonts w:hint="eastAsia"/>
                <w:szCs w:val="21"/>
              </w:rPr>
              <w:t>13.投标人生产、种植或养殖合作和拥有检测设备证明材料；</w:t>
            </w:r>
          </w:p>
          <w:p w14:paraId="74818722">
            <w:pPr>
              <w:spacing w:line="300" w:lineRule="exact"/>
              <w:jc w:val="left"/>
              <w:rPr>
                <w:szCs w:val="21"/>
              </w:rPr>
            </w:pPr>
            <w:r>
              <w:rPr>
                <w:rFonts w:hint="eastAsia"/>
                <w:szCs w:val="21"/>
              </w:rPr>
              <w:t>14.投标人对本项目的合理化建议和改进措施（格式自拟）；</w:t>
            </w:r>
          </w:p>
          <w:p w14:paraId="282A16E5">
            <w:pPr>
              <w:spacing w:line="300" w:lineRule="exact"/>
              <w:jc w:val="left"/>
              <w:rPr>
                <w:szCs w:val="21"/>
              </w:rPr>
            </w:pPr>
            <w:r>
              <w:rPr>
                <w:rFonts w:hint="eastAsia"/>
                <w:szCs w:val="21"/>
              </w:rPr>
              <w:t>15.无串标行为承诺函</w:t>
            </w:r>
          </w:p>
          <w:p w14:paraId="71BD0643">
            <w:pPr>
              <w:spacing w:line="300" w:lineRule="exact"/>
              <w:jc w:val="left"/>
              <w:rPr>
                <w:szCs w:val="21"/>
              </w:rPr>
            </w:pPr>
            <w:r>
              <w:rPr>
                <w:rFonts w:hint="eastAsia"/>
                <w:szCs w:val="21"/>
              </w:rPr>
              <w:t>16.代理服务费承诺书（格式后附）；</w:t>
            </w:r>
          </w:p>
          <w:p w14:paraId="7BA62595">
            <w:pPr>
              <w:spacing w:line="300" w:lineRule="exact"/>
              <w:jc w:val="left"/>
              <w:rPr>
                <w:szCs w:val="21"/>
              </w:rPr>
            </w:pPr>
            <w:r>
              <w:rPr>
                <w:rFonts w:hint="eastAsia"/>
                <w:szCs w:val="21"/>
              </w:rPr>
              <w:t>17.除招标文件规定必须提供以外，投标人认为需要提供的其他证明材料（格式自拟）。（投标人根据“第二章 采购需求”及“第四章 评标方法及评标标准”提供有关证明材料）。</w:t>
            </w:r>
          </w:p>
          <w:p w14:paraId="2FFCBF0A">
            <w:pPr>
              <w:spacing w:line="300" w:lineRule="exact"/>
              <w:jc w:val="left"/>
              <w:rPr>
                <w:szCs w:val="21"/>
              </w:rPr>
            </w:pPr>
            <w:r>
              <w:rPr>
                <w:rFonts w:hint="eastAsia"/>
                <w:szCs w:val="21"/>
              </w:rPr>
              <w:t>注：</w:t>
            </w:r>
          </w:p>
          <w:p w14:paraId="0E39AA7E">
            <w:pPr>
              <w:spacing w:line="300" w:lineRule="exact"/>
              <w:jc w:val="left"/>
              <w:rPr>
                <w:szCs w:val="21"/>
              </w:rPr>
            </w:pPr>
            <w:r>
              <w:rPr>
                <w:rFonts w:hint="eastAsia"/>
                <w:b/>
                <w:bCs/>
                <w:szCs w:val="21"/>
              </w:rPr>
              <w:t>以上标明“必须提供”的材料，格式中有要求法定代表人或者委托代理人签字的，必须按要求签字并加盖投标人电子签章，否则按无效投标处理。</w:t>
            </w:r>
          </w:p>
        </w:tc>
      </w:tr>
      <w:tr w14:paraId="26ED02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755" w:type="dxa"/>
            <w:vMerge w:val="continue"/>
            <w:tcBorders>
              <w:left w:val="single" w:color="auto" w:sz="4" w:space="0"/>
              <w:bottom w:val="single" w:color="auto" w:sz="4" w:space="0"/>
              <w:right w:val="single" w:color="auto" w:sz="4" w:space="0"/>
            </w:tcBorders>
            <w:vAlign w:val="center"/>
          </w:tcPr>
          <w:p w14:paraId="3A92971F">
            <w:pPr>
              <w:spacing w:line="300" w:lineRule="exact"/>
              <w:jc w:val="center"/>
              <w:rPr>
                <w:b/>
                <w:szCs w:val="21"/>
              </w:rPr>
            </w:pPr>
          </w:p>
        </w:tc>
        <w:tc>
          <w:tcPr>
            <w:tcW w:w="1230" w:type="dxa"/>
            <w:tcBorders>
              <w:top w:val="single" w:color="auto" w:sz="4" w:space="0"/>
              <w:left w:val="single" w:color="auto" w:sz="4" w:space="0"/>
              <w:bottom w:val="single" w:color="auto" w:sz="4" w:space="0"/>
              <w:right w:val="single" w:color="auto" w:sz="4" w:space="0"/>
            </w:tcBorders>
            <w:vAlign w:val="center"/>
          </w:tcPr>
          <w:p w14:paraId="24BC414D">
            <w:pPr>
              <w:spacing w:line="300" w:lineRule="exact"/>
              <w:jc w:val="center"/>
              <w:rPr>
                <w:szCs w:val="21"/>
              </w:rPr>
            </w:pPr>
            <w:r>
              <w:rPr>
                <w:rFonts w:hint="eastAsia"/>
                <w:szCs w:val="21"/>
              </w:rPr>
              <w:t>报价文件</w:t>
            </w:r>
          </w:p>
        </w:tc>
        <w:tc>
          <w:tcPr>
            <w:tcW w:w="7229" w:type="dxa"/>
            <w:tcBorders>
              <w:top w:val="single" w:color="auto" w:sz="4" w:space="0"/>
              <w:left w:val="single" w:color="auto" w:sz="4" w:space="0"/>
              <w:bottom w:val="single" w:color="auto" w:sz="4" w:space="0"/>
              <w:right w:val="single" w:color="auto" w:sz="4" w:space="0"/>
            </w:tcBorders>
            <w:vAlign w:val="center"/>
          </w:tcPr>
          <w:p w14:paraId="6521F3EC">
            <w:pPr>
              <w:spacing w:line="300" w:lineRule="exact"/>
              <w:jc w:val="left"/>
              <w:rPr>
                <w:szCs w:val="21"/>
              </w:rPr>
            </w:pPr>
            <w:r>
              <w:rPr>
                <w:rFonts w:hint="eastAsia"/>
                <w:szCs w:val="21"/>
              </w:rPr>
              <w:t>报价文件</w:t>
            </w:r>
          </w:p>
          <w:p w14:paraId="6297937A">
            <w:pPr>
              <w:spacing w:line="300" w:lineRule="exact"/>
              <w:jc w:val="left"/>
              <w:rPr>
                <w:szCs w:val="21"/>
              </w:rPr>
            </w:pPr>
            <w:r>
              <w:rPr>
                <w:rFonts w:hint="eastAsia"/>
                <w:szCs w:val="21"/>
              </w:rPr>
              <w:t>1.投标函（格式后附）；（必须提供，否则按无效投标处理）</w:t>
            </w:r>
          </w:p>
          <w:p w14:paraId="6C019AFD">
            <w:pPr>
              <w:spacing w:line="300" w:lineRule="exact"/>
              <w:jc w:val="left"/>
              <w:rPr>
                <w:szCs w:val="21"/>
              </w:rPr>
            </w:pPr>
            <w:r>
              <w:rPr>
                <w:rFonts w:hint="eastAsia"/>
                <w:szCs w:val="21"/>
              </w:rPr>
              <w:t>2.开标一览表（格式后附）；（必须提供，否则按无效投标处理）</w:t>
            </w:r>
          </w:p>
          <w:p w14:paraId="14A3DCCA">
            <w:pPr>
              <w:spacing w:line="300" w:lineRule="exact"/>
              <w:jc w:val="left"/>
              <w:rPr>
                <w:szCs w:val="21"/>
              </w:rPr>
            </w:pPr>
            <w:r>
              <w:rPr>
                <w:rFonts w:hint="eastAsia"/>
                <w:szCs w:val="21"/>
              </w:rPr>
              <w:t>3.投标人针对报价需要说明的其他文件和说明（格式自拟）。</w:t>
            </w:r>
          </w:p>
          <w:p w14:paraId="6D59F50A">
            <w:pPr>
              <w:spacing w:line="300" w:lineRule="exact"/>
              <w:jc w:val="left"/>
              <w:rPr>
                <w:szCs w:val="21"/>
              </w:rPr>
            </w:pPr>
            <w:r>
              <w:rPr>
                <w:rFonts w:hint="eastAsia"/>
                <w:szCs w:val="21"/>
              </w:rPr>
              <w:t>注：</w:t>
            </w:r>
          </w:p>
          <w:p w14:paraId="2F1A81A9">
            <w:pPr>
              <w:spacing w:line="300" w:lineRule="exact"/>
              <w:jc w:val="left"/>
              <w:rPr>
                <w:szCs w:val="21"/>
              </w:rPr>
            </w:pPr>
            <w:r>
              <w:rPr>
                <w:rFonts w:hint="eastAsia"/>
                <w:b/>
                <w:bCs/>
                <w:szCs w:val="21"/>
              </w:rPr>
              <w:t>以上标明“必须提供”的材料，格式中有要求法定代表人或者委托代理人签字的，必须按要求签字并加盖投标人电子签章，否则按无效投标处理。</w:t>
            </w:r>
          </w:p>
        </w:tc>
      </w:tr>
      <w:tr w14:paraId="009FD1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755" w:type="dxa"/>
            <w:tcBorders>
              <w:top w:val="single" w:color="auto" w:sz="4" w:space="0"/>
              <w:left w:val="single" w:color="auto" w:sz="4" w:space="0"/>
              <w:bottom w:val="single" w:color="auto" w:sz="4" w:space="0"/>
              <w:right w:val="single" w:color="auto" w:sz="4" w:space="0"/>
            </w:tcBorders>
            <w:vAlign w:val="center"/>
          </w:tcPr>
          <w:p w14:paraId="6D77FF6F">
            <w:pPr>
              <w:spacing w:line="300" w:lineRule="exact"/>
              <w:jc w:val="center"/>
              <w:rPr>
                <w:b/>
                <w:szCs w:val="21"/>
              </w:rPr>
            </w:pPr>
            <w:r>
              <w:rPr>
                <w:b/>
                <w:szCs w:val="21"/>
              </w:rPr>
              <w:t>3.4.1</w:t>
            </w:r>
          </w:p>
        </w:tc>
        <w:tc>
          <w:tcPr>
            <w:tcW w:w="1230" w:type="dxa"/>
            <w:tcBorders>
              <w:top w:val="single" w:color="auto" w:sz="4" w:space="0"/>
              <w:left w:val="single" w:color="auto" w:sz="4" w:space="0"/>
              <w:bottom w:val="single" w:color="auto" w:sz="4" w:space="0"/>
              <w:right w:val="single" w:color="auto" w:sz="4" w:space="0"/>
            </w:tcBorders>
            <w:vAlign w:val="center"/>
          </w:tcPr>
          <w:p w14:paraId="2F8F35CB">
            <w:pPr>
              <w:spacing w:line="300" w:lineRule="exact"/>
              <w:jc w:val="center"/>
              <w:rPr>
                <w:szCs w:val="21"/>
              </w:rPr>
            </w:pPr>
            <w:r>
              <w:rPr>
                <w:szCs w:val="21"/>
              </w:rPr>
              <w:t>投标有效期</w:t>
            </w:r>
          </w:p>
        </w:tc>
        <w:tc>
          <w:tcPr>
            <w:tcW w:w="7229" w:type="dxa"/>
            <w:tcBorders>
              <w:top w:val="single" w:color="auto" w:sz="4" w:space="0"/>
              <w:left w:val="single" w:color="auto" w:sz="4" w:space="0"/>
              <w:bottom w:val="single" w:color="auto" w:sz="4" w:space="0"/>
              <w:right w:val="single" w:color="auto" w:sz="4" w:space="0"/>
            </w:tcBorders>
            <w:vAlign w:val="center"/>
          </w:tcPr>
          <w:p w14:paraId="240F78F3">
            <w:pPr>
              <w:spacing w:line="300" w:lineRule="exact"/>
              <w:jc w:val="left"/>
              <w:rPr>
                <w:szCs w:val="21"/>
              </w:rPr>
            </w:pPr>
            <w:r>
              <w:rPr>
                <w:szCs w:val="21"/>
              </w:rPr>
              <w:t>投标截止之日起90天。</w:t>
            </w:r>
          </w:p>
        </w:tc>
      </w:tr>
      <w:tr w14:paraId="0221FC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55" w:type="dxa"/>
            <w:tcBorders>
              <w:top w:val="single" w:color="auto" w:sz="4" w:space="0"/>
              <w:left w:val="single" w:color="auto" w:sz="4" w:space="0"/>
              <w:bottom w:val="single" w:color="auto" w:sz="4" w:space="0"/>
              <w:right w:val="single" w:color="auto" w:sz="4" w:space="0"/>
            </w:tcBorders>
            <w:vAlign w:val="center"/>
          </w:tcPr>
          <w:p w14:paraId="0E3CAE8D">
            <w:pPr>
              <w:spacing w:line="300" w:lineRule="exact"/>
              <w:jc w:val="center"/>
              <w:rPr>
                <w:b/>
                <w:szCs w:val="21"/>
              </w:rPr>
            </w:pPr>
            <w:r>
              <w:rPr>
                <w:b/>
                <w:szCs w:val="21"/>
              </w:rPr>
              <w:t>3.5</w:t>
            </w:r>
          </w:p>
        </w:tc>
        <w:tc>
          <w:tcPr>
            <w:tcW w:w="1230" w:type="dxa"/>
            <w:tcBorders>
              <w:top w:val="single" w:color="auto" w:sz="4" w:space="0"/>
              <w:left w:val="single" w:color="auto" w:sz="4" w:space="0"/>
              <w:bottom w:val="single" w:color="auto" w:sz="4" w:space="0"/>
              <w:right w:val="single" w:color="auto" w:sz="4" w:space="0"/>
            </w:tcBorders>
            <w:vAlign w:val="center"/>
          </w:tcPr>
          <w:p w14:paraId="490107A1">
            <w:pPr>
              <w:spacing w:line="300" w:lineRule="exact"/>
              <w:jc w:val="center"/>
              <w:rPr>
                <w:szCs w:val="21"/>
              </w:rPr>
            </w:pPr>
            <w:r>
              <w:rPr>
                <w:szCs w:val="21"/>
              </w:rPr>
              <w:t>投标保证金</w:t>
            </w:r>
          </w:p>
        </w:tc>
        <w:tc>
          <w:tcPr>
            <w:tcW w:w="7229" w:type="dxa"/>
            <w:tcBorders>
              <w:top w:val="single" w:color="auto" w:sz="4" w:space="0"/>
              <w:left w:val="single" w:color="auto" w:sz="4" w:space="0"/>
              <w:bottom w:val="single" w:color="auto" w:sz="4" w:space="0"/>
              <w:right w:val="single" w:color="auto" w:sz="4" w:space="0"/>
            </w:tcBorders>
            <w:vAlign w:val="center"/>
          </w:tcPr>
          <w:p w14:paraId="478E7781">
            <w:pPr>
              <w:spacing w:line="312" w:lineRule="auto"/>
              <w:jc w:val="left"/>
              <w:rPr>
                <w:kern w:val="0"/>
                <w:szCs w:val="21"/>
              </w:rPr>
            </w:pPr>
            <w:r>
              <w:rPr>
                <w:szCs w:val="21"/>
              </w:rPr>
              <w:t>投标保证</w:t>
            </w:r>
            <w:r>
              <w:rPr>
                <w:rFonts w:hint="eastAsia"/>
                <w:szCs w:val="21"/>
              </w:rPr>
              <w:t>金金额：标项一：人民币壹万元整（</w:t>
            </w:r>
            <w:r>
              <w:rPr>
                <w:szCs w:val="21"/>
              </w:rPr>
              <w:t>¥</w:t>
            </w:r>
            <w:r>
              <w:rPr>
                <w:rFonts w:hint="eastAsia"/>
                <w:szCs w:val="21"/>
              </w:rPr>
              <w:t>1</w:t>
            </w:r>
            <w:r>
              <w:rPr>
                <w:szCs w:val="21"/>
              </w:rPr>
              <w:t>0,000.00</w:t>
            </w:r>
            <w:r>
              <w:rPr>
                <w:rFonts w:hint="eastAsia"/>
                <w:szCs w:val="21"/>
              </w:rPr>
              <w:t>）。标项二：人民币壹万元整（</w:t>
            </w:r>
            <w:r>
              <w:rPr>
                <w:szCs w:val="21"/>
              </w:rPr>
              <w:t>¥</w:t>
            </w:r>
            <w:r>
              <w:rPr>
                <w:rFonts w:hint="eastAsia"/>
                <w:szCs w:val="21"/>
              </w:rPr>
              <w:t>1</w:t>
            </w:r>
            <w:r>
              <w:rPr>
                <w:szCs w:val="21"/>
              </w:rPr>
              <w:t>0,000.00</w:t>
            </w:r>
            <w:r>
              <w:rPr>
                <w:rFonts w:hint="eastAsia"/>
                <w:szCs w:val="21"/>
              </w:rPr>
              <w:t>）。标项三：人民币壹万元整（</w:t>
            </w:r>
            <w:r>
              <w:rPr>
                <w:szCs w:val="21"/>
              </w:rPr>
              <w:t>¥</w:t>
            </w:r>
            <w:r>
              <w:rPr>
                <w:rFonts w:hint="eastAsia"/>
                <w:szCs w:val="21"/>
              </w:rPr>
              <w:t>1</w:t>
            </w:r>
            <w:r>
              <w:rPr>
                <w:szCs w:val="21"/>
              </w:rPr>
              <w:t>0,000.00</w:t>
            </w:r>
            <w:r>
              <w:rPr>
                <w:rFonts w:hint="eastAsia"/>
                <w:szCs w:val="21"/>
              </w:rPr>
              <w:t>）。标项四：人民币壹万元整（</w:t>
            </w:r>
            <w:r>
              <w:rPr>
                <w:szCs w:val="21"/>
              </w:rPr>
              <w:t>¥</w:t>
            </w:r>
            <w:r>
              <w:rPr>
                <w:rFonts w:hint="eastAsia"/>
                <w:szCs w:val="21"/>
              </w:rPr>
              <w:t>1</w:t>
            </w:r>
            <w:r>
              <w:rPr>
                <w:szCs w:val="21"/>
              </w:rPr>
              <w:t>0,000.00</w:t>
            </w:r>
            <w:r>
              <w:rPr>
                <w:rFonts w:hint="eastAsia"/>
                <w:szCs w:val="21"/>
              </w:rPr>
              <w:t>）。</w:t>
            </w:r>
          </w:p>
          <w:p w14:paraId="3F8B6116">
            <w:pPr>
              <w:spacing w:line="300" w:lineRule="exact"/>
              <w:jc w:val="left"/>
              <w:rPr>
                <w:szCs w:val="21"/>
              </w:rPr>
            </w:pPr>
            <w:r>
              <w:rPr>
                <w:rFonts w:hint="eastAsia"/>
                <w:szCs w:val="21"/>
              </w:rPr>
              <w:t>1、缴纳方式一：</w:t>
            </w:r>
          </w:p>
          <w:p w14:paraId="61185EEF">
            <w:pPr>
              <w:spacing w:line="300" w:lineRule="exact"/>
              <w:jc w:val="left"/>
              <w:rPr>
                <w:szCs w:val="21"/>
              </w:rPr>
            </w:pPr>
            <w:r>
              <w:rPr>
                <w:rFonts w:hint="eastAsia" w:ascii="宋体" w:hAnsi="宋体"/>
                <w:szCs w:val="21"/>
              </w:rPr>
              <w:t>（1）</w:t>
            </w:r>
            <w:r>
              <w:rPr>
                <w:szCs w:val="21"/>
              </w:rPr>
              <w:t>供应商应于</w:t>
            </w:r>
            <w:r>
              <w:rPr>
                <w:rFonts w:hint="eastAsia"/>
                <w:szCs w:val="21"/>
              </w:rPr>
              <w:t>投标截止</w:t>
            </w:r>
            <w:r>
              <w:rPr>
                <w:szCs w:val="21"/>
              </w:rPr>
              <w:t>时间前将投标保证金以电汇、转账形式从供应商账户一次性足额</w:t>
            </w:r>
            <w:r>
              <w:rPr>
                <w:rFonts w:hint="eastAsia"/>
                <w:szCs w:val="21"/>
              </w:rPr>
              <w:t>缴</w:t>
            </w:r>
            <w:r>
              <w:rPr>
                <w:szCs w:val="21"/>
              </w:rPr>
              <w:t>纳至本项目（各</w:t>
            </w:r>
            <w:r>
              <w:rPr>
                <w:rFonts w:hint="eastAsia"/>
                <w:szCs w:val="21"/>
              </w:rPr>
              <w:t>分标</w:t>
            </w:r>
            <w:r>
              <w:rPr>
                <w:szCs w:val="21"/>
              </w:rPr>
              <w:t>）对应的专用虚拟账号，所交纳的投标保证金仅限当次项目（</w:t>
            </w:r>
            <w:r>
              <w:rPr>
                <w:rFonts w:hint="eastAsia"/>
                <w:szCs w:val="21"/>
              </w:rPr>
              <w:t>分标</w:t>
            </w:r>
            <w:r>
              <w:rPr>
                <w:szCs w:val="21"/>
              </w:rPr>
              <w:t>）有效，不得重复替代使用。本项目投标保证金</w:t>
            </w:r>
            <w:r>
              <w:rPr>
                <w:rFonts w:hint="eastAsia"/>
                <w:szCs w:val="21"/>
              </w:rPr>
              <w:t>缴</w:t>
            </w:r>
            <w:r>
              <w:rPr>
                <w:szCs w:val="21"/>
              </w:rPr>
              <w:t>纳专用虚拟账号信息</w:t>
            </w:r>
            <w:r>
              <w:rPr>
                <w:rFonts w:hint="eastAsia"/>
                <w:szCs w:val="21"/>
              </w:rPr>
              <w:t>如下：</w:t>
            </w:r>
          </w:p>
          <w:p w14:paraId="7EFEDDC6">
            <w:pPr>
              <w:spacing w:line="300" w:lineRule="exact"/>
              <w:jc w:val="left"/>
              <w:rPr>
                <w:szCs w:val="21"/>
              </w:rPr>
            </w:pPr>
            <w:r>
              <w:rPr>
                <w:rFonts w:hint="eastAsia"/>
                <w:szCs w:val="21"/>
              </w:rPr>
              <w:t>开户名称：广西机电设备招标有限公司</w:t>
            </w:r>
          </w:p>
          <w:p w14:paraId="128EE4CD">
            <w:pPr>
              <w:spacing w:line="300" w:lineRule="exact"/>
              <w:jc w:val="left"/>
              <w:rPr>
                <w:szCs w:val="21"/>
              </w:rPr>
            </w:pPr>
            <w:r>
              <w:rPr>
                <w:rFonts w:hint="eastAsia"/>
                <w:szCs w:val="21"/>
              </w:rPr>
              <w:t>开户银行：</w:t>
            </w:r>
            <w:r>
              <w:rPr>
                <w:rFonts w:hint="eastAsia"/>
                <w:kern w:val="0"/>
                <w:szCs w:val="21"/>
              </w:rPr>
              <w:t>平安银行南宁分行营业部</w:t>
            </w:r>
          </w:p>
          <w:p w14:paraId="0EEC474B">
            <w:pPr>
              <w:spacing w:line="312" w:lineRule="auto"/>
              <w:jc w:val="left"/>
              <w:rPr>
                <w:szCs w:val="21"/>
              </w:rPr>
            </w:pPr>
            <w:r>
              <w:rPr>
                <w:rFonts w:hint="eastAsia"/>
                <w:szCs w:val="21"/>
              </w:rPr>
              <w:t>银行账号：标项一： 30210485861080；标项二：30210485175603  ；标项三：30210485490126；标项四：30210485804649 ；</w:t>
            </w:r>
          </w:p>
          <w:p w14:paraId="1977D247">
            <w:pPr>
              <w:spacing w:line="300" w:lineRule="exact"/>
              <w:jc w:val="left"/>
              <w:rPr>
                <w:szCs w:val="21"/>
              </w:rPr>
            </w:pPr>
            <w:r>
              <w:rPr>
                <w:szCs w:val="21"/>
              </w:rPr>
              <w:t>特别说明：本项目保证金采用虚拟账号，为保证投标保证金与项目一一对应，供应商如</w:t>
            </w:r>
            <w:r>
              <w:rPr>
                <w:rFonts w:hint="eastAsia"/>
                <w:szCs w:val="21"/>
              </w:rPr>
              <w:t>参加</w:t>
            </w:r>
            <w:r>
              <w:rPr>
                <w:szCs w:val="21"/>
              </w:rPr>
              <w:t>本项目多个</w:t>
            </w:r>
            <w:r>
              <w:rPr>
                <w:rFonts w:hint="eastAsia"/>
                <w:szCs w:val="21"/>
              </w:rPr>
              <w:t>分标</w:t>
            </w:r>
            <w:r>
              <w:rPr>
                <w:szCs w:val="21"/>
              </w:rPr>
              <w:t>的</w:t>
            </w:r>
            <w:r>
              <w:rPr>
                <w:rFonts w:hint="eastAsia"/>
                <w:szCs w:val="21"/>
              </w:rPr>
              <w:t>投标</w:t>
            </w:r>
            <w:r>
              <w:rPr>
                <w:szCs w:val="21"/>
              </w:rPr>
              <w:t>，应按各</w:t>
            </w:r>
            <w:r>
              <w:rPr>
                <w:rFonts w:hint="eastAsia"/>
                <w:szCs w:val="21"/>
              </w:rPr>
              <w:t>分标</w:t>
            </w:r>
            <w:r>
              <w:rPr>
                <w:szCs w:val="21"/>
              </w:rPr>
              <w:t>对应的专用虚拟账号分别</w:t>
            </w:r>
            <w:r>
              <w:rPr>
                <w:rFonts w:hint="eastAsia"/>
                <w:szCs w:val="21"/>
              </w:rPr>
              <w:t>缴纳</w:t>
            </w:r>
            <w:r>
              <w:rPr>
                <w:szCs w:val="21"/>
              </w:rPr>
              <w:t>投标保证金。</w:t>
            </w:r>
          </w:p>
          <w:p w14:paraId="24CAB2F4">
            <w:pPr>
              <w:spacing w:line="300" w:lineRule="exact"/>
              <w:jc w:val="left"/>
              <w:rPr>
                <w:szCs w:val="21"/>
              </w:rPr>
            </w:pPr>
            <w:r>
              <w:rPr>
                <w:rFonts w:hint="eastAsia" w:ascii="宋体" w:hAnsi="宋体"/>
                <w:szCs w:val="21"/>
              </w:rPr>
              <w:t>（2）投标保证金币种应与投标报价币种相同。投标保证金缴纳后无需开具收据，供应商应在投标文件中放入转账底单或电汇凭证的复印件，必须在投标截止时间之前到达指定账号，其到账时间以银行确认的到账时间为准。（3）</w:t>
            </w:r>
            <w:r>
              <w:rPr>
                <w:szCs w:val="21"/>
              </w:rPr>
              <w:t>除</w:t>
            </w:r>
            <w:r>
              <w:rPr>
                <w:rFonts w:hint="eastAsia"/>
                <w:szCs w:val="21"/>
              </w:rPr>
              <w:t>招标文件</w:t>
            </w:r>
            <w:r>
              <w:rPr>
                <w:szCs w:val="21"/>
              </w:rPr>
              <w:t>规定不予退还保证金的情形外，采购代理机构</w:t>
            </w:r>
            <w:r>
              <w:rPr>
                <w:rFonts w:hint="eastAsia"/>
                <w:szCs w:val="21"/>
              </w:rPr>
              <w:t>在法定时间内通过银行原路</w:t>
            </w:r>
            <w:r>
              <w:rPr>
                <w:szCs w:val="21"/>
              </w:rPr>
              <w:t>退</w:t>
            </w:r>
            <w:r>
              <w:rPr>
                <w:rFonts w:hint="eastAsia"/>
                <w:szCs w:val="21"/>
              </w:rPr>
              <w:t>还保证金至供应商缴纳账户。供应商</w:t>
            </w:r>
            <w:r>
              <w:rPr>
                <w:szCs w:val="21"/>
              </w:rPr>
              <w:t>自行承担</w:t>
            </w:r>
            <w:r>
              <w:rPr>
                <w:rFonts w:hint="eastAsia"/>
                <w:szCs w:val="21"/>
              </w:rPr>
              <w:t>交纳保证金后未参加投标活动或投标保证金缴纳错误而</w:t>
            </w:r>
            <w:r>
              <w:rPr>
                <w:szCs w:val="21"/>
              </w:rPr>
              <w:t>导致</w:t>
            </w:r>
            <w:r>
              <w:rPr>
                <w:rFonts w:hint="eastAsia"/>
                <w:szCs w:val="21"/>
              </w:rPr>
              <w:t>投标</w:t>
            </w:r>
            <w:r>
              <w:rPr>
                <w:szCs w:val="21"/>
              </w:rPr>
              <w:t>保证金无法及时退还的责任</w:t>
            </w:r>
            <w:r>
              <w:rPr>
                <w:rFonts w:hint="eastAsia"/>
                <w:szCs w:val="21"/>
              </w:rPr>
              <w:t>。</w:t>
            </w:r>
          </w:p>
          <w:p w14:paraId="0F400738">
            <w:pPr>
              <w:spacing w:line="300" w:lineRule="exact"/>
              <w:jc w:val="left"/>
              <w:rPr>
                <w:szCs w:val="21"/>
              </w:rPr>
            </w:pPr>
            <w:r>
              <w:rPr>
                <w:rFonts w:hint="eastAsia"/>
                <w:szCs w:val="21"/>
              </w:rPr>
              <w:t>2、缴纳方式二：</w:t>
            </w:r>
          </w:p>
          <w:p w14:paraId="2661BB3F">
            <w:pPr>
              <w:spacing w:line="300" w:lineRule="exact"/>
              <w:jc w:val="left"/>
              <w:rPr>
                <w:szCs w:val="21"/>
              </w:rPr>
            </w:pPr>
            <w:r>
              <w:rPr>
                <w:rFonts w:hint="eastAsia"/>
                <w:szCs w:val="21"/>
              </w:rPr>
              <w:t>供应商可于投标截止时间前选择支票、汇票、本票或金融机构、担保机构出具的保函等非现金形式缴纳的，供应商应在投标文件中放入支票、汇票、本票或金融机构、担保机构出具的保函的复印件，保函出具格式详见第六章投标文件格式，在投标截止时间前，供应商必须以现场提交或邮寄方式向采购代理机构递交支票、汇票、本票或者保函原件，保证金原件放入一个密封袋中，并在封口处加盖供应商公章或被授权人签字，在封套上标记“项目名称（项目编号）投标保证金”字样。具体收件地址、收件人及联系电话详见招标公告。</w:t>
            </w:r>
          </w:p>
          <w:p w14:paraId="0E5939CE">
            <w:pPr>
              <w:spacing w:line="300" w:lineRule="exact"/>
              <w:jc w:val="left"/>
              <w:rPr>
                <w:szCs w:val="21"/>
              </w:rPr>
            </w:pPr>
            <w:r>
              <w:rPr>
                <w:rFonts w:hint="eastAsia"/>
                <w:szCs w:val="21"/>
              </w:rPr>
              <w:t>3、投标保证金有下列情形之一的，视为保证金无效：</w:t>
            </w:r>
          </w:p>
          <w:p w14:paraId="100B461E">
            <w:pPr>
              <w:spacing w:line="300" w:lineRule="exact"/>
              <w:jc w:val="left"/>
              <w:rPr>
                <w:szCs w:val="21"/>
              </w:rPr>
            </w:pPr>
            <w:r>
              <w:rPr>
                <w:rFonts w:hint="eastAsia"/>
                <w:szCs w:val="21"/>
              </w:rPr>
              <w:t>（1）保证金在投标截止时间后提交的，或者不按规定交纳方式交纳的，或者未足额交纳的（包含保函额度不足的）的；</w:t>
            </w:r>
          </w:p>
          <w:p w14:paraId="1B8D9BCE">
            <w:pPr>
              <w:spacing w:line="300" w:lineRule="exact"/>
              <w:jc w:val="left"/>
              <w:rPr>
                <w:szCs w:val="21"/>
              </w:rPr>
            </w:pPr>
            <w:r>
              <w:rPr>
                <w:rFonts w:hint="eastAsia"/>
                <w:szCs w:val="21"/>
              </w:rPr>
              <w:t>（2）支票、汇票或者本票出现无效或者背书情形的；</w:t>
            </w:r>
          </w:p>
          <w:p w14:paraId="229EFC70">
            <w:pPr>
              <w:spacing w:line="300" w:lineRule="exact"/>
              <w:jc w:val="left"/>
              <w:rPr>
                <w:szCs w:val="21"/>
              </w:rPr>
            </w:pPr>
            <w:r>
              <w:rPr>
                <w:rFonts w:hint="eastAsia"/>
                <w:szCs w:val="21"/>
              </w:rPr>
              <w:t>（3）保函有效期低于投标有效期的；</w:t>
            </w:r>
          </w:p>
          <w:p w14:paraId="48471CEB">
            <w:pPr>
              <w:spacing w:line="300" w:lineRule="exact"/>
              <w:jc w:val="left"/>
              <w:rPr>
                <w:szCs w:val="21"/>
              </w:rPr>
            </w:pPr>
            <w:r>
              <w:rPr>
                <w:rFonts w:hint="eastAsia"/>
                <w:szCs w:val="21"/>
              </w:rPr>
              <w:t>（4）非金融机构、担保机构出具保函的、非无条件保函的。</w:t>
            </w:r>
          </w:p>
          <w:p w14:paraId="6B2D411B">
            <w:pPr>
              <w:spacing w:line="300" w:lineRule="exact"/>
              <w:jc w:val="left"/>
              <w:rPr>
                <w:szCs w:val="21"/>
              </w:rPr>
            </w:pPr>
            <w:r>
              <w:rPr>
                <w:rFonts w:hint="eastAsia"/>
                <w:szCs w:val="21"/>
              </w:rPr>
              <w:t>4、</w:t>
            </w:r>
            <w:r>
              <w:rPr>
                <w:szCs w:val="21"/>
              </w:rPr>
              <w:t>财务部联系电话：0771-2821398</w:t>
            </w:r>
          </w:p>
          <w:p w14:paraId="42278B90">
            <w:pPr>
              <w:spacing w:line="300" w:lineRule="exact"/>
              <w:jc w:val="left"/>
              <w:rPr>
                <w:b/>
                <w:bCs/>
                <w:szCs w:val="21"/>
              </w:rPr>
            </w:pPr>
            <w:r>
              <w:rPr>
                <w:rFonts w:hint="eastAsia"/>
                <w:b/>
                <w:bCs/>
                <w:szCs w:val="21"/>
              </w:rPr>
              <w:t>注：为保证投标保证金退还的及时性与便利性，鼓励优先采用方式一递交投标保证金。</w:t>
            </w:r>
          </w:p>
        </w:tc>
      </w:tr>
      <w:tr w14:paraId="4AF311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5" w:hRule="atLeast"/>
        </w:trPr>
        <w:tc>
          <w:tcPr>
            <w:tcW w:w="755" w:type="dxa"/>
            <w:tcBorders>
              <w:left w:val="single" w:color="auto" w:sz="4" w:space="0"/>
              <w:right w:val="single" w:color="auto" w:sz="4" w:space="0"/>
            </w:tcBorders>
            <w:vAlign w:val="center"/>
          </w:tcPr>
          <w:p w14:paraId="6CE9A7F0">
            <w:pPr>
              <w:spacing w:line="300" w:lineRule="exact"/>
              <w:jc w:val="center"/>
              <w:rPr>
                <w:b/>
                <w:szCs w:val="21"/>
              </w:rPr>
            </w:pPr>
            <w:r>
              <w:rPr>
                <w:rFonts w:hint="eastAsia"/>
                <w:b/>
                <w:szCs w:val="21"/>
              </w:rPr>
              <w:t>3</w:t>
            </w:r>
            <w:r>
              <w:rPr>
                <w:b/>
                <w:szCs w:val="21"/>
              </w:rPr>
              <w:t>.6</w:t>
            </w:r>
          </w:p>
        </w:tc>
        <w:tc>
          <w:tcPr>
            <w:tcW w:w="1230" w:type="dxa"/>
            <w:tcBorders>
              <w:top w:val="single" w:color="auto" w:sz="4" w:space="0"/>
              <w:left w:val="single" w:color="auto" w:sz="4" w:space="0"/>
              <w:right w:val="single" w:color="auto" w:sz="4" w:space="0"/>
            </w:tcBorders>
            <w:vAlign w:val="center"/>
          </w:tcPr>
          <w:p w14:paraId="5ADC94C1">
            <w:pPr>
              <w:spacing w:line="300" w:lineRule="exact"/>
              <w:jc w:val="center"/>
              <w:rPr>
                <w:szCs w:val="21"/>
              </w:rPr>
            </w:pPr>
            <w:r>
              <w:rPr>
                <w:rFonts w:hint="eastAsia"/>
                <w:szCs w:val="21"/>
              </w:rPr>
              <w:t>投标文件的编制</w:t>
            </w:r>
          </w:p>
        </w:tc>
        <w:tc>
          <w:tcPr>
            <w:tcW w:w="7229" w:type="dxa"/>
            <w:tcBorders>
              <w:top w:val="single" w:color="auto" w:sz="4" w:space="0"/>
              <w:left w:val="single" w:color="auto" w:sz="4" w:space="0"/>
              <w:right w:val="single" w:color="auto" w:sz="4" w:space="0"/>
            </w:tcBorders>
            <w:vAlign w:val="center"/>
          </w:tcPr>
          <w:p w14:paraId="5B43968A">
            <w:pPr>
              <w:spacing w:line="300" w:lineRule="exact"/>
              <w:jc w:val="left"/>
              <w:rPr>
                <w:szCs w:val="21"/>
              </w:rPr>
            </w:pPr>
            <w:r>
              <w:rPr>
                <w:rFonts w:hint="eastAsia" w:hAnsi="宋体"/>
                <w:szCs w:val="21"/>
              </w:rPr>
              <w:t>投标文件应按第六章投标文件格式分别编制并使用下载的</w:t>
            </w:r>
            <w:r>
              <w:rPr>
                <w:rFonts w:hint="eastAsia"/>
                <w:szCs w:val="21"/>
              </w:rPr>
              <w:t>广西政府采购云平台新版客户端</w:t>
            </w:r>
            <w:r>
              <w:rPr>
                <w:rFonts w:hint="eastAsia" w:hAnsi="宋体"/>
                <w:szCs w:val="21"/>
              </w:rPr>
              <w:t>制作并上传。</w:t>
            </w:r>
          </w:p>
        </w:tc>
      </w:tr>
      <w:tr w14:paraId="2F25C4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55" w:type="dxa"/>
            <w:tcBorders>
              <w:top w:val="single" w:color="auto" w:sz="4" w:space="0"/>
              <w:left w:val="single" w:color="auto" w:sz="4" w:space="0"/>
              <w:bottom w:val="single" w:color="auto" w:sz="4" w:space="0"/>
              <w:right w:val="single" w:color="auto" w:sz="4" w:space="0"/>
            </w:tcBorders>
            <w:vAlign w:val="center"/>
          </w:tcPr>
          <w:p w14:paraId="69F67F15">
            <w:pPr>
              <w:spacing w:line="300" w:lineRule="exact"/>
              <w:jc w:val="center"/>
              <w:rPr>
                <w:b/>
                <w:szCs w:val="21"/>
              </w:rPr>
            </w:pPr>
            <w:r>
              <w:rPr>
                <w:b/>
                <w:szCs w:val="21"/>
              </w:rPr>
              <w:t>3.7</w:t>
            </w:r>
          </w:p>
        </w:tc>
        <w:tc>
          <w:tcPr>
            <w:tcW w:w="1230" w:type="dxa"/>
            <w:tcBorders>
              <w:top w:val="single" w:color="auto" w:sz="4" w:space="0"/>
              <w:left w:val="single" w:color="auto" w:sz="4" w:space="0"/>
              <w:bottom w:val="single" w:color="auto" w:sz="4" w:space="0"/>
              <w:right w:val="single" w:color="auto" w:sz="4" w:space="0"/>
            </w:tcBorders>
            <w:vAlign w:val="center"/>
          </w:tcPr>
          <w:p w14:paraId="30762F6F">
            <w:pPr>
              <w:spacing w:line="300" w:lineRule="exact"/>
              <w:jc w:val="center"/>
              <w:rPr>
                <w:szCs w:val="21"/>
              </w:rPr>
            </w:pPr>
            <w:r>
              <w:rPr>
                <w:szCs w:val="21"/>
              </w:rPr>
              <w:t>投标文件递交</w:t>
            </w:r>
            <w:r>
              <w:rPr>
                <w:rFonts w:hint="eastAsia"/>
                <w:szCs w:val="21"/>
              </w:rPr>
              <w:t>截止时间及开标时间</w:t>
            </w:r>
          </w:p>
        </w:tc>
        <w:tc>
          <w:tcPr>
            <w:tcW w:w="7229" w:type="dxa"/>
            <w:tcBorders>
              <w:top w:val="single" w:color="auto" w:sz="4" w:space="0"/>
              <w:left w:val="single" w:color="auto" w:sz="4" w:space="0"/>
              <w:bottom w:val="single" w:color="auto" w:sz="4" w:space="0"/>
              <w:right w:val="single" w:color="auto" w:sz="4" w:space="0"/>
            </w:tcBorders>
            <w:vAlign w:val="center"/>
          </w:tcPr>
          <w:p w14:paraId="410670E4">
            <w:pPr>
              <w:spacing w:line="300" w:lineRule="exact"/>
              <w:jc w:val="left"/>
              <w:rPr>
                <w:szCs w:val="21"/>
              </w:rPr>
            </w:pPr>
            <w:r>
              <w:rPr>
                <w:rFonts w:hint="eastAsia"/>
                <w:kern w:val="0"/>
                <w:szCs w:val="21"/>
              </w:rPr>
              <w:t>见招标公告要求</w:t>
            </w:r>
            <w:r>
              <w:rPr>
                <w:rFonts w:hint="eastAsia"/>
                <w:szCs w:val="21"/>
              </w:rPr>
              <w:t>。</w:t>
            </w:r>
          </w:p>
        </w:tc>
      </w:tr>
      <w:tr w14:paraId="75DEC4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55" w:type="dxa"/>
            <w:tcBorders>
              <w:top w:val="single" w:color="auto" w:sz="4" w:space="0"/>
              <w:left w:val="single" w:color="auto" w:sz="4" w:space="0"/>
              <w:bottom w:val="single" w:color="auto" w:sz="4" w:space="0"/>
              <w:right w:val="single" w:color="auto" w:sz="4" w:space="0"/>
            </w:tcBorders>
            <w:vAlign w:val="center"/>
          </w:tcPr>
          <w:p w14:paraId="56E3DB05">
            <w:pPr>
              <w:spacing w:line="300" w:lineRule="exact"/>
              <w:jc w:val="center"/>
              <w:rPr>
                <w:b/>
                <w:szCs w:val="21"/>
              </w:rPr>
            </w:pPr>
            <w:r>
              <w:rPr>
                <w:rFonts w:hint="eastAsia"/>
                <w:b/>
                <w:szCs w:val="21"/>
              </w:rPr>
              <w:t>4</w:t>
            </w:r>
            <w:r>
              <w:rPr>
                <w:b/>
                <w:szCs w:val="21"/>
              </w:rPr>
              <w:t>.2</w:t>
            </w:r>
          </w:p>
        </w:tc>
        <w:tc>
          <w:tcPr>
            <w:tcW w:w="1230" w:type="dxa"/>
            <w:tcBorders>
              <w:top w:val="single" w:color="auto" w:sz="4" w:space="0"/>
              <w:left w:val="single" w:color="auto" w:sz="4" w:space="0"/>
              <w:bottom w:val="single" w:color="auto" w:sz="4" w:space="0"/>
              <w:right w:val="single" w:color="auto" w:sz="4" w:space="0"/>
            </w:tcBorders>
            <w:vAlign w:val="center"/>
          </w:tcPr>
          <w:p w14:paraId="7E564580">
            <w:pPr>
              <w:spacing w:line="300" w:lineRule="exact"/>
              <w:jc w:val="center"/>
              <w:rPr>
                <w:szCs w:val="20"/>
              </w:rPr>
            </w:pPr>
            <w:r>
              <w:rPr>
                <w:rFonts w:hint="eastAsia"/>
                <w:szCs w:val="21"/>
              </w:rPr>
              <w:t>备份投标文件</w:t>
            </w:r>
          </w:p>
        </w:tc>
        <w:tc>
          <w:tcPr>
            <w:tcW w:w="7229" w:type="dxa"/>
            <w:tcBorders>
              <w:top w:val="single" w:color="auto" w:sz="4" w:space="0"/>
              <w:left w:val="single" w:color="auto" w:sz="4" w:space="0"/>
              <w:bottom w:val="single" w:color="auto" w:sz="4" w:space="0"/>
              <w:right w:val="single" w:color="auto" w:sz="4" w:space="0"/>
            </w:tcBorders>
            <w:vAlign w:val="center"/>
          </w:tcPr>
          <w:p w14:paraId="4EB534E9">
            <w:pPr>
              <w:spacing w:line="276" w:lineRule="auto"/>
              <w:rPr>
                <w:rFonts w:ascii="宋体" w:hAnsi="宋体"/>
                <w:szCs w:val="21"/>
              </w:rPr>
            </w:pPr>
            <w:r>
              <w:rPr>
                <w:rFonts w:hint="eastAsia" w:ascii="宋体" w:hAnsi="宋体"/>
                <w:szCs w:val="21"/>
              </w:rPr>
              <w:t>本项目</w:t>
            </w:r>
            <w:r>
              <w:rPr>
                <w:sz w:val="22"/>
                <w:szCs w:val="22"/>
              </w:rPr>
              <w:sym w:font="Wingdings 2" w:char="00A3"/>
            </w:r>
            <w:r>
              <w:rPr>
                <w:rFonts w:hint="eastAsia"/>
                <w:szCs w:val="21"/>
              </w:rPr>
              <w:t>接受   ☑不接受</w:t>
            </w:r>
            <w:r>
              <w:rPr>
                <w:rFonts w:hint="eastAsia" w:ascii="宋体" w:hAnsi="宋体"/>
                <w:szCs w:val="21"/>
              </w:rPr>
              <w:t>备份投标文件</w:t>
            </w:r>
          </w:p>
          <w:p w14:paraId="18BBC0C3">
            <w:pPr>
              <w:spacing w:line="276" w:lineRule="auto"/>
              <w:rPr>
                <w:sz w:val="22"/>
                <w:szCs w:val="22"/>
              </w:rPr>
            </w:pPr>
            <w:r>
              <w:rPr>
                <w:rFonts w:hint="eastAsia" w:ascii="宋体" w:hAnsi="宋体"/>
                <w:szCs w:val="21"/>
              </w:rPr>
              <w:t>以</w:t>
            </w:r>
            <w:r>
              <w:rPr>
                <w:rFonts w:ascii="Arial" w:hAnsi="Arial" w:cs="Arial"/>
                <w:kern w:val="0"/>
                <w:szCs w:val="21"/>
              </w:rPr>
              <w:t>广西政府采购云平台</w:t>
            </w:r>
            <w:r>
              <w:rPr>
                <w:rFonts w:hint="eastAsia" w:ascii="宋体" w:hAnsi="宋体"/>
                <w:szCs w:val="21"/>
              </w:rPr>
              <w:t>自动生成的备份文件为依据，当项目允许接受备份响应文件时，投标人才可以按规定上传备份投标文件。</w:t>
            </w:r>
          </w:p>
        </w:tc>
      </w:tr>
      <w:tr w14:paraId="6E1746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55" w:type="dxa"/>
            <w:tcBorders>
              <w:top w:val="single" w:color="auto" w:sz="4" w:space="0"/>
              <w:left w:val="single" w:color="auto" w:sz="4" w:space="0"/>
              <w:bottom w:val="single" w:color="auto" w:sz="4" w:space="0"/>
              <w:right w:val="single" w:color="auto" w:sz="4" w:space="0"/>
            </w:tcBorders>
            <w:vAlign w:val="center"/>
          </w:tcPr>
          <w:p w14:paraId="7E3166CE">
            <w:pPr>
              <w:spacing w:line="300" w:lineRule="exact"/>
              <w:jc w:val="center"/>
              <w:rPr>
                <w:b/>
                <w:szCs w:val="21"/>
              </w:rPr>
            </w:pPr>
            <w:r>
              <w:rPr>
                <w:rFonts w:hint="eastAsia"/>
                <w:b/>
                <w:szCs w:val="21"/>
              </w:rPr>
              <w:t>4</w:t>
            </w:r>
            <w:r>
              <w:rPr>
                <w:b/>
                <w:szCs w:val="21"/>
              </w:rPr>
              <w:t>.3</w:t>
            </w:r>
          </w:p>
        </w:tc>
        <w:tc>
          <w:tcPr>
            <w:tcW w:w="1230" w:type="dxa"/>
            <w:tcBorders>
              <w:top w:val="single" w:color="auto" w:sz="4" w:space="0"/>
              <w:left w:val="single" w:color="auto" w:sz="4" w:space="0"/>
              <w:bottom w:val="single" w:color="auto" w:sz="4" w:space="0"/>
              <w:right w:val="single" w:color="auto" w:sz="4" w:space="0"/>
            </w:tcBorders>
            <w:vAlign w:val="center"/>
          </w:tcPr>
          <w:p w14:paraId="4841E7CB">
            <w:pPr>
              <w:spacing w:line="300" w:lineRule="exact"/>
              <w:jc w:val="center"/>
              <w:rPr>
                <w:szCs w:val="21"/>
              </w:rPr>
            </w:pPr>
            <w:r>
              <w:rPr>
                <w:rFonts w:hint="eastAsia"/>
                <w:szCs w:val="20"/>
              </w:rPr>
              <w:t>演示</w:t>
            </w:r>
          </w:p>
        </w:tc>
        <w:tc>
          <w:tcPr>
            <w:tcW w:w="7229" w:type="dxa"/>
            <w:tcBorders>
              <w:top w:val="single" w:color="auto" w:sz="4" w:space="0"/>
              <w:left w:val="single" w:color="auto" w:sz="4" w:space="0"/>
              <w:bottom w:val="single" w:color="auto" w:sz="4" w:space="0"/>
              <w:right w:val="single" w:color="auto" w:sz="4" w:space="0"/>
            </w:tcBorders>
            <w:vAlign w:val="center"/>
          </w:tcPr>
          <w:p w14:paraId="2366336F">
            <w:pPr>
              <w:spacing w:line="276" w:lineRule="auto"/>
              <w:rPr>
                <w:szCs w:val="21"/>
              </w:rPr>
            </w:pPr>
            <w:r>
              <w:rPr>
                <w:sz w:val="22"/>
                <w:szCs w:val="22"/>
              </w:rPr>
              <w:sym w:font="Wingdings 2" w:char="F052"/>
            </w:r>
            <w:r>
              <w:rPr>
                <w:rFonts w:hint="eastAsia"/>
                <w:szCs w:val="21"/>
              </w:rPr>
              <w:t>否   □是</w:t>
            </w:r>
          </w:p>
          <w:p w14:paraId="22CFF740">
            <w:pPr>
              <w:spacing w:line="276" w:lineRule="auto"/>
              <w:rPr>
                <w:szCs w:val="21"/>
                <w:u w:val="single"/>
              </w:rPr>
            </w:pPr>
            <w:r>
              <w:rPr>
                <w:rFonts w:hint="eastAsia"/>
                <w:szCs w:val="21"/>
              </w:rPr>
              <w:t>演示内容：</w:t>
            </w:r>
            <w:r>
              <w:rPr>
                <w:rFonts w:hint="eastAsia"/>
                <w:szCs w:val="21"/>
                <w:u w:val="single"/>
              </w:rPr>
              <w:t xml:space="preserve"> </w:t>
            </w:r>
            <w:r>
              <w:rPr>
                <w:szCs w:val="21"/>
                <w:u w:val="single"/>
              </w:rPr>
              <w:t xml:space="preserve">              </w:t>
            </w:r>
          </w:p>
          <w:p w14:paraId="1F4D287F">
            <w:pPr>
              <w:spacing w:line="276" w:lineRule="auto"/>
              <w:rPr>
                <w:szCs w:val="21"/>
              </w:rPr>
            </w:pPr>
            <w:r>
              <w:rPr>
                <w:rFonts w:hint="eastAsia"/>
                <w:szCs w:val="21"/>
              </w:rPr>
              <w:t>演示形式：</w:t>
            </w:r>
            <w:r>
              <w:rPr>
                <w:szCs w:val="21"/>
              </w:rPr>
              <w:t xml:space="preserve"> </w:t>
            </w:r>
          </w:p>
        </w:tc>
      </w:tr>
      <w:tr w14:paraId="2015ED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55" w:type="dxa"/>
            <w:tcBorders>
              <w:top w:val="single" w:color="auto" w:sz="4" w:space="0"/>
              <w:left w:val="single" w:color="auto" w:sz="4" w:space="0"/>
              <w:bottom w:val="single" w:color="auto" w:sz="4" w:space="0"/>
              <w:right w:val="single" w:color="auto" w:sz="4" w:space="0"/>
            </w:tcBorders>
            <w:vAlign w:val="center"/>
          </w:tcPr>
          <w:p w14:paraId="0DEE4B2F">
            <w:pPr>
              <w:spacing w:line="300" w:lineRule="exact"/>
              <w:jc w:val="center"/>
              <w:rPr>
                <w:b/>
                <w:szCs w:val="21"/>
              </w:rPr>
            </w:pPr>
            <w:r>
              <w:rPr>
                <w:rFonts w:hint="eastAsia"/>
                <w:b/>
                <w:szCs w:val="21"/>
              </w:rPr>
              <w:t>4</w:t>
            </w:r>
            <w:r>
              <w:rPr>
                <w:b/>
                <w:szCs w:val="21"/>
              </w:rPr>
              <w:t>.4</w:t>
            </w:r>
          </w:p>
        </w:tc>
        <w:tc>
          <w:tcPr>
            <w:tcW w:w="1230" w:type="dxa"/>
            <w:tcBorders>
              <w:top w:val="single" w:color="auto" w:sz="4" w:space="0"/>
              <w:left w:val="single" w:color="auto" w:sz="4" w:space="0"/>
              <w:bottom w:val="single" w:color="auto" w:sz="4" w:space="0"/>
              <w:right w:val="single" w:color="auto" w:sz="4" w:space="0"/>
            </w:tcBorders>
            <w:vAlign w:val="center"/>
          </w:tcPr>
          <w:p w14:paraId="09C70665">
            <w:pPr>
              <w:spacing w:line="300" w:lineRule="exact"/>
              <w:jc w:val="center"/>
              <w:rPr>
                <w:szCs w:val="21"/>
              </w:rPr>
            </w:pPr>
            <w:r>
              <w:rPr>
                <w:rFonts w:hint="eastAsia"/>
                <w:szCs w:val="20"/>
              </w:rPr>
              <w:t>样品</w:t>
            </w:r>
          </w:p>
        </w:tc>
        <w:tc>
          <w:tcPr>
            <w:tcW w:w="7229" w:type="dxa"/>
            <w:tcBorders>
              <w:top w:val="single" w:color="auto" w:sz="4" w:space="0"/>
              <w:left w:val="single" w:color="auto" w:sz="4" w:space="0"/>
              <w:bottom w:val="single" w:color="auto" w:sz="4" w:space="0"/>
              <w:right w:val="single" w:color="auto" w:sz="4" w:space="0"/>
            </w:tcBorders>
            <w:vAlign w:val="center"/>
          </w:tcPr>
          <w:p w14:paraId="334D0CA3">
            <w:pPr>
              <w:spacing w:line="276" w:lineRule="auto"/>
              <w:rPr>
                <w:szCs w:val="21"/>
              </w:rPr>
            </w:pPr>
            <w:r>
              <w:rPr>
                <w:sz w:val="24"/>
              </w:rPr>
              <w:sym w:font="Wingdings 2" w:char="F052"/>
            </w:r>
            <w:r>
              <w:rPr>
                <w:rFonts w:hint="eastAsia"/>
                <w:szCs w:val="21"/>
              </w:rPr>
              <w:t>否   □是</w:t>
            </w:r>
          </w:p>
          <w:p w14:paraId="2DEA88AE">
            <w:pPr>
              <w:spacing w:line="276" w:lineRule="auto"/>
              <w:rPr>
                <w:szCs w:val="21"/>
                <w:u w:val="single"/>
              </w:rPr>
            </w:pPr>
            <w:r>
              <w:rPr>
                <w:rFonts w:hint="eastAsia"/>
                <w:szCs w:val="21"/>
              </w:rPr>
              <w:t>样品制作的标准和要求：</w:t>
            </w:r>
            <w:r>
              <w:rPr>
                <w:rFonts w:hint="eastAsia"/>
                <w:szCs w:val="21"/>
                <w:u w:val="single"/>
              </w:rPr>
              <w:t xml:space="preserve"> </w:t>
            </w:r>
            <w:r>
              <w:rPr>
                <w:szCs w:val="21"/>
                <w:u w:val="single"/>
              </w:rPr>
              <w:t xml:space="preserve">              </w:t>
            </w:r>
          </w:p>
          <w:p w14:paraId="198A4F48">
            <w:pPr>
              <w:spacing w:line="276" w:lineRule="auto"/>
              <w:rPr>
                <w:szCs w:val="21"/>
                <w:u w:val="single"/>
              </w:rPr>
            </w:pPr>
            <w:r>
              <w:rPr>
                <w:rFonts w:hint="eastAsia"/>
                <w:szCs w:val="21"/>
              </w:rPr>
              <w:t>样品检测机构的要求：</w:t>
            </w:r>
            <w:r>
              <w:rPr>
                <w:rFonts w:hint="eastAsia"/>
                <w:szCs w:val="21"/>
                <w:u w:val="single"/>
              </w:rPr>
              <w:t xml:space="preserve"> </w:t>
            </w:r>
            <w:r>
              <w:rPr>
                <w:szCs w:val="21"/>
                <w:u w:val="single"/>
              </w:rPr>
              <w:t xml:space="preserve">               </w:t>
            </w:r>
          </w:p>
          <w:p w14:paraId="6A104F5A">
            <w:pPr>
              <w:spacing w:line="276" w:lineRule="auto"/>
              <w:rPr>
                <w:szCs w:val="21"/>
                <w:u w:val="single"/>
              </w:rPr>
            </w:pPr>
            <w:r>
              <w:rPr>
                <w:rFonts w:hint="eastAsia"/>
                <w:szCs w:val="21"/>
              </w:rPr>
              <w:t>检测内容：</w:t>
            </w:r>
            <w:r>
              <w:rPr>
                <w:rFonts w:hint="eastAsia"/>
                <w:szCs w:val="21"/>
                <w:u w:val="single"/>
              </w:rPr>
              <w:t xml:space="preserve"> </w:t>
            </w:r>
            <w:r>
              <w:rPr>
                <w:szCs w:val="21"/>
                <w:u w:val="single"/>
              </w:rPr>
              <w:t xml:space="preserve">                    </w:t>
            </w:r>
          </w:p>
          <w:p w14:paraId="0EC11381">
            <w:pPr>
              <w:spacing w:line="276" w:lineRule="auto"/>
              <w:rPr>
                <w:szCs w:val="21"/>
              </w:rPr>
            </w:pPr>
            <w:r>
              <w:rPr>
                <w:rFonts w:hint="eastAsia"/>
                <w:szCs w:val="21"/>
              </w:rPr>
              <w:t>样品递交方式：</w:t>
            </w:r>
            <w:r>
              <w:rPr>
                <w:szCs w:val="21"/>
              </w:rPr>
              <w:t xml:space="preserve"> </w:t>
            </w:r>
          </w:p>
        </w:tc>
      </w:tr>
      <w:tr w14:paraId="31DD8F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55" w:type="dxa"/>
            <w:tcBorders>
              <w:top w:val="single" w:color="auto" w:sz="4" w:space="0"/>
              <w:left w:val="single" w:color="auto" w:sz="4" w:space="0"/>
              <w:bottom w:val="single" w:color="auto" w:sz="4" w:space="0"/>
              <w:right w:val="single" w:color="auto" w:sz="4" w:space="0"/>
            </w:tcBorders>
            <w:vAlign w:val="center"/>
          </w:tcPr>
          <w:p w14:paraId="043B31E7">
            <w:pPr>
              <w:spacing w:line="300" w:lineRule="exact"/>
              <w:jc w:val="center"/>
              <w:rPr>
                <w:b/>
                <w:szCs w:val="21"/>
              </w:rPr>
            </w:pPr>
            <w:r>
              <w:rPr>
                <w:rFonts w:hint="eastAsia"/>
                <w:b/>
                <w:szCs w:val="21"/>
              </w:rPr>
              <w:t>5.3.1</w:t>
            </w:r>
          </w:p>
        </w:tc>
        <w:tc>
          <w:tcPr>
            <w:tcW w:w="1230" w:type="dxa"/>
            <w:tcBorders>
              <w:top w:val="single" w:color="auto" w:sz="4" w:space="0"/>
              <w:left w:val="single" w:color="auto" w:sz="4" w:space="0"/>
              <w:bottom w:val="single" w:color="auto" w:sz="4" w:space="0"/>
              <w:right w:val="single" w:color="auto" w:sz="4" w:space="0"/>
            </w:tcBorders>
            <w:vAlign w:val="center"/>
          </w:tcPr>
          <w:p w14:paraId="6DF61E3E">
            <w:pPr>
              <w:spacing w:line="300" w:lineRule="exact"/>
              <w:jc w:val="center"/>
              <w:rPr>
                <w:szCs w:val="21"/>
              </w:rPr>
            </w:pPr>
            <w:r>
              <w:rPr>
                <w:rFonts w:hint="eastAsia"/>
                <w:szCs w:val="21"/>
              </w:rPr>
              <w:t>信用查询规则</w:t>
            </w:r>
          </w:p>
        </w:tc>
        <w:tc>
          <w:tcPr>
            <w:tcW w:w="7229" w:type="dxa"/>
            <w:tcBorders>
              <w:top w:val="single" w:color="auto" w:sz="4" w:space="0"/>
              <w:left w:val="single" w:color="auto" w:sz="4" w:space="0"/>
              <w:bottom w:val="single" w:color="auto" w:sz="4" w:space="0"/>
              <w:right w:val="single" w:color="auto" w:sz="4" w:space="0"/>
            </w:tcBorders>
            <w:vAlign w:val="center"/>
          </w:tcPr>
          <w:p w14:paraId="15F31AA0">
            <w:pPr>
              <w:snapToGrid w:val="0"/>
              <w:spacing w:line="380" w:lineRule="exact"/>
              <w:rPr>
                <w:rFonts w:ascii="宋体" w:hAnsi="宋体"/>
                <w:szCs w:val="21"/>
              </w:rPr>
            </w:pPr>
            <w:r>
              <w:rPr>
                <w:rFonts w:hint="eastAsia" w:ascii="宋体" w:hAnsi="宋体"/>
                <w:szCs w:val="21"/>
              </w:rPr>
              <w:t>采购人或者采购代理机构在资格审查结束前，对投标人进行信用查询。</w:t>
            </w:r>
          </w:p>
          <w:p w14:paraId="2A512765">
            <w:pPr>
              <w:snapToGrid w:val="0"/>
              <w:spacing w:line="380" w:lineRule="exact"/>
              <w:rPr>
                <w:rFonts w:ascii="宋体" w:hAnsi="宋体"/>
                <w:szCs w:val="21"/>
              </w:rPr>
            </w:pPr>
            <w:r>
              <w:rPr>
                <w:rFonts w:hint="eastAsia" w:ascii="宋体" w:hAnsi="宋体"/>
                <w:szCs w:val="21"/>
              </w:rPr>
              <w:t>（1）查询渠道：广西政府采购云平台“信用中国”网站(www.creditchina.gov.cn) 、中国政府采购网(www.ccgp.gov.cn)链接入口。</w:t>
            </w:r>
          </w:p>
          <w:p w14:paraId="06611B2C">
            <w:pPr>
              <w:snapToGrid w:val="0"/>
              <w:spacing w:line="380" w:lineRule="exact"/>
              <w:rPr>
                <w:rFonts w:ascii="宋体" w:hAnsi="宋体"/>
                <w:szCs w:val="21"/>
              </w:rPr>
            </w:pPr>
            <w:r>
              <w:rPr>
                <w:rFonts w:hint="eastAsia" w:ascii="宋体" w:hAnsi="宋体"/>
                <w:szCs w:val="21"/>
              </w:rPr>
              <w:t>（2）信用查询截止时点：资格审查结束前</w:t>
            </w:r>
          </w:p>
          <w:p w14:paraId="565C136A">
            <w:pPr>
              <w:snapToGrid w:val="0"/>
              <w:spacing w:line="380" w:lineRule="exact"/>
              <w:rPr>
                <w:rFonts w:ascii="宋体" w:hAnsi="宋体"/>
                <w:szCs w:val="21"/>
              </w:rPr>
            </w:pPr>
            <w:r>
              <w:rPr>
                <w:rFonts w:hint="eastAsia" w:ascii="宋体" w:hAnsi="宋体"/>
                <w:szCs w:val="21"/>
              </w:rPr>
              <w:t>（3）查询记录和证据留存方式：在查询网站中直接截图查询记录，截图作为在“广西政府采购云”平台作为附件上传保存。</w:t>
            </w:r>
          </w:p>
          <w:p w14:paraId="2561BEB3">
            <w:pPr>
              <w:snapToGrid w:val="0"/>
              <w:spacing w:line="380" w:lineRule="exact"/>
              <w:rPr>
                <w:rFonts w:ascii="宋体" w:hAnsi="宋体"/>
                <w:szCs w:val="21"/>
              </w:rPr>
            </w:pPr>
            <w:r>
              <w:rPr>
                <w:rFonts w:hint="eastAsia" w:ascii="宋体" w:hAnsi="宋体"/>
                <w:szCs w:val="21"/>
              </w:rPr>
              <w:t>（4）信用信息使用规则：对在“信用中国”网站(www.creditchina.gov.cn)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56F9E2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55" w:type="dxa"/>
            <w:tcBorders>
              <w:top w:val="single" w:color="auto" w:sz="4" w:space="0"/>
              <w:left w:val="single" w:color="auto" w:sz="4" w:space="0"/>
              <w:bottom w:val="single" w:color="auto" w:sz="4" w:space="0"/>
              <w:right w:val="single" w:color="auto" w:sz="4" w:space="0"/>
            </w:tcBorders>
            <w:vAlign w:val="center"/>
          </w:tcPr>
          <w:p w14:paraId="1BE27CD9">
            <w:pPr>
              <w:spacing w:line="300" w:lineRule="exact"/>
              <w:jc w:val="center"/>
              <w:rPr>
                <w:b/>
                <w:szCs w:val="21"/>
              </w:rPr>
            </w:pPr>
            <w:r>
              <w:rPr>
                <w:rFonts w:hint="eastAsia"/>
                <w:b/>
                <w:szCs w:val="21"/>
              </w:rPr>
              <w:t>6.</w:t>
            </w:r>
            <w:r>
              <w:rPr>
                <w:b/>
                <w:szCs w:val="21"/>
              </w:rPr>
              <w:t>3</w:t>
            </w:r>
            <w:r>
              <w:rPr>
                <w:rFonts w:hint="eastAsia"/>
                <w:b/>
                <w:szCs w:val="21"/>
              </w:rPr>
              <w:t>.</w:t>
            </w:r>
            <w:r>
              <w:rPr>
                <w:b/>
                <w:szCs w:val="21"/>
              </w:rPr>
              <w:t>5</w:t>
            </w:r>
          </w:p>
        </w:tc>
        <w:tc>
          <w:tcPr>
            <w:tcW w:w="1230" w:type="dxa"/>
            <w:tcBorders>
              <w:top w:val="single" w:color="auto" w:sz="4" w:space="0"/>
              <w:left w:val="single" w:color="auto" w:sz="4" w:space="0"/>
              <w:bottom w:val="single" w:color="auto" w:sz="4" w:space="0"/>
              <w:right w:val="single" w:color="auto" w:sz="4" w:space="0"/>
            </w:tcBorders>
            <w:vAlign w:val="center"/>
          </w:tcPr>
          <w:p w14:paraId="5ADC4E59">
            <w:pPr>
              <w:spacing w:line="300" w:lineRule="exact"/>
              <w:jc w:val="center"/>
              <w:rPr>
                <w:szCs w:val="21"/>
              </w:rPr>
            </w:pPr>
            <w:r>
              <w:rPr>
                <w:rFonts w:hint="eastAsia"/>
                <w:szCs w:val="21"/>
              </w:rPr>
              <w:t>异常低价审查</w:t>
            </w:r>
          </w:p>
          <w:p w14:paraId="50B68B0A">
            <w:pPr>
              <w:spacing w:line="300" w:lineRule="exact"/>
              <w:jc w:val="center"/>
              <w:rPr>
                <w:szCs w:val="21"/>
              </w:rPr>
            </w:pPr>
          </w:p>
        </w:tc>
        <w:tc>
          <w:tcPr>
            <w:tcW w:w="7229" w:type="dxa"/>
            <w:tcBorders>
              <w:top w:val="single" w:color="auto" w:sz="4" w:space="0"/>
              <w:left w:val="single" w:color="auto" w:sz="4" w:space="0"/>
              <w:bottom w:val="single" w:color="auto" w:sz="4" w:space="0"/>
              <w:right w:val="single" w:color="auto" w:sz="4" w:space="0"/>
            </w:tcBorders>
            <w:vAlign w:val="center"/>
          </w:tcPr>
          <w:p w14:paraId="0600EF41">
            <w:pPr>
              <w:spacing w:line="300" w:lineRule="exact"/>
              <w:jc w:val="left"/>
              <w:rPr>
                <w:szCs w:val="21"/>
              </w:rPr>
            </w:pPr>
            <w:r>
              <w:rPr>
                <w:rFonts w:hint="eastAsia"/>
                <w:szCs w:val="21"/>
              </w:rPr>
              <w:t>☑评审中出现下列情形之一的，评审委员会应当启动异常低价响应审查程序：</w:t>
            </w:r>
          </w:p>
          <w:p w14:paraId="6CE74450">
            <w:pPr>
              <w:spacing w:line="276" w:lineRule="auto"/>
              <w:rPr>
                <w:szCs w:val="21"/>
              </w:rPr>
            </w:pPr>
            <w:r>
              <w:rPr>
                <w:rFonts w:hint="eastAsia"/>
                <w:szCs w:val="21"/>
              </w:rPr>
              <w:t>（1）投标（响应）报价低于全部通过符合性审查供应商投标（响应）报价平均值50%的，即投标（响应）报价&lt;全部通过符合性审查供应商投标（响应）报价平均值×50%；</w:t>
            </w:r>
          </w:p>
          <w:p w14:paraId="7F3497A3">
            <w:pPr>
              <w:spacing w:line="276" w:lineRule="auto"/>
              <w:rPr>
                <w:szCs w:val="21"/>
              </w:rPr>
            </w:pPr>
            <w:r>
              <w:rPr>
                <w:rFonts w:hint="eastAsia"/>
                <w:szCs w:val="21"/>
              </w:rPr>
              <w:t>（2）投标（响应）报价低于通过符合性审查的次低报价供应商投标（响应）报价50%的，即投标（响应）报价&lt;通过符合性审查的次低报价供应商投标（响应）报价×50%；</w:t>
            </w:r>
          </w:p>
          <w:p w14:paraId="1FAA3BAF">
            <w:pPr>
              <w:spacing w:line="276" w:lineRule="auto"/>
              <w:rPr>
                <w:szCs w:val="21"/>
              </w:rPr>
            </w:pPr>
            <w:r>
              <w:rPr>
                <w:rFonts w:hint="eastAsia"/>
                <w:szCs w:val="21"/>
              </w:rPr>
              <w:t>（3）投标（响应）报价低于采购项目最高限价45%的，即投标（响应）报价&lt;采购项目最高限价×45%；</w:t>
            </w:r>
          </w:p>
          <w:p w14:paraId="60C0589A">
            <w:pPr>
              <w:spacing w:line="276" w:lineRule="auto"/>
              <w:rPr>
                <w:szCs w:val="21"/>
              </w:rPr>
            </w:pPr>
            <w:r>
              <w:rPr>
                <w:rFonts w:hint="eastAsia"/>
                <w:szCs w:val="21"/>
              </w:rPr>
              <w:t>（4）评审委员会基于专业判断，认为供应商报价过低，有可能影响产品质量或者不能诚信履约的其他情形。</w:t>
            </w:r>
          </w:p>
          <w:p w14:paraId="4E13F658">
            <w:pPr>
              <w:pStyle w:val="19"/>
              <w:rPr>
                <w:sz w:val="21"/>
                <w:szCs w:val="21"/>
              </w:rPr>
            </w:pPr>
            <w:r>
              <w:rPr>
                <w:sz w:val="21"/>
                <w:szCs w:val="21"/>
              </w:rPr>
              <w:sym w:font="Wingdings 2" w:char="00A3"/>
            </w:r>
            <w:r>
              <w:rPr>
                <w:rFonts w:hint="eastAsia"/>
                <w:sz w:val="21"/>
                <w:szCs w:val="21"/>
              </w:rPr>
              <w:t>评审中出现下列情形之一的，评审委员会应当启动异常低价响应审查程序：</w:t>
            </w:r>
          </w:p>
          <w:p w14:paraId="6EDE651C">
            <w:pPr>
              <w:pStyle w:val="19"/>
              <w:rPr>
                <w:sz w:val="21"/>
                <w:szCs w:val="21"/>
              </w:rPr>
            </w:pPr>
            <w:r>
              <w:rPr>
                <w:rFonts w:hint="eastAsia"/>
                <w:sz w:val="21"/>
                <w:szCs w:val="21"/>
              </w:rPr>
              <w:t>（1）投标（响应）报价低于全部通过符合性审查供应商投标（响应）报价平均值</w:t>
            </w:r>
            <w:r>
              <w:rPr>
                <w:rFonts w:hint="eastAsia"/>
                <w:sz w:val="21"/>
                <w:szCs w:val="21"/>
                <w:u w:val="single"/>
              </w:rPr>
              <w:t xml:space="preserve">     </w:t>
            </w:r>
            <w:r>
              <w:rPr>
                <w:rFonts w:hint="eastAsia"/>
                <w:sz w:val="21"/>
                <w:szCs w:val="21"/>
              </w:rPr>
              <w:t>%的，即投标（响应）报价&lt;全部通过符合性审查供应商投标（响应）报价平均值×</w:t>
            </w:r>
            <w:r>
              <w:rPr>
                <w:rFonts w:hint="eastAsia"/>
                <w:sz w:val="21"/>
                <w:szCs w:val="21"/>
                <w:u w:val="single"/>
              </w:rPr>
              <w:t xml:space="preserve">      </w:t>
            </w:r>
            <w:r>
              <w:rPr>
                <w:rFonts w:hint="eastAsia"/>
                <w:sz w:val="21"/>
                <w:szCs w:val="21"/>
              </w:rPr>
              <w:t>%；</w:t>
            </w:r>
          </w:p>
          <w:p w14:paraId="64D9C686">
            <w:pPr>
              <w:pStyle w:val="19"/>
              <w:rPr>
                <w:sz w:val="21"/>
                <w:szCs w:val="21"/>
              </w:rPr>
            </w:pPr>
            <w:r>
              <w:rPr>
                <w:rFonts w:hint="eastAsia"/>
                <w:sz w:val="21"/>
                <w:szCs w:val="21"/>
              </w:rPr>
              <w:t>（2）投标（响应）报价低于通过符合性审查的次低报价供应商投标（响应）报价</w:t>
            </w:r>
            <w:r>
              <w:rPr>
                <w:rFonts w:hint="eastAsia"/>
                <w:sz w:val="21"/>
                <w:szCs w:val="21"/>
                <w:u w:val="single"/>
              </w:rPr>
              <w:t xml:space="preserve">      </w:t>
            </w:r>
            <w:r>
              <w:rPr>
                <w:rFonts w:hint="eastAsia"/>
                <w:sz w:val="21"/>
                <w:szCs w:val="21"/>
              </w:rPr>
              <w:t xml:space="preserve">  %的，即投标（响应）报价&lt;通过符合性审查的次低报价供应商投标（响应）报价×</w:t>
            </w:r>
            <w:r>
              <w:rPr>
                <w:rFonts w:hint="eastAsia"/>
                <w:sz w:val="21"/>
                <w:szCs w:val="21"/>
                <w:u w:val="single"/>
              </w:rPr>
              <w:t xml:space="preserve">       </w:t>
            </w:r>
            <w:r>
              <w:rPr>
                <w:rFonts w:hint="eastAsia"/>
                <w:sz w:val="21"/>
                <w:szCs w:val="21"/>
              </w:rPr>
              <w:t>%；</w:t>
            </w:r>
          </w:p>
          <w:p w14:paraId="11A1FD7E">
            <w:pPr>
              <w:pStyle w:val="19"/>
              <w:rPr>
                <w:sz w:val="21"/>
                <w:szCs w:val="21"/>
              </w:rPr>
            </w:pPr>
            <w:r>
              <w:rPr>
                <w:rFonts w:hint="eastAsia"/>
                <w:sz w:val="21"/>
                <w:szCs w:val="21"/>
              </w:rPr>
              <w:t>（3）投标（响应）报价低于采购项目最高限价</w:t>
            </w:r>
            <w:r>
              <w:rPr>
                <w:rFonts w:hint="eastAsia"/>
                <w:sz w:val="21"/>
                <w:szCs w:val="21"/>
                <w:u w:val="single"/>
              </w:rPr>
              <w:t xml:space="preserve">      </w:t>
            </w:r>
            <w:r>
              <w:rPr>
                <w:rFonts w:hint="eastAsia"/>
                <w:sz w:val="21"/>
                <w:szCs w:val="21"/>
              </w:rPr>
              <w:t>%的，即投标（响应）报价&lt;采购项目最高限价×</w:t>
            </w:r>
            <w:r>
              <w:rPr>
                <w:rFonts w:hint="eastAsia"/>
                <w:sz w:val="21"/>
                <w:szCs w:val="21"/>
                <w:u w:val="single"/>
              </w:rPr>
              <w:t xml:space="preserve">       </w:t>
            </w:r>
            <w:r>
              <w:rPr>
                <w:rFonts w:hint="eastAsia"/>
                <w:sz w:val="21"/>
                <w:szCs w:val="21"/>
              </w:rPr>
              <w:t>%；</w:t>
            </w:r>
          </w:p>
          <w:p w14:paraId="0E867317">
            <w:pPr>
              <w:pStyle w:val="19"/>
            </w:pPr>
            <w:r>
              <w:rPr>
                <w:rFonts w:hint="eastAsia"/>
                <w:sz w:val="21"/>
                <w:szCs w:val="21"/>
              </w:rPr>
              <w:t>（4）评审委员会基于专业判断，认为供应商报价过低，有可能影响产品质量或者不能诚信履约的其他情形。</w:t>
            </w:r>
          </w:p>
        </w:tc>
      </w:tr>
      <w:tr w14:paraId="0090E5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55" w:type="dxa"/>
            <w:tcBorders>
              <w:top w:val="single" w:color="auto" w:sz="4" w:space="0"/>
              <w:left w:val="single" w:color="auto" w:sz="4" w:space="0"/>
              <w:bottom w:val="single" w:color="auto" w:sz="4" w:space="0"/>
              <w:right w:val="single" w:color="auto" w:sz="4" w:space="0"/>
            </w:tcBorders>
            <w:vAlign w:val="center"/>
          </w:tcPr>
          <w:p w14:paraId="4B674B6A">
            <w:pPr>
              <w:spacing w:line="300" w:lineRule="exact"/>
              <w:jc w:val="center"/>
              <w:rPr>
                <w:b/>
                <w:szCs w:val="21"/>
              </w:rPr>
            </w:pPr>
            <w:r>
              <w:rPr>
                <w:rFonts w:hint="eastAsia"/>
                <w:b/>
                <w:szCs w:val="21"/>
              </w:rPr>
              <w:t>6.</w:t>
            </w:r>
            <w:r>
              <w:rPr>
                <w:b/>
                <w:szCs w:val="21"/>
              </w:rPr>
              <w:t>3</w:t>
            </w:r>
            <w:r>
              <w:rPr>
                <w:rFonts w:hint="eastAsia"/>
                <w:b/>
                <w:szCs w:val="21"/>
              </w:rPr>
              <w:t>.6</w:t>
            </w:r>
          </w:p>
        </w:tc>
        <w:tc>
          <w:tcPr>
            <w:tcW w:w="1230" w:type="dxa"/>
            <w:tcBorders>
              <w:top w:val="single" w:color="auto" w:sz="4" w:space="0"/>
              <w:left w:val="single" w:color="auto" w:sz="4" w:space="0"/>
              <w:bottom w:val="single" w:color="auto" w:sz="4" w:space="0"/>
              <w:right w:val="single" w:color="auto" w:sz="4" w:space="0"/>
            </w:tcBorders>
            <w:vAlign w:val="center"/>
          </w:tcPr>
          <w:p w14:paraId="54C504A3">
            <w:pPr>
              <w:spacing w:line="300" w:lineRule="exact"/>
              <w:jc w:val="center"/>
              <w:rPr>
                <w:szCs w:val="21"/>
              </w:rPr>
            </w:pPr>
            <w:r>
              <w:rPr>
                <w:rFonts w:hint="eastAsia"/>
                <w:szCs w:val="21"/>
              </w:rPr>
              <w:t>相同品牌推荐方式</w:t>
            </w:r>
          </w:p>
        </w:tc>
        <w:tc>
          <w:tcPr>
            <w:tcW w:w="7229" w:type="dxa"/>
            <w:tcBorders>
              <w:top w:val="single" w:color="auto" w:sz="4" w:space="0"/>
              <w:left w:val="single" w:color="auto" w:sz="4" w:space="0"/>
              <w:bottom w:val="single" w:color="auto" w:sz="4" w:space="0"/>
              <w:right w:val="single" w:color="auto" w:sz="4" w:space="0"/>
            </w:tcBorders>
            <w:vAlign w:val="center"/>
          </w:tcPr>
          <w:p w14:paraId="254FC6F8">
            <w:pPr>
              <w:spacing w:line="276" w:lineRule="auto"/>
              <w:rPr>
                <w:szCs w:val="21"/>
              </w:rPr>
            </w:pPr>
            <w:r>
              <w:rPr>
                <w:sz w:val="22"/>
                <w:szCs w:val="22"/>
              </w:rPr>
              <w:sym w:font="Wingdings 2" w:char="F052"/>
            </w:r>
            <w:r>
              <w:rPr>
                <w:rFonts w:hint="eastAsia"/>
                <w:szCs w:val="21"/>
              </w:rPr>
              <w:t>采购人委托评审委员会确定   □采购人确定</w:t>
            </w:r>
          </w:p>
        </w:tc>
      </w:tr>
      <w:tr w14:paraId="2049C3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55" w:type="dxa"/>
            <w:tcBorders>
              <w:top w:val="single" w:color="auto" w:sz="4" w:space="0"/>
              <w:left w:val="single" w:color="auto" w:sz="4" w:space="0"/>
              <w:bottom w:val="single" w:color="auto" w:sz="4" w:space="0"/>
              <w:right w:val="single" w:color="auto" w:sz="4" w:space="0"/>
            </w:tcBorders>
            <w:vAlign w:val="center"/>
          </w:tcPr>
          <w:p w14:paraId="51B5857B">
            <w:pPr>
              <w:spacing w:line="300" w:lineRule="exact"/>
              <w:jc w:val="center"/>
              <w:rPr>
                <w:b/>
                <w:szCs w:val="21"/>
              </w:rPr>
            </w:pPr>
            <w:r>
              <w:rPr>
                <w:b/>
                <w:szCs w:val="21"/>
              </w:rPr>
              <w:t>6.5</w:t>
            </w:r>
            <w:r>
              <w:rPr>
                <w:rFonts w:hint="eastAsia"/>
                <w:b/>
                <w:szCs w:val="21"/>
              </w:rPr>
              <w:t>.1</w:t>
            </w:r>
          </w:p>
        </w:tc>
        <w:tc>
          <w:tcPr>
            <w:tcW w:w="1230" w:type="dxa"/>
            <w:tcBorders>
              <w:top w:val="single" w:color="auto" w:sz="4" w:space="0"/>
              <w:left w:val="single" w:color="auto" w:sz="4" w:space="0"/>
              <w:bottom w:val="single" w:color="auto" w:sz="4" w:space="0"/>
              <w:right w:val="single" w:color="auto" w:sz="4" w:space="0"/>
            </w:tcBorders>
            <w:vAlign w:val="center"/>
          </w:tcPr>
          <w:p w14:paraId="3BCEA31D">
            <w:pPr>
              <w:spacing w:line="300" w:lineRule="exact"/>
              <w:jc w:val="center"/>
              <w:rPr>
                <w:szCs w:val="21"/>
              </w:rPr>
            </w:pPr>
            <w:r>
              <w:rPr>
                <w:rFonts w:hint="eastAsia"/>
                <w:szCs w:val="21"/>
              </w:rPr>
              <w:t>结果</w:t>
            </w:r>
            <w:r>
              <w:rPr>
                <w:szCs w:val="21"/>
              </w:rPr>
              <w:t>公告</w:t>
            </w:r>
          </w:p>
        </w:tc>
        <w:tc>
          <w:tcPr>
            <w:tcW w:w="7229" w:type="dxa"/>
            <w:tcBorders>
              <w:top w:val="single" w:color="auto" w:sz="4" w:space="0"/>
              <w:left w:val="single" w:color="auto" w:sz="4" w:space="0"/>
              <w:bottom w:val="single" w:color="auto" w:sz="4" w:space="0"/>
              <w:right w:val="single" w:color="auto" w:sz="4" w:space="0"/>
            </w:tcBorders>
            <w:vAlign w:val="center"/>
          </w:tcPr>
          <w:p w14:paraId="01547644">
            <w:pPr>
              <w:spacing w:line="300" w:lineRule="exact"/>
              <w:jc w:val="left"/>
              <w:rPr>
                <w:szCs w:val="21"/>
              </w:rPr>
            </w:pPr>
            <w:r>
              <w:rPr>
                <w:szCs w:val="21"/>
              </w:rPr>
              <w:t>采购代理机构在采购人依法确认中标人后2个工作日内在招标公告发布的媒体上发布</w:t>
            </w:r>
            <w:r>
              <w:rPr>
                <w:rFonts w:hint="eastAsia"/>
                <w:szCs w:val="21"/>
              </w:rPr>
              <w:t>结果</w:t>
            </w:r>
            <w:r>
              <w:rPr>
                <w:szCs w:val="21"/>
              </w:rPr>
              <w:t>公告</w:t>
            </w:r>
            <w:r>
              <w:rPr>
                <w:rFonts w:hint="eastAsia"/>
                <w:szCs w:val="21"/>
              </w:rPr>
              <w:t>。</w:t>
            </w:r>
          </w:p>
        </w:tc>
      </w:tr>
      <w:tr w14:paraId="569F4F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55" w:type="dxa"/>
            <w:tcBorders>
              <w:top w:val="single" w:color="auto" w:sz="4" w:space="0"/>
              <w:left w:val="single" w:color="auto" w:sz="4" w:space="0"/>
              <w:bottom w:val="single" w:color="auto" w:sz="4" w:space="0"/>
              <w:right w:val="single" w:color="auto" w:sz="4" w:space="0"/>
            </w:tcBorders>
            <w:vAlign w:val="center"/>
          </w:tcPr>
          <w:p w14:paraId="48D64E72">
            <w:pPr>
              <w:spacing w:line="300" w:lineRule="exact"/>
              <w:jc w:val="center"/>
              <w:rPr>
                <w:b/>
                <w:szCs w:val="21"/>
              </w:rPr>
            </w:pPr>
            <w:r>
              <w:rPr>
                <w:b/>
                <w:szCs w:val="21"/>
              </w:rPr>
              <w:t>6.5.2</w:t>
            </w:r>
          </w:p>
        </w:tc>
        <w:tc>
          <w:tcPr>
            <w:tcW w:w="1230" w:type="dxa"/>
            <w:tcBorders>
              <w:top w:val="single" w:color="auto" w:sz="4" w:space="0"/>
              <w:left w:val="single" w:color="auto" w:sz="4" w:space="0"/>
              <w:bottom w:val="single" w:color="auto" w:sz="4" w:space="0"/>
              <w:right w:val="single" w:color="auto" w:sz="4" w:space="0"/>
            </w:tcBorders>
            <w:vAlign w:val="center"/>
          </w:tcPr>
          <w:p w14:paraId="608C38DA">
            <w:pPr>
              <w:spacing w:line="300" w:lineRule="exact"/>
              <w:jc w:val="center"/>
              <w:rPr>
                <w:szCs w:val="21"/>
              </w:rPr>
            </w:pPr>
            <w:r>
              <w:rPr>
                <w:rFonts w:hint="eastAsia"/>
                <w:szCs w:val="21"/>
              </w:rPr>
              <w:t>中标通知书</w:t>
            </w:r>
          </w:p>
        </w:tc>
        <w:tc>
          <w:tcPr>
            <w:tcW w:w="7229" w:type="dxa"/>
            <w:tcBorders>
              <w:top w:val="single" w:color="auto" w:sz="4" w:space="0"/>
              <w:left w:val="single" w:color="auto" w:sz="4" w:space="0"/>
              <w:bottom w:val="single" w:color="auto" w:sz="4" w:space="0"/>
              <w:right w:val="single" w:color="auto" w:sz="4" w:space="0"/>
            </w:tcBorders>
            <w:vAlign w:val="center"/>
          </w:tcPr>
          <w:p w14:paraId="7E6DE5A6">
            <w:pPr>
              <w:spacing w:line="300" w:lineRule="exact"/>
              <w:jc w:val="left"/>
              <w:rPr>
                <w:szCs w:val="21"/>
              </w:rPr>
            </w:pPr>
            <w:r>
              <w:rPr>
                <w:rFonts w:hint="eastAsia"/>
                <w:szCs w:val="21"/>
              </w:rPr>
              <w:t>采购代理机构通过广西政府采购云平台发出</w:t>
            </w:r>
            <w:r>
              <w:rPr>
                <w:szCs w:val="21"/>
              </w:rPr>
              <w:t>中标通知书。</w:t>
            </w:r>
          </w:p>
          <w:p w14:paraId="59100511">
            <w:pPr>
              <w:spacing w:line="300" w:lineRule="exact"/>
              <w:jc w:val="left"/>
              <w:rPr>
                <w:szCs w:val="21"/>
              </w:rPr>
            </w:pPr>
            <w:r>
              <w:rPr>
                <w:rFonts w:hint="eastAsia"/>
                <w:szCs w:val="21"/>
              </w:rPr>
              <w:t>中标通知书在广西政府采购云平台推送之日起，视为中标人已收到，中标人自行承担未及时查收的后果。</w:t>
            </w:r>
          </w:p>
        </w:tc>
      </w:tr>
      <w:tr w14:paraId="161FC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55" w:type="dxa"/>
            <w:tcBorders>
              <w:top w:val="single" w:color="auto" w:sz="4" w:space="0"/>
              <w:left w:val="single" w:color="auto" w:sz="4" w:space="0"/>
              <w:bottom w:val="single" w:color="auto" w:sz="4" w:space="0"/>
              <w:right w:val="single" w:color="auto" w:sz="4" w:space="0"/>
            </w:tcBorders>
            <w:vAlign w:val="center"/>
          </w:tcPr>
          <w:p w14:paraId="38B77BF7">
            <w:pPr>
              <w:spacing w:line="300" w:lineRule="exact"/>
              <w:jc w:val="center"/>
              <w:rPr>
                <w:b/>
                <w:szCs w:val="21"/>
              </w:rPr>
            </w:pPr>
            <w:r>
              <w:rPr>
                <w:b/>
                <w:szCs w:val="21"/>
              </w:rPr>
              <w:t>6.5.3</w:t>
            </w:r>
          </w:p>
        </w:tc>
        <w:tc>
          <w:tcPr>
            <w:tcW w:w="1230" w:type="dxa"/>
            <w:tcBorders>
              <w:top w:val="single" w:color="auto" w:sz="4" w:space="0"/>
              <w:left w:val="single" w:color="auto" w:sz="4" w:space="0"/>
              <w:bottom w:val="single" w:color="auto" w:sz="4" w:space="0"/>
              <w:right w:val="single" w:color="auto" w:sz="4" w:space="0"/>
            </w:tcBorders>
            <w:vAlign w:val="center"/>
          </w:tcPr>
          <w:p w14:paraId="721B8B5E">
            <w:pPr>
              <w:spacing w:line="300" w:lineRule="exact"/>
              <w:jc w:val="center"/>
              <w:rPr>
                <w:szCs w:val="21"/>
              </w:rPr>
            </w:pPr>
            <w:r>
              <w:rPr>
                <w:rFonts w:hint="eastAsia"/>
                <w:szCs w:val="21"/>
              </w:rPr>
              <w:t>招标结果通知书</w:t>
            </w:r>
          </w:p>
        </w:tc>
        <w:tc>
          <w:tcPr>
            <w:tcW w:w="7229" w:type="dxa"/>
            <w:tcBorders>
              <w:top w:val="single" w:color="auto" w:sz="4" w:space="0"/>
              <w:left w:val="single" w:color="auto" w:sz="4" w:space="0"/>
              <w:bottom w:val="single" w:color="auto" w:sz="4" w:space="0"/>
              <w:right w:val="single" w:color="auto" w:sz="4" w:space="0"/>
            </w:tcBorders>
            <w:vAlign w:val="center"/>
          </w:tcPr>
          <w:p w14:paraId="25BE90C8">
            <w:pPr>
              <w:spacing w:line="300" w:lineRule="exact"/>
              <w:jc w:val="left"/>
              <w:rPr>
                <w:szCs w:val="21"/>
              </w:rPr>
            </w:pPr>
            <w:r>
              <w:rPr>
                <w:rFonts w:hint="eastAsia"/>
                <w:szCs w:val="21"/>
              </w:rPr>
              <w:t>采购代理机构通过</w:t>
            </w:r>
            <w:r>
              <w:rPr>
                <w:rFonts w:ascii="Arial" w:hAnsi="Arial" w:cs="Arial"/>
                <w:kern w:val="0"/>
                <w:szCs w:val="21"/>
              </w:rPr>
              <w:t>广西政府采购云平台</w:t>
            </w:r>
            <w:r>
              <w:rPr>
                <w:rFonts w:hint="eastAsia"/>
                <w:szCs w:val="21"/>
              </w:rPr>
              <w:t>发出招标结果</w:t>
            </w:r>
            <w:r>
              <w:rPr>
                <w:szCs w:val="21"/>
              </w:rPr>
              <w:t>通知书</w:t>
            </w:r>
          </w:p>
          <w:p w14:paraId="1AC51769">
            <w:pPr>
              <w:spacing w:line="300" w:lineRule="exact"/>
              <w:jc w:val="left"/>
              <w:rPr>
                <w:szCs w:val="21"/>
              </w:rPr>
            </w:pPr>
            <w:r>
              <w:rPr>
                <w:rFonts w:hint="eastAsia"/>
                <w:szCs w:val="21"/>
              </w:rPr>
              <w:t>招标结果通知书在广西政府采购云平台推送之日起，视为中标人已收到，中标人自行承担未及时查收的后果。</w:t>
            </w:r>
          </w:p>
        </w:tc>
      </w:tr>
      <w:tr w14:paraId="01EC63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55" w:type="dxa"/>
            <w:tcBorders>
              <w:top w:val="single" w:color="auto" w:sz="4" w:space="0"/>
              <w:left w:val="single" w:color="auto" w:sz="4" w:space="0"/>
              <w:bottom w:val="single" w:color="auto" w:sz="4" w:space="0"/>
              <w:right w:val="single" w:color="auto" w:sz="4" w:space="0"/>
            </w:tcBorders>
            <w:vAlign w:val="center"/>
          </w:tcPr>
          <w:p w14:paraId="5C202DC5">
            <w:pPr>
              <w:spacing w:line="300" w:lineRule="exact"/>
              <w:jc w:val="center"/>
              <w:rPr>
                <w:b/>
                <w:szCs w:val="21"/>
              </w:rPr>
            </w:pPr>
            <w:r>
              <w:rPr>
                <w:rFonts w:hint="eastAsia"/>
                <w:b/>
                <w:szCs w:val="21"/>
              </w:rPr>
              <w:t>7.1</w:t>
            </w:r>
          </w:p>
        </w:tc>
        <w:tc>
          <w:tcPr>
            <w:tcW w:w="1230" w:type="dxa"/>
            <w:tcBorders>
              <w:top w:val="single" w:color="auto" w:sz="4" w:space="0"/>
              <w:left w:val="single" w:color="auto" w:sz="4" w:space="0"/>
              <w:bottom w:val="single" w:color="auto" w:sz="4" w:space="0"/>
              <w:right w:val="single" w:color="auto" w:sz="4" w:space="0"/>
            </w:tcBorders>
            <w:vAlign w:val="center"/>
          </w:tcPr>
          <w:p w14:paraId="5988C212">
            <w:pPr>
              <w:spacing w:line="300" w:lineRule="exact"/>
              <w:jc w:val="center"/>
              <w:rPr>
                <w:szCs w:val="21"/>
              </w:rPr>
            </w:pPr>
            <w:r>
              <w:rPr>
                <w:rFonts w:hint="eastAsia"/>
                <w:szCs w:val="21"/>
              </w:rPr>
              <w:t>履约保证金的金额、提交方式、缴纳期限、退付的时间和条件</w:t>
            </w:r>
          </w:p>
        </w:tc>
        <w:tc>
          <w:tcPr>
            <w:tcW w:w="7229" w:type="dxa"/>
            <w:tcBorders>
              <w:top w:val="single" w:color="auto" w:sz="4" w:space="0"/>
              <w:left w:val="single" w:color="auto" w:sz="4" w:space="0"/>
              <w:bottom w:val="single" w:color="auto" w:sz="4" w:space="0"/>
              <w:right w:val="single" w:color="auto" w:sz="4" w:space="0"/>
            </w:tcBorders>
            <w:vAlign w:val="center"/>
          </w:tcPr>
          <w:p w14:paraId="6E8A0EC4">
            <w:pPr>
              <w:spacing w:line="300" w:lineRule="exact"/>
              <w:rPr>
                <w:szCs w:val="21"/>
              </w:rPr>
            </w:pPr>
            <w:r>
              <w:rPr>
                <w:rFonts w:hint="eastAsia"/>
                <w:szCs w:val="21"/>
              </w:rPr>
              <w:t>□本项目不收取履约保证金</w:t>
            </w:r>
          </w:p>
          <w:p w14:paraId="41657A6D">
            <w:pPr>
              <w:spacing w:line="300" w:lineRule="exact"/>
              <w:rPr>
                <w:szCs w:val="21"/>
              </w:rPr>
            </w:pPr>
            <w:r>
              <w:rPr>
                <w:rFonts w:hint="eastAsia"/>
                <w:szCs w:val="21"/>
              </w:rPr>
              <w:t>☑本项目收取履约保证金</w:t>
            </w:r>
          </w:p>
          <w:p w14:paraId="6D167FF0">
            <w:pPr>
              <w:spacing w:line="300" w:lineRule="exact"/>
              <w:rPr>
                <w:szCs w:val="21"/>
              </w:rPr>
            </w:pPr>
            <w:r>
              <w:rPr>
                <w:rFonts w:hint="eastAsia"/>
                <w:szCs w:val="21"/>
              </w:rPr>
              <w:t>1.履约保证金金额：</w:t>
            </w:r>
          </w:p>
          <w:p w14:paraId="1336F9F3">
            <w:pPr>
              <w:spacing w:line="300" w:lineRule="exact"/>
              <w:rPr>
                <w:szCs w:val="21"/>
              </w:rPr>
            </w:pPr>
            <w:r>
              <w:rPr>
                <w:rFonts w:hint="eastAsia"/>
                <w:szCs w:val="21"/>
              </w:rPr>
              <w:t>大型企业须缴纳履约保证金金额：合同金额的5%</w:t>
            </w:r>
          </w:p>
          <w:p w14:paraId="3F1F9826">
            <w:pPr>
              <w:spacing w:line="300" w:lineRule="exact"/>
              <w:rPr>
                <w:szCs w:val="21"/>
              </w:rPr>
            </w:pPr>
            <w:r>
              <w:rPr>
                <w:rFonts w:hint="eastAsia"/>
                <w:szCs w:val="21"/>
              </w:rPr>
              <w:t>中型企业或小微企业或监狱企业或残疾人福利性单位须缴纳履约保证金金额：合同金额的2%</w:t>
            </w:r>
          </w:p>
          <w:p w14:paraId="3A1CBE79">
            <w:pPr>
              <w:spacing w:line="300" w:lineRule="exact"/>
              <w:rPr>
                <w:szCs w:val="21"/>
              </w:rPr>
            </w:pPr>
            <w:r>
              <w:rPr>
                <w:rFonts w:hint="eastAsia"/>
                <w:szCs w:val="21"/>
              </w:rPr>
              <w:t>2.履约保证金提交及退付方式、时间及条件：</w:t>
            </w:r>
          </w:p>
          <w:p w14:paraId="7BC40B89">
            <w:pPr>
              <w:spacing w:line="300" w:lineRule="exact"/>
              <w:rPr>
                <w:szCs w:val="21"/>
              </w:rPr>
            </w:pPr>
            <w:r>
              <w:rPr>
                <w:rFonts w:hint="eastAsia"/>
                <w:szCs w:val="21"/>
              </w:rPr>
              <w:t>项目签订合同前  5  个工作日内，中标人必须以银行转账、支票、汇票、本票或者金融机构、担保机构出具的保险、保函（含电子保函，下同）等非现金方式向采购人提交履约保证金。履约保证金在服务期届满并经采购人验收合格后，采购人在5个工作日内退还全部履约保证金（不计利息，如在合同执行过程中违反合同规定或违约，则扣除相应履约保证金后退还剩下履约保证金）。若因中标人的原因未在规定时限内缴纳履约保证金的，则视为违约，采购人有权取消其中标资格、拒绝签订合同。若因中标人的原因不能签订合同的，不退还履约保证金。在履约保证金退还日期前，若中标人的开户名称、开户银行、账号有变动的，请以书面形式通知采购人，否则由此产生的后果由中标人自负。</w:t>
            </w:r>
          </w:p>
          <w:p w14:paraId="2AFB6FF8">
            <w:pPr>
              <w:spacing w:line="300" w:lineRule="exact"/>
              <w:rPr>
                <w:szCs w:val="21"/>
              </w:rPr>
            </w:pPr>
            <w:r>
              <w:rPr>
                <w:rFonts w:hint="eastAsia"/>
                <w:szCs w:val="21"/>
              </w:rPr>
              <w:t>履约保证金账户：</w:t>
            </w:r>
          </w:p>
          <w:p w14:paraId="0B0357D6">
            <w:pPr>
              <w:spacing w:line="300" w:lineRule="exact"/>
              <w:rPr>
                <w:szCs w:val="21"/>
              </w:rPr>
            </w:pPr>
            <w:r>
              <w:rPr>
                <w:rFonts w:hint="eastAsia"/>
                <w:szCs w:val="21"/>
              </w:rPr>
              <w:t>名称：广西壮族自治区中渡监狱</w:t>
            </w:r>
          </w:p>
          <w:p w14:paraId="1A4D5EF2">
            <w:pPr>
              <w:spacing w:line="300" w:lineRule="exact"/>
              <w:rPr>
                <w:szCs w:val="21"/>
              </w:rPr>
            </w:pPr>
            <w:r>
              <w:rPr>
                <w:rFonts w:hint="eastAsia"/>
                <w:szCs w:val="21"/>
              </w:rPr>
              <w:t>开户行：中国农业银行鹿寨县支行营业室</w:t>
            </w:r>
          </w:p>
          <w:p w14:paraId="25403837">
            <w:pPr>
              <w:spacing w:line="300" w:lineRule="exact"/>
              <w:rPr>
                <w:szCs w:val="21"/>
              </w:rPr>
            </w:pPr>
            <w:r>
              <w:rPr>
                <w:rFonts w:hint="eastAsia"/>
                <w:szCs w:val="21"/>
              </w:rPr>
              <w:t>账户：20138101040001142</w:t>
            </w:r>
          </w:p>
          <w:p w14:paraId="2BB968B4">
            <w:pPr>
              <w:spacing w:line="300" w:lineRule="exact"/>
              <w:rPr>
                <w:szCs w:val="21"/>
              </w:rPr>
            </w:pPr>
            <w:r>
              <w:rPr>
                <w:rFonts w:hint="eastAsia"/>
                <w:szCs w:val="21"/>
              </w:rPr>
              <w:t>转账时注明：××××项目，项目编号××××，标项号××××履约保证金</w:t>
            </w:r>
          </w:p>
          <w:p w14:paraId="02F28940">
            <w:pPr>
              <w:spacing w:line="300" w:lineRule="exact"/>
              <w:rPr>
                <w:szCs w:val="21"/>
              </w:rPr>
            </w:pPr>
            <w:r>
              <w:rPr>
                <w:rFonts w:hint="eastAsia"/>
                <w:szCs w:val="21"/>
              </w:rPr>
              <w:t>注：</w:t>
            </w:r>
          </w:p>
          <w:p w14:paraId="2D881725">
            <w:pPr>
              <w:spacing w:line="300" w:lineRule="exact"/>
              <w:rPr>
                <w:szCs w:val="21"/>
              </w:rPr>
            </w:pPr>
            <w:r>
              <w:rPr>
                <w:rFonts w:hint="eastAsia"/>
                <w:szCs w:val="21"/>
              </w:rPr>
              <w:t>1.履约保证金不足额缴纳的，或银行、保险机构出具的保函额度不足的或者保函有效期低于合同履行期限（即签订采购合同之日起至履行完合同约定的权利及义务之日止）的，不予签订合同。</w:t>
            </w:r>
          </w:p>
          <w:p w14:paraId="58ECB771">
            <w:pPr>
              <w:spacing w:line="300" w:lineRule="exact"/>
              <w:rPr>
                <w:szCs w:val="21"/>
              </w:rPr>
            </w:pPr>
            <w:r>
              <w:rPr>
                <w:rFonts w:hint="eastAsia"/>
                <w:szCs w:val="21"/>
              </w:rPr>
              <w:t>2.采用银行、保险机构出具的保函的，必须为无条件保函，否则不予签订合同。</w:t>
            </w:r>
          </w:p>
          <w:p w14:paraId="0C464218">
            <w:pPr>
              <w:spacing w:line="300" w:lineRule="exact"/>
              <w:rPr>
                <w:szCs w:val="21"/>
              </w:rPr>
            </w:pPr>
            <w:r>
              <w:rPr>
                <w:rFonts w:hint="eastAsia"/>
                <w:szCs w:val="21"/>
              </w:rPr>
              <w:t>3.所称中小微企业(含小型、微型企业，下同)应当同时符合以下条件:</w:t>
            </w:r>
          </w:p>
          <w:p w14:paraId="7E62569A">
            <w:pPr>
              <w:spacing w:line="300" w:lineRule="exact"/>
              <w:rPr>
                <w:szCs w:val="21"/>
              </w:rPr>
            </w:pPr>
            <w:r>
              <w:rPr>
                <w:rFonts w:hint="eastAsia"/>
                <w:szCs w:val="21"/>
              </w:rPr>
              <w:t xml:space="preserve"> 符合《关于印发中小企业划型标准规定的通知》（工信部联企业〔2011〕300号），中小微企业划分标准。</w:t>
            </w:r>
          </w:p>
          <w:p w14:paraId="1DA14184">
            <w:pPr>
              <w:spacing w:line="300" w:lineRule="exact"/>
              <w:rPr>
                <w:szCs w:val="21"/>
              </w:rPr>
            </w:pPr>
            <w:r>
              <w:rPr>
                <w:rFonts w:hint="eastAsia"/>
                <w:szCs w:val="21"/>
              </w:rPr>
              <w:t>4.采用金融机构、担保机构出具的保险、保函：在合同签订前，中标人向采购人提交保证金额为合同总金额5%（中小企业提交的履约保证金为合同金额的2%）的金融机构、担保机构出具的保险、保函。出现合同期（自合同签订之日至质保期结束）延长，导致合同期超出保险、保函期限的，中标人应在保险、保函期限届满前办理保险、保函延期，保证合同期结束前保险、保函持续有效。因中标人导致合同期延长的，继续提供履约担保所增加的费用由中标人承担；非因中标人原因导致合同期延长的，继续提供履约担保所增加的费用由采购人承担。因中标人未及时办理保险、保函造成的损失由中标人承担。</w:t>
            </w:r>
          </w:p>
          <w:p w14:paraId="4E5B2A43">
            <w:pPr>
              <w:spacing w:line="300" w:lineRule="exact"/>
              <w:rPr>
                <w:szCs w:val="21"/>
              </w:rPr>
            </w:pPr>
            <w:r>
              <w:rPr>
                <w:rFonts w:hint="eastAsia"/>
                <w:szCs w:val="21"/>
              </w:rPr>
              <w:t>5.采用银行转账、支票、汇票、本票等非现金方式的：在合同签订前，中标人向采购人提交保证金额为合同总金额的5%（中小企业提交的履约保证金为合同金额的2%）</w:t>
            </w:r>
          </w:p>
          <w:p w14:paraId="1A7126DB">
            <w:pPr>
              <w:spacing w:line="300" w:lineRule="exact"/>
              <w:rPr>
                <w:szCs w:val="21"/>
              </w:rPr>
            </w:pPr>
            <w:r>
              <w:rPr>
                <w:rFonts w:hint="eastAsia"/>
                <w:szCs w:val="21"/>
              </w:rPr>
              <w:t>，从中标人的账户转账到采购人指定账户，履约保证金在服务期满并对服务期结束前发现的问题完成整改后，中标人向采购人提交履约保证金退还申请，采购人在收到申请之日起5个工作日内，扣减中标人的赔偿金和其他应从中标人扣回的款项后，将履约金的余额退还给中标人（无息）。</w:t>
            </w:r>
          </w:p>
        </w:tc>
      </w:tr>
      <w:tr w14:paraId="3FF9C0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55" w:type="dxa"/>
            <w:tcBorders>
              <w:top w:val="single" w:color="auto" w:sz="4" w:space="0"/>
              <w:left w:val="single" w:color="auto" w:sz="4" w:space="0"/>
              <w:bottom w:val="single" w:color="auto" w:sz="4" w:space="0"/>
              <w:right w:val="single" w:color="auto" w:sz="4" w:space="0"/>
            </w:tcBorders>
            <w:vAlign w:val="center"/>
          </w:tcPr>
          <w:p w14:paraId="64A73601">
            <w:pPr>
              <w:spacing w:line="300" w:lineRule="exact"/>
              <w:jc w:val="center"/>
              <w:rPr>
                <w:b/>
                <w:szCs w:val="21"/>
              </w:rPr>
            </w:pPr>
            <w:r>
              <w:rPr>
                <w:rFonts w:hint="eastAsia"/>
                <w:b/>
                <w:szCs w:val="21"/>
              </w:rPr>
              <w:t>9</w:t>
            </w:r>
            <w:r>
              <w:rPr>
                <w:b/>
                <w:szCs w:val="21"/>
              </w:rPr>
              <w:t>.1</w:t>
            </w:r>
          </w:p>
        </w:tc>
        <w:tc>
          <w:tcPr>
            <w:tcW w:w="1230" w:type="dxa"/>
            <w:tcBorders>
              <w:top w:val="single" w:color="auto" w:sz="4" w:space="0"/>
              <w:left w:val="single" w:color="auto" w:sz="4" w:space="0"/>
              <w:bottom w:val="single" w:color="auto" w:sz="4" w:space="0"/>
              <w:right w:val="single" w:color="auto" w:sz="4" w:space="0"/>
            </w:tcBorders>
            <w:vAlign w:val="center"/>
          </w:tcPr>
          <w:p w14:paraId="7DCFBC53">
            <w:pPr>
              <w:spacing w:line="300" w:lineRule="exact"/>
              <w:jc w:val="center"/>
              <w:rPr>
                <w:szCs w:val="21"/>
              </w:rPr>
            </w:pPr>
            <w:r>
              <w:rPr>
                <w:rFonts w:hint="eastAsia"/>
                <w:szCs w:val="21"/>
              </w:rPr>
              <w:t>质疑</w:t>
            </w:r>
          </w:p>
        </w:tc>
        <w:tc>
          <w:tcPr>
            <w:tcW w:w="7229" w:type="dxa"/>
            <w:tcBorders>
              <w:top w:val="single" w:color="auto" w:sz="4" w:space="0"/>
              <w:left w:val="single" w:color="auto" w:sz="4" w:space="0"/>
              <w:bottom w:val="single" w:color="auto" w:sz="4" w:space="0"/>
              <w:right w:val="single" w:color="auto" w:sz="4" w:space="0"/>
            </w:tcBorders>
            <w:vAlign w:val="center"/>
          </w:tcPr>
          <w:p w14:paraId="2578A594">
            <w:pPr>
              <w:spacing w:line="300" w:lineRule="exact"/>
              <w:jc w:val="left"/>
              <w:rPr>
                <w:szCs w:val="21"/>
              </w:rPr>
            </w:pPr>
            <w:r>
              <w:rPr>
                <w:rFonts w:hint="eastAsia"/>
                <w:szCs w:val="21"/>
              </w:rPr>
              <w:t>（1）供应商</w:t>
            </w:r>
            <w:r>
              <w:rPr>
                <w:szCs w:val="21"/>
              </w:rPr>
              <w:t>认为</w:t>
            </w:r>
            <w:r>
              <w:rPr>
                <w:rFonts w:hint="eastAsia"/>
                <w:szCs w:val="21"/>
              </w:rPr>
              <w:t>招标文件</w:t>
            </w:r>
            <w:r>
              <w:rPr>
                <w:szCs w:val="21"/>
              </w:rPr>
              <w:t>、</w:t>
            </w:r>
            <w:r>
              <w:rPr>
                <w:rFonts w:hint="eastAsia"/>
                <w:szCs w:val="21"/>
              </w:rPr>
              <w:t>采购</w:t>
            </w:r>
            <w:r>
              <w:rPr>
                <w:szCs w:val="21"/>
              </w:rPr>
              <w:t>过程、中标</w:t>
            </w:r>
            <w:r>
              <w:rPr>
                <w:rFonts w:hint="eastAsia"/>
                <w:szCs w:val="21"/>
              </w:rPr>
              <w:t>或者成交</w:t>
            </w:r>
            <w:r>
              <w:rPr>
                <w:szCs w:val="21"/>
              </w:rPr>
              <w:t>结果使自己的权益受到损害的，可以在知道或者应知其权益受到损害之日起7个工作日内，</w:t>
            </w:r>
            <w:r>
              <w:rPr>
                <w:rFonts w:hint="eastAsia"/>
                <w:szCs w:val="21"/>
              </w:rPr>
              <w:t>通过以下方式</w:t>
            </w:r>
            <w:r>
              <w:rPr>
                <w:szCs w:val="21"/>
              </w:rPr>
              <w:t>向采购人、采购代理机构提出质疑。提出质疑的</w:t>
            </w:r>
            <w:r>
              <w:rPr>
                <w:rFonts w:hint="eastAsia"/>
                <w:szCs w:val="21"/>
              </w:rPr>
              <w:t>供应商</w:t>
            </w:r>
            <w:r>
              <w:rPr>
                <w:szCs w:val="21"/>
              </w:rPr>
              <w:t>必须是参与本项目采购活动的供应商</w:t>
            </w:r>
            <w:r>
              <w:rPr>
                <w:rFonts w:hint="eastAsia"/>
                <w:szCs w:val="21"/>
              </w:rPr>
              <w:t>，并须在</w:t>
            </w:r>
            <w:r>
              <w:rPr>
                <w:szCs w:val="21"/>
              </w:rPr>
              <w:t>法定质疑期内一次性提出针对同一采购程序环节的质疑。质疑函应使用财政部发布的</w:t>
            </w:r>
            <w:r>
              <w:rPr>
                <w:rFonts w:hint="eastAsia"/>
                <w:szCs w:val="21"/>
              </w:rPr>
              <w:t>政府采购供应商质疑函范本，并应按照“质疑函制作说明”进行制作。</w:t>
            </w:r>
          </w:p>
          <w:p w14:paraId="2074E81F">
            <w:pPr>
              <w:spacing w:line="300" w:lineRule="exact"/>
              <w:jc w:val="left"/>
              <w:rPr>
                <w:szCs w:val="21"/>
              </w:rPr>
            </w:pPr>
            <w:r>
              <w:rPr>
                <w:rFonts w:hint="eastAsia"/>
                <w:szCs w:val="21"/>
              </w:rPr>
              <w:t>（2）</w:t>
            </w:r>
            <w:r>
              <w:rPr>
                <w:szCs w:val="21"/>
              </w:rPr>
              <w:t>本项目不接受传真、移动通信</w:t>
            </w:r>
            <w:r>
              <w:rPr>
                <w:rFonts w:hint="eastAsia"/>
                <w:szCs w:val="21"/>
              </w:rPr>
              <w:t>、广西政府采购云平台</w:t>
            </w:r>
            <w:r>
              <w:rPr>
                <w:szCs w:val="21"/>
              </w:rPr>
              <w:t>等</w:t>
            </w:r>
            <w:r>
              <w:rPr>
                <w:rFonts w:hint="eastAsia"/>
                <w:szCs w:val="21"/>
              </w:rPr>
              <w:t>方式</w:t>
            </w:r>
            <w:r>
              <w:rPr>
                <w:szCs w:val="21"/>
              </w:rPr>
              <w:t>送达的质疑材料</w:t>
            </w:r>
            <w:r>
              <w:rPr>
                <w:rFonts w:hint="eastAsia"/>
                <w:szCs w:val="21"/>
              </w:rPr>
              <w:t>，供应商可通过现场或邮寄方式递交书面质疑材料。供应商应于质疑有效期内将质疑函原件递交或邮寄至招标公告中采购代理机构信息中的联系人。</w:t>
            </w:r>
          </w:p>
        </w:tc>
      </w:tr>
      <w:tr w14:paraId="32720E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70" w:hRule="atLeast"/>
        </w:trPr>
        <w:tc>
          <w:tcPr>
            <w:tcW w:w="755" w:type="dxa"/>
            <w:tcBorders>
              <w:top w:val="single" w:color="auto" w:sz="4" w:space="0"/>
              <w:left w:val="single" w:color="auto" w:sz="4" w:space="0"/>
              <w:bottom w:val="single" w:color="auto" w:sz="4" w:space="0"/>
              <w:right w:val="single" w:color="auto" w:sz="4" w:space="0"/>
            </w:tcBorders>
            <w:vAlign w:val="center"/>
          </w:tcPr>
          <w:p w14:paraId="6B582DA0">
            <w:pPr>
              <w:spacing w:line="300" w:lineRule="exact"/>
              <w:jc w:val="center"/>
              <w:rPr>
                <w:b/>
                <w:szCs w:val="21"/>
              </w:rPr>
            </w:pPr>
            <w:r>
              <w:rPr>
                <w:rFonts w:hint="eastAsia"/>
                <w:b/>
                <w:szCs w:val="21"/>
              </w:rPr>
              <w:t>10</w:t>
            </w:r>
            <w:r>
              <w:rPr>
                <w:b/>
                <w:szCs w:val="21"/>
              </w:rPr>
              <w:t>.1</w:t>
            </w:r>
          </w:p>
        </w:tc>
        <w:tc>
          <w:tcPr>
            <w:tcW w:w="1230" w:type="dxa"/>
            <w:tcBorders>
              <w:top w:val="single" w:color="auto" w:sz="4" w:space="0"/>
              <w:left w:val="single" w:color="auto" w:sz="4" w:space="0"/>
              <w:bottom w:val="single" w:color="auto" w:sz="4" w:space="0"/>
              <w:right w:val="single" w:color="auto" w:sz="4" w:space="0"/>
            </w:tcBorders>
            <w:vAlign w:val="center"/>
          </w:tcPr>
          <w:p w14:paraId="30DB4205">
            <w:pPr>
              <w:spacing w:line="300" w:lineRule="exact"/>
              <w:jc w:val="center"/>
              <w:rPr>
                <w:szCs w:val="21"/>
              </w:rPr>
            </w:pPr>
            <w:r>
              <w:rPr>
                <w:szCs w:val="20"/>
              </w:rPr>
              <w:t>代理服务费</w:t>
            </w:r>
          </w:p>
        </w:tc>
        <w:tc>
          <w:tcPr>
            <w:tcW w:w="7229" w:type="dxa"/>
            <w:tcBorders>
              <w:top w:val="single" w:color="auto" w:sz="4" w:space="0"/>
              <w:left w:val="single" w:color="auto" w:sz="4" w:space="0"/>
              <w:bottom w:val="single" w:color="auto" w:sz="4" w:space="0"/>
              <w:right w:val="single" w:color="auto" w:sz="4" w:space="0"/>
            </w:tcBorders>
            <w:vAlign w:val="center"/>
          </w:tcPr>
          <w:p w14:paraId="66808D0F">
            <w:pPr>
              <w:rPr>
                <w:szCs w:val="21"/>
              </w:rPr>
            </w:pPr>
            <w:r>
              <w:rPr>
                <w:szCs w:val="21"/>
              </w:rPr>
              <w:t>（1）</w:t>
            </w:r>
            <w:r>
              <w:rPr>
                <w:szCs w:val="20"/>
              </w:rPr>
              <w:t>代理服务费</w:t>
            </w:r>
          </w:p>
          <w:p w14:paraId="6CB07115">
            <w:pPr>
              <w:spacing w:line="300" w:lineRule="exact"/>
              <w:jc w:val="left"/>
              <w:rPr>
                <w:szCs w:val="21"/>
              </w:rPr>
            </w:pPr>
            <w:r>
              <w:rPr>
                <w:szCs w:val="21"/>
              </w:rPr>
              <w:sym w:font="Wingdings 2" w:char="F052"/>
            </w:r>
            <w:r>
              <w:rPr>
                <w:szCs w:val="21"/>
              </w:rPr>
              <w:t>采购代理机构向中标人收取代理服务费。本项目代理服务费</w:t>
            </w:r>
            <w:r>
              <w:rPr>
                <w:rFonts w:hint="eastAsia"/>
                <w:szCs w:val="21"/>
              </w:rPr>
              <w:t>以成交价为计费依据，采用</w:t>
            </w:r>
            <w:r>
              <w:rPr>
                <w:szCs w:val="21"/>
              </w:rPr>
              <w:t>差额定率累进</w:t>
            </w:r>
            <w:r>
              <w:rPr>
                <w:rFonts w:hint="eastAsia"/>
                <w:szCs w:val="21"/>
              </w:rPr>
              <w:t>法</w:t>
            </w:r>
            <w:r>
              <w:rPr>
                <w:szCs w:val="21"/>
              </w:rPr>
              <w:t>计算</w:t>
            </w:r>
            <w:r>
              <w:rPr>
                <w:rFonts w:hint="eastAsia"/>
                <w:szCs w:val="21"/>
              </w:rPr>
              <w:t>。</w:t>
            </w:r>
            <w:r>
              <w:rPr>
                <w:szCs w:val="21"/>
              </w:rPr>
              <w:t>具体费率</w:t>
            </w:r>
            <w:r>
              <w:rPr>
                <w:rFonts w:hint="eastAsia"/>
                <w:szCs w:val="21"/>
              </w:rPr>
              <w:t>如下：</w:t>
            </w:r>
          </w:p>
          <w:p w14:paraId="47EF1D67">
            <w:pPr>
              <w:spacing w:line="300" w:lineRule="exact"/>
              <w:jc w:val="left"/>
              <w:rPr>
                <w:szCs w:val="21"/>
              </w:rPr>
            </w:pPr>
            <w:r>
              <w:rPr>
                <w:rFonts w:hint="eastAsia"/>
                <w:szCs w:val="21"/>
              </w:rPr>
              <w:t>①中标金额在1</w:t>
            </w:r>
            <w:r>
              <w:rPr>
                <w:szCs w:val="21"/>
              </w:rPr>
              <w:t>00</w:t>
            </w:r>
            <w:r>
              <w:rPr>
                <w:rFonts w:hint="eastAsia"/>
                <w:szCs w:val="21"/>
              </w:rPr>
              <w:t>万元以下的：</w:t>
            </w:r>
          </w:p>
          <w:p w14:paraId="3B47CC1D">
            <w:pPr>
              <w:spacing w:line="300" w:lineRule="exact"/>
              <w:jc w:val="left"/>
              <w:rPr>
                <w:szCs w:val="21"/>
              </w:rPr>
            </w:pPr>
            <w:r>
              <w:rPr>
                <w:rFonts w:hint="eastAsia"/>
                <w:szCs w:val="21"/>
              </w:rPr>
              <w:t>货物</w:t>
            </w:r>
            <w:r>
              <w:rPr>
                <w:szCs w:val="21"/>
              </w:rPr>
              <w:t>1.5％</w:t>
            </w:r>
            <w:r>
              <w:rPr>
                <w:rFonts w:hint="eastAsia"/>
                <w:szCs w:val="21"/>
              </w:rPr>
              <w:t>；</w:t>
            </w:r>
            <w:r>
              <w:rPr>
                <w:szCs w:val="21"/>
              </w:rPr>
              <w:t>服务招标1.5％</w:t>
            </w:r>
            <w:r>
              <w:rPr>
                <w:rFonts w:hint="eastAsia"/>
                <w:szCs w:val="21"/>
              </w:rPr>
              <w:t>；</w:t>
            </w:r>
            <w:r>
              <w:rPr>
                <w:szCs w:val="21"/>
              </w:rPr>
              <w:t>工程招标1.0％</w:t>
            </w:r>
            <w:r>
              <w:rPr>
                <w:rFonts w:hint="eastAsia"/>
                <w:szCs w:val="21"/>
              </w:rPr>
              <w:t>；</w:t>
            </w:r>
          </w:p>
          <w:p w14:paraId="4C6E4A41">
            <w:pPr>
              <w:spacing w:line="300" w:lineRule="exact"/>
              <w:jc w:val="left"/>
              <w:rPr>
                <w:szCs w:val="21"/>
              </w:rPr>
            </w:pPr>
            <w:r>
              <w:rPr>
                <w:rFonts w:hint="eastAsia"/>
                <w:szCs w:val="21"/>
              </w:rPr>
              <w:t>②中标金额在</w:t>
            </w:r>
            <w:r>
              <w:rPr>
                <w:szCs w:val="21"/>
              </w:rPr>
              <w:t>100-500</w:t>
            </w:r>
            <w:r>
              <w:rPr>
                <w:rFonts w:hint="eastAsia"/>
                <w:szCs w:val="21"/>
              </w:rPr>
              <w:t>万元之间：</w:t>
            </w:r>
          </w:p>
          <w:p w14:paraId="3E2371A9">
            <w:pPr>
              <w:spacing w:line="300" w:lineRule="exact"/>
              <w:jc w:val="left"/>
              <w:rPr>
                <w:szCs w:val="21"/>
              </w:rPr>
            </w:pPr>
            <w:r>
              <w:rPr>
                <w:rFonts w:hint="eastAsia"/>
                <w:szCs w:val="21"/>
              </w:rPr>
              <w:t>货物</w:t>
            </w:r>
            <w:r>
              <w:rPr>
                <w:szCs w:val="21"/>
              </w:rPr>
              <w:t>1.1％</w:t>
            </w:r>
            <w:r>
              <w:rPr>
                <w:rFonts w:hint="eastAsia"/>
                <w:szCs w:val="21"/>
              </w:rPr>
              <w:t>；</w:t>
            </w:r>
            <w:r>
              <w:rPr>
                <w:szCs w:val="21"/>
              </w:rPr>
              <w:t>服务招标0.8％</w:t>
            </w:r>
            <w:r>
              <w:rPr>
                <w:rFonts w:hint="eastAsia"/>
                <w:szCs w:val="21"/>
              </w:rPr>
              <w:t>；</w:t>
            </w:r>
            <w:r>
              <w:rPr>
                <w:szCs w:val="21"/>
              </w:rPr>
              <w:t>工程招标0.7％</w:t>
            </w:r>
            <w:r>
              <w:rPr>
                <w:rFonts w:hint="eastAsia"/>
                <w:szCs w:val="21"/>
              </w:rPr>
              <w:t>；</w:t>
            </w:r>
          </w:p>
          <w:p w14:paraId="70CC3642">
            <w:pPr>
              <w:spacing w:line="300" w:lineRule="exact"/>
              <w:jc w:val="left"/>
              <w:rPr>
                <w:szCs w:val="21"/>
              </w:rPr>
            </w:pPr>
            <w:r>
              <w:rPr>
                <w:rFonts w:hint="eastAsia"/>
                <w:szCs w:val="21"/>
              </w:rPr>
              <w:t>③中标金额在</w:t>
            </w:r>
            <w:r>
              <w:rPr>
                <w:szCs w:val="21"/>
              </w:rPr>
              <w:t>5</w:t>
            </w:r>
            <w:r>
              <w:rPr>
                <w:rFonts w:hint="eastAsia"/>
                <w:szCs w:val="21"/>
              </w:rPr>
              <w:t>0</w:t>
            </w:r>
            <w:r>
              <w:rPr>
                <w:szCs w:val="21"/>
              </w:rPr>
              <w:t>0-1</w:t>
            </w:r>
            <w:r>
              <w:rPr>
                <w:rFonts w:hint="eastAsia"/>
                <w:szCs w:val="21"/>
              </w:rPr>
              <w:t>00</w:t>
            </w:r>
            <w:r>
              <w:rPr>
                <w:szCs w:val="21"/>
              </w:rPr>
              <w:t>0</w:t>
            </w:r>
            <w:r>
              <w:rPr>
                <w:rFonts w:hint="eastAsia"/>
                <w:szCs w:val="21"/>
              </w:rPr>
              <w:t>万元之间：</w:t>
            </w:r>
          </w:p>
          <w:p w14:paraId="654A8852">
            <w:pPr>
              <w:spacing w:line="300" w:lineRule="exact"/>
              <w:jc w:val="left"/>
              <w:rPr>
                <w:szCs w:val="21"/>
              </w:rPr>
            </w:pPr>
            <w:r>
              <w:rPr>
                <w:rFonts w:hint="eastAsia"/>
                <w:szCs w:val="21"/>
              </w:rPr>
              <w:t>货物</w:t>
            </w:r>
            <w:r>
              <w:rPr>
                <w:szCs w:val="21"/>
              </w:rPr>
              <w:t>0.8％</w:t>
            </w:r>
            <w:r>
              <w:rPr>
                <w:rFonts w:hint="eastAsia"/>
                <w:szCs w:val="21"/>
              </w:rPr>
              <w:t>；</w:t>
            </w:r>
            <w:r>
              <w:rPr>
                <w:szCs w:val="21"/>
              </w:rPr>
              <w:t>服务招标0.45％</w:t>
            </w:r>
            <w:r>
              <w:rPr>
                <w:rFonts w:hint="eastAsia"/>
                <w:szCs w:val="21"/>
              </w:rPr>
              <w:t>；</w:t>
            </w:r>
            <w:r>
              <w:rPr>
                <w:szCs w:val="21"/>
              </w:rPr>
              <w:t>工程招标0.55％</w:t>
            </w:r>
            <w:r>
              <w:rPr>
                <w:rFonts w:hint="eastAsia"/>
                <w:szCs w:val="21"/>
              </w:rPr>
              <w:t>；</w:t>
            </w:r>
          </w:p>
          <w:p w14:paraId="775CA5DA">
            <w:pPr>
              <w:spacing w:line="300" w:lineRule="exact"/>
              <w:jc w:val="left"/>
              <w:rPr>
                <w:szCs w:val="21"/>
              </w:rPr>
            </w:pPr>
            <w:r>
              <w:rPr>
                <w:rFonts w:hint="eastAsia"/>
                <w:szCs w:val="21"/>
              </w:rPr>
              <w:t>④中标金额在</w:t>
            </w:r>
            <w:r>
              <w:rPr>
                <w:szCs w:val="21"/>
              </w:rPr>
              <w:t>1000-5000</w:t>
            </w:r>
            <w:r>
              <w:rPr>
                <w:rFonts w:hint="eastAsia"/>
                <w:szCs w:val="21"/>
              </w:rPr>
              <w:t>万元之间：</w:t>
            </w:r>
          </w:p>
          <w:p w14:paraId="385383E6">
            <w:pPr>
              <w:spacing w:line="300" w:lineRule="exact"/>
              <w:jc w:val="left"/>
              <w:rPr>
                <w:szCs w:val="21"/>
              </w:rPr>
            </w:pPr>
            <w:r>
              <w:rPr>
                <w:rFonts w:hint="eastAsia"/>
                <w:szCs w:val="21"/>
              </w:rPr>
              <w:t>货物</w:t>
            </w:r>
            <w:r>
              <w:rPr>
                <w:szCs w:val="21"/>
              </w:rPr>
              <w:t>0.5％</w:t>
            </w:r>
            <w:r>
              <w:rPr>
                <w:rFonts w:hint="eastAsia"/>
                <w:szCs w:val="21"/>
              </w:rPr>
              <w:t>；</w:t>
            </w:r>
            <w:r>
              <w:rPr>
                <w:szCs w:val="21"/>
              </w:rPr>
              <w:t>服务招标0.25％</w:t>
            </w:r>
            <w:r>
              <w:rPr>
                <w:rFonts w:hint="eastAsia"/>
                <w:szCs w:val="21"/>
              </w:rPr>
              <w:t>；</w:t>
            </w:r>
            <w:r>
              <w:rPr>
                <w:szCs w:val="21"/>
              </w:rPr>
              <w:t>工程招标0.35％</w:t>
            </w:r>
            <w:r>
              <w:rPr>
                <w:rFonts w:hint="eastAsia"/>
                <w:szCs w:val="21"/>
              </w:rPr>
              <w:t>；</w:t>
            </w:r>
          </w:p>
          <w:p w14:paraId="76F7D103">
            <w:pPr>
              <w:spacing w:line="300" w:lineRule="exact"/>
              <w:jc w:val="left"/>
              <w:rPr>
                <w:szCs w:val="21"/>
              </w:rPr>
            </w:pPr>
            <w:r>
              <w:rPr>
                <w:rFonts w:hint="eastAsia"/>
                <w:szCs w:val="21"/>
              </w:rPr>
              <w:t>……</w:t>
            </w:r>
          </w:p>
          <w:p w14:paraId="1C1A64B7">
            <w:pPr>
              <w:spacing w:line="300" w:lineRule="exact"/>
              <w:jc w:val="left"/>
              <w:rPr>
                <w:szCs w:val="21"/>
              </w:rPr>
            </w:pPr>
            <w:r>
              <w:rPr>
                <w:szCs w:val="21"/>
              </w:rPr>
              <w:t>差额定率累进</w:t>
            </w:r>
            <w:r>
              <w:rPr>
                <w:rFonts w:hint="eastAsia"/>
                <w:szCs w:val="21"/>
              </w:rPr>
              <w:t>法</w:t>
            </w:r>
            <w:r>
              <w:rPr>
                <w:szCs w:val="21"/>
              </w:rPr>
              <w:t>计算</w:t>
            </w:r>
            <w:r>
              <w:rPr>
                <w:rFonts w:hint="eastAsia"/>
                <w:szCs w:val="21"/>
              </w:rPr>
              <w:t>过程示例：</w:t>
            </w:r>
          </w:p>
          <w:p w14:paraId="3B968770">
            <w:pPr>
              <w:spacing w:line="300" w:lineRule="exact"/>
              <w:jc w:val="left"/>
              <w:rPr>
                <w:szCs w:val="21"/>
              </w:rPr>
            </w:pPr>
            <w:r>
              <w:rPr>
                <w:szCs w:val="21"/>
              </w:rPr>
              <w:t>例如：某货物招标代理业务</w:t>
            </w:r>
            <w:r>
              <w:rPr>
                <w:rFonts w:hint="eastAsia"/>
                <w:szCs w:val="21"/>
              </w:rPr>
              <w:t>中标</w:t>
            </w:r>
            <w:r>
              <w:rPr>
                <w:szCs w:val="21"/>
              </w:rPr>
              <w:t>金额为300万元，招标代理服务费金额按如下计算：</w:t>
            </w:r>
          </w:p>
          <w:p w14:paraId="18D6AE0E">
            <w:pPr>
              <w:spacing w:line="300" w:lineRule="exact"/>
              <w:jc w:val="left"/>
              <w:rPr>
                <w:szCs w:val="21"/>
              </w:rPr>
            </w:pPr>
            <w:r>
              <w:rPr>
                <w:szCs w:val="21"/>
              </w:rPr>
              <w:t>100万元×1.5%＝1.5万元</w:t>
            </w:r>
          </w:p>
          <w:p w14:paraId="7EE004CE">
            <w:pPr>
              <w:spacing w:line="300" w:lineRule="exact"/>
              <w:jc w:val="left"/>
              <w:rPr>
                <w:szCs w:val="21"/>
              </w:rPr>
            </w:pPr>
            <w:r>
              <w:rPr>
                <w:szCs w:val="21"/>
              </w:rPr>
              <w:t>（300－100）万元×1.1%＝2.2万元</w:t>
            </w:r>
          </w:p>
          <w:p w14:paraId="73255C1A">
            <w:pPr>
              <w:spacing w:line="300" w:lineRule="exact"/>
              <w:jc w:val="left"/>
              <w:rPr>
                <w:szCs w:val="21"/>
              </w:rPr>
            </w:pPr>
            <w:r>
              <w:rPr>
                <w:szCs w:val="21"/>
              </w:rPr>
              <w:t>合计收费＝</w:t>
            </w:r>
            <w:r>
              <w:rPr>
                <w:rFonts w:hint="eastAsia"/>
                <w:szCs w:val="21"/>
              </w:rPr>
              <w:t>（</w:t>
            </w:r>
            <w:r>
              <w:rPr>
                <w:szCs w:val="21"/>
              </w:rPr>
              <w:t>1.5＋2.2</w:t>
            </w:r>
            <w:r>
              <w:rPr>
                <w:rFonts w:hint="eastAsia"/>
                <w:szCs w:val="21"/>
              </w:rPr>
              <w:t>）</w:t>
            </w:r>
            <w:r>
              <w:rPr>
                <w:szCs w:val="21"/>
              </w:rPr>
              <w:t>×（</w:t>
            </w:r>
            <w:r>
              <w:rPr>
                <w:rFonts w:hint="eastAsia"/>
                <w:szCs w:val="21"/>
              </w:rPr>
              <w:t>1</w:t>
            </w:r>
            <w:r>
              <w:rPr>
                <w:szCs w:val="21"/>
              </w:rPr>
              <w:t>－10</w:t>
            </w:r>
            <w:r>
              <w:rPr>
                <w:rFonts w:hint="eastAsia"/>
                <w:szCs w:val="21"/>
              </w:rPr>
              <w:t>%</w:t>
            </w:r>
            <w:r>
              <w:rPr>
                <w:szCs w:val="21"/>
              </w:rPr>
              <w:t>）=3.</w:t>
            </w:r>
            <w:r>
              <w:rPr>
                <w:rFonts w:hint="eastAsia"/>
                <w:szCs w:val="21"/>
              </w:rPr>
              <w:t>33</w:t>
            </w:r>
            <w:r>
              <w:rPr>
                <w:szCs w:val="21"/>
              </w:rPr>
              <w:t>万元</w:t>
            </w:r>
          </w:p>
          <w:p w14:paraId="7B4B48A7">
            <w:pPr>
              <w:spacing w:line="300" w:lineRule="exact"/>
              <w:jc w:val="left"/>
              <w:rPr>
                <w:szCs w:val="21"/>
                <w:u w:val="single"/>
              </w:rPr>
            </w:pPr>
            <w:r>
              <w:rPr>
                <w:szCs w:val="21"/>
              </w:rPr>
              <w:sym w:font="Wingdings 2" w:char="F0A3"/>
            </w:r>
            <w:r>
              <w:rPr>
                <w:szCs w:val="21"/>
              </w:rPr>
              <w:t>采购代理机构</w:t>
            </w:r>
            <w:r>
              <w:rPr>
                <w:szCs w:val="20"/>
              </w:rPr>
              <w:t>向中标人收取代理服务费</w:t>
            </w:r>
            <w:r>
              <w:rPr>
                <w:rFonts w:hint="eastAsia"/>
                <w:szCs w:val="20"/>
              </w:rPr>
              <w:t>，</w:t>
            </w:r>
            <w:r>
              <w:rPr>
                <w:szCs w:val="20"/>
              </w:rPr>
              <w:t>具体金额为</w:t>
            </w:r>
            <w:r>
              <w:rPr>
                <w:rFonts w:hint="eastAsia"/>
                <w:szCs w:val="20"/>
                <w:u w:val="single"/>
              </w:rPr>
              <w:t xml:space="preserve">             </w:t>
            </w:r>
            <w:r>
              <w:rPr>
                <w:rFonts w:hint="eastAsia"/>
                <w:szCs w:val="20"/>
              </w:rPr>
              <w:t>。</w:t>
            </w:r>
          </w:p>
          <w:p w14:paraId="122F2E93">
            <w:pPr>
              <w:spacing w:line="300" w:lineRule="exact"/>
              <w:jc w:val="left"/>
              <w:rPr>
                <w:szCs w:val="21"/>
              </w:rPr>
            </w:pPr>
            <w:r>
              <w:rPr>
                <w:szCs w:val="21"/>
              </w:rPr>
              <w:t>（2）中标人在中标通知书发出前以银行转账或现金形式支付代理服务费；采购代理机构也可以从中标人的投标保证金中扣除上述金额的代理服务费，余款按供应商所汇入投标保证金的账户原路退回，如无法原路返回，则按《代理服务费承诺书》列明的账户退回。</w:t>
            </w:r>
          </w:p>
          <w:p w14:paraId="371A7347">
            <w:pPr>
              <w:spacing w:line="300" w:lineRule="exact"/>
              <w:jc w:val="left"/>
              <w:rPr>
                <w:kern w:val="0"/>
                <w:szCs w:val="21"/>
              </w:rPr>
            </w:pPr>
            <w:r>
              <w:rPr>
                <w:rFonts w:hint="eastAsia"/>
                <w:kern w:val="0"/>
                <w:szCs w:val="21"/>
              </w:rPr>
              <w:t>开户银行：广西北部湾银行南宁市金湖支行</w:t>
            </w:r>
          </w:p>
          <w:p w14:paraId="0CC53546">
            <w:pPr>
              <w:spacing w:line="300" w:lineRule="exact"/>
              <w:jc w:val="left"/>
              <w:rPr>
                <w:kern w:val="0"/>
                <w:szCs w:val="21"/>
              </w:rPr>
            </w:pPr>
            <w:r>
              <w:rPr>
                <w:rFonts w:hint="eastAsia"/>
                <w:kern w:val="0"/>
                <w:szCs w:val="21"/>
              </w:rPr>
              <w:t>（银行地址：南宁市金湖路57号文德大厦1楼）</w:t>
            </w:r>
          </w:p>
          <w:p w14:paraId="0499870A">
            <w:pPr>
              <w:spacing w:line="300" w:lineRule="exact"/>
              <w:jc w:val="left"/>
              <w:rPr>
                <w:kern w:val="0"/>
                <w:szCs w:val="21"/>
              </w:rPr>
            </w:pPr>
            <w:r>
              <w:rPr>
                <w:rFonts w:hint="eastAsia"/>
                <w:kern w:val="0"/>
                <w:szCs w:val="21"/>
              </w:rPr>
              <w:t>开户名称：广西机电设备招标有限公司</w:t>
            </w:r>
          </w:p>
          <w:p w14:paraId="10DE3E7D">
            <w:pPr>
              <w:spacing w:line="300" w:lineRule="exact"/>
              <w:jc w:val="left"/>
              <w:rPr>
                <w:kern w:val="0"/>
                <w:szCs w:val="21"/>
              </w:rPr>
            </w:pPr>
            <w:r>
              <w:rPr>
                <w:rFonts w:hint="eastAsia"/>
                <w:kern w:val="0"/>
                <w:szCs w:val="21"/>
              </w:rPr>
              <w:t>银行账号：1705012090027723 (联行号 313611017053)</w:t>
            </w:r>
          </w:p>
          <w:p w14:paraId="390FE933">
            <w:pPr>
              <w:spacing w:line="300" w:lineRule="exact"/>
              <w:jc w:val="left"/>
              <w:rPr>
                <w:kern w:val="0"/>
                <w:szCs w:val="21"/>
              </w:rPr>
            </w:pPr>
            <w:r>
              <w:rPr>
                <w:rFonts w:hint="eastAsia"/>
                <w:kern w:val="0"/>
                <w:szCs w:val="21"/>
              </w:rPr>
              <w:t>财务联系人：吴茜（电话：0771-2821398）</w:t>
            </w:r>
          </w:p>
        </w:tc>
      </w:tr>
      <w:tr w14:paraId="52A44A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2" w:hRule="atLeast"/>
        </w:trPr>
        <w:tc>
          <w:tcPr>
            <w:tcW w:w="755" w:type="dxa"/>
            <w:tcBorders>
              <w:top w:val="single" w:color="auto" w:sz="4" w:space="0"/>
              <w:left w:val="single" w:color="auto" w:sz="4" w:space="0"/>
              <w:bottom w:val="single" w:color="auto" w:sz="4" w:space="0"/>
              <w:right w:val="single" w:color="auto" w:sz="4" w:space="0"/>
            </w:tcBorders>
            <w:vAlign w:val="center"/>
          </w:tcPr>
          <w:p w14:paraId="5C9BE329">
            <w:pPr>
              <w:spacing w:line="300" w:lineRule="exact"/>
              <w:jc w:val="center"/>
              <w:rPr>
                <w:b/>
                <w:szCs w:val="21"/>
              </w:rPr>
            </w:pPr>
            <w:r>
              <w:rPr>
                <w:rFonts w:hint="eastAsia"/>
                <w:b/>
                <w:szCs w:val="21"/>
              </w:rPr>
              <w:t>10</w:t>
            </w:r>
            <w:r>
              <w:rPr>
                <w:b/>
                <w:szCs w:val="21"/>
              </w:rPr>
              <w:t>.3</w:t>
            </w:r>
          </w:p>
        </w:tc>
        <w:tc>
          <w:tcPr>
            <w:tcW w:w="1230" w:type="dxa"/>
            <w:tcBorders>
              <w:top w:val="single" w:color="auto" w:sz="4" w:space="0"/>
              <w:left w:val="single" w:color="auto" w:sz="4" w:space="0"/>
              <w:bottom w:val="single" w:color="auto" w:sz="4" w:space="0"/>
              <w:right w:val="single" w:color="auto" w:sz="4" w:space="0"/>
            </w:tcBorders>
            <w:vAlign w:val="center"/>
          </w:tcPr>
          <w:p w14:paraId="63667C66">
            <w:pPr>
              <w:spacing w:line="300" w:lineRule="exact"/>
              <w:jc w:val="center"/>
              <w:rPr>
                <w:szCs w:val="20"/>
              </w:rPr>
            </w:pPr>
            <w:r>
              <w:rPr>
                <w:rFonts w:hint="eastAsia"/>
                <w:szCs w:val="20"/>
              </w:rPr>
              <w:t>附件</w:t>
            </w:r>
          </w:p>
        </w:tc>
        <w:tc>
          <w:tcPr>
            <w:tcW w:w="7229" w:type="dxa"/>
            <w:tcBorders>
              <w:top w:val="single" w:color="auto" w:sz="4" w:space="0"/>
              <w:left w:val="single" w:color="auto" w:sz="4" w:space="0"/>
              <w:bottom w:val="single" w:color="auto" w:sz="4" w:space="0"/>
              <w:right w:val="single" w:color="auto" w:sz="4" w:space="0"/>
            </w:tcBorders>
            <w:vAlign w:val="center"/>
          </w:tcPr>
          <w:p w14:paraId="6DBF5375">
            <w:pPr>
              <w:spacing w:line="276" w:lineRule="auto"/>
              <w:rPr>
                <w:szCs w:val="21"/>
              </w:rPr>
            </w:pPr>
            <w:r>
              <w:rPr>
                <w:sz w:val="22"/>
                <w:szCs w:val="22"/>
              </w:rPr>
              <w:sym w:font="Wingdings 2" w:char="F052"/>
            </w:r>
            <w:r>
              <w:rPr>
                <w:rFonts w:hint="eastAsia"/>
                <w:szCs w:val="21"/>
              </w:rPr>
              <w:t>无</w:t>
            </w:r>
          </w:p>
          <w:p w14:paraId="5FF199C0">
            <w:pPr>
              <w:spacing w:line="276" w:lineRule="auto"/>
              <w:rPr>
                <w:szCs w:val="21"/>
                <w:u w:val="single"/>
              </w:rPr>
            </w:pPr>
            <w:r>
              <w:rPr>
                <w:rFonts w:hint="eastAsia"/>
                <w:szCs w:val="21"/>
              </w:rPr>
              <w:t>□有，详见：</w:t>
            </w:r>
            <w:r>
              <w:rPr>
                <w:rFonts w:hint="eastAsia"/>
                <w:szCs w:val="21"/>
                <w:u w:val="single"/>
              </w:rPr>
              <w:t xml:space="preserve"> </w:t>
            </w:r>
            <w:r>
              <w:rPr>
                <w:szCs w:val="21"/>
                <w:u w:val="single"/>
              </w:rPr>
              <w:t xml:space="preserve">         </w:t>
            </w:r>
          </w:p>
        </w:tc>
      </w:tr>
      <w:tr w14:paraId="2045D9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6" w:hRule="atLeast"/>
        </w:trPr>
        <w:tc>
          <w:tcPr>
            <w:tcW w:w="755" w:type="dxa"/>
            <w:tcBorders>
              <w:top w:val="single" w:color="auto" w:sz="4" w:space="0"/>
              <w:left w:val="single" w:color="auto" w:sz="4" w:space="0"/>
              <w:bottom w:val="single" w:color="auto" w:sz="4" w:space="0"/>
              <w:right w:val="single" w:color="auto" w:sz="4" w:space="0"/>
            </w:tcBorders>
            <w:vAlign w:val="center"/>
          </w:tcPr>
          <w:p w14:paraId="03C9B0C5">
            <w:pPr>
              <w:spacing w:line="300" w:lineRule="exact"/>
              <w:jc w:val="center"/>
              <w:rPr>
                <w:b/>
                <w:szCs w:val="21"/>
              </w:rPr>
            </w:pPr>
            <w:r>
              <w:rPr>
                <w:rFonts w:hint="eastAsia"/>
                <w:b/>
                <w:szCs w:val="21"/>
              </w:rPr>
              <w:t>10</w:t>
            </w:r>
            <w:r>
              <w:rPr>
                <w:b/>
                <w:szCs w:val="21"/>
              </w:rPr>
              <w:t>.3</w:t>
            </w:r>
          </w:p>
        </w:tc>
        <w:tc>
          <w:tcPr>
            <w:tcW w:w="1230" w:type="dxa"/>
            <w:tcBorders>
              <w:top w:val="single" w:color="auto" w:sz="4" w:space="0"/>
              <w:left w:val="single" w:color="auto" w:sz="4" w:space="0"/>
              <w:bottom w:val="single" w:color="auto" w:sz="4" w:space="0"/>
              <w:right w:val="single" w:color="auto" w:sz="4" w:space="0"/>
            </w:tcBorders>
            <w:vAlign w:val="center"/>
          </w:tcPr>
          <w:p w14:paraId="6B8F1A81">
            <w:pPr>
              <w:spacing w:line="300" w:lineRule="exact"/>
              <w:jc w:val="center"/>
              <w:rPr>
                <w:szCs w:val="20"/>
              </w:rPr>
            </w:pPr>
            <w:r>
              <w:rPr>
                <w:rFonts w:hint="eastAsia"/>
                <w:szCs w:val="20"/>
              </w:rPr>
              <w:t>图纸</w:t>
            </w:r>
          </w:p>
        </w:tc>
        <w:tc>
          <w:tcPr>
            <w:tcW w:w="7229" w:type="dxa"/>
            <w:tcBorders>
              <w:top w:val="single" w:color="auto" w:sz="4" w:space="0"/>
              <w:left w:val="single" w:color="auto" w:sz="4" w:space="0"/>
              <w:bottom w:val="single" w:color="auto" w:sz="4" w:space="0"/>
              <w:right w:val="single" w:color="auto" w:sz="4" w:space="0"/>
            </w:tcBorders>
            <w:vAlign w:val="center"/>
          </w:tcPr>
          <w:p w14:paraId="6BF8B5C1">
            <w:pPr>
              <w:spacing w:line="276" w:lineRule="auto"/>
              <w:rPr>
                <w:szCs w:val="21"/>
              </w:rPr>
            </w:pPr>
            <w:r>
              <w:rPr>
                <w:sz w:val="22"/>
                <w:szCs w:val="22"/>
              </w:rPr>
              <w:sym w:font="Wingdings 2" w:char="F052"/>
            </w:r>
            <w:r>
              <w:rPr>
                <w:rFonts w:hint="eastAsia"/>
                <w:szCs w:val="21"/>
              </w:rPr>
              <w:t>无</w:t>
            </w:r>
          </w:p>
          <w:p w14:paraId="3F61A6B9">
            <w:pPr>
              <w:spacing w:line="276" w:lineRule="auto"/>
              <w:rPr>
                <w:szCs w:val="21"/>
                <w:u w:val="single"/>
              </w:rPr>
            </w:pPr>
            <w:r>
              <w:rPr>
                <w:rFonts w:hint="eastAsia"/>
                <w:szCs w:val="21"/>
              </w:rPr>
              <w:t>□有，详见：</w:t>
            </w:r>
            <w:r>
              <w:rPr>
                <w:rFonts w:hint="eastAsia"/>
                <w:szCs w:val="21"/>
                <w:u w:val="single"/>
              </w:rPr>
              <w:t xml:space="preserve"> </w:t>
            </w:r>
            <w:r>
              <w:rPr>
                <w:szCs w:val="21"/>
                <w:u w:val="single"/>
              </w:rPr>
              <w:t xml:space="preserve">            </w:t>
            </w:r>
          </w:p>
        </w:tc>
      </w:tr>
      <w:tr w14:paraId="4987FA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3" w:hRule="atLeast"/>
        </w:trPr>
        <w:tc>
          <w:tcPr>
            <w:tcW w:w="755" w:type="dxa"/>
            <w:tcBorders>
              <w:top w:val="single" w:color="auto" w:sz="4" w:space="0"/>
              <w:left w:val="single" w:color="auto" w:sz="4" w:space="0"/>
              <w:bottom w:val="single" w:color="auto" w:sz="4" w:space="0"/>
              <w:right w:val="single" w:color="auto" w:sz="4" w:space="0"/>
            </w:tcBorders>
            <w:vAlign w:val="center"/>
          </w:tcPr>
          <w:p w14:paraId="32B7E7F7">
            <w:pPr>
              <w:spacing w:line="300" w:lineRule="exact"/>
              <w:jc w:val="center"/>
              <w:rPr>
                <w:b/>
                <w:szCs w:val="21"/>
              </w:rPr>
            </w:pPr>
            <w:r>
              <w:rPr>
                <w:rFonts w:hint="eastAsia"/>
                <w:b/>
                <w:szCs w:val="21"/>
              </w:rPr>
              <w:t>10</w:t>
            </w:r>
            <w:r>
              <w:rPr>
                <w:b/>
                <w:szCs w:val="21"/>
              </w:rPr>
              <w:t>.4</w:t>
            </w:r>
          </w:p>
        </w:tc>
        <w:tc>
          <w:tcPr>
            <w:tcW w:w="1230" w:type="dxa"/>
            <w:tcBorders>
              <w:top w:val="single" w:color="auto" w:sz="4" w:space="0"/>
              <w:left w:val="single" w:color="auto" w:sz="4" w:space="0"/>
              <w:bottom w:val="single" w:color="auto" w:sz="4" w:space="0"/>
              <w:right w:val="single" w:color="auto" w:sz="4" w:space="0"/>
            </w:tcBorders>
            <w:vAlign w:val="center"/>
          </w:tcPr>
          <w:p w14:paraId="544ABE3A">
            <w:pPr>
              <w:spacing w:line="300" w:lineRule="exact"/>
              <w:jc w:val="center"/>
              <w:rPr>
                <w:szCs w:val="20"/>
              </w:rPr>
            </w:pPr>
            <w:r>
              <w:rPr>
                <w:rFonts w:hint="eastAsia"/>
                <w:szCs w:val="20"/>
              </w:rPr>
              <w:t>其他事项</w:t>
            </w:r>
          </w:p>
        </w:tc>
        <w:tc>
          <w:tcPr>
            <w:tcW w:w="7229" w:type="dxa"/>
            <w:tcBorders>
              <w:top w:val="single" w:color="auto" w:sz="4" w:space="0"/>
              <w:left w:val="single" w:color="auto" w:sz="4" w:space="0"/>
              <w:bottom w:val="single" w:color="auto" w:sz="4" w:space="0"/>
              <w:right w:val="single" w:color="auto" w:sz="4" w:space="0"/>
            </w:tcBorders>
            <w:vAlign w:val="center"/>
          </w:tcPr>
          <w:p w14:paraId="5270AC8F">
            <w:pPr>
              <w:spacing w:line="276" w:lineRule="auto"/>
              <w:rPr>
                <w:szCs w:val="21"/>
              </w:rPr>
            </w:pPr>
            <w:r>
              <w:rPr>
                <w:rFonts w:hint="eastAsia"/>
                <w:szCs w:val="21"/>
              </w:rPr>
              <w:t>构成本招标文件的各个组成文件应互为解释，互为说明：</w:t>
            </w:r>
          </w:p>
          <w:p w14:paraId="4798BC98">
            <w:pPr>
              <w:spacing w:line="276" w:lineRule="auto"/>
              <w:rPr>
                <w:sz w:val="24"/>
              </w:rPr>
            </w:pPr>
            <w:r>
              <w:rPr>
                <w:rFonts w:hint="eastAsia"/>
                <w:szCs w:val="21"/>
              </w:rPr>
              <w:t>除招标文件中有特别规定外，仅适用于招标投标阶段的规定，按更正公告（澄清公告）、招标公告、采购需求、投标人须知、评审方法及标准、合同条款格式、投标文件格式的先后顺序解释；同一组成文件中就同一事项的规定或者约定不一致的，以编排顺序在后者为准；同一组成文件不同版本之间有不一致的，以形成时间在后者为准；更正公告（澄清公告）与同步更新的招标文件不一致时以更正公告（澄清公告）为准。按本款前述规定仍不能形成结论的，由采购人或者采购代理机构负责解释。</w:t>
            </w:r>
          </w:p>
        </w:tc>
      </w:tr>
      <w:bookmarkEnd w:id="31"/>
    </w:tbl>
    <w:p w14:paraId="00A0B2FA">
      <w:pPr>
        <w:spacing w:before="120" w:line="320" w:lineRule="atLeast"/>
        <w:outlineLvl w:val="1"/>
        <w:rPr>
          <w:bCs/>
          <w:kern w:val="0"/>
          <w:sz w:val="28"/>
          <w:szCs w:val="28"/>
        </w:rPr>
        <w:sectPr>
          <w:pgSz w:w="11906" w:h="16838"/>
          <w:pgMar w:top="993" w:right="1133" w:bottom="1246" w:left="1418" w:header="851" w:footer="992" w:gutter="0"/>
          <w:cols w:space="720" w:num="1"/>
          <w:titlePg/>
          <w:docGrid w:linePitch="312" w:charSpace="0"/>
        </w:sectPr>
      </w:pPr>
    </w:p>
    <w:p w14:paraId="2FFECB15">
      <w:pPr>
        <w:spacing w:before="120" w:line="320" w:lineRule="atLeast"/>
        <w:outlineLvl w:val="1"/>
        <w:rPr>
          <w:b/>
          <w:bCs/>
          <w:kern w:val="0"/>
          <w:szCs w:val="21"/>
        </w:rPr>
      </w:pPr>
      <w:bookmarkStart w:id="33" w:name="_Hlk88949215"/>
      <w:r>
        <w:rPr>
          <w:b/>
          <w:bCs/>
          <w:kern w:val="0"/>
          <w:szCs w:val="21"/>
        </w:rPr>
        <w:t>1．总则</w:t>
      </w:r>
    </w:p>
    <w:p w14:paraId="5CC1A930">
      <w:pPr>
        <w:spacing w:before="120" w:line="320" w:lineRule="atLeast"/>
        <w:ind w:firstLine="422" w:firstLineChars="200"/>
        <w:outlineLvl w:val="2"/>
        <w:rPr>
          <w:b/>
          <w:bCs/>
          <w:kern w:val="0"/>
          <w:szCs w:val="21"/>
        </w:rPr>
      </w:pPr>
      <w:bookmarkStart w:id="34" w:name="_Toc254970527"/>
      <w:bookmarkStart w:id="35" w:name="_Toc254970668"/>
      <w:r>
        <w:rPr>
          <w:b/>
          <w:bCs/>
          <w:kern w:val="0"/>
          <w:szCs w:val="21"/>
        </w:rPr>
        <w:t>1.1适用范围</w:t>
      </w:r>
      <w:bookmarkEnd w:id="34"/>
      <w:bookmarkEnd w:id="35"/>
    </w:p>
    <w:p w14:paraId="0C848380">
      <w:pPr>
        <w:spacing w:before="120" w:line="320" w:lineRule="atLeast"/>
        <w:ind w:firstLine="420" w:firstLineChars="200"/>
        <w:rPr>
          <w:szCs w:val="21"/>
        </w:rPr>
      </w:pPr>
      <w:r>
        <w:rPr>
          <w:szCs w:val="21"/>
        </w:rPr>
        <w:t>本招标文件适用于</w:t>
      </w:r>
      <w:r>
        <w:rPr>
          <w:rFonts w:hint="eastAsia"/>
          <w:szCs w:val="21"/>
        </w:rPr>
        <w:t>投标人</w:t>
      </w:r>
      <w:r>
        <w:rPr>
          <w:szCs w:val="21"/>
        </w:rPr>
        <w:t>须知前附表所述项目的</w:t>
      </w:r>
      <w:r>
        <w:rPr>
          <w:rFonts w:hint="eastAsia"/>
          <w:szCs w:val="21"/>
        </w:rPr>
        <w:t>政府采购活动。</w:t>
      </w:r>
    </w:p>
    <w:p w14:paraId="52B57441">
      <w:pPr>
        <w:spacing w:before="120" w:line="320" w:lineRule="atLeast"/>
        <w:ind w:firstLine="422" w:firstLineChars="200"/>
        <w:outlineLvl w:val="2"/>
        <w:rPr>
          <w:b/>
          <w:bCs/>
          <w:kern w:val="0"/>
          <w:szCs w:val="21"/>
        </w:rPr>
      </w:pPr>
      <w:bookmarkStart w:id="36" w:name="_Toc254970528"/>
      <w:bookmarkStart w:id="37" w:name="_Toc254970669"/>
      <w:r>
        <w:rPr>
          <w:b/>
          <w:bCs/>
          <w:kern w:val="0"/>
          <w:szCs w:val="21"/>
        </w:rPr>
        <w:t>1.2定义</w:t>
      </w:r>
      <w:bookmarkEnd w:id="36"/>
      <w:bookmarkEnd w:id="37"/>
    </w:p>
    <w:p w14:paraId="1639C8A4">
      <w:pPr>
        <w:spacing w:before="120" w:line="320" w:lineRule="atLeast"/>
        <w:ind w:firstLine="420" w:firstLineChars="200"/>
        <w:rPr>
          <w:szCs w:val="21"/>
        </w:rPr>
      </w:pPr>
      <w:r>
        <w:rPr>
          <w:szCs w:val="21"/>
        </w:rPr>
        <w:t>1.2.1</w:t>
      </w:r>
      <w:r>
        <w:rPr>
          <w:rFonts w:hint="eastAsia"/>
          <w:szCs w:val="21"/>
        </w:rPr>
        <w:t>“</w:t>
      </w:r>
      <w:r>
        <w:rPr>
          <w:szCs w:val="21"/>
        </w:rPr>
        <w:t>采购人</w:t>
      </w:r>
      <w:r>
        <w:rPr>
          <w:rFonts w:hint="eastAsia"/>
          <w:szCs w:val="21"/>
        </w:rPr>
        <w:t>”</w:t>
      </w:r>
      <w:r>
        <w:rPr>
          <w:szCs w:val="21"/>
        </w:rPr>
        <w:t>系指依法进行政府采购的国家机关、事业单位、团体组织。</w:t>
      </w:r>
    </w:p>
    <w:p w14:paraId="41D30C0D">
      <w:pPr>
        <w:spacing w:before="120" w:line="320" w:lineRule="atLeast"/>
        <w:ind w:firstLine="420" w:firstLineChars="200"/>
        <w:rPr>
          <w:szCs w:val="21"/>
        </w:rPr>
      </w:pPr>
      <w:r>
        <w:rPr>
          <w:rFonts w:hint="eastAsia"/>
          <w:szCs w:val="21"/>
        </w:rPr>
        <w:t>1.2.2“供应商”系</w:t>
      </w:r>
      <w:r>
        <w:rPr>
          <w:szCs w:val="21"/>
        </w:rPr>
        <w:t>指向采购人提供货物、工程或者服务的法人、其他组织或者自然人。</w:t>
      </w:r>
    </w:p>
    <w:p w14:paraId="58822BB5">
      <w:pPr>
        <w:spacing w:before="120" w:line="320" w:lineRule="atLeast"/>
        <w:ind w:firstLine="420" w:firstLineChars="200"/>
        <w:rPr>
          <w:szCs w:val="21"/>
        </w:rPr>
      </w:pPr>
      <w:r>
        <w:rPr>
          <w:szCs w:val="21"/>
        </w:rPr>
        <w:t>1.2.</w:t>
      </w:r>
      <w:r>
        <w:rPr>
          <w:rFonts w:hint="eastAsia"/>
          <w:szCs w:val="21"/>
        </w:rPr>
        <w:t>3“投标人”</w:t>
      </w:r>
      <w:r>
        <w:rPr>
          <w:szCs w:val="21"/>
        </w:rPr>
        <w:t>系</w:t>
      </w:r>
      <w:r>
        <w:t>指响应招标、参加投标竞争的法人、其他组织或者自然人</w:t>
      </w:r>
      <w:r>
        <w:rPr>
          <w:szCs w:val="21"/>
        </w:rPr>
        <w:t>。</w:t>
      </w:r>
    </w:p>
    <w:p w14:paraId="14D3A88E">
      <w:pPr>
        <w:spacing w:before="120" w:line="360" w:lineRule="auto"/>
        <w:ind w:firstLine="420" w:firstLineChars="200"/>
      </w:pPr>
      <w:r>
        <w:rPr>
          <w:rFonts w:hint="eastAsia"/>
        </w:rPr>
        <w:t>1.2.4</w:t>
      </w:r>
      <w:r>
        <w:t>本</w:t>
      </w:r>
      <w:r>
        <w:rPr>
          <w:rFonts w:hint="eastAsia"/>
        </w:rPr>
        <w:t>文件</w:t>
      </w:r>
      <w:r>
        <w:t>中的</w:t>
      </w:r>
      <w:r>
        <w:rPr>
          <w:rFonts w:hint="eastAsia"/>
        </w:rPr>
        <w:t>“法定代表人”若无特别说明，当</w:t>
      </w:r>
      <w:r>
        <w:t>供应商是</w:t>
      </w:r>
      <w:r>
        <w:rPr>
          <w:rFonts w:hint="eastAsia"/>
        </w:rPr>
        <w:t>企业的，是指企业法人营业执照上的法定代表人；当</w:t>
      </w:r>
      <w:r>
        <w:t>供应商是</w:t>
      </w:r>
      <w:r>
        <w:rPr>
          <w:rFonts w:hint="eastAsia"/>
        </w:rPr>
        <w:t>事业单位的，是指事业单位法人证书上的法定代表人；当</w:t>
      </w:r>
      <w:r>
        <w:t>供应商是</w:t>
      </w:r>
      <w:r>
        <w:rPr>
          <w:rFonts w:hint="eastAsia"/>
        </w:rPr>
        <w:t>社会团体、民办非企业的，是指法人登记证书中的法定代表人；当</w:t>
      </w:r>
      <w:r>
        <w:t>供应商是</w:t>
      </w:r>
      <w:r>
        <w:rPr>
          <w:rFonts w:hint="eastAsia"/>
        </w:rPr>
        <w:t>个体工商户的，是指个体工商户营业执照上的经营者；</w:t>
      </w:r>
      <w:r>
        <w:t>当供应商是自然人</w:t>
      </w:r>
      <w:r>
        <w:rPr>
          <w:rFonts w:hint="eastAsia"/>
        </w:rPr>
        <w:t>的，是指参与本项目响应的自然人本人。</w:t>
      </w:r>
    </w:p>
    <w:p w14:paraId="16F61559">
      <w:pPr>
        <w:spacing w:before="120" w:line="360" w:lineRule="auto"/>
        <w:ind w:firstLine="420" w:firstLineChars="200"/>
      </w:pPr>
      <w:r>
        <w:rPr>
          <w:rFonts w:hint="eastAsia"/>
        </w:rPr>
        <w:t>1.2.5本文件中的“公章”是指根据我国对公章的管理规定，用供应商法定主体行为名称制作的印章，除本文件有特殊规定外，供应商的财务章、部门章、分公司章、工会章、合同章、投标专用章、业务专用章及银行的转账章、现金收讫章、现金付讫章等其他形式印章均不能代替公章。本文件中的“签章”是指电子签名的一种表现形式，利用图像处理技术将电子签名操作转化为与纸质文件盖章操作相同的可视效果，同时利用电子签名技术保障电子信息的真实性和完整性以及签名人的不可否认性。</w:t>
      </w:r>
    </w:p>
    <w:p w14:paraId="799DAEED">
      <w:pPr>
        <w:widowControl/>
        <w:spacing w:line="360" w:lineRule="auto"/>
        <w:ind w:firstLine="420" w:firstLineChars="200"/>
        <w:jc w:val="left"/>
        <w:rPr>
          <w:szCs w:val="21"/>
        </w:rPr>
      </w:pPr>
      <w:r>
        <w:rPr>
          <w:szCs w:val="21"/>
        </w:rPr>
        <w:t>1.2.</w:t>
      </w:r>
      <w:r>
        <w:rPr>
          <w:rFonts w:hint="eastAsia"/>
          <w:szCs w:val="21"/>
        </w:rPr>
        <w:t>6</w:t>
      </w:r>
      <w:r>
        <w:rPr>
          <w:szCs w:val="21"/>
        </w:rPr>
        <w:t>“书面形式”如无特殊规定，</w:t>
      </w:r>
      <w:r>
        <w:rPr>
          <w:rFonts w:hint="eastAsia"/>
          <w:szCs w:val="21"/>
        </w:rPr>
        <w:t>书面形式是合同书、信件、电报、电传等可以有形地表现所载内容的形式。以电子数据交换、电子邮件等方式能够有形地表现所载内容，并可以随时调取查用的数据电文，视为书面形式。</w:t>
      </w:r>
      <w:r>
        <w:rPr>
          <w:szCs w:val="21"/>
        </w:rPr>
        <w:t xml:space="preserve">招标文件如有特殊规定，以招标文件规定为准。 </w:t>
      </w:r>
    </w:p>
    <w:p w14:paraId="314CB1C2">
      <w:pPr>
        <w:spacing w:before="120" w:line="320" w:lineRule="atLeast"/>
        <w:ind w:firstLine="420" w:firstLineChars="200"/>
        <w:rPr>
          <w:szCs w:val="21"/>
        </w:rPr>
      </w:pPr>
      <w:r>
        <w:rPr>
          <w:szCs w:val="21"/>
        </w:rPr>
        <w:t>1.2.</w:t>
      </w:r>
      <w:r>
        <w:rPr>
          <w:rFonts w:hint="eastAsia"/>
          <w:szCs w:val="21"/>
        </w:rPr>
        <w:t>7本项目的技术商务要求重要性分为“▲”（如有）、“#”（如有）和一般无标识指标。▲代表实质性要求指标，</w:t>
      </w:r>
      <w:r>
        <w:rPr>
          <w:rFonts w:hint="eastAsia"/>
          <w:b/>
          <w:bCs/>
          <w:szCs w:val="21"/>
        </w:rPr>
        <w:t>不满足该指标项将导致投标被否决</w:t>
      </w:r>
      <w:r>
        <w:rPr>
          <w:rFonts w:hint="eastAsia"/>
          <w:szCs w:val="21"/>
        </w:rPr>
        <w:t>，#代表重要指标，无标识则表示一般指标项。</w:t>
      </w:r>
    </w:p>
    <w:p w14:paraId="664C3C76">
      <w:pPr>
        <w:spacing w:before="120" w:line="320" w:lineRule="atLeast"/>
        <w:ind w:firstLine="420" w:firstLineChars="200"/>
        <w:rPr>
          <w:szCs w:val="21"/>
        </w:rPr>
      </w:pPr>
      <w:r>
        <w:rPr>
          <w:szCs w:val="21"/>
        </w:rPr>
        <w:t>1.2.</w:t>
      </w:r>
      <w:r>
        <w:rPr>
          <w:rFonts w:hint="eastAsia"/>
          <w:szCs w:val="21"/>
        </w:rPr>
        <w:t>8 本</w:t>
      </w:r>
      <w:r>
        <w:rPr>
          <w:szCs w:val="21"/>
        </w:rPr>
        <w:t>招标文件</w:t>
      </w:r>
      <w:r>
        <w:rPr>
          <w:rFonts w:hint="eastAsia"/>
          <w:szCs w:val="21"/>
        </w:rPr>
        <w:t>出现多种选项的条款，以“</w:t>
      </w:r>
      <w:r>
        <w:rPr/>
        <w:sym w:font="Wingdings 2" w:char="F052"/>
      </w:r>
      <w:r>
        <w:rPr>
          <w:rFonts w:hint="eastAsia"/>
          <w:szCs w:val="21"/>
        </w:rPr>
        <w:t>”表示本条款所选择的方式。</w:t>
      </w:r>
    </w:p>
    <w:p w14:paraId="15B864AB">
      <w:pPr>
        <w:spacing w:before="120" w:line="320" w:lineRule="atLeast"/>
        <w:ind w:firstLine="420" w:firstLineChars="200"/>
        <w:rPr>
          <w:szCs w:val="21"/>
        </w:rPr>
      </w:pPr>
      <w:r>
        <w:rPr>
          <w:rFonts w:hint="eastAsia"/>
          <w:szCs w:val="21"/>
        </w:rPr>
        <w:t>1.</w:t>
      </w:r>
      <w:r>
        <w:rPr>
          <w:szCs w:val="21"/>
        </w:rPr>
        <w:t>2</w:t>
      </w:r>
      <w:r>
        <w:rPr>
          <w:rFonts w:hint="eastAsia"/>
          <w:szCs w:val="21"/>
        </w:rPr>
        <w:t>.9</w:t>
      </w:r>
      <w:r>
        <w:rPr>
          <w:szCs w:val="21"/>
        </w:rPr>
        <w:t xml:space="preserve"> “</w:t>
      </w:r>
      <w:r>
        <w:rPr>
          <w:rFonts w:hint="eastAsia"/>
          <w:szCs w:val="21"/>
        </w:rPr>
        <w:t>电子交易平台</w:t>
      </w:r>
      <w:r>
        <w:rPr>
          <w:szCs w:val="21"/>
        </w:rPr>
        <w:t>”</w:t>
      </w:r>
      <w:r>
        <w:rPr>
          <w:rFonts w:hint="eastAsia"/>
          <w:szCs w:val="21"/>
        </w:rPr>
        <w:t>是指以数据电文形式在线完成采购活动的信息平台，本招标文件中也称</w:t>
      </w:r>
      <w:r>
        <w:rPr>
          <w:szCs w:val="21"/>
        </w:rPr>
        <w:t>“</w:t>
      </w:r>
      <w:r>
        <w:rPr>
          <w:rFonts w:hint="eastAsia"/>
          <w:szCs w:val="21"/>
        </w:rPr>
        <w:t>广西政府采购云平台</w:t>
      </w:r>
      <w:r>
        <w:rPr>
          <w:szCs w:val="21"/>
        </w:rPr>
        <w:t>”</w:t>
      </w:r>
      <w:r>
        <w:rPr>
          <w:rFonts w:hint="eastAsia"/>
          <w:szCs w:val="21"/>
        </w:rPr>
        <w:t>。</w:t>
      </w:r>
    </w:p>
    <w:p w14:paraId="5DFAB9E1">
      <w:pPr>
        <w:spacing w:before="120" w:line="320" w:lineRule="atLeast"/>
        <w:ind w:firstLine="422" w:firstLineChars="200"/>
        <w:outlineLvl w:val="2"/>
        <w:rPr>
          <w:b/>
          <w:bCs/>
          <w:kern w:val="0"/>
          <w:szCs w:val="21"/>
        </w:rPr>
      </w:pPr>
      <w:r>
        <w:rPr>
          <w:rFonts w:hint="eastAsia"/>
          <w:b/>
          <w:bCs/>
          <w:kern w:val="0"/>
          <w:szCs w:val="21"/>
        </w:rPr>
        <w:t>1</w:t>
      </w:r>
      <w:r>
        <w:rPr>
          <w:b/>
          <w:bCs/>
          <w:kern w:val="0"/>
          <w:szCs w:val="21"/>
        </w:rPr>
        <w:t>.3</w:t>
      </w:r>
      <w:r>
        <w:rPr>
          <w:rFonts w:hint="eastAsia"/>
          <w:b/>
          <w:bCs/>
          <w:kern w:val="0"/>
          <w:szCs w:val="21"/>
        </w:rPr>
        <w:t>项目信息</w:t>
      </w:r>
    </w:p>
    <w:p w14:paraId="76B9CAB2">
      <w:pPr>
        <w:spacing w:before="120" w:line="320" w:lineRule="atLeast"/>
        <w:ind w:firstLine="420" w:firstLineChars="200"/>
        <w:rPr>
          <w:szCs w:val="21"/>
        </w:rPr>
      </w:pPr>
      <w:r>
        <w:rPr>
          <w:rFonts w:hint="eastAsia"/>
          <w:szCs w:val="21"/>
        </w:rPr>
        <w:t>1</w:t>
      </w:r>
      <w:r>
        <w:rPr>
          <w:szCs w:val="21"/>
        </w:rPr>
        <w:t>.3.1</w:t>
      </w:r>
      <w:r>
        <w:rPr>
          <w:rFonts w:hint="eastAsia"/>
          <w:szCs w:val="21"/>
        </w:rPr>
        <w:t>项目名称及编号：详见投标人须知前附表</w:t>
      </w:r>
    </w:p>
    <w:p w14:paraId="50A20653">
      <w:pPr>
        <w:spacing w:before="120" w:line="320" w:lineRule="atLeast"/>
        <w:ind w:firstLine="420" w:firstLineChars="200"/>
        <w:rPr>
          <w:szCs w:val="21"/>
        </w:rPr>
      </w:pPr>
      <w:r>
        <w:rPr>
          <w:rFonts w:hint="eastAsia"/>
          <w:szCs w:val="21"/>
        </w:rPr>
        <w:t>1</w:t>
      </w:r>
      <w:r>
        <w:rPr>
          <w:szCs w:val="21"/>
        </w:rPr>
        <w:t>.3.2</w:t>
      </w:r>
      <w:r>
        <w:rPr>
          <w:rFonts w:hint="eastAsia"/>
          <w:szCs w:val="21"/>
        </w:rPr>
        <w:t>采购方式：详见投标人须知前附表</w:t>
      </w:r>
    </w:p>
    <w:p w14:paraId="72D97B23">
      <w:pPr>
        <w:spacing w:before="120" w:line="320" w:lineRule="atLeast"/>
        <w:ind w:firstLine="422" w:firstLineChars="200"/>
        <w:outlineLvl w:val="2"/>
        <w:rPr>
          <w:b/>
          <w:bCs/>
          <w:kern w:val="0"/>
          <w:szCs w:val="21"/>
        </w:rPr>
      </w:pPr>
      <w:bookmarkStart w:id="38" w:name="_Hlk132812137"/>
      <w:r>
        <w:rPr>
          <w:rFonts w:hint="eastAsia"/>
          <w:b/>
          <w:bCs/>
          <w:kern w:val="0"/>
          <w:szCs w:val="21"/>
        </w:rPr>
        <w:t>1</w:t>
      </w:r>
      <w:r>
        <w:rPr>
          <w:b/>
          <w:bCs/>
          <w:kern w:val="0"/>
          <w:szCs w:val="21"/>
        </w:rPr>
        <w:t>.4</w:t>
      </w:r>
      <w:r>
        <w:rPr>
          <w:rFonts w:hint="eastAsia"/>
          <w:b/>
          <w:bCs/>
          <w:kern w:val="0"/>
          <w:szCs w:val="21"/>
        </w:rPr>
        <w:t>促进中小企业发展政策</w:t>
      </w:r>
    </w:p>
    <w:p w14:paraId="1C55D784">
      <w:pPr>
        <w:spacing w:before="120" w:line="320" w:lineRule="atLeast"/>
        <w:ind w:left="2" w:leftChars="1" w:firstLine="420" w:firstLineChars="200"/>
        <w:rPr>
          <w:szCs w:val="21"/>
        </w:rPr>
      </w:pPr>
      <w:r>
        <w:rPr>
          <w:szCs w:val="21"/>
        </w:rPr>
        <w:t>1.4.1</w:t>
      </w:r>
      <w:r>
        <w:rPr>
          <w:rFonts w:hint="eastAsia"/>
          <w:szCs w:val="21"/>
        </w:rPr>
        <w:t>本项目落实促进中小企业发展政策措施在前附表规定。依据促进中小企业发展政策获得政府采购合同的，小微企业不得将合同分包给大中型企业，中型企业不得将合同分包给大型企业。</w:t>
      </w:r>
    </w:p>
    <w:p w14:paraId="2439A8B7">
      <w:pPr>
        <w:spacing w:before="120" w:line="320" w:lineRule="atLeast"/>
        <w:ind w:left="2" w:leftChars="1" w:firstLine="420" w:firstLineChars="200"/>
        <w:rPr>
          <w:szCs w:val="21"/>
        </w:rPr>
      </w:pPr>
      <w:bookmarkStart w:id="39" w:name="_Hlk138842976"/>
      <w:r>
        <w:rPr>
          <w:rFonts w:hint="eastAsia"/>
          <w:szCs w:val="21"/>
        </w:rPr>
        <w:t>根据《政府采购促进中小企业发展管理办法》（财库〔2020〕46号）第九条以及《广西壮族自治区财政厅 广西壮族自治区工业和信息化厅转发财政部 工业和信息化部政府采购促进中小企业发展管理办法的通知》（桂财采〔2021〕70号）规定，</w:t>
      </w:r>
      <w:bookmarkEnd w:id="39"/>
      <w:bookmarkStart w:id="40" w:name="_Hlk92205820"/>
      <w:r>
        <w:rPr>
          <w:rFonts w:hint="eastAsia"/>
          <w:szCs w:val="21"/>
        </w:rPr>
        <w:t>价格扣除比例在第四章评审方法及标准中规定，对小型企业和微型企业同等对待，不作区分。</w:t>
      </w:r>
    </w:p>
    <w:p w14:paraId="530A2C14">
      <w:pPr>
        <w:spacing w:before="120" w:line="320" w:lineRule="atLeast"/>
        <w:ind w:left="2" w:leftChars="1" w:firstLine="420" w:firstLineChars="200"/>
        <w:rPr>
          <w:szCs w:val="21"/>
        </w:rPr>
      </w:pPr>
      <w:r>
        <w:rPr>
          <w:szCs w:val="21"/>
        </w:rPr>
        <w:t>1.4.2</w:t>
      </w:r>
      <w:r>
        <w:rPr>
          <w:rFonts w:hint="eastAsia"/>
          <w:szCs w:val="21"/>
        </w:rPr>
        <w:t>中小企业定义</w:t>
      </w:r>
    </w:p>
    <w:p w14:paraId="4849CC90">
      <w:pPr>
        <w:spacing w:before="120" w:line="320" w:lineRule="atLeast"/>
        <w:ind w:firstLine="420" w:firstLineChars="200"/>
        <w:rPr>
          <w:szCs w:val="21"/>
        </w:rPr>
      </w:pPr>
      <w:r>
        <w:rPr>
          <w:szCs w:val="21"/>
        </w:rPr>
        <w:t>1.4.2.1</w:t>
      </w:r>
      <w:r>
        <w:rPr>
          <w:rFonts w:hint="eastAsia"/>
          <w:szCs w:val="21"/>
        </w:rPr>
        <w:t>中小企业是指在中华人民共和国境内依法设立，依据国务院批准的中小企业划分标准确定的中型企业、小型企业和微型企业，但与大企业的负责人为同一人，或者与大企业存在直接控股、管理关系的除外。</w:t>
      </w:r>
    </w:p>
    <w:p w14:paraId="52398D39">
      <w:pPr>
        <w:spacing w:before="120" w:line="320" w:lineRule="atLeast"/>
        <w:ind w:left="2" w:leftChars="1" w:firstLine="420" w:firstLineChars="200"/>
        <w:rPr>
          <w:szCs w:val="21"/>
        </w:rPr>
      </w:pPr>
      <w:r>
        <w:rPr>
          <w:szCs w:val="21"/>
        </w:rPr>
        <w:t>1.4.2.2</w:t>
      </w:r>
      <w:r>
        <w:rPr>
          <w:rFonts w:hint="eastAsia"/>
          <w:szCs w:val="21"/>
        </w:rPr>
        <w:t>供应商提供的货物、工程或者服务符合下列情形的，享受本款规定的促进中小企业发展政策：</w:t>
      </w:r>
    </w:p>
    <w:p w14:paraId="04EBA68B">
      <w:pPr>
        <w:spacing w:before="120" w:line="320" w:lineRule="atLeast"/>
        <w:ind w:left="2" w:leftChars="1" w:firstLine="420" w:firstLineChars="200"/>
        <w:rPr>
          <w:szCs w:val="21"/>
        </w:rPr>
      </w:pPr>
      <w:r>
        <w:rPr>
          <w:rFonts w:hint="eastAsia"/>
          <w:szCs w:val="21"/>
        </w:rPr>
        <w:t>在货物采购项目中，货物由中小企业制造，即货物由中小企业生产且使用该中小企业商号或者注册商标；</w:t>
      </w:r>
    </w:p>
    <w:p w14:paraId="5F60C603">
      <w:pPr>
        <w:spacing w:before="120" w:line="320" w:lineRule="atLeast"/>
        <w:ind w:left="2" w:leftChars="1" w:firstLine="420" w:firstLineChars="200"/>
        <w:rPr>
          <w:szCs w:val="21"/>
        </w:rPr>
      </w:pPr>
      <w:r>
        <w:rPr>
          <w:rFonts w:hint="eastAsia"/>
          <w:szCs w:val="21"/>
        </w:rPr>
        <w:t>在工程采购项目中，工程由中小企业承建，即工程施工单位为中小企业；</w:t>
      </w:r>
    </w:p>
    <w:p w14:paraId="1E993EAD">
      <w:pPr>
        <w:spacing w:before="120" w:line="320" w:lineRule="atLeast"/>
        <w:ind w:left="2" w:leftChars="1" w:firstLine="420" w:firstLineChars="200"/>
        <w:rPr>
          <w:szCs w:val="21"/>
        </w:rPr>
      </w:pPr>
      <w:r>
        <w:rPr>
          <w:rFonts w:hint="eastAsia"/>
          <w:szCs w:val="21"/>
        </w:rPr>
        <w:t>在服务采购项目中，服务由中小企业承接，即提供服务的人员为中小企业依照《中华人民共和国劳动合同法》订立劳动合同的从业人员。</w:t>
      </w:r>
    </w:p>
    <w:p w14:paraId="780647AA">
      <w:pPr>
        <w:spacing w:before="120" w:line="320" w:lineRule="atLeast"/>
        <w:ind w:left="2" w:leftChars="1" w:firstLine="420" w:firstLineChars="200"/>
        <w:rPr>
          <w:szCs w:val="21"/>
        </w:rPr>
      </w:pPr>
      <w:r>
        <w:rPr>
          <w:rFonts w:hint="eastAsia"/>
          <w:szCs w:val="21"/>
        </w:rPr>
        <w:t>在货物采购项目中，供应商提供的货物既有中小企业制造货物，也有大型企业制造货物的，不享受本款规定的促进中小企业发展政策。</w:t>
      </w:r>
    </w:p>
    <w:p w14:paraId="23F83647">
      <w:pPr>
        <w:spacing w:before="120" w:line="320" w:lineRule="atLeast"/>
        <w:ind w:firstLine="420" w:firstLineChars="200"/>
        <w:rPr>
          <w:szCs w:val="21"/>
        </w:rPr>
      </w:pPr>
      <w:r>
        <w:rPr>
          <w:szCs w:val="21"/>
        </w:rPr>
        <w:t>1.4.2</w:t>
      </w:r>
      <w:r>
        <w:rPr>
          <w:rFonts w:hint="eastAsia"/>
          <w:szCs w:val="21"/>
        </w:rPr>
        <w:t>.</w:t>
      </w:r>
      <w:r>
        <w:rPr>
          <w:szCs w:val="21"/>
        </w:rPr>
        <w:t>3</w:t>
      </w:r>
      <w:r>
        <w:rPr>
          <w:rFonts w:hint="eastAsia"/>
          <w:szCs w:val="21"/>
        </w:rPr>
        <w:t>本项目标的所属行业在第二章采购需求中规定。供应商根据中小企业划分标准（《关于印发中小企业划型标准规定的通知》（工信部联企业〔2011〕300号）判断是否为中小企业。（见附件）</w:t>
      </w:r>
    </w:p>
    <w:p w14:paraId="0446FC77">
      <w:pPr>
        <w:spacing w:before="120" w:line="320" w:lineRule="atLeast"/>
        <w:ind w:firstLine="420" w:firstLineChars="200"/>
        <w:rPr>
          <w:szCs w:val="21"/>
        </w:rPr>
      </w:pPr>
      <w:r>
        <w:rPr>
          <w:rFonts w:hint="eastAsia"/>
          <w:szCs w:val="21"/>
        </w:rPr>
        <w:t>符合条件的货物制造商、工程施工单位、服务承接单位为中小企业的，应按招标文件规定在投标文件中提供声明函。</w:t>
      </w:r>
    </w:p>
    <w:p w14:paraId="32501D53">
      <w:pPr>
        <w:spacing w:before="120" w:line="320" w:lineRule="atLeast"/>
        <w:ind w:firstLine="420" w:firstLineChars="200"/>
        <w:rPr>
          <w:szCs w:val="21"/>
        </w:rPr>
      </w:pPr>
      <w:r>
        <w:rPr>
          <w:szCs w:val="21"/>
        </w:rPr>
        <w:t>1.4</w:t>
      </w:r>
      <w:r>
        <w:rPr>
          <w:rFonts w:hint="eastAsia"/>
          <w:szCs w:val="21"/>
        </w:rPr>
        <w:t>.</w:t>
      </w:r>
      <w:r>
        <w:rPr>
          <w:szCs w:val="21"/>
        </w:rPr>
        <w:t>2</w:t>
      </w:r>
      <w:r>
        <w:rPr>
          <w:rFonts w:hint="eastAsia"/>
          <w:szCs w:val="21"/>
        </w:rPr>
        <w:t>.</w:t>
      </w:r>
      <w:r>
        <w:rPr>
          <w:szCs w:val="21"/>
        </w:rPr>
        <w:t>4</w:t>
      </w:r>
      <w:r>
        <w:rPr>
          <w:rFonts w:hint="eastAsia"/>
          <w:szCs w:val="21"/>
        </w:rPr>
        <w:t>视同中小企业情形</w:t>
      </w:r>
    </w:p>
    <w:p w14:paraId="4681C68E">
      <w:pPr>
        <w:spacing w:before="120" w:line="320" w:lineRule="atLeast"/>
        <w:ind w:firstLine="420" w:firstLineChars="200"/>
        <w:rPr>
          <w:szCs w:val="21"/>
        </w:rPr>
      </w:pPr>
      <w:r>
        <w:rPr>
          <w:rFonts w:hint="eastAsia"/>
          <w:szCs w:val="21"/>
        </w:rPr>
        <w:t>（1）符合中小企业划分标准的个体工商户，视同中小企业。</w:t>
      </w:r>
    </w:p>
    <w:p w14:paraId="7BAB0169">
      <w:pPr>
        <w:spacing w:before="120" w:line="320" w:lineRule="atLeast"/>
        <w:ind w:firstLine="420" w:firstLineChars="200"/>
        <w:rPr>
          <w:szCs w:val="21"/>
        </w:rPr>
      </w:pPr>
      <w:r>
        <w:rPr>
          <w:rFonts w:hint="eastAsia"/>
          <w:szCs w:val="21"/>
        </w:rPr>
        <w:t>（2）以联合体形式参加政府采购活动，联合体各方均为中小企业的，联合体视同中小企业。其中，联合体各方均为小微企业的，联合体视同小微企业。</w:t>
      </w:r>
    </w:p>
    <w:p w14:paraId="6A621274">
      <w:pPr>
        <w:spacing w:before="120" w:line="320" w:lineRule="atLeast"/>
        <w:ind w:firstLine="420" w:firstLineChars="200"/>
        <w:rPr>
          <w:szCs w:val="21"/>
        </w:rPr>
      </w:pPr>
      <w:r>
        <w:rPr>
          <w:rFonts w:hint="eastAsia"/>
          <w:szCs w:val="21"/>
        </w:rPr>
        <w:t>（3）符合《财政部、司法部关于政府采购支持监狱企业发展有关问题的通知》（财库〔2014〕68号）规定的监狱企业，或符合《关于促进残疾人就业政府采购政策的通知》（财库〔2017〕141号）规定的残疾人福利性单位，视同小型、微型企业。</w:t>
      </w:r>
    </w:p>
    <w:p w14:paraId="4F6AC8FA">
      <w:pPr>
        <w:spacing w:before="120" w:line="320" w:lineRule="atLeast"/>
        <w:ind w:left="2" w:leftChars="1" w:firstLine="420" w:firstLineChars="200"/>
        <w:rPr>
          <w:szCs w:val="21"/>
        </w:rPr>
      </w:pPr>
      <w:r>
        <w:rPr>
          <w:rFonts w:hint="eastAsia"/>
          <w:szCs w:val="21"/>
        </w:rPr>
        <w:t>符合条件的货物制造商、工程施工单位、服务承接单位为监狱企业或残疾人福利性单位的，应按招标文件规定在投标文件中提供相关证明文件。</w:t>
      </w:r>
      <w:bookmarkEnd w:id="40"/>
    </w:p>
    <w:bookmarkEnd w:id="38"/>
    <w:p w14:paraId="4EACFAAF">
      <w:pPr>
        <w:spacing w:before="120" w:line="320" w:lineRule="atLeast"/>
        <w:ind w:firstLine="422" w:firstLineChars="200"/>
        <w:outlineLvl w:val="2"/>
        <w:rPr>
          <w:b/>
          <w:bCs/>
          <w:kern w:val="0"/>
          <w:szCs w:val="21"/>
        </w:rPr>
      </w:pPr>
      <w:r>
        <w:rPr>
          <w:b/>
          <w:bCs/>
          <w:kern w:val="0"/>
          <w:szCs w:val="21"/>
        </w:rPr>
        <w:t>1.5</w:t>
      </w:r>
      <w:r>
        <w:rPr>
          <w:rFonts w:hint="eastAsia"/>
          <w:b/>
          <w:bCs/>
          <w:kern w:val="0"/>
          <w:szCs w:val="21"/>
        </w:rPr>
        <w:t>投标人</w:t>
      </w:r>
      <w:r>
        <w:rPr>
          <w:b/>
          <w:bCs/>
          <w:kern w:val="0"/>
          <w:szCs w:val="21"/>
        </w:rPr>
        <w:t>资格</w:t>
      </w:r>
      <w:r>
        <w:rPr>
          <w:rFonts w:hint="eastAsia"/>
          <w:b/>
          <w:bCs/>
          <w:kern w:val="0"/>
          <w:szCs w:val="21"/>
        </w:rPr>
        <w:t>要求</w:t>
      </w:r>
    </w:p>
    <w:p w14:paraId="5D19D993">
      <w:pPr>
        <w:spacing w:before="120" w:line="320" w:lineRule="atLeast"/>
        <w:ind w:firstLine="420" w:firstLineChars="200"/>
        <w:rPr>
          <w:szCs w:val="21"/>
        </w:rPr>
      </w:pPr>
      <w:r>
        <w:rPr>
          <w:szCs w:val="21"/>
        </w:rPr>
        <w:t>1.5.1</w:t>
      </w:r>
      <w:r>
        <w:rPr>
          <w:rFonts w:hint="eastAsia"/>
          <w:szCs w:val="21"/>
        </w:rPr>
        <w:t>投标人资格要求：详见投标人须知前附表</w:t>
      </w:r>
    </w:p>
    <w:p w14:paraId="43BCB99D">
      <w:pPr>
        <w:spacing w:before="120" w:line="320" w:lineRule="atLeast"/>
        <w:ind w:firstLine="420" w:firstLineChars="200"/>
        <w:rPr>
          <w:szCs w:val="21"/>
        </w:rPr>
      </w:pPr>
      <w:r>
        <w:rPr>
          <w:szCs w:val="21"/>
        </w:rPr>
        <w:t>1.5.2按照招标公告的规定获得招标文件。</w:t>
      </w:r>
    </w:p>
    <w:p w14:paraId="3A299460">
      <w:pPr>
        <w:spacing w:before="120" w:line="320" w:lineRule="atLeast"/>
        <w:ind w:firstLine="420" w:firstLineChars="200"/>
        <w:rPr>
          <w:szCs w:val="21"/>
        </w:rPr>
      </w:pPr>
      <w:r>
        <w:rPr>
          <w:szCs w:val="21"/>
        </w:rPr>
        <w:t>1.5.3本项目是否接受联合体投标，见“</w:t>
      </w:r>
      <w:r>
        <w:rPr>
          <w:rFonts w:hint="eastAsia"/>
          <w:szCs w:val="21"/>
        </w:rPr>
        <w:t>投标人</w:t>
      </w:r>
      <w:r>
        <w:rPr>
          <w:szCs w:val="21"/>
        </w:rPr>
        <w:t>须知前附表”规定。</w:t>
      </w:r>
    </w:p>
    <w:p w14:paraId="682E06A2">
      <w:pPr>
        <w:spacing w:before="120" w:line="320" w:lineRule="atLeast"/>
        <w:ind w:firstLine="420" w:firstLineChars="200"/>
        <w:rPr>
          <w:szCs w:val="21"/>
        </w:rPr>
      </w:pPr>
      <w:r>
        <w:rPr>
          <w:rFonts w:hint="eastAsia"/>
          <w:szCs w:val="21"/>
        </w:rPr>
        <w:t xml:space="preserve">如接受联合体投标，联合体投标要求如下： </w:t>
      </w:r>
    </w:p>
    <w:p w14:paraId="48C153EF">
      <w:pPr>
        <w:spacing w:before="120" w:line="320" w:lineRule="atLeast"/>
        <w:ind w:firstLine="420" w:firstLineChars="200"/>
        <w:rPr>
          <w:szCs w:val="21"/>
        </w:rPr>
      </w:pPr>
      <w:r>
        <w:rPr>
          <w:szCs w:val="21"/>
        </w:rPr>
        <w:t>（1</w:t>
      </w:r>
      <w:r>
        <w:rPr>
          <w:rFonts w:hint="eastAsia"/>
          <w:szCs w:val="21"/>
        </w:rPr>
        <w:t>）供应商可以组成一个投标联合体，以一个</w:t>
      </w:r>
      <w:r>
        <w:rPr>
          <w:szCs w:val="21"/>
        </w:rPr>
        <w:t>供应商</w:t>
      </w:r>
      <w:r>
        <w:rPr>
          <w:rFonts w:hint="eastAsia"/>
          <w:szCs w:val="21"/>
        </w:rPr>
        <w:t>的身份共同参加投标。联合体投标的，须提供《联合体协议书》（格式后附）</w:t>
      </w:r>
    </w:p>
    <w:p w14:paraId="3BBDE4EC">
      <w:pPr>
        <w:spacing w:before="120" w:line="320" w:lineRule="atLeast"/>
        <w:ind w:firstLine="420" w:firstLineChars="200"/>
        <w:rPr>
          <w:szCs w:val="21"/>
        </w:rPr>
      </w:pPr>
      <w:r>
        <w:rPr>
          <w:szCs w:val="21"/>
        </w:rPr>
        <w:t>（2</w:t>
      </w:r>
      <w:r>
        <w:rPr>
          <w:rFonts w:hint="eastAsia"/>
          <w:szCs w:val="21"/>
        </w:rPr>
        <w:t>）以联合体形式参加投标的，联合体各方均必须具备《中华人民共和国政府采购法》第二十二条第一款规定的基本条件。本项目有特殊要求规定供应商特定条件的，联合体各方中至少有一方必须符合招标文件规定的特定条件。</w:t>
      </w:r>
    </w:p>
    <w:p w14:paraId="7F03F730">
      <w:pPr>
        <w:spacing w:before="120" w:line="320" w:lineRule="atLeast"/>
        <w:ind w:firstLine="420" w:firstLineChars="200"/>
        <w:rPr>
          <w:szCs w:val="21"/>
        </w:rPr>
      </w:pPr>
      <w:r>
        <w:rPr>
          <w:szCs w:val="21"/>
        </w:rPr>
        <w:t>（3</w:t>
      </w:r>
      <w:r>
        <w:rPr>
          <w:rFonts w:hint="eastAsia"/>
          <w:szCs w:val="21"/>
        </w:rPr>
        <w:t>）联合体各方之间必须签订联合体协议，协议书必须明确主体方（或者牵头方）并明确约定联合体各方承担的工作和相应的责任，并将联合投标协议放入投标文件。联合体各方必须共同与采购人签订采购合同，就采购合同约定的事项对采购人承担连带责任。</w:t>
      </w:r>
    </w:p>
    <w:p w14:paraId="562EFB40">
      <w:pPr>
        <w:spacing w:before="120" w:line="320" w:lineRule="atLeast"/>
        <w:ind w:firstLine="420" w:firstLineChars="200"/>
        <w:rPr>
          <w:szCs w:val="21"/>
        </w:rPr>
      </w:pPr>
      <w:r>
        <w:rPr>
          <w:szCs w:val="21"/>
        </w:rPr>
        <w:t>（4</w:t>
      </w:r>
      <w:r>
        <w:rPr>
          <w:rFonts w:hint="eastAsia"/>
          <w:szCs w:val="21"/>
        </w:rPr>
        <w:t>）以联合体形式参加政府采购活动的，联合体各方不得再单独参加或者与其他供应商另外组成联合体参加同一合同项下的政府采购活动。</w:t>
      </w:r>
    </w:p>
    <w:p w14:paraId="6369A82E">
      <w:pPr>
        <w:spacing w:before="120" w:line="320" w:lineRule="atLeast"/>
        <w:ind w:firstLine="420" w:firstLineChars="200"/>
        <w:rPr>
          <w:szCs w:val="21"/>
        </w:rPr>
      </w:pPr>
      <w:r>
        <w:rPr>
          <w:szCs w:val="21"/>
        </w:rPr>
        <w:t>（5</w:t>
      </w:r>
      <w:r>
        <w:rPr>
          <w:rFonts w:hint="eastAsia"/>
          <w:szCs w:val="21"/>
        </w:rPr>
        <w:t>）联合体中有同类资质的供应商按照联合体分工承担相同工作的，应当按照资质等级较低的供应商确定资质等级。</w:t>
      </w:r>
    </w:p>
    <w:p w14:paraId="6765D60F">
      <w:pPr>
        <w:spacing w:before="120" w:line="320" w:lineRule="atLeast"/>
        <w:ind w:firstLine="420" w:firstLineChars="200"/>
        <w:rPr>
          <w:szCs w:val="21"/>
        </w:rPr>
      </w:pPr>
      <w:r>
        <w:rPr>
          <w:szCs w:val="21"/>
        </w:rPr>
        <w:t>（6</w:t>
      </w:r>
      <w:r>
        <w:rPr>
          <w:rFonts w:hint="eastAsia"/>
          <w:szCs w:val="21"/>
        </w:rPr>
        <w:t>）联合体投标业绩、履约能力按照联合体各方其中较高的一方认定并计算（招标文件其他章节另有规定的除外）。</w:t>
      </w:r>
    </w:p>
    <w:p w14:paraId="48D1E620">
      <w:pPr>
        <w:spacing w:before="120" w:line="320" w:lineRule="atLeast"/>
        <w:ind w:firstLine="420" w:firstLineChars="200"/>
        <w:rPr>
          <w:szCs w:val="21"/>
        </w:rPr>
      </w:pPr>
      <w:r>
        <w:rPr>
          <w:szCs w:val="21"/>
        </w:rPr>
        <w:t>（7</w:t>
      </w:r>
      <w:r>
        <w:rPr>
          <w:rFonts w:hint="eastAsia"/>
          <w:szCs w:val="21"/>
        </w:rPr>
        <w:t>）供应商为联合体的，可以由联合体中的一方或者多方共同交纳投标保证金，其交纳的保证金对联合体各方均具有约束力。</w:t>
      </w:r>
    </w:p>
    <w:p w14:paraId="377629F3">
      <w:pPr>
        <w:spacing w:before="120" w:line="320" w:lineRule="atLeast"/>
        <w:ind w:firstLine="420" w:firstLineChars="200"/>
        <w:rPr>
          <w:szCs w:val="21"/>
        </w:rPr>
      </w:pPr>
      <w:r>
        <w:rPr>
          <w:szCs w:val="21"/>
        </w:rPr>
        <w:t>（8</w:t>
      </w:r>
      <w:r>
        <w:rPr>
          <w:rFonts w:hint="eastAsia"/>
          <w:szCs w:val="21"/>
        </w:rPr>
        <w:t>）联合体各方均应按照招标文件的规定提交资格证明文件。</w:t>
      </w:r>
    </w:p>
    <w:p w14:paraId="4B341E54">
      <w:pPr>
        <w:spacing w:before="120" w:line="320" w:lineRule="atLeast"/>
        <w:ind w:firstLine="422" w:firstLineChars="200"/>
        <w:outlineLvl w:val="2"/>
        <w:rPr>
          <w:b/>
          <w:bCs/>
          <w:kern w:val="0"/>
          <w:szCs w:val="21"/>
        </w:rPr>
      </w:pPr>
      <w:bookmarkStart w:id="41" w:name="_Toc254970672"/>
      <w:bookmarkStart w:id="42" w:name="_Toc254970531"/>
      <w:r>
        <w:rPr>
          <w:b/>
          <w:bCs/>
          <w:kern w:val="0"/>
          <w:szCs w:val="21"/>
        </w:rPr>
        <w:t>1.6现场踏勘及投标费用</w:t>
      </w:r>
      <w:bookmarkEnd w:id="41"/>
      <w:bookmarkEnd w:id="42"/>
    </w:p>
    <w:p w14:paraId="297C4832">
      <w:pPr>
        <w:spacing w:before="120" w:line="320" w:lineRule="atLeast"/>
        <w:ind w:firstLine="420" w:firstLineChars="200"/>
        <w:rPr>
          <w:szCs w:val="21"/>
        </w:rPr>
      </w:pPr>
      <w:r>
        <w:rPr>
          <w:szCs w:val="21"/>
        </w:rPr>
        <w:t>1.6.1前附表如规定现场踏勘的，供应商应按规定时间地点参加踏勘。</w:t>
      </w:r>
    </w:p>
    <w:p w14:paraId="1FEA6B2D">
      <w:pPr>
        <w:spacing w:before="120" w:line="320" w:lineRule="atLeast"/>
        <w:ind w:firstLine="420" w:firstLineChars="200"/>
        <w:rPr>
          <w:szCs w:val="21"/>
        </w:rPr>
      </w:pPr>
      <w:r>
        <w:rPr>
          <w:szCs w:val="21"/>
        </w:rPr>
        <w:t>1.6.2供应商均应自行承担所有与投标有关的全部费用（招标文件有相关的规定除外）。</w:t>
      </w:r>
    </w:p>
    <w:p w14:paraId="7F1E5BFC">
      <w:pPr>
        <w:spacing w:before="120" w:line="320" w:lineRule="atLeast"/>
        <w:ind w:firstLine="422" w:firstLineChars="200"/>
        <w:outlineLvl w:val="2"/>
        <w:rPr>
          <w:b/>
          <w:bCs/>
          <w:kern w:val="0"/>
          <w:szCs w:val="21"/>
        </w:rPr>
      </w:pPr>
      <w:r>
        <w:rPr>
          <w:b/>
          <w:bCs/>
          <w:kern w:val="0"/>
          <w:szCs w:val="21"/>
        </w:rPr>
        <w:t>1.7转包与分包</w:t>
      </w:r>
    </w:p>
    <w:p w14:paraId="4ABBCD0E">
      <w:pPr>
        <w:spacing w:before="120" w:line="320" w:lineRule="atLeast"/>
        <w:ind w:firstLine="420" w:firstLineChars="200"/>
        <w:rPr>
          <w:szCs w:val="21"/>
        </w:rPr>
      </w:pPr>
      <w:r>
        <w:rPr>
          <w:szCs w:val="21"/>
        </w:rPr>
        <w:t>1.7.1如</w:t>
      </w:r>
      <w:r>
        <w:rPr>
          <w:rFonts w:hint="eastAsia"/>
          <w:szCs w:val="21"/>
        </w:rPr>
        <w:t>招标</w:t>
      </w:r>
      <w:r>
        <w:rPr>
          <w:szCs w:val="21"/>
        </w:rPr>
        <w:t>文件其他地方无特别规定</w:t>
      </w:r>
      <w:r>
        <w:rPr>
          <w:rFonts w:hint="eastAsia"/>
          <w:szCs w:val="21"/>
        </w:rPr>
        <w:t>，</w:t>
      </w:r>
      <w:r>
        <w:rPr>
          <w:szCs w:val="21"/>
        </w:rPr>
        <w:t>本项目不允许转包。</w:t>
      </w:r>
    </w:p>
    <w:p w14:paraId="21B66B54">
      <w:pPr>
        <w:spacing w:before="120" w:line="320" w:lineRule="atLeast"/>
        <w:ind w:firstLine="420" w:firstLineChars="200"/>
        <w:rPr>
          <w:szCs w:val="21"/>
        </w:rPr>
      </w:pPr>
      <w:r>
        <w:rPr>
          <w:szCs w:val="21"/>
        </w:rPr>
        <w:t>1.7.2</w:t>
      </w:r>
      <w:r>
        <w:rPr>
          <w:rFonts w:hint="eastAsia"/>
          <w:szCs w:val="21"/>
        </w:rPr>
        <w:t>本项目是否允许分包详见“投标人须知前附表”，本项目不允许违法分包。供应商根据招标文件的规定和采购项目的实际情况，拟在中标后将中标项目的非主体、非关键性工作分包的，应当在投标文件中载明分包承担主体，分包承担主体应当具备相应资质条件且不得再次分包。</w:t>
      </w:r>
    </w:p>
    <w:p w14:paraId="6E4035CD">
      <w:pPr>
        <w:spacing w:before="120" w:line="276" w:lineRule="auto"/>
        <w:ind w:firstLine="422" w:firstLineChars="200"/>
        <w:outlineLvl w:val="2"/>
        <w:rPr>
          <w:b/>
          <w:bCs/>
          <w:kern w:val="0"/>
          <w:szCs w:val="21"/>
        </w:rPr>
      </w:pPr>
      <w:bookmarkStart w:id="43" w:name="_Toc254970673"/>
      <w:bookmarkStart w:id="44" w:name="_Toc254970532"/>
      <w:r>
        <w:rPr>
          <w:b/>
          <w:bCs/>
          <w:kern w:val="0"/>
          <w:szCs w:val="21"/>
        </w:rPr>
        <w:t>1.8特别说明</w:t>
      </w:r>
      <w:bookmarkEnd w:id="43"/>
      <w:bookmarkEnd w:id="44"/>
    </w:p>
    <w:p w14:paraId="305CF3D5">
      <w:pPr>
        <w:spacing w:line="276" w:lineRule="auto"/>
        <w:ind w:firstLine="420" w:firstLineChars="200"/>
        <w:rPr>
          <w:szCs w:val="21"/>
        </w:rPr>
      </w:pPr>
      <w:r>
        <w:rPr>
          <w:szCs w:val="21"/>
        </w:rPr>
        <w:t>1.8.1 供应商应保证其提供的联系方式（电话、传真、电子邮件）有效，以保证往来函件（澄清、修改等）能及时通知供应商，并能及时反馈，否则采购人</w:t>
      </w:r>
      <w:r>
        <w:rPr>
          <w:rFonts w:hint="eastAsia"/>
          <w:szCs w:val="21"/>
        </w:rPr>
        <w:t>及代理机构</w:t>
      </w:r>
      <w:r>
        <w:rPr>
          <w:szCs w:val="21"/>
        </w:rPr>
        <w:t>不承担由此引起的一切后果。</w:t>
      </w:r>
    </w:p>
    <w:p w14:paraId="7902FDAE">
      <w:pPr>
        <w:spacing w:before="120" w:line="320" w:lineRule="atLeast"/>
        <w:ind w:firstLine="420" w:firstLineChars="200"/>
        <w:rPr>
          <w:szCs w:val="21"/>
        </w:rPr>
      </w:pPr>
      <w:r>
        <w:rPr>
          <w:szCs w:val="21"/>
        </w:rPr>
        <w:t>1.8.2供应商应仔细阅读招标文件的所有内容，按照招标文件的要求提交投标文件，并对所提供的全部资料的真实性承担法律责任。</w:t>
      </w:r>
    </w:p>
    <w:p w14:paraId="02CAEB1C">
      <w:pPr>
        <w:spacing w:before="120" w:line="320" w:lineRule="atLeast"/>
        <w:ind w:firstLine="420" w:firstLineChars="200"/>
        <w:rPr>
          <w:szCs w:val="21"/>
        </w:rPr>
      </w:pPr>
      <w:r>
        <w:rPr>
          <w:szCs w:val="21"/>
        </w:rPr>
        <w:t>1.8.3供应商在投标活动中提供任何虚假材料，</w:t>
      </w:r>
      <w:r>
        <w:rPr>
          <w:rFonts w:hint="eastAsia"/>
          <w:szCs w:val="21"/>
        </w:rPr>
        <w:t>将</w:t>
      </w:r>
      <w:r>
        <w:rPr>
          <w:szCs w:val="21"/>
        </w:rPr>
        <w:t xml:space="preserve">报监管部门查处； </w:t>
      </w:r>
    </w:p>
    <w:p w14:paraId="3DAA3E0E">
      <w:pPr>
        <w:spacing w:before="120" w:line="276" w:lineRule="auto"/>
        <w:ind w:firstLine="422" w:firstLineChars="200"/>
        <w:outlineLvl w:val="2"/>
        <w:rPr>
          <w:b/>
          <w:bCs/>
          <w:kern w:val="0"/>
          <w:szCs w:val="21"/>
        </w:rPr>
      </w:pPr>
      <w:r>
        <w:rPr>
          <w:rFonts w:hint="eastAsia"/>
          <w:b/>
          <w:bCs/>
          <w:kern w:val="0"/>
          <w:szCs w:val="21"/>
        </w:rPr>
        <w:t>1</w:t>
      </w:r>
      <w:r>
        <w:rPr>
          <w:b/>
          <w:bCs/>
          <w:kern w:val="0"/>
          <w:szCs w:val="21"/>
        </w:rPr>
        <w:t>.</w:t>
      </w:r>
      <w:r>
        <w:rPr>
          <w:rFonts w:hint="eastAsia"/>
          <w:b/>
          <w:bCs/>
          <w:kern w:val="0"/>
          <w:szCs w:val="21"/>
        </w:rPr>
        <w:t>9 对本国产品的支持政策</w:t>
      </w:r>
    </w:p>
    <w:p w14:paraId="471B715C">
      <w:pPr>
        <w:spacing w:before="120" w:line="360" w:lineRule="auto"/>
        <w:ind w:left="819" w:leftChars="190" w:hanging="420" w:hangingChars="200"/>
        <w:rPr>
          <w:szCs w:val="21"/>
        </w:rPr>
      </w:pPr>
      <w:r>
        <w:rPr>
          <w:rFonts w:hint="eastAsia"/>
          <w:szCs w:val="21"/>
        </w:rPr>
        <w:t>1.9.1</w:t>
      </w:r>
      <w:r>
        <w:rPr>
          <w:szCs w:val="21"/>
        </w:rPr>
        <w:t>本国产品标准</w:t>
      </w:r>
    </w:p>
    <w:p w14:paraId="02D8B1D7">
      <w:pPr>
        <w:spacing w:line="276" w:lineRule="auto"/>
        <w:ind w:firstLine="420" w:firstLineChars="200"/>
        <w:rPr>
          <w:szCs w:val="21"/>
        </w:rPr>
      </w:pPr>
      <w:r>
        <w:rPr>
          <w:rFonts w:hint="eastAsia"/>
          <w:szCs w:val="21"/>
        </w:rPr>
        <w:t>“本国产品标准的产品”是指：符合《国务院办公厅关于在政府采购中实施本国产品标准及相关政策的通知》（国办发〔2025〕34号）规定的本国产品标准的产品。</w:t>
      </w:r>
    </w:p>
    <w:p w14:paraId="4E2B294C">
      <w:pPr>
        <w:spacing w:line="276" w:lineRule="auto"/>
        <w:ind w:firstLine="420" w:firstLineChars="200"/>
        <w:rPr>
          <w:szCs w:val="21"/>
        </w:rPr>
      </w:pPr>
      <w:r>
        <w:rPr>
          <w:rFonts w:hint="eastAsia"/>
          <w:szCs w:val="21"/>
        </w:rPr>
        <w:t>本国产品标准的产品应当符合以下条件：</w:t>
      </w:r>
    </w:p>
    <w:p w14:paraId="68DC182F">
      <w:pPr>
        <w:spacing w:line="276" w:lineRule="auto"/>
        <w:ind w:firstLine="420" w:firstLineChars="200"/>
        <w:rPr>
          <w:szCs w:val="21"/>
        </w:rPr>
      </w:pPr>
      <w:r>
        <w:rPr>
          <w:rFonts w:hint="eastAsia"/>
          <w:szCs w:val="21"/>
        </w:rPr>
        <w:t>（1）</w:t>
      </w:r>
      <w:r>
        <w:rPr>
          <w:szCs w:val="21"/>
        </w:rPr>
        <w:t>在中国境内生产</w:t>
      </w:r>
      <w:r>
        <w:rPr>
          <w:rFonts w:hint="eastAsia"/>
          <w:szCs w:val="21"/>
        </w:rPr>
        <w:t>。</w:t>
      </w:r>
      <w:r>
        <w:rPr>
          <w:szCs w:val="21"/>
        </w:rPr>
        <w:t>产品应当在中国境内生产，即在中华人民共和国关境内</w:t>
      </w:r>
      <w:r>
        <w:rPr>
          <w:rFonts w:hint="eastAsia"/>
          <w:szCs w:val="21"/>
        </w:rPr>
        <w:t>（含保税区、综合保税区等海关特殊监管区域）</w:t>
      </w:r>
      <w:r>
        <w:rPr>
          <w:szCs w:val="21"/>
        </w:rPr>
        <w:t>实现从原材料、组件到产品的属性改变；属性改变是指经过制造、加工或者组装等工序，产生完全不同于原材料、组件的新产品，并具有新的名称和特征（用途），属性改变不包括以下细微操作：</w:t>
      </w:r>
    </w:p>
    <w:p w14:paraId="5E98B02B">
      <w:pPr>
        <w:spacing w:line="276" w:lineRule="auto"/>
        <w:ind w:firstLine="420" w:firstLineChars="200"/>
        <w:rPr>
          <w:szCs w:val="21"/>
        </w:rPr>
      </w:pPr>
      <w:r>
        <w:rPr>
          <w:szCs w:val="21"/>
        </w:rPr>
        <w:t>①为确保产品在运输或者储存期间保持某种状态而进行的操作；</w:t>
      </w:r>
    </w:p>
    <w:p w14:paraId="22AB4D72">
      <w:pPr>
        <w:spacing w:line="276" w:lineRule="auto"/>
        <w:ind w:firstLine="420" w:firstLineChars="200"/>
        <w:rPr>
          <w:szCs w:val="21"/>
        </w:rPr>
      </w:pPr>
      <w:r>
        <w:rPr>
          <w:szCs w:val="21"/>
        </w:rPr>
        <w:t>②为产品运输或者销售进行的包装或者展示；</w:t>
      </w:r>
    </w:p>
    <w:p w14:paraId="20C6D081">
      <w:pPr>
        <w:spacing w:line="276" w:lineRule="auto"/>
        <w:ind w:firstLine="420" w:firstLineChars="200"/>
        <w:rPr>
          <w:szCs w:val="21"/>
        </w:rPr>
      </w:pPr>
      <w:r>
        <w:rPr>
          <w:szCs w:val="21"/>
        </w:rPr>
        <w:t>③在产品或者其包装上粘贴或者印刷品牌、标志、标识以及其他用于区别的标记；</w:t>
      </w:r>
    </w:p>
    <w:p w14:paraId="0639A049">
      <w:pPr>
        <w:spacing w:line="276" w:lineRule="auto"/>
        <w:ind w:firstLine="420" w:firstLineChars="200"/>
        <w:rPr>
          <w:szCs w:val="21"/>
        </w:rPr>
      </w:pPr>
      <w:r>
        <w:rPr>
          <w:szCs w:val="21"/>
        </w:rPr>
        <w:t>④简单的上漆、磨光和分装；</w:t>
      </w:r>
    </w:p>
    <w:p w14:paraId="6BC6C591">
      <w:pPr>
        <w:spacing w:line="276" w:lineRule="auto"/>
        <w:ind w:firstLine="420" w:firstLineChars="200"/>
        <w:rPr>
          <w:szCs w:val="21"/>
        </w:rPr>
      </w:pPr>
      <w:r>
        <w:rPr>
          <w:szCs w:val="21"/>
        </w:rPr>
        <w:t>⑤其他不属于属性改变的情形；</w:t>
      </w:r>
    </w:p>
    <w:p w14:paraId="43963C98">
      <w:pPr>
        <w:spacing w:line="276" w:lineRule="auto"/>
        <w:ind w:firstLine="420" w:firstLineChars="200"/>
        <w:rPr>
          <w:szCs w:val="21"/>
        </w:rPr>
      </w:pPr>
      <w:r>
        <w:rPr>
          <w:rFonts w:hint="eastAsia"/>
          <w:szCs w:val="21"/>
        </w:rPr>
        <w:t>（2）</w:t>
      </w:r>
      <w:r>
        <w:rPr>
          <w:szCs w:val="21"/>
        </w:rPr>
        <w:t>中国境内生产的组件成本占比达到规定比例</w:t>
      </w:r>
      <w:r>
        <w:rPr>
          <w:rFonts w:hint="eastAsia"/>
          <w:szCs w:val="21"/>
        </w:rPr>
        <w:t>。</w:t>
      </w:r>
    </w:p>
    <w:p w14:paraId="759F62DD">
      <w:pPr>
        <w:spacing w:line="276" w:lineRule="auto"/>
        <w:ind w:firstLine="420" w:firstLineChars="200"/>
        <w:rPr>
          <w:szCs w:val="21"/>
        </w:rPr>
      </w:pPr>
      <w:r>
        <w:rPr>
          <w:rFonts w:hint="eastAsia"/>
          <w:szCs w:val="21"/>
        </w:rPr>
        <w:t>①产品在中国境内生产的组件成本占比应当达到规定比例，计算公式为：产品在中国境内生产的组件成本/产品总成本≥规定比例；</w:t>
      </w:r>
    </w:p>
    <w:p w14:paraId="7EA0BBB5">
      <w:pPr>
        <w:spacing w:line="276" w:lineRule="auto"/>
        <w:ind w:firstLine="420" w:firstLineChars="200"/>
        <w:rPr>
          <w:szCs w:val="21"/>
        </w:rPr>
      </w:pPr>
      <w:r>
        <w:rPr>
          <w:rFonts w:hint="eastAsia"/>
          <w:szCs w:val="21"/>
        </w:rPr>
        <w:t>②产品在中国境内生产的组件成本，按照《中国境内生产的组件成本核算基本规则》计算；</w:t>
      </w:r>
    </w:p>
    <w:p w14:paraId="774DFFAB">
      <w:pPr>
        <w:spacing w:line="276" w:lineRule="auto"/>
        <w:ind w:firstLine="420" w:firstLineChars="200"/>
        <w:rPr>
          <w:szCs w:val="21"/>
        </w:rPr>
      </w:pPr>
      <w:r>
        <w:rPr>
          <w:rFonts w:hint="eastAsia"/>
          <w:szCs w:val="21"/>
        </w:rPr>
        <w:t>③中国境内生产的组件成本占比相关要求实施前，符合第（1）项条件的产品在政府采购活动中视同本国产品。</w:t>
      </w:r>
    </w:p>
    <w:p w14:paraId="06563923">
      <w:pPr>
        <w:spacing w:line="276" w:lineRule="auto"/>
        <w:ind w:firstLine="420" w:firstLineChars="200"/>
        <w:rPr>
          <w:szCs w:val="21"/>
        </w:rPr>
      </w:pPr>
      <w:r>
        <w:rPr>
          <w:rFonts w:hint="eastAsia"/>
          <w:szCs w:val="21"/>
        </w:rPr>
        <w:t>（3）</w:t>
      </w:r>
      <w:r>
        <w:rPr>
          <w:szCs w:val="21"/>
        </w:rPr>
        <w:t>特定产品的关键组件和工序在中国境内完成。</w:t>
      </w:r>
    </w:p>
    <w:p w14:paraId="34DAAA7D">
      <w:pPr>
        <w:spacing w:line="276" w:lineRule="auto"/>
        <w:ind w:firstLine="420" w:firstLineChars="200"/>
        <w:rPr>
          <w:szCs w:val="21"/>
        </w:rPr>
      </w:pPr>
      <w:r>
        <w:rPr>
          <w:rFonts w:hint="eastAsia"/>
          <w:szCs w:val="21"/>
        </w:rPr>
        <w:t>①对特定产品，在符合第（1）项和第（2）项条件的基础上，应当符合财政部会同有关行业主管部门确定的其关键组件、关键工序在中国境内生产、完成等要求；</w:t>
      </w:r>
    </w:p>
    <w:p w14:paraId="43CB4EC8">
      <w:pPr>
        <w:spacing w:line="276" w:lineRule="auto"/>
        <w:ind w:firstLine="420" w:firstLineChars="200"/>
        <w:rPr>
          <w:szCs w:val="21"/>
        </w:rPr>
      </w:pPr>
      <w:r>
        <w:rPr>
          <w:rFonts w:hint="eastAsia"/>
          <w:szCs w:val="21"/>
        </w:rPr>
        <w:t>②特定产品的关键组件、关键工序符合相关要求实施前，符合第（1）项和第（2）项条件的产品在政府采购活动中视同本国产品。</w:t>
      </w:r>
    </w:p>
    <w:p w14:paraId="699A3289">
      <w:pPr>
        <w:spacing w:before="120" w:line="360" w:lineRule="auto"/>
        <w:ind w:left="819" w:leftChars="190" w:hanging="420" w:hangingChars="200"/>
        <w:rPr>
          <w:szCs w:val="21"/>
        </w:rPr>
      </w:pPr>
      <w:r>
        <w:rPr>
          <w:rFonts w:hint="eastAsia"/>
          <w:szCs w:val="21"/>
        </w:rPr>
        <w:t>1.9.2 本国产品标准的适用范围</w:t>
      </w:r>
    </w:p>
    <w:p w14:paraId="5B91907A">
      <w:pPr>
        <w:spacing w:line="276" w:lineRule="auto"/>
        <w:ind w:firstLine="420" w:firstLineChars="200"/>
        <w:rPr>
          <w:szCs w:val="21"/>
        </w:rPr>
      </w:pPr>
      <w:r>
        <w:rPr>
          <w:szCs w:val="21"/>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7A6088EF">
      <w:pPr>
        <w:spacing w:line="276" w:lineRule="auto"/>
        <w:ind w:firstLine="422" w:firstLineChars="200"/>
        <w:rPr>
          <w:szCs w:val="21"/>
        </w:rPr>
      </w:pPr>
      <w:r>
        <w:rPr>
          <w:rFonts w:hint="eastAsia"/>
          <w:b/>
          <w:bCs/>
          <w:szCs w:val="21"/>
        </w:rPr>
        <w:t>本项目是否适用对本国产品的支持政策详见投标人须知前附表。</w:t>
      </w:r>
    </w:p>
    <w:p w14:paraId="64723940">
      <w:pPr>
        <w:spacing w:line="276" w:lineRule="auto"/>
        <w:ind w:firstLine="420" w:firstLineChars="200"/>
        <w:rPr>
          <w:szCs w:val="21"/>
        </w:rPr>
      </w:pPr>
      <w:r>
        <w:rPr>
          <w:szCs w:val="21"/>
        </w:rPr>
        <w:t>中华人民共和国缔结或者共同参加的国际条约、协定对政府采购中本国产品政策另有规定的，按照有关条约、协定执行。</w:t>
      </w:r>
    </w:p>
    <w:p w14:paraId="0D0B32FB">
      <w:pPr>
        <w:spacing w:before="120" w:line="320" w:lineRule="atLeast"/>
        <w:ind w:firstLine="420" w:firstLineChars="200"/>
        <w:rPr>
          <w:szCs w:val="21"/>
        </w:rPr>
      </w:pPr>
      <w:r>
        <w:rPr>
          <w:rFonts w:hint="eastAsia"/>
          <w:szCs w:val="21"/>
        </w:rPr>
        <w:t>1.9.3 价格评审优惠</w:t>
      </w:r>
    </w:p>
    <w:p w14:paraId="01AF7BCA">
      <w:pPr>
        <w:spacing w:before="120" w:line="320" w:lineRule="atLeast"/>
        <w:ind w:firstLine="420" w:firstLineChars="200"/>
        <w:rPr>
          <w:szCs w:val="21"/>
        </w:rPr>
      </w:pPr>
      <w:r>
        <w:rPr>
          <w:rFonts w:hint="eastAsia"/>
          <w:szCs w:val="21"/>
        </w:rPr>
        <w:t>既有本国产品又有非本国产品参与竞争的，依法对本国产品给予价格评审优惠，对本国产品的报价给予20%的价格扣除，用扣除后的价格参与评审。</w:t>
      </w:r>
    </w:p>
    <w:p w14:paraId="442C9520">
      <w:pPr>
        <w:spacing w:before="120" w:line="320" w:lineRule="atLeast"/>
        <w:ind w:firstLine="420" w:firstLineChars="200"/>
        <w:rPr>
          <w:szCs w:val="21"/>
        </w:rPr>
      </w:pPr>
      <w:r>
        <w:rPr>
          <w:rFonts w:hint="eastAsia"/>
          <w:szCs w:val="21"/>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7D61D4ED">
      <w:pPr>
        <w:spacing w:before="120" w:line="320" w:lineRule="atLeast"/>
        <w:ind w:firstLine="420" w:firstLineChars="200"/>
        <w:rPr>
          <w:szCs w:val="21"/>
        </w:rPr>
      </w:pPr>
      <w:r>
        <w:rPr>
          <w:rFonts w:hint="eastAsia"/>
          <w:szCs w:val="21"/>
        </w:rPr>
        <w:t>价格扣除比例在第四章评审方法及标准中规定。</w:t>
      </w:r>
    </w:p>
    <w:p w14:paraId="2D3272F2">
      <w:pPr>
        <w:spacing w:before="120" w:line="320" w:lineRule="atLeast"/>
        <w:ind w:firstLine="420" w:firstLineChars="200"/>
        <w:rPr>
          <w:szCs w:val="21"/>
        </w:rPr>
      </w:pPr>
      <w:r>
        <w:rPr>
          <w:rFonts w:hint="eastAsia"/>
          <w:szCs w:val="21"/>
        </w:rPr>
        <w:t>1.9.4政策执行要求</w:t>
      </w:r>
    </w:p>
    <w:p w14:paraId="037088A8">
      <w:pPr>
        <w:spacing w:before="120" w:line="320" w:lineRule="atLeast"/>
        <w:ind w:firstLine="420" w:firstLineChars="200"/>
        <w:rPr>
          <w:szCs w:val="21"/>
        </w:rPr>
      </w:pPr>
      <w:r>
        <w:rPr>
          <w:rFonts w:hint="eastAsia"/>
          <w:szCs w:val="21"/>
        </w:rPr>
        <w:t>1.9.4.1产品在中国境内生产的组件成本核算规则：产品在中国境内生产的组件成本，按照《中国境内生产的组件成本核算基本规则》计算。</w:t>
      </w:r>
    </w:p>
    <w:p w14:paraId="0F37473D">
      <w:pPr>
        <w:spacing w:before="120" w:line="360" w:lineRule="auto"/>
        <w:ind w:firstLine="2520" w:firstLineChars="1200"/>
        <w:rPr>
          <w:szCs w:val="21"/>
        </w:rPr>
      </w:pPr>
      <w:r>
        <w:rPr>
          <w:rFonts w:hint="eastAsia"/>
          <w:szCs w:val="21"/>
        </w:rPr>
        <w:t>《中国境内生产的组件成本核算基本规则》</w:t>
      </w:r>
    </w:p>
    <w:p w14:paraId="56B49719">
      <w:pPr>
        <w:spacing w:before="120"/>
        <w:ind w:firstLine="420" w:firstLineChars="200"/>
        <w:rPr>
          <w:szCs w:val="21"/>
        </w:rPr>
      </w:pPr>
      <w:r>
        <w:rPr>
          <w:rFonts w:hint="eastAsia"/>
          <w:szCs w:val="21"/>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69156CCD">
      <w:pPr>
        <w:spacing w:before="120"/>
        <w:ind w:firstLine="420" w:firstLineChars="200"/>
        <w:rPr>
          <w:szCs w:val="21"/>
        </w:rPr>
      </w:pPr>
      <w:r>
        <w:rPr>
          <w:rFonts w:hint="eastAsia"/>
          <w:szCs w:val="21"/>
        </w:rPr>
        <w:t>1.产品的一级组件是指直接组成产品的组件。产品的二级组件是指直接组成产品一级组件的组件。一级组件不可分解的，视同二级组件。</w:t>
      </w:r>
    </w:p>
    <w:p w14:paraId="75FBE2B0">
      <w:pPr>
        <w:spacing w:before="120"/>
        <w:ind w:firstLine="420" w:firstLineChars="200"/>
        <w:rPr>
          <w:szCs w:val="21"/>
        </w:rPr>
      </w:pPr>
      <w:r>
        <w:rPr>
          <w:rFonts w:hint="eastAsia"/>
          <w:szCs w:val="21"/>
        </w:rPr>
        <w:t>2.二级组件在中国境内生产的，其全部成本计入中国境内生产的组件成本；二级组件不在中国境内生产的，其成本不计入中国境内生产的组件成本。</w:t>
      </w:r>
    </w:p>
    <w:p w14:paraId="5B34818E">
      <w:pPr>
        <w:spacing w:before="120"/>
        <w:ind w:firstLine="420" w:firstLineChars="200"/>
        <w:rPr>
          <w:szCs w:val="21"/>
        </w:rPr>
      </w:pPr>
      <w:r>
        <w:rPr>
          <w:rFonts w:hint="eastAsia"/>
          <w:szCs w:val="21"/>
        </w:rPr>
        <w:t>3.产品总成本和组件成本以相关会计核算数据、采购合同、进货记录等为基础进行计算。</w:t>
      </w:r>
    </w:p>
    <w:p w14:paraId="085B1C1A">
      <w:pPr>
        <w:spacing w:before="120"/>
        <w:ind w:firstLine="420" w:firstLineChars="200"/>
        <w:rPr>
          <w:szCs w:val="21"/>
        </w:rPr>
      </w:pPr>
      <w:r>
        <w:rPr>
          <w:rFonts w:hint="eastAsia"/>
          <w:szCs w:val="21"/>
        </w:rPr>
        <w:t>4.需要对成本核算规则予以进一步明确的其他有关事项，由财政部会同有关部门另行规定。</w:t>
      </w:r>
    </w:p>
    <w:p w14:paraId="2A51BA0F">
      <w:pPr>
        <w:spacing w:before="120" w:line="320" w:lineRule="atLeast"/>
        <w:ind w:firstLine="420" w:firstLineChars="200"/>
        <w:rPr>
          <w:szCs w:val="21"/>
        </w:rPr>
      </w:pPr>
      <w:r>
        <w:rPr>
          <w:rFonts w:hint="eastAsia"/>
          <w:szCs w:val="21"/>
        </w:rPr>
        <w:t>1.9.4.2证明材料提交与审查：供应商需在投标（响应）文件中对其提供的产品出具《关于符合本国产品标准的声明函》（样式见投标文件格式）或财政部会同有关部门规定的有关证明文件。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采购人、采购代理机构应当随中标、成交结果同时公告中标、成交供应商提供的《声明函》或有关证明文件。</w:t>
      </w:r>
    </w:p>
    <w:p w14:paraId="1C5B9629">
      <w:pPr>
        <w:pStyle w:val="19"/>
        <w:ind w:firstLine="420" w:firstLineChars="200"/>
        <w:rPr>
          <w:sz w:val="21"/>
          <w:szCs w:val="21"/>
        </w:rPr>
      </w:pPr>
      <w:r>
        <w:rPr>
          <w:rFonts w:hint="eastAsia"/>
          <w:sz w:val="21"/>
          <w:szCs w:val="21"/>
        </w:rPr>
        <w:t>评审委员会应对《声明函》的完整性、准确性进行审查，对《声明函》内容含义不明确、同类事项与投标（响应）文件表述不一致或存在明显文字错误的，应当以书面形式要求供应商澄清、说明或者补正；经澄清、说明或者补正后仍不符合要求的，不认定为本国产品。</w:t>
      </w:r>
    </w:p>
    <w:p w14:paraId="009C6C07">
      <w:pPr>
        <w:pStyle w:val="19"/>
        <w:ind w:firstLine="420" w:firstLineChars="200"/>
        <w:rPr>
          <w:sz w:val="21"/>
          <w:szCs w:val="21"/>
        </w:rPr>
      </w:pPr>
      <w:r>
        <w:rPr>
          <w:rFonts w:hint="eastAsia"/>
          <w:sz w:val="21"/>
          <w:szCs w:val="21"/>
        </w:rPr>
        <w:t>澄清补正应当按照“6.3.3澄清、说明或补正”的规定提交。</w:t>
      </w:r>
    </w:p>
    <w:p w14:paraId="0BE906D0">
      <w:pPr>
        <w:pStyle w:val="19"/>
        <w:ind w:firstLine="420" w:firstLineChars="200"/>
        <w:rPr>
          <w:sz w:val="21"/>
          <w:szCs w:val="21"/>
        </w:rPr>
      </w:pPr>
      <w:r>
        <w:rPr>
          <w:rFonts w:hint="eastAsia"/>
          <w:sz w:val="21"/>
          <w:szCs w:val="21"/>
        </w:rPr>
        <w:t>1.9.4.3成本核算与承诺</w:t>
      </w:r>
    </w:p>
    <w:p w14:paraId="05B70ADF">
      <w:pPr>
        <w:pStyle w:val="19"/>
        <w:ind w:firstLine="420" w:firstLineChars="200"/>
        <w:rPr>
          <w:sz w:val="21"/>
          <w:szCs w:val="21"/>
        </w:rPr>
      </w:pPr>
      <w:r>
        <w:rPr>
          <w:sz w:val="21"/>
          <w:szCs w:val="21"/>
        </w:rPr>
        <w:t>供应商应依据《中国境内生产的组件成本核算基本规则》核算产品成本占比，并对核算结果负责，按要求提交《</w:t>
      </w:r>
      <w:r>
        <w:rPr>
          <w:rFonts w:hint="eastAsia"/>
          <w:sz w:val="21"/>
          <w:szCs w:val="21"/>
        </w:rPr>
        <w:t>关于符合</w:t>
      </w:r>
      <w:r>
        <w:rPr>
          <w:sz w:val="21"/>
          <w:szCs w:val="21"/>
        </w:rPr>
        <w:t>本国产品</w:t>
      </w:r>
      <w:r>
        <w:rPr>
          <w:rFonts w:hint="eastAsia"/>
          <w:sz w:val="21"/>
          <w:szCs w:val="21"/>
        </w:rPr>
        <w:t>标准的</w:t>
      </w:r>
      <w:r>
        <w:rPr>
          <w:sz w:val="21"/>
          <w:szCs w:val="21"/>
        </w:rPr>
        <w:t>成本占比承诺函》</w:t>
      </w:r>
      <w:r>
        <w:rPr>
          <w:rFonts w:hint="eastAsia"/>
          <w:sz w:val="21"/>
          <w:szCs w:val="21"/>
        </w:rPr>
        <w:t>（如适用）</w:t>
      </w:r>
      <w:r>
        <w:rPr>
          <w:sz w:val="21"/>
          <w:szCs w:val="21"/>
        </w:rPr>
        <w:t>（参考模板</w:t>
      </w:r>
      <w:r>
        <w:rPr>
          <w:rFonts w:hint="eastAsia"/>
          <w:sz w:val="21"/>
          <w:szCs w:val="21"/>
        </w:rPr>
        <w:t>详见投标文件格式</w:t>
      </w:r>
      <w:r>
        <w:rPr>
          <w:sz w:val="21"/>
          <w:szCs w:val="21"/>
        </w:rPr>
        <w:t>）。相关成本核算的原始凭证应妥善留存，以备核查。采购人可在履约验收环节对相关材料进行抽查。</w:t>
      </w:r>
    </w:p>
    <w:p w14:paraId="5A28B98E">
      <w:pPr>
        <w:spacing w:before="120" w:line="320" w:lineRule="atLeast"/>
        <w:ind w:firstLine="420" w:firstLineChars="200"/>
        <w:rPr>
          <w:szCs w:val="21"/>
        </w:rPr>
      </w:pPr>
      <w:r>
        <w:rPr>
          <w:rFonts w:hint="eastAsia"/>
          <w:szCs w:val="21"/>
        </w:rPr>
        <w:t>1.9.5 争议处理</w:t>
      </w:r>
    </w:p>
    <w:p w14:paraId="6763690B">
      <w:pPr>
        <w:spacing w:before="120" w:line="320" w:lineRule="atLeast"/>
        <w:ind w:firstLine="420" w:firstLineChars="200"/>
        <w:rPr>
          <w:szCs w:val="21"/>
        </w:rPr>
      </w:pPr>
      <w:r>
        <w:rPr>
          <w:rFonts w:hint="eastAsia"/>
          <w:szCs w:val="21"/>
        </w:rPr>
        <w:t>政府采购投诉处理、监督检查中，相关供应商及制造商未按上述要求提供证明材料或提供的材料不足以证明产品符合本国产品标准的，不应当享受对本国产品的政府采购支持政策，由此影响或者可能影响采购结果的，财政部门按照政府采购相关法律法规规定等处理。</w:t>
      </w:r>
    </w:p>
    <w:p w14:paraId="6BC1B518">
      <w:pPr>
        <w:spacing w:before="120" w:line="320" w:lineRule="atLeast"/>
        <w:ind w:left="2" w:leftChars="1" w:firstLine="422" w:firstLineChars="200"/>
        <w:outlineLvl w:val="1"/>
        <w:rPr>
          <w:b/>
          <w:bCs/>
          <w:kern w:val="0"/>
          <w:szCs w:val="21"/>
        </w:rPr>
      </w:pPr>
      <w:bookmarkStart w:id="45" w:name="_Toc254970534"/>
      <w:bookmarkStart w:id="46" w:name="_Toc254970675"/>
      <w:r>
        <w:rPr>
          <w:b/>
          <w:bCs/>
          <w:kern w:val="0"/>
          <w:szCs w:val="21"/>
        </w:rPr>
        <w:t>2．招标文件</w:t>
      </w:r>
      <w:bookmarkEnd w:id="45"/>
      <w:bookmarkEnd w:id="46"/>
    </w:p>
    <w:p w14:paraId="014D3B5B">
      <w:pPr>
        <w:spacing w:before="120" w:line="320" w:lineRule="atLeast"/>
        <w:ind w:firstLine="422" w:firstLineChars="200"/>
        <w:outlineLvl w:val="2"/>
        <w:rPr>
          <w:b/>
          <w:bCs/>
          <w:kern w:val="0"/>
          <w:szCs w:val="21"/>
        </w:rPr>
      </w:pPr>
      <w:r>
        <w:rPr>
          <w:b/>
          <w:bCs/>
          <w:kern w:val="0"/>
          <w:szCs w:val="21"/>
        </w:rPr>
        <w:t>2.1招标文件的构成</w:t>
      </w:r>
    </w:p>
    <w:p w14:paraId="0AEAB940">
      <w:pPr>
        <w:spacing w:before="120" w:line="320" w:lineRule="atLeast"/>
        <w:ind w:firstLine="420" w:firstLineChars="200"/>
        <w:rPr>
          <w:szCs w:val="21"/>
        </w:rPr>
      </w:pPr>
      <w:r>
        <w:rPr>
          <w:szCs w:val="21"/>
        </w:rPr>
        <w:t>第一章 招标公告</w:t>
      </w:r>
    </w:p>
    <w:p w14:paraId="69D17FA6">
      <w:pPr>
        <w:spacing w:before="120" w:line="320" w:lineRule="atLeast"/>
        <w:ind w:firstLine="420" w:firstLineChars="200"/>
        <w:rPr>
          <w:szCs w:val="21"/>
        </w:rPr>
      </w:pPr>
      <w:r>
        <w:rPr>
          <w:szCs w:val="21"/>
        </w:rPr>
        <w:t>第二章 采购需求</w:t>
      </w:r>
    </w:p>
    <w:p w14:paraId="251AFFE0">
      <w:pPr>
        <w:spacing w:before="120" w:line="320" w:lineRule="atLeast"/>
        <w:ind w:firstLine="420" w:firstLineChars="200"/>
        <w:rPr>
          <w:szCs w:val="21"/>
        </w:rPr>
      </w:pPr>
      <w:r>
        <w:rPr>
          <w:szCs w:val="21"/>
        </w:rPr>
        <w:t xml:space="preserve">第三章 </w:t>
      </w:r>
      <w:r>
        <w:rPr>
          <w:rFonts w:hint="eastAsia"/>
          <w:szCs w:val="21"/>
        </w:rPr>
        <w:t>投标人</w:t>
      </w:r>
      <w:r>
        <w:rPr>
          <w:szCs w:val="21"/>
        </w:rPr>
        <w:t>须知</w:t>
      </w:r>
    </w:p>
    <w:p w14:paraId="17D6FA36">
      <w:pPr>
        <w:spacing w:before="120" w:line="320" w:lineRule="atLeast"/>
        <w:ind w:firstLine="420" w:firstLineChars="200"/>
        <w:rPr>
          <w:szCs w:val="21"/>
        </w:rPr>
      </w:pPr>
      <w:r>
        <w:rPr>
          <w:szCs w:val="21"/>
        </w:rPr>
        <w:t>第四章 评审方法及标准</w:t>
      </w:r>
    </w:p>
    <w:p w14:paraId="2D49A82F">
      <w:pPr>
        <w:spacing w:before="120" w:line="320" w:lineRule="atLeast"/>
        <w:ind w:firstLine="420" w:firstLineChars="200"/>
        <w:rPr>
          <w:szCs w:val="21"/>
        </w:rPr>
      </w:pPr>
      <w:r>
        <w:rPr>
          <w:szCs w:val="21"/>
        </w:rPr>
        <w:t>第五章 合同主要条款格式</w:t>
      </w:r>
    </w:p>
    <w:p w14:paraId="7DC5E03F">
      <w:pPr>
        <w:spacing w:before="120" w:line="320" w:lineRule="atLeast"/>
        <w:ind w:firstLine="420" w:firstLineChars="200"/>
        <w:rPr>
          <w:szCs w:val="21"/>
        </w:rPr>
      </w:pPr>
      <w:r>
        <w:rPr>
          <w:szCs w:val="21"/>
        </w:rPr>
        <w:t>第六章 投标文件格式</w:t>
      </w:r>
    </w:p>
    <w:p w14:paraId="2B38D48A">
      <w:pPr>
        <w:spacing w:before="120" w:line="320" w:lineRule="atLeast"/>
        <w:ind w:firstLine="422" w:firstLineChars="200"/>
        <w:outlineLvl w:val="2"/>
        <w:rPr>
          <w:b/>
          <w:bCs/>
          <w:kern w:val="0"/>
          <w:szCs w:val="21"/>
        </w:rPr>
      </w:pPr>
      <w:r>
        <w:rPr>
          <w:b/>
          <w:bCs/>
          <w:kern w:val="0"/>
          <w:szCs w:val="21"/>
        </w:rPr>
        <w:t>2.2</w:t>
      </w:r>
      <w:r>
        <w:rPr>
          <w:rFonts w:hint="eastAsia"/>
          <w:b/>
          <w:bCs/>
          <w:kern w:val="0"/>
          <w:szCs w:val="21"/>
        </w:rPr>
        <w:t>投标人</w:t>
      </w:r>
      <w:r>
        <w:rPr>
          <w:b/>
          <w:bCs/>
          <w:kern w:val="0"/>
          <w:szCs w:val="21"/>
        </w:rPr>
        <w:t>的风险</w:t>
      </w:r>
    </w:p>
    <w:p w14:paraId="3E3E6B27">
      <w:pPr>
        <w:spacing w:before="120" w:line="320" w:lineRule="atLeast"/>
        <w:ind w:firstLine="420" w:firstLineChars="200"/>
        <w:rPr>
          <w:szCs w:val="21"/>
        </w:rPr>
      </w:pPr>
      <w:r>
        <w:rPr>
          <w:rFonts w:hint="eastAsia"/>
          <w:szCs w:val="21"/>
        </w:rPr>
        <w:t>投标人</w:t>
      </w:r>
      <w:r>
        <w:rPr>
          <w:szCs w:val="21"/>
        </w:rPr>
        <w:t>没有按照招标文件要求提供全部资料，或者</w:t>
      </w:r>
      <w:r>
        <w:rPr>
          <w:rFonts w:hint="eastAsia"/>
          <w:szCs w:val="21"/>
        </w:rPr>
        <w:t>投标人</w:t>
      </w:r>
      <w:r>
        <w:rPr>
          <w:szCs w:val="21"/>
        </w:rPr>
        <w:t>没有对招标文件在各方面作出实质性响应是</w:t>
      </w:r>
      <w:r>
        <w:rPr>
          <w:rFonts w:hint="eastAsia"/>
          <w:szCs w:val="21"/>
        </w:rPr>
        <w:t>投标人</w:t>
      </w:r>
      <w:r>
        <w:rPr>
          <w:szCs w:val="21"/>
        </w:rPr>
        <w:t>的风险，并可能导致其投标被否决。</w:t>
      </w:r>
    </w:p>
    <w:p w14:paraId="7BA199C5">
      <w:pPr>
        <w:spacing w:before="120" w:line="320" w:lineRule="atLeast"/>
        <w:ind w:firstLine="422" w:firstLineChars="200"/>
        <w:outlineLvl w:val="2"/>
        <w:rPr>
          <w:b/>
          <w:szCs w:val="21"/>
        </w:rPr>
      </w:pPr>
      <w:r>
        <w:rPr>
          <w:b/>
          <w:bCs/>
          <w:kern w:val="0"/>
          <w:szCs w:val="21"/>
        </w:rPr>
        <w:t>2.3招标文件的澄清与修改</w:t>
      </w:r>
    </w:p>
    <w:p w14:paraId="01951C45">
      <w:pPr>
        <w:spacing w:before="120" w:line="320" w:lineRule="atLeast"/>
        <w:ind w:firstLine="420" w:firstLineChars="200"/>
        <w:rPr>
          <w:szCs w:val="21"/>
        </w:rPr>
      </w:pPr>
      <w:r>
        <w:rPr>
          <w:szCs w:val="21"/>
        </w:rPr>
        <w:t>2.3.1</w:t>
      </w:r>
      <w:r>
        <w:rPr>
          <w:rFonts w:hint="eastAsia"/>
          <w:szCs w:val="21"/>
        </w:rPr>
        <w:t>任何已获得招标文件的潜在投标人，均可</w:t>
      </w:r>
      <w:r>
        <w:rPr>
          <w:szCs w:val="21"/>
        </w:rPr>
        <w:t>以书面形式要求采购代理机构作出书面解释、澄清</w:t>
      </w:r>
      <w:r>
        <w:rPr>
          <w:rFonts w:hint="eastAsia"/>
          <w:szCs w:val="21"/>
        </w:rPr>
        <w:t>。</w:t>
      </w:r>
    </w:p>
    <w:p w14:paraId="506A46BA">
      <w:pPr>
        <w:spacing w:before="120" w:line="320" w:lineRule="atLeast"/>
        <w:ind w:firstLine="420" w:firstLineChars="200"/>
        <w:rPr>
          <w:szCs w:val="21"/>
        </w:rPr>
      </w:pPr>
      <w:r>
        <w:rPr>
          <w:szCs w:val="21"/>
        </w:rPr>
        <w:t>2.3.2</w:t>
      </w:r>
      <w:r>
        <w:rPr>
          <w:rFonts w:hint="eastAsia"/>
          <w:szCs w:val="21"/>
        </w:rPr>
        <w:t>采购人或者采购代理机构可以对已发出的招标文件进行必要的澄清或者修改。澄清或者修改的内容可能影响投标文件编制的，采购人或者采购代理机构应当在投标截止时间至少15日前，</w:t>
      </w:r>
      <w:bookmarkStart w:id="47" w:name="_Hlk132790706"/>
      <w:r>
        <w:rPr>
          <w:rFonts w:hint="eastAsia"/>
          <w:szCs w:val="21"/>
        </w:rPr>
        <w:t>在投标人须知前附表规定的方式通知所有获取招标文件的潜在投标人</w:t>
      </w:r>
      <w:bookmarkEnd w:id="47"/>
      <w:r>
        <w:rPr>
          <w:rFonts w:hint="eastAsia"/>
          <w:szCs w:val="21"/>
        </w:rPr>
        <w:t>；不足15日的，采购人或者采购代理机构应当顺延提交投标文件的截止时间。</w:t>
      </w:r>
    </w:p>
    <w:p w14:paraId="1828283D">
      <w:pPr>
        <w:spacing w:before="120" w:line="320" w:lineRule="atLeast"/>
        <w:ind w:firstLine="420" w:firstLineChars="200"/>
        <w:rPr>
          <w:szCs w:val="21"/>
        </w:rPr>
      </w:pPr>
      <w:r>
        <w:rPr>
          <w:szCs w:val="21"/>
        </w:rPr>
        <w:t>2.3.3招标文件澄清、答复、修改、补充的内容为招标文件的组成部分。当招标文件与招标文件的答复、澄清、修改、补充通知就同一内容的表述不一致时，以最后发出的公告或书面文件为准。</w:t>
      </w:r>
    </w:p>
    <w:p w14:paraId="579C62DB">
      <w:pPr>
        <w:spacing w:before="120" w:line="320" w:lineRule="atLeast"/>
        <w:ind w:left="2" w:leftChars="1" w:firstLine="422" w:firstLineChars="200"/>
        <w:outlineLvl w:val="1"/>
        <w:rPr>
          <w:b/>
          <w:bCs/>
          <w:kern w:val="0"/>
          <w:szCs w:val="21"/>
        </w:rPr>
      </w:pPr>
      <w:bookmarkStart w:id="48" w:name="_Toc254970535"/>
      <w:bookmarkStart w:id="49" w:name="_Toc254970676"/>
      <w:r>
        <w:rPr>
          <w:b/>
          <w:bCs/>
          <w:kern w:val="0"/>
          <w:szCs w:val="21"/>
        </w:rPr>
        <w:t>3．投标文件</w:t>
      </w:r>
      <w:bookmarkEnd w:id="48"/>
      <w:bookmarkEnd w:id="49"/>
    </w:p>
    <w:p w14:paraId="25895C54">
      <w:pPr>
        <w:spacing w:before="120" w:line="320" w:lineRule="atLeast"/>
        <w:ind w:firstLine="422" w:firstLineChars="200"/>
        <w:outlineLvl w:val="2"/>
        <w:rPr>
          <w:b/>
          <w:bCs/>
          <w:kern w:val="0"/>
          <w:szCs w:val="21"/>
        </w:rPr>
      </w:pPr>
      <w:bookmarkStart w:id="50" w:name="_Toc254970677"/>
      <w:bookmarkStart w:id="51" w:name="_Toc254970536"/>
      <w:r>
        <w:rPr>
          <w:b/>
          <w:bCs/>
          <w:kern w:val="0"/>
          <w:szCs w:val="21"/>
        </w:rPr>
        <w:t>3.1投标文件的组成</w:t>
      </w:r>
      <w:bookmarkEnd w:id="50"/>
      <w:bookmarkEnd w:id="51"/>
    </w:p>
    <w:p w14:paraId="21A7C428">
      <w:pPr>
        <w:spacing w:before="120" w:line="320" w:lineRule="atLeast"/>
        <w:ind w:firstLine="420" w:firstLineChars="200"/>
        <w:rPr>
          <w:szCs w:val="21"/>
        </w:rPr>
      </w:pPr>
      <w:r>
        <w:rPr>
          <w:rFonts w:hint="eastAsia"/>
          <w:szCs w:val="21"/>
        </w:rPr>
        <w:t>投标文件由资格证明文件、商务及技术文件、报价文件三部分组成。</w:t>
      </w:r>
    </w:p>
    <w:p w14:paraId="3C1CEA81">
      <w:pPr>
        <w:spacing w:before="120" w:line="320" w:lineRule="atLeast"/>
        <w:ind w:firstLine="420" w:firstLineChars="200"/>
        <w:rPr>
          <w:szCs w:val="21"/>
        </w:rPr>
      </w:pPr>
      <w:r>
        <w:rPr>
          <w:rFonts w:hint="eastAsia"/>
          <w:szCs w:val="21"/>
        </w:rPr>
        <w:t>（1）资格证明文件：具体材料见“投标人须知前附表”。</w:t>
      </w:r>
    </w:p>
    <w:p w14:paraId="3C5D24A4">
      <w:pPr>
        <w:spacing w:before="120" w:line="320" w:lineRule="atLeast"/>
        <w:ind w:firstLine="420" w:firstLineChars="200"/>
        <w:rPr>
          <w:szCs w:val="21"/>
        </w:rPr>
      </w:pPr>
      <w:r>
        <w:rPr>
          <w:rFonts w:hint="eastAsia"/>
          <w:szCs w:val="21"/>
        </w:rPr>
        <w:t>（2）商务及技术文件：具体材料见“投标人须知前附表”。</w:t>
      </w:r>
    </w:p>
    <w:p w14:paraId="5C536FE2">
      <w:pPr>
        <w:spacing w:before="120" w:line="320" w:lineRule="atLeast"/>
        <w:ind w:firstLine="420" w:firstLineChars="200"/>
        <w:rPr>
          <w:szCs w:val="21"/>
        </w:rPr>
      </w:pPr>
      <w:r>
        <w:rPr>
          <w:rFonts w:hint="eastAsia"/>
          <w:szCs w:val="21"/>
        </w:rPr>
        <w:t>（3）报价文件：具体材料见“投标人须知前附表”。</w:t>
      </w:r>
    </w:p>
    <w:p w14:paraId="07F815CF">
      <w:pPr>
        <w:spacing w:before="120" w:line="320" w:lineRule="atLeast"/>
        <w:ind w:firstLine="422" w:firstLineChars="200"/>
        <w:outlineLvl w:val="2"/>
        <w:rPr>
          <w:b/>
          <w:bCs/>
          <w:kern w:val="0"/>
          <w:szCs w:val="21"/>
        </w:rPr>
      </w:pPr>
      <w:bookmarkStart w:id="52" w:name="_Toc254970537"/>
      <w:bookmarkStart w:id="53" w:name="_Toc254970678"/>
      <w:r>
        <w:rPr>
          <w:b/>
          <w:szCs w:val="21"/>
        </w:rPr>
        <w:t>3.2</w:t>
      </w:r>
      <w:r>
        <w:rPr>
          <w:b/>
          <w:bCs/>
          <w:kern w:val="0"/>
          <w:szCs w:val="21"/>
        </w:rPr>
        <w:t>投标文件的语言及计量</w:t>
      </w:r>
      <w:bookmarkEnd w:id="52"/>
      <w:bookmarkEnd w:id="53"/>
    </w:p>
    <w:p w14:paraId="53695E78">
      <w:pPr>
        <w:spacing w:before="120" w:line="320" w:lineRule="atLeast"/>
        <w:ind w:firstLine="420" w:firstLineChars="200"/>
        <w:rPr>
          <w:szCs w:val="21"/>
        </w:rPr>
      </w:pPr>
      <w:r>
        <w:rPr>
          <w:szCs w:val="21"/>
        </w:rPr>
        <w:t>3.2.1</w:t>
      </w:r>
      <w:r>
        <w:rPr>
          <w:rFonts w:hint="eastAsia"/>
          <w:szCs w:val="21"/>
        </w:rPr>
        <w:t>投标文件以及投标人与采购人就有关投标事宜的所有来往函电，均应以中文书写（除专用术语外，与招标投标有关的语言均使用中文。必要时专用术语应附有中文注释）。供应商提交的支持文件和印刷的文献可以使用别的语言，但其相应内容应同时附中文翻译文本，在解释投标文件时以中文翻译文本为主。对不同文字文本投标文件的解释发生异议的，以中文文本为准。</w:t>
      </w:r>
    </w:p>
    <w:p w14:paraId="0C5A0B3F">
      <w:pPr>
        <w:spacing w:before="120" w:line="320" w:lineRule="atLeast"/>
        <w:ind w:firstLine="420" w:firstLineChars="200"/>
        <w:rPr>
          <w:szCs w:val="21"/>
        </w:rPr>
      </w:pPr>
      <w:r>
        <w:rPr>
          <w:szCs w:val="21"/>
        </w:rPr>
        <w:t>3.2.2计量单位招标文件已有明确规定的，投标使用招标文件规定的计量单位；招标文件没有规定的，应采用中华人民共和国法定计量单位。</w:t>
      </w:r>
    </w:p>
    <w:p w14:paraId="756E27B5">
      <w:pPr>
        <w:spacing w:before="120" w:line="320" w:lineRule="atLeast"/>
        <w:ind w:firstLine="422" w:firstLineChars="200"/>
        <w:outlineLvl w:val="2"/>
        <w:rPr>
          <w:b/>
          <w:bCs/>
          <w:kern w:val="0"/>
          <w:szCs w:val="21"/>
        </w:rPr>
      </w:pPr>
      <w:bookmarkStart w:id="54" w:name="_Toc254970679"/>
      <w:bookmarkStart w:id="55" w:name="_Toc254970538"/>
      <w:r>
        <w:rPr>
          <w:b/>
          <w:bCs/>
          <w:kern w:val="0"/>
          <w:szCs w:val="21"/>
        </w:rPr>
        <w:t>3.3投标报价</w:t>
      </w:r>
      <w:bookmarkEnd w:id="54"/>
      <w:bookmarkEnd w:id="55"/>
    </w:p>
    <w:p w14:paraId="1DF630F5">
      <w:pPr>
        <w:spacing w:before="120" w:line="320" w:lineRule="atLeast"/>
        <w:ind w:firstLine="420" w:firstLineChars="200"/>
        <w:rPr>
          <w:szCs w:val="21"/>
        </w:rPr>
      </w:pPr>
      <w:r>
        <w:rPr>
          <w:szCs w:val="21"/>
        </w:rPr>
        <w:t>3.3.1投标报价应按招标文件中相关附表格式填写。</w:t>
      </w:r>
    </w:p>
    <w:p w14:paraId="08C0F78E">
      <w:pPr>
        <w:spacing w:before="120" w:line="320" w:lineRule="atLeast"/>
        <w:ind w:firstLine="420" w:firstLineChars="200"/>
        <w:rPr>
          <w:szCs w:val="21"/>
        </w:rPr>
      </w:pPr>
      <w:r>
        <w:rPr>
          <w:szCs w:val="21"/>
        </w:rPr>
        <w:t>3.3.2投标文件只允许有一个报价，有选择的或有条件的报价将不予接受。</w:t>
      </w:r>
    </w:p>
    <w:p w14:paraId="6DE5C02D">
      <w:pPr>
        <w:suppressAutoHyphens/>
        <w:spacing w:before="120" w:line="320" w:lineRule="atLeast"/>
        <w:ind w:firstLine="420" w:firstLineChars="200"/>
        <w:rPr>
          <w:kern w:val="1"/>
          <w:szCs w:val="21"/>
        </w:rPr>
      </w:pPr>
      <w:r>
        <w:rPr>
          <w:kern w:val="1"/>
          <w:szCs w:val="21"/>
        </w:rPr>
        <w:t>3.3.3对于本文件中未列明，而</w:t>
      </w:r>
      <w:r>
        <w:rPr>
          <w:rFonts w:hint="eastAsia"/>
          <w:kern w:val="1"/>
          <w:szCs w:val="21"/>
        </w:rPr>
        <w:t>投标人</w:t>
      </w:r>
      <w:r>
        <w:rPr>
          <w:kern w:val="1"/>
          <w:szCs w:val="21"/>
        </w:rPr>
        <w:t>认为必需的费用也需列入</w:t>
      </w:r>
      <w:r>
        <w:rPr>
          <w:rFonts w:hint="eastAsia"/>
          <w:kern w:val="1"/>
          <w:szCs w:val="21"/>
        </w:rPr>
        <w:t>投标报价</w:t>
      </w:r>
      <w:r>
        <w:rPr>
          <w:kern w:val="1"/>
          <w:szCs w:val="21"/>
        </w:rPr>
        <w:t>。在合同实施时，采购人将不予支付中标人没有列入的项目费用，并认为此项目的费用已包括在</w:t>
      </w:r>
      <w:r>
        <w:rPr>
          <w:rFonts w:hint="eastAsia"/>
          <w:kern w:val="1"/>
          <w:szCs w:val="21"/>
        </w:rPr>
        <w:t>投标报价</w:t>
      </w:r>
      <w:r>
        <w:rPr>
          <w:kern w:val="1"/>
          <w:szCs w:val="21"/>
        </w:rPr>
        <w:t>中。</w:t>
      </w:r>
    </w:p>
    <w:p w14:paraId="220A6407">
      <w:pPr>
        <w:suppressAutoHyphens/>
        <w:spacing w:before="120" w:line="320" w:lineRule="atLeast"/>
        <w:ind w:firstLine="420" w:firstLineChars="200"/>
        <w:rPr>
          <w:b/>
          <w:bCs/>
          <w:kern w:val="1"/>
          <w:szCs w:val="21"/>
        </w:rPr>
      </w:pPr>
      <w:r>
        <w:rPr>
          <w:rFonts w:hint="eastAsia"/>
          <w:kern w:val="1"/>
          <w:szCs w:val="21"/>
        </w:rPr>
        <w:t>3</w:t>
      </w:r>
      <w:r>
        <w:rPr>
          <w:kern w:val="1"/>
          <w:szCs w:val="21"/>
        </w:rPr>
        <w:t>.3.4</w:t>
      </w:r>
      <w:r>
        <w:rPr>
          <w:rFonts w:hint="eastAsia"/>
          <w:kern w:val="1"/>
          <w:szCs w:val="21"/>
        </w:rPr>
        <w:t>采购人不接受供应商给予的赠品、回扣或者与采购无关的其他商品、服务。</w:t>
      </w:r>
    </w:p>
    <w:p w14:paraId="03AC26C1">
      <w:pPr>
        <w:spacing w:before="120" w:line="320" w:lineRule="atLeast"/>
        <w:ind w:firstLine="422" w:firstLineChars="200"/>
        <w:outlineLvl w:val="2"/>
        <w:rPr>
          <w:b/>
          <w:bCs/>
          <w:kern w:val="0"/>
          <w:szCs w:val="21"/>
        </w:rPr>
      </w:pPr>
      <w:r>
        <w:rPr>
          <w:b/>
          <w:bCs/>
          <w:kern w:val="0"/>
          <w:szCs w:val="21"/>
        </w:rPr>
        <w:t>3.4投标有效期</w:t>
      </w:r>
    </w:p>
    <w:p w14:paraId="7E577527">
      <w:pPr>
        <w:spacing w:before="120" w:line="320" w:lineRule="atLeast"/>
        <w:ind w:firstLine="420" w:firstLineChars="200"/>
        <w:rPr>
          <w:szCs w:val="21"/>
        </w:rPr>
      </w:pPr>
      <w:r>
        <w:rPr>
          <w:szCs w:val="21"/>
        </w:rPr>
        <w:t>3.4.1如招标文件其他地方无特别规定</w:t>
      </w:r>
      <w:r>
        <w:rPr>
          <w:rFonts w:hint="eastAsia"/>
          <w:szCs w:val="21"/>
        </w:rPr>
        <w:t>，</w:t>
      </w:r>
      <w:r>
        <w:rPr>
          <w:szCs w:val="21"/>
        </w:rPr>
        <w:t>投标有效期则为投标截止之日起90天</w:t>
      </w:r>
      <w:r>
        <w:rPr>
          <w:rFonts w:hint="eastAsia"/>
          <w:szCs w:val="21"/>
        </w:rPr>
        <w:t>。</w:t>
      </w:r>
      <w:r>
        <w:rPr>
          <w:szCs w:val="21"/>
        </w:rPr>
        <w:t>在投标有效期内投标文件应保持有效。</w:t>
      </w:r>
      <w:r>
        <w:rPr>
          <w:b/>
          <w:bCs/>
          <w:szCs w:val="21"/>
        </w:rPr>
        <w:t>有效期不足的投标文件将被否决</w:t>
      </w:r>
      <w:r>
        <w:rPr>
          <w:szCs w:val="21"/>
        </w:rPr>
        <w:t>。</w:t>
      </w:r>
    </w:p>
    <w:p w14:paraId="7C365E76">
      <w:pPr>
        <w:spacing w:before="120" w:line="320" w:lineRule="atLeast"/>
        <w:ind w:firstLine="420" w:firstLineChars="200"/>
        <w:rPr>
          <w:szCs w:val="21"/>
        </w:rPr>
      </w:pPr>
      <w:r>
        <w:rPr>
          <w:szCs w:val="21"/>
        </w:rPr>
        <w:t>3.4.2在特殊情况下，采购人可与</w:t>
      </w:r>
      <w:r>
        <w:rPr>
          <w:rFonts w:hint="eastAsia"/>
          <w:szCs w:val="21"/>
        </w:rPr>
        <w:t>投标人</w:t>
      </w:r>
      <w:r>
        <w:rPr>
          <w:szCs w:val="21"/>
        </w:rPr>
        <w:t>协商延长投标文件的有效期，这种要求和答复均以书面形式进行。</w:t>
      </w:r>
    </w:p>
    <w:p w14:paraId="4CD2DA77">
      <w:pPr>
        <w:spacing w:before="120" w:line="320" w:lineRule="atLeast"/>
        <w:ind w:firstLine="420" w:firstLineChars="200"/>
        <w:rPr>
          <w:szCs w:val="21"/>
        </w:rPr>
      </w:pPr>
      <w:r>
        <w:rPr>
          <w:szCs w:val="21"/>
        </w:rPr>
        <w:t>3.4.3</w:t>
      </w:r>
      <w:r>
        <w:rPr>
          <w:rFonts w:hint="eastAsia"/>
          <w:szCs w:val="21"/>
        </w:rPr>
        <w:t>投标人同意延长投标有效期的，如本项目要求提交保证金则应相应延长其投标保证金的有效期，但不得要求或被允许修改或撤销其投标文件；投标人拒绝延长的，其投标无效，但投标人有权收回其投标保证金。</w:t>
      </w:r>
    </w:p>
    <w:p w14:paraId="5013DBF9">
      <w:pPr>
        <w:spacing w:before="120" w:line="320" w:lineRule="atLeast"/>
        <w:ind w:firstLine="422" w:firstLineChars="200"/>
        <w:outlineLvl w:val="2"/>
        <w:rPr>
          <w:b/>
          <w:bCs/>
          <w:kern w:val="0"/>
          <w:szCs w:val="21"/>
        </w:rPr>
      </w:pPr>
      <w:bookmarkStart w:id="56" w:name="_Toc254970682"/>
      <w:bookmarkStart w:id="57" w:name="_Toc254970541"/>
      <w:r>
        <w:rPr>
          <w:b/>
          <w:bCs/>
          <w:kern w:val="0"/>
          <w:szCs w:val="21"/>
        </w:rPr>
        <w:t>3.5投标保证金</w:t>
      </w:r>
      <w:bookmarkEnd w:id="56"/>
      <w:bookmarkEnd w:id="57"/>
    </w:p>
    <w:p w14:paraId="24EACA02">
      <w:pPr>
        <w:spacing w:before="120" w:line="320" w:lineRule="atLeast"/>
        <w:ind w:firstLine="420" w:firstLineChars="200"/>
        <w:rPr>
          <w:szCs w:val="21"/>
        </w:rPr>
      </w:pPr>
      <w:r>
        <w:rPr>
          <w:szCs w:val="21"/>
        </w:rPr>
        <w:t>3.5.1</w:t>
      </w:r>
      <w:r>
        <w:rPr>
          <w:rFonts w:hint="eastAsia"/>
          <w:szCs w:val="21"/>
        </w:rPr>
        <w:t>投标人</w:t>
      </w:r>
      <w:r>
        <w:rPr>
          <w:szCs w:val="21"/>
        </w:rPr>
        <w:t>须按须知前附表规定提交投标保证金，</w:t>
      </w:r>
      <w:r>
        <w:rPr>
          <w:b/>
          <w:bCs/>
          <w:szCs w:val="21"/>
        </w:rPr>
        <w:t>否则其投标将被否决</w:t>
      </w:r>
      <w:r>
        <w:rPr>
          <w:szCs w:val="21"/>
        </w:rPr>
        <w:t>。除招标文件规定不予退还保证金的情形外，代理机构在规定时间内退回</w:t>
      </w:r>
      <w:r>
        <w:rPr>
          <w:rFonts w:hint="eastAsia"/>
          <w:szCs w:val="21"/>
        </w:rPr>
        <w:t>投标人</w:t>
      </w:r>
      <w:r>
        <w:rPr>
          <w:szCs w:val="21"/>
        </w:rPr>
        <w:t>的投标保证金（</w:t>
      </w:r>
      <w:r>
        <w:rPr>
          <w:rFonts w:hint="eastAsia"/>
          <w:szCs w:val="21"/>
        </w:rPr>
        <w:t>投标人</w:t>
      </w:r>
      <w:r>
        <w:rPr>
          <w:szCs w:val="21"/>
        </w:rPr>
        <w:t>自行承担因未按</w:t>
      </w:r>
      <w:r>
        <w:rPr>
          <w:rFonts w:hint="eastAsia"/>
          <w:szCs w:val="21"/>
        </w:rPr>
        <w:t>投标人须知</w:t>
      </w:r>
      <w:r>
        <w:rPr>
          <w:szCs w:val="21"/>
        </w:rPr>
        <w:t>前附表要求交纳导致投标保证金无法及时退还的责任）。</w:t>
      </w:r>
    </w:p>
    <w:p w14:paraId="5E546D71">
      <w:pPr>
        <w:spacing w:before="120" w:line="320" w:lineRule="atLeast"/>
        <w:ind w:firstLine="420" w:firstLineChars="200"/>
        <w:rPr>
          <w:szCs w:val="21"/>
        </w:rPr>
      </w:pPr>
      <w:r>
        <w:rPr>
          <w:szCs w:val="21"/>
        </w:rPr>
        <w:t>3.5.2投标保证金币种应与投标报价币种相同。</w:t>
      </w:r>
    </w:p>
    <w:p w14:paraId="67F76329">
      <w:pPr>
        <w:spacing w:before="120" w:line="320" w:lineRule="atLeast"/>
        <w:ind w:firstLine="420" w:firstLineChars="200"/>
        <w:rPr>
          <w:szCs w:val="21"/>
        </w:rPr>
      </w:pPr>
      <w:r>
        <w:rPr>
          <w:szCs w:val="21"/>
        </w:rPr>
        <w:t>3.5.3未中标人的投标保证金在中标通知书发出后5个工作日内退还。中标人的投标保证金在合同签订后5个工作日内退还（办理退还手续时需要向采购代理机构提供两份合同复印件）。</w:t>
      </w:r>
    </w:p>
    <w:p w14:paraId="18A4174E">
      <w:pPr>
        <w:spacing w:before="120" w:line="320" w:lineRule="atLeast"/>
        <w:ind w:firstLine="420" w:firstLineChars="200"/>
        <w:rPr>
          <w:szCs w:val="21"/>
        </w:rPr>
      </w:pPr>
      <w:r>
        <w:rPr>
          <w:szCs w:val="21"/>
        </w:rPr>
        <w:t>3.5.4</w:t>
      </w:r>
      <w:r>
        <w:rPr>
          <w:rFonts w:hint="eastAsia"/>
          <w:szCs w:val="21"/>
        </w:rPr>
        <w:t>投标人</w:t>
      </w:r>
      <w:r>
        <w:rPr>
          <w:szCs w:val="21"/>
        </w:rPr>
        <w:t>有下列情形之一的，投标保证金将不予退还：</w:t>
      </w:r>
    </w:p>
    <w:p w14:paraId="6A1EC507">
      <w:pPr>
        <w:numPr>
          <w:ilvl w:val="0"/>
          <w:numId w:val="1"/>
        </w:numPr>
        <w:spacing w:before="120" w:line="320" w:lineRule="atLeast"/>
        <w:rPr>
          <w:szCs w:val="21"/>
        </w:rPr>
      </w:pPr>
      <w:r>
        <w:rPr>
          <w:rFonts w:hint="eastAsia"/>
          <w:szCs w:val="21"/>
        </w:rPr>
        <w:t>投标人</w:t>
      </w:r>
      <w:r>
        <w:rPr>
          <w:szCs w:val="21"/>
        </w:rPr>
        <w:t>在投标有效期内撤销投标文件的；</w:t>
      </w:r>
    </w:p>
    <w:p w14:paraId="39799880">
      <w:pPr>
        <w:numPr>
          <w:ilvl w:val="0"/>
          <w:numId w:val="1"/>
        </w:numPr>
        <w:spacing w:before="120" w:line="320" w:lineRule="atLeast"/>
        <w:rPr>
          <w:szCs w:val="21"/>
        </w:rPr>
      </w:pPr>
      <w:r>
        <w:rPr>
          <w:rFonts w:hint="eastAsia"/>
          <w:szCs w:val="21"/>
        </w:rPr>
        <w:t>投标人</w:t>
      </w:r>
      <w:r>
        <w:rPr>
          <w:szCs w:val="21"/>
        </w:rPr>
        <w:t>在投标过程中弄虚作假，提供虚假材料的；</w:t>
      </w:r>
    </w:p>
    <w:p w14:paraId="08DC431D">
      <w:pPr>
        <w:numPr>
          <w:ilvl w:val="0"/>
          <w:numId w:val="1"/>
        </w:numPr>
        <w:spacing w:before="120" w:line="320" w:lineRule="atLeast"/>
        <w:rPr>
          <w:szCs w:val="21"/>
        </w:rPr>
      </w:pPr>
      <w:r>
        <w:rPr>
          <w:szCs w:val="21"/>
        </w:rPr>
        <w:t>中标人无正当理由不与采购人签订合同的；</w:t>
      </w:r>
    </w:p>
    <w:p w14:paraId="0507767F">
      <w:pPr>
        <w:numPr>
          <w:ilvl w:val="0"/>
          <w:numId w:val="1"/>
        </w:numPr>
        <w:spacing w:before="120" w:line="320" w:lineRule="atLeast"/>
        <w:rPr>
          <w:szCs w:val="21"/>
        </w:rPr>
      </w:pPr>
      <w:r>
        <w:rPr>
          <w:szCs w:val="21"/>
        </w:rPr>
        <w:t>将中标项目转让给他人或者在投标文件中未说明且未经采购人同意，将中标项目分包给他人的；</w:t>
      </w:r>
    </w:p>
    <w:p w14:paraId="0A599A24">
      <w:pPr>
        <w:numPr>
          <w:ilvl w:val="0"/>
          <w:numId w:val="1"/>
        </w:numPr>
        <w:spacing w:before="120" w:line="320" w:lineRule="atLeast"/>
        <w:rPr>
          <w:szCs w:val="21"/>
        </w:rPr>
      </w:pPr>
      <w:r>
        <w:rPr>
          <w:szCs w:val="21"/>
        </w:rPr>
        <w:t>拒绝履行合同义务的；</w:t>
      </w:r>
    </w:p>
    <w:p w14:paraId="2A7B0CCE">
      <w:pPr>
        <w:numPr>
          <w:ilvl w:val="0"/>
          <w:numId w:val="1"/>
        </w:numPr>
        <w:spacing w:before="120" w:line="320" w:lineRule="atLeast"/>
        <w:rPr>
          <w:szCs w:val="21"/>
        </w:rPr>
      </w:pPr>
      <w:r>
        <w:rPr>
          <w:szCs w:val="21"/>
        </w:rPr>
        <w:t>其他严重扰乱招投标程序的</w:t>
      </w:r>
      <w:r>
        <w:rPr>
          <w:rFonts w:hint="eastAsia"/>
          <w:szCs w:val="21"/>
        </w:rPr>
        <w:t>。</w:t>
      </w:r>
    </w:p>
    <w:p w14:paraId="4DA6F761">
      <w:pPr>
        <w:spacing w:before="120" w:line="320" w:lineRule="atLeast"/>
        <w:ind w:firstLine="422" w:firstLineChars="200"/>
        <w:outlineLvl w:val="2"/>
        <w:rPr>
          <w:b/>
          <w:bCs/>
          <w:kern w:val="0"/>
          <w:szCs w:val="21"/>
        </w:rPr>
      </w:pPr>
      <w:bookmarkStart w:id="58" w:name="_Toc254970542"/>
      <w:bookmarkStart w:id="59" w:name="_Toc254970683"/>
      <w:r>
        <w:rPr>
          <w:b/>
          <w:bCs/>
          <w:kern w:val="0"/>
          <w:szCs w:val="21"/>
        </w:rPr>
        <w:t>3.6投标文件的</w:t>
      </w:r>
      <w:bookmarkEnd w:id="58"/>
      <w:bookmarkEnd w:id="59"/>
      <w:r>
        <w:rPr>
          <w:b/>
          <w:bCs/>
          <w:kern w:val="0"/>
          <w:szCs w:val="21"/>
        </w:rPr>
        <w:t>编制要求</w:t>
      </w:r>
    </w:p>
    <w:p w14:paraId="196D1517">
      <w:pPr>
        <w:spacing w:before="120" w:line="320" w:lineRule="atLeast"/>
        <w:ind w:firstLine="420" w:firstLineChars="200"/>
        <w:rPr>
          <w:b/>
          <w:bCs/>
          <w:kern w:val="0"/>
          <w:szCs w:val="21"/>
        </w:rPr>
      </w:pPr>
      <w:r>
        <w:rPr>
          <w:rFonts w:hint="eastAsia"/>
          <w:kern w:val="0"/>
          <w:szCs w:val="21"/>
        </w:rPr>
        <w:t>3</w:t>
      </w:r>
      <w:r>
        <w:rPr>
          <w:kern w:val="0"/>
          <w:szCs w:val="21"/>
        </w:rPr>
        <w:t>.6.1</w:t>
      </w:r>
      <w:r>
        <w:rPr>
          <w:rFonts w:hint="eastAsia"/>
          <w:szCs w:val="21"/>
        </w:rPr>
        <w:t>投标人应先安装</w:t>
      </w:r>
      <w:bookmarkStart w:id="60" w:name="_Hlk160184301"/>
      <w:r>
        <w:rPr>
          <w:rFonts w:hint="eastAsia"/>
          <w:szCs w:val="21"/>
        </w:rPr>
        <w:t>广西政府采购云平台新版客户端</w:t>
      </w:r>
      <w:bookmarkEnd w:id="60"/>
      <w:r>
        <w:rPr>
          <w:rFonts w:hint="eastAsia"/>
          <w:szCs w:val="21"/>
        </w:rPr>
        <w:t>，通过账号密码或C</w:t>
      </w:r>
      <w:r>
        <w:rPr>
          <w:szCs w:val="21"/>
        </w:rPr>
        <w:t>A</w:t>
      </w:r>
      <w:r>
        <w:rPr>
          <w:rFonts w:hint="eastAsia"/>
          <w:szCs w:val="21"/>
        </w:rPr>
        <w:t>登录客户端制作投标文件。</w:t>
      </w:r>
    </w:p>
    <w:p w14:paraId="08CEC676">
      <w:pPr>
        <w:spacing w:before="120" w:line="320" w:lineRule="atLeast"/>
        <w:ind w:firstLine="420" w:firstLineChars="200"/>
        <w:rPr>
          <w:szCs w:val="21"/>
        </w:rPr>
      </w:pPr>
      <w:bookmarkStart w:id="61" w:name="_Hlk132791136"/>
      <w:r>
        <w:rPr>
          <w:szCs w:val="21"/>
        </w:rPr>
        <w:t>3.6.2</w:t>
      </w:r>
      <w:r>
        <w:rPr>
          <w:rFonts w:hint="eastAsia"/>
          <w:szCs w:val="21"/>
        </w:rPr>
        <w:t>投标人</w:t>
      </w:r>
      <w:r>
        <w:rPr>
          <w:szCs w:val="21"/>
        </w:rPr>
        <w:t>应按本招标文件规定的格式和顺序编制投标文件</w:t>
      </w:r>
      <w:r>
        <w:rPr>
          <w:rFonts w:hint="eastAsia"/>
          <w:szCs w:val="21"/>
        </w:rPr>
        <w:t>并进行关联定位</w:t>
      </w:r>
      <w:r>
        <w:rPr>
          <w:szCs w:val="21"/>
        </w:rPr>
        <w:t>，</w:t>
      </w:r>
      <w:r>
        <w:rPr>
          <w:rFonts w:hint="eastAsia"/>
          <w:szCs w:val="21"/>
        </w:rPr>
        <w:t>以便评审委员会在评审时，点击评分项可直接定位到该评分项内容。如对招标文件的某项要求，投标人的投标文件未能关联定位提供相应的内容与其对应，则评审委员会在评审时如做出对投标人不利的评审由投标人自行承担。投标文件如内容不完整、编排混乱导致投标文件被误读、漏读，或者在按招标文件规定的部位查找不到相关内容的，由投标人自行承担。</w:t>
      </w:r>
    </w:p>
    <w:p w14:paraId="7FA04BB2">
      <w:pPr>
        <w:spacing w:before="120" w:line="320" w:lineRule="atLeast"/>
        <w:ind w:firstLine="420" w:firstLineChars="200"/>
        <w:rPr>
          <w:szCs w:val="21"/>
        </w:rPr>
      </w:pPr>
      <w:bookmarkStart w:id="62" w:name="_Hlk93046800"/>
      <w:r>
        <w:rPr>
          <w:szCs w:val="21"/>
        </w:rPr>
        <w:t xml:space="preserve">3.6.3 </w:t>
      </w:r>
      <w:r>
        <w:rPr>
          <w:rFonts w:hint="eastAsia"/>
          <w:szCs w:val="21"/>
        </w:rPr>
        <w:t>投标人的投标文件未按照招标文件要求签署、盖章的，</w:t>
      </w:r>
      <w:r>
        <w:rPr>
          <w:rFonts w:hint="eastAsia"/>
          <w:b/>
          <w:bCs/>
          <w:szCs w:val="21"/>
        </w:rPr>
        <w:t>其投标无效</w:t>
      </w:r>
      <w:r>
        <w:rPr>
          <w:rFonts w:hint="eastAsia"/>
          <w:szCs w:val="21"/>
        </w:rPr>
        <w:t>。</w:t>
      </w:r>
    </w:p>
    <w:bookmarkEnd w:id="61"/>
    <w:bookmarkEnd w:id="62"/>
    <w:p w14:paraId="4384D9A9">
      <w:pPr>
        <w:spacing w:before="120" w:line="320" w:lineRule="atLeast"/>
        <w:ind w:firstLine="420" w:firstLineChars="200"/>
        <w:rPr>
          <w:szCs w:val="21"/>
        </w:rPr>
      </w:pPr>
      <w:r>
        <w:rPr>
          <w:szCs w:val="21"/>
        </w:rPr>
        <w:t>3.6.4</w:t>
      </w:r>
      <w:r>
        <w:rPr>
          <w:rFonts w:hint="eastAsia"/>
          <w:szCs w:val="21"/>
        </w:rPr>
        <w:t>为确保网上操作合法、有效和安全，投标人应当在投标截止时间前完成在广西政府采购云平台的身份认证，确保在电子投标过程中能够对相关数据电文进行加密和使用电子签名。</w:t>
      </w:r>
    </w:p>
    <w:p w14:paraId="5A9EF4BF">
      <w:pPr>
        <w:spacing w:before="120" w:line="320" w:lineRule="atLeast"/>
        <w:ind w:firstLine="420" w:firstLineChars="200"/>
        <w:rPr>
          <w:b/>
          <w:bCs/>
          <w:szCs w:val="21"/>
        </w:rPr>
      </w:pPr>
      <w:r>
        <w:rPr>
          <w:rFonts w:hint="eastAsia"/>
          <w:szCs w:val="21"/>
        </w:rPr>
        <w:t>3</w:t>
      </w:r>
      <w:r>
        <w:rPr>
          <w:szCs w:val="21"/>
        </w:rPr>
        <w:t>.6.5</w:t>
      </w:r>
      <w:r>
        <w:rPr>
          <w:rFonts w:hint="eastAsia"/>
          <w:szCs w:val="21"/>
        </w:rPr>
        <w:t>投标文件中标注的投标人名称应与主体资格证明（如营业执照、事业单位法人证书、执业许可证、个体工商户营业执照、自然人身份证等）和公章/电子签章一致，</w:t>
      </w:r>
      <w:r>
        <w:rPr>
          <w:rFonts w:hint="eastAsia"/>
          <w:b/>
          <w:bCs/>
          <w:szCs w:val="21"/>
        </w:rPr>
        <w:t>否则作无效投标处理。</w:t>
      </w:r>
    </w:p>
    <w:p w14:paraId="1F2020C0">
      <w:pPr>
        <w:spacing w:before="120" w:line="320" w:lineRule="atLeast"/>
        <w:ind w:firstLine="422" w:firstLineChars="200"/>
        <w:outlineLvl w:val="2"/>
        <w:rPr>
          <w:b/>
          <w:bCs/>
          <w:kern w:val="0"/>
          <w:szCs w:val="21"/>
        </w:rPr>
      </w:pPr>
      <w:r>
        <w:rPr>
          <w:b/>
          <w:bCs/>
          <w:kern w:val="0"/>
          <w:szCs w:val="21"/>
        </w:rPr>
        <w:t>3.7投标文件的递交、修改和撤回</w:t>
      </w:r>
    </w:p>
    <w:p w14:paraId="2E9525AA">
      <w:pPr>
        <w:spacing w:before="120" w:line="320" w:lineRule="atLeast"/>
        <w:ind w:firstLine="420" w:firstLineChars="200"/>
        <w:rPr>
          <w:szCs w:val="21"/>
        </w:rPr>
      </w:pPr>
      <w:r>
        <w:rPr>
          <w:szCs w:val="21"/>
        </w:rPr>
        <w:t>3.7.1</w:t>
      </w:r>
      <w:r>
        <w:rPr>
          <w:rFonts w:hint="eastAsia"/>
          <w:szCs w:val="21"/>
        </w:rPr>
        <w:t>投标人必须在投标人须知前附表规定的投标文件开标时间和投标地点提交电子版投标文件。电子投标文件应在制作完成后，在投标截止时间前通过有效数字证书（CA认证锁）进行电子签章、加密，然后通过网络将加密的电子投标文件递交至广西政府采购云平台。</w:t>
      </w:r>
    </w:p>
    <w:p w14:paraId="2AD2C247">
      <w:pPr>
        <w:spacing w:before="120" w:line="320" w:lineRule="atLeast"/>
        <w:ind w:firstLine="420" w:firstLineChars="200"/>
        <w:rPr>
          <w:szCs w:val="21"/>
        </w:rPr>
      </w:pPr>
      <w:r>
        <w:rPr>
          <w:rFonts w:hint="eastAsia"/>
          <w:szCs w:val="21"/>
        </w:rPr>
        <w:t>3</w:t>
      </w:r>
      <w:r>
        <w:rPr>
          <w:szCs w:val="21"/>
        </w:rPr>
        <w:t>.7.2</w:t>
      </w:r>
      <w:r>
        <w:rPr>
          <w:rFonts w:hint="eastAsia"/>
          <w:szCs w:val="21"/>
        </w:rPr>
        <w:t xml:space="preserve">未在规定时间内提交或者未按照招标文件要求签章、加密的电子投标文件，广西政府采购云平台将拒收。 </w:t>
      </w:r>
    </w:p>
    <w:p w14:paraId="7273D743">
      <w:pPr>
        <w:spacing w:before="120" w:line="320" w:lineRule="atLeast"/>
        <w:ind w:left="2" w:leftChars="1" w:firstLine="420" w:firstLineChars="200"/>
        <w:rPr>
          <w:szCs w:val="21"/>
        </w:rPr>
      </w:pPr>
      <w:bookmarkStart w:id="63" w:name="_Toc254970544"/>
      <w:bookmarkStart w:id="64" w:name="_Toc254970685"/>
      <w:r>
        <w:rPr>
          <w:rFonts w:hint="eastAsia"/>
          <w:szCs w:val="21"/>
        </w:rPr>
        <w:t>3</w:t>
      </w:r>
      <w:r>
        <w:rPr>
          <w:szCs w:val="21"/>
        </w:rPr>
        <w:t>.7.3</w:t>
      </w:r>
      <w:r>
        <w:rPr>
          <w:rFonts w:hint="eastAsia"/>
          <w:szCs w:val="21"/>
        </w:rPr>
        <w:t>投标人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广西政府采购云平台将拒收。</w:t>
      </w:r>
    </w:p>
    <w:p w14:paraId="61160B64">
      <w:pPr>
        <w:spacing w:before="120" w:line="320" w:lineRule="atLeast"/>
        <w:ind w:left="2" w:leftChars="1" w:firstLine="420" w:firstLineChars="200"/>
        <w:rPr>
          <w:szCs w:val="21"/>
        </w:rPr>
      </w:pPr>
      <w:r>
        <w:rPr>
          <w:szCs w:val="21"/>
        </w:rPr>
        <w:t>3.7.4</w:t>
      </w:r>
      <w:r>
        <w:rPr>
          <w:rFonts w:hint="eastAsia"/>
          <w:szCs w:val="21"/>
        </w:rPr>
        <w:t>在投标截止时间前，除投标人补充、修改或者撤回投标文件外，任何单位和个人不得解密或提取投标文件。</w:t>
      </w:r>
    </w:p>
    <w:p w14:paraId="25BFE474">
      <w:pPr>
        <w:spacing w:before="120" w:line="320" w:lineRule="atLeast"/>
        <w:ind w:left="2" w:leftChars="1" w:firstLine="420" w:firstLineChars="200"/>
        <w:rPr>
          <w:szCs w:val="21"/>
        </w:rPr>
      </w:pPr>
      <w:r>
        <w:rPr>
          <w:szCs w:val="21"/>
        </w:rPr>
        <w:t>3.7.5</w:t>
      </w:r>
      <w:r>
        <w:rPr>
          <w:rFonts w:hint="eastAsia"/>
          <w:szCs w:val="21"/>
        </w:rPr>
        <w:t>在投标截止时间止提交电子版投标文件的投标人不足3家时，电子版投标文件由代理机构在广西政府采购云平台操作退回，除此之外采购人和采购代理机构对已提交的投标文件概不退回。</w:t>
      </w:r>
    </w:p>
    <w:p w14:paraId="4DAC09E9">
      <w:pPr>
        <w:spacing w:before="120" w:line="320" w:lineRule="atLeast"/>
        <w:ind w:left="2" w:leftChars="1" w:firstLine="420" w:firstLineChars="200"/>
        <w:rPr>
          <w:szCs w:val="21"/>
        </w:rPr>
      </w:pPr>
      <w:bookmarkStart w:id="65" w:name="_Hlk93046827"/>
      <w:r>
        <w:rPr>
          <w:rFonts w:hint="eastAsia"/>
          <w:szCs w:val="21"/>
        </w:rPr>
        <w:t>3</w:t>
      </w:r>
      <w:r>
        <w:rPr>
          <w:szCs w:val="21"/>
        </w:rPr>
        <w:t>.7.6</w:t>
      </w:r>
      <w:r>
        <w:rPr>
          <w:rFonts w:hint="eastAsia"/>
          <w:szCs w:val="21"/>
        </w:rPr>
        <w:t>招标文件未允许同一投标人提交两个或以上不同的响应文件，但存在</w:t>
      </w:r>
      <w:r>
        <w:rPr>
          <w:rFonts w:hint="eastAsia"/>
        </w:rPr>
        <w:t>同</w:t>
      </w:r>
      <w:r>
        <w:rPr>
          <w:rFonts w:hint="eastAsia"/>
          <w:szCs w:val="21"/>
        </w:rPr>
        <w:t>一投标人提交两个或以上不同的响应文件的，</w:t>
      </w:r>
      <w:r>
        <w:rPr>
          <w:rFonts w:hint="eastAsia"/>
          <w:b/>
          <w:bCs/>
          <w:szCs w:val="21"/>
        </w:rPr>
        <w:t>其投标无效。</w:t>
      </w:r>
      <w:r>
        <w:rPr>
          <w:rFonts w:hint="eastAsia"/>
          <w:szCs w:val="21"/>
        </w:rPr>
        <w:t>投标人在同一投标文件中对某项技术、商务要求提供有选择性的响应参数或方案等同于提交两个或以上不同的投标文件。</w:t>
      </w:r>
    </w:p>
    <w:bookmarkEnd w:id="65"/>
    <w:p w14:paraId="5C050C54">
      <w:pPr>
        <w:spacing w:before="120" w:line="320" w:lineRule="atLeast"/>
        <w:ind w:left="2" w:leftChars="1" w:firstLine="422" w:firstLineChars="200"/>
        <w:outlineLvl w:val="1"/>
        <w:rPr>
          <w:b/>
          <w:bCs/>
          <w:kern w:val="0"/>
          <w:szCs w:val="21"/>
        </w:rPr>
      </w:pPr>
      <w:r>
        <w:rPr>
          <w:b/>
          <w:bCs/>
          <w:kern w:val="0"/>
          <w:szCs w:val="21"/>
        </w:rPr>
        <w:t>4．开标</w:t>
      </w:r>
      <w:bookmarkEnd w:id="63"/>
      <w:bookmarkEnd w:id="64"/>
    </w:p>
    <w:p w14:paraId="48B6E6CE">
      <w:pPr>
        <w:spacing w:before="120" w:line="320" w:lineRule="atLeast"/>
        <w:ind w:firstLine="422" w:firstLineChars="200"/>
        <w:outlineLvl w:val="2"/>
        <w:rPr>
          <w:b/>
          <w:bCs/>
          <w:kern w:val="0"/>
          <w:szCs w:val="21"/>
        </w:rPr>
      </w:pPr>
      <w:r>
        <w:rPr>
          <w:b/>
          <w:bCs/>
          <w:kern w:val="0"/>
          <w:szCs w:val="21"/>
        </w:rPr>
        <w:t>4.1开标准备</w:t>
      </w:r>
    </w:p>
    <w:p w14:paraId="2BC14314">
      <w:pPr>
        <w:spacing w:before="120" w:line="276" w:lineRule="auto"/>
        <w:ind w:firstLine="420" w:firstLineChars="200"/>
        <w:rPr>
          <w:szCs w:val="21"/>
        </w:rPr>
      </w:pPr>
      <w:r>
        <w:rPr>
          <w:szCs w:val="21"/>
        </w:rPr>
        <w:t>本项目投标截止时间及地点见“</w:t>
      </w:r>
      <w:r>
        <w:rPr>
          <w:rFonts w:hint="eastAsia"/>
          <w:szCs w:val="21"/>
        </w:rPr>
        <w:t>投标人须知</w:t>
      </w:r>
      <w:r>
        <w:rPr>
          <w:szCs w:val="21"/>
        </w:rPr>
        <w:t>前附表”规定。</w:t>
      </w:r>
    </w:p>
    <w:p w14:paraId="303732BA">
      <w:pPr>
        <w:autoSpaceDE w:val="0"/>
        <w:autoSpaceDN w:val="0"/>
        <w:adjustRightInd w:val="0"/>
        <w:spacing w:line="276" w:lineRule="auto"/>
        <w:ind w:firstLine="420" w:firstLineChars="200"/>
        <w:rPr>
          <w:szCs w:val="21"/>
        </w:rPr>
      </w:pPr>
      <w:r>
        <w:rPr>
          <w:rFonts w:hint="eastAsia"/>
          <w:szCs w:val="21"/>
        </w:rPr>
        <w:t>全流程电子化项目没有现场递交投标文件及现场开标环节。采购代理机构将按照招标文件规定的时间通过广西政府采购云平台组织线上开标活动、开启投标文件，所有投标人均应当准时在线参加。投标人</w:t>
      </w:r>
      <w:r>
        <w:rPr>
          <w:szCs w:val="21"/>
        </w:rPr>
        <w:t>如不</w:t>
      </w:r>
      <w:r>
        <w:rPr>
          <w:rFonts w:hint="eastAsia"/>
          <w:szCs w:val="21"/>
        </w:rPr>
        <w:t>参加</w:t>
      </w:r>
      <w:r>
        <w:rPr>
          <w:szCs w:val="21"/>
        </w:rPr>
        <w:t>开标大会的，</w:t>
      </w:r>
      <w:r>
        <w:rPr>
          <w:rFonts w:hint="eastAsia"/>
          <w:szCs w:val="21"/>
        </w:rPr>
        <w:t>视同认可开标结果，</w:t>
      </w:r>
      <w:r>
        <w:rPr>
          <w:szCs w:val="21"/>
        </w:rPr>
        <w:t>事后不得对采购相关人员、开标过程和开标结果提出异议</w:t>
      </w:r>
      <w:r>
        <w:rPr>
          <w:rFonts w:hint="eastAsia"/>
          <w:szCs w:val="21"/>
        </w:rPr>
        <w:t>，同时投标人因未在线参加开标而导致投标文件无法按时解密等一切后果由投标人自己承担。</w:t>
      </w:r>
    </w:p>
    <w:p w14:paraId="50A1E8F4">
      <w:pPr>
        <w:spacing w:before="120" w:line="276" w:lineRule="auto"/>
        <w:ind w:firstLine="420" w:firstLineChars="200"/>
        <w:rPr>
          <w:szCs w:val="21"/>
        </w:rPr>
      </w:pPr>
      <w:r>
        <w:rPr>
          <w:rFonts w:hint="eastAsia"/>
          <w:szCs w:val="21"/>
        </w:rPr>
        <w:t xml:space="preserve">如投标人成功解密投标文件，但未在广西政府采购云平台电子开标大厅参加开标的，视同认可开标过程和结果，由此产生的后果由投标人自行负责。 </w:t>
      </w:r>
    </w:p>
    <w:p w14:paraId="6E72BB3E">
      <w:pPr>
        <w:spacing w:before="120" w:line="320" w:lineRule="atLeast"/>
        <w:ind w:firstLine="422" w:firstLineChars="200"/>
        <w:outlineLvl w:val="2"/>
        <w:rPr>
          <w:b/>
          <w:bCs/>
          <w:kern w:val="0"/>
          <w:szCs w:val="21"/>
        </w:rPr>
      </w:pPr>
      <w:r>
        <w:rPr>
          <w:b/>
          <w:bCs/>
          <w:kern w:val="0"/>
          <w:szCs w:val="21"/>
        </w:rPr>
        <w:t>4.2开标程序</w:t>
      </w:r>
    </w:p>
    <w:p w14:paraId="42863B39">
      <w:pPr>
        <w:spacing w:before="120" w:line="320" w:lineRule="atLeast"/>
        <w:ind w:firstLine="420" w:firstLineChars="200"/>
        <w:rPr>
          <w:szCs w:val="21"/>
        </w:rPr>
      </w:pPr>
      <w:r>
        <w:rPr>
          <w:szCs w:val="21"/>
        </w:rPr>
        <w:t>4.2.1</w:t>
      </w:r>
      <w:r>
        <w:rPr>
          <w:rFonts w:hint="eastAsia"/>
          <w:szCs w:val="21"/>
        </w:rPr>
        <w:t>投标人登录广西政府采购云平台进入开标大厅签到。</w:t>
      </w:r>
    </w:p>
    <w:p w14:paraId="329AE3BB">
      <w:pPr>
        <w:spacing w:before="120" w:line="320" w:lineRule="atLeast"/>
        <w:ind w:firstLine="420" w:firstLineChars="200"/>
        <w:rPr>
          <w:szCs w:val="21"/>
        </w:rPr>
      </w:pPr>
      <w:r>
        <w:rPr>
          <w:rFonts w:hint="eastAsia"/>
          <w:szCs w:val="21"/>
        </w:rPr>
        <w:t>4</w:t>
      </w:r>
      <w:r>
        <w:rPr>
          <w:szCs w:val="21"/>
        </w:rPr>
        <w:t>.2.2</w:t>
      </w:r>
      <w:r>
        <w:rPr>
          <w:rFonts w:hint="eastAsia"/>
          <w:szCs w:val="21"/>
        </w:rPr>
        <w:t>解密电子投标文件。广西政府采购云平台按开标时间自动提取所有投标文件。采购代理机构在广西政府采购云平台向各投标人发出电子加密投标文件开始解密通知，由投标人在平台设置时间内自行进行投标文件解密。投标人须使用加密时所用的CA锁准时登录到广西政府采购云平台电子开标大厅签到并对电子投标文件解密。开标后投标人未及时进行解密的，代理机构可通知投标人。</w:t>
      </w:r>
      <w:r>
        <w:rPr>
          <w:rFonts w:hint="eastAsia"/>
        </w:rPr>
        <w:t>通知后投标人仍未在上述规定时间内解密响应文件</w:t>
      </w:r>
      <w:r>
        <w:rPr>
          <w:rFonts w:hint="eastAsia"/>
          <w:szCs w:val="21"/>
        </w:rPr>
        <w:t>，或者投标人没预留联系方式或预留联系方式无效导致代理机构无法联系到投标人进行解密的，均视为无效投标。</w:t>
      </w:r>
    </w:p>
    <w:p w14:paraId="7B1F5798">
      <w:pPr>
        <w:spacing w:before="120" w:line="320" w:lineRule="atLeast"/>
        <w:ind w:firstLine="420" w:firstLineChars="200"/>
        <w:rPr>
          <w:szCs w:val="21"/>
        </w:rPr>
      </w:pPr>
      <w:r>
        <w:rPr>
          <w:rFonts w:hint="eastAsia"/>
          <w:szCs w:val="21"/>
        </w:rPr>
        <w:t>4</w:t>
      </w:r>
      <w:r>
        <w:rPr>
          <w:szCs w:val="21"/>
        </w:rPr>
        <w:t>.2.3</w:t>
      </w:r>
      <w:r>
        <w:rPr>
          <w:rFonts w:hint="eastAsia"/>
          <w:szCs w:val="21"/>
        </w:rPr>
        <w:t>广西政府采购云平台设置有备份响应文件功能。备份响应文件是指平台设置为接受备份响应文件时，如出现投标人上传的响应文件存在问题或其他投标人原因引起解密异常时，投标人可以在规定时间内将备份响应文件通过邮箱发送至采购代理机构，由代理机构上传备份响应文件后自动解密从而避免被视为无效响应。是否接受备份响应文件详见投标人须知前附表，如接受备份文件，投标人未在规定时间内发送备份响应文件的将视为无效响应。</w:t>
      </w:r>
    </w:p>
    <w:p w14:paraId="7C705A2D">
      <w:pPr>
        <w:spacing w:before="120" w:line="320" w:lineRule="atLeast"/>
        <w:ind w:firstLine="420" w:firstLineChars="200"/>
        <w:rPr>
          <w:szCs w:val="21"/>
        </w:rPr>
      </w:pPr>
      <w:r>
        <w:rPr>
          <w:rFonts w:hint="eastAsia"/>
          <w:szCs w:val="21"/>
        </w:rPr>
        <w:t>4</w:t>
      </w:r>
      <w:r>
        <w:rPr>
          <w:szCs w:val="21"/>
        </w:rPr>
        <w:t>.2.4</w:t>
      </w:r>
      <w:r>
        <w:rPr>
          <w:rFonts w:hint="eastAsia"/>
          <w:szCs w:val="21"/>
        </w:rPr>
        <w:t>解密异常情况处理：详见本章</w:t>
      </w:r>
      <w:r>
        <w:rPr>
          <w:szCs w:val="21"/>
        </w:rPr>
        <w:t>9.2</w:t>
      </w:r>
      <w:r>
        <w:rPr>
          <w:rFonts w:hint="eastAsia"/>
          <w:szCs w:val="21"/>
        </w:rPr>
        <w:t>电子交易活动的中止。</w:t>
      </w:r>
    </w:p>
    <w:p w14:paraId="7D406934">
      <w:pPr>
        <w:spacing w:before="120" w:line="320" w:lineRule="atLeast"/>
        <w:ind w:firstLine="420" w:firstLineChars="200"/>
        <w:rPr>
          <w:szCs w:val="21"/>
        </w:rPr>
      </w:pPr>
      <w:r>
        <w:rPr>
          <w:rFonts w:hint="eastAsia"/>
          <w:szCs w:val="21"/>
        </w:rPr>
        <w:t>4</w:t>
      </w:r>
      <w:r>
        <w:rPr>
          <w:szCs w:val="21"/>
        </w:rPr>
        <w:t>.2.5</w:t>
      </w:r>
      <w:r>
        <w:rPr>
          <w:rFonts w:hint="eastAsia"/>
          <w:szCs w:val="21"/>
        </w:rPr>
        <w:t>投标人对报价进行确认。</w:t>
      </w:r>
    </w:p>
    <w:p w14:paraId="2B10EFA5">
      <w:pPr>
        <w:spacing w:before="120" w:line="320" w:lineRule="atLeast"/>
        <w:ind w:firstLine="420" w:firstLineChars="200"/>
        <w:rPr>
          <w:szCs w:val="21"/>
        </w:rPr>
      </w:pPr>
      <w:r>
        <w:rPr>
          <w:szCs w:val="21"/>
        </w:rPr>
        <w:t>4.2.6开标结束。</w:t>
      </w:r>
    </w:p>
    <w:p w14:paraId="43C65B3E">
      <w:pPr>
        <w:pStyle w:val="26"/>
        <w:snapToGrid w:val="0"/>
        <w:spacing w:line="440" w:lineRule="exact"/>
        <w:ind w:firstLine="422" w:firstLineChars="200"/>
        <w:rPr>
          <w:rFonts w:hAnsi="宋体"/>
        </w:rPr>
      </w:pPr>
      <w:r>
        <w:rPr>
          <w:rFonts w:hint="eastAsia" w:hAnsi="宋体"/>
          <w:b/>
          <w:bCs/>
        </w:rPr>
        <w:t>特别说明：</w:t>
      </w:r>
      <w:r>
        <w:rPr>
          <w:rFonts w:hint="eastAsia" w:hAnsi="宋体"/>
        </w:rPr>
        <w:t>如遇</w:t>
      </w:r>
      <w:r>
        <w:rPr>
          <w:rFonts w:hint="eastAsia"/>
        </w:rPr>
        <w:t>广西政府采购云平台</w:t>
      </w:r>
      <w:r>
        <w:rPr>
          <w:rFonts w:hint="eastAsia" w:hAnsi="宋体"/>
        </w:rPr>
        <w:t>电子化开标或评审程序调整的，按调整后的程序执行。</w:t>
      </w:r>
    </w:p>
    <w:p w14:paraId="2BA72C3F">
      <w:pPr>
        <w:spacing w:before="120" w:line="320" w:lineRule="atLeast"/>
        <w:ind w:firstLine="422" w:firstLineChars="200"/>
        <w:outlineLvl w:val="2"/>
        <w:rPr>
          <w:b/>
          <w:bCs/>
          <w:kern w:val="0"/>
          <w:szCs w:val="21"/>
        </w:rPr>
      </w:pPr>
      <w:r>
        <w:rPr>
          <w:b/>
          <w:bCs/>
          <w:kern w:val="0"/>
          <w:szCs w:val="21"/>
        </w:rPr>
        <w:t>4.3演示</w:t>
      </w:r>
    </w:p>
    <w:p w14:paraId="475934BE">
      <w:pPr>
        <w:spacing w:before="120" w:line="320" w:lineRule="atLeast"/>
        <w:ind w:firstLine="420" w:firstLineChars="200"/>
        <w:rPr>
          <w:szCs w:val="21"/>
        </w:rPr>
      </w:pPr>
      <w:r>
        <w:rPr>
          <w:szCs w:val="21"/>
        </w:rPr>
        <w:t>4.3.1“</w:t>
      </w:r>
      <w:r>
        <w:rPr>
          <w:rFonts w:hint="eastAsia"/>
          <w:szCs w:val="21"/>
        </w:rPr>
        <w:t>投标人须知</w:t>
      </w:r>
      <w:r>
        <w:rPr>
          <w:szCs w:val="21"/>
        </w:rPr>
        <w:t>前附表”规定在开标会议结束后进行演示的，</w:t>
      </w:r>
      <w:r>
        <w:rPr>
          <w:rFonts w:hint="eastAsia"/>
          <w:szCs w:val="21"/>
        </w:rPr>
        <w:t>投标人</w:t>
      </w:r>
      <w:r>
        <w:rPr>
          <w:szCs w:val="21"/>
        </w:rPr>
        <w:t>应按规定进行演示。</w:t>
      </w:r>
    </w:p>
    <w:p w14:paraId="44493E48">
      <w:pPr>
        <w:spacing w:before="120" w:line="320" w:lineRule="atLeast"/>
        <w:ind w:firstLine="420" w:firstLineChars="200"/>
        <w:rPr>
          <w:szCs w:val="21"/>
        </w:rPr>
      </w:pPr>
      <w:r>
        <w:rPr>
          <w:szCs w:val="21"/>
        </w:rPr>
        <w:t>4.3.2未按规定时间进行演示可能引起的演示分数被计为0分或投标无效等后果由</w:t>
      </w:r>
      <w:r>
        <w:rPr>
          <w:rFonts w:hint="eastAsia"/>
          <w:szCs w:val="21"/>
        </w:rPr>
        <w:t>投标人</w:t>
      </w:r>
      <w:r>
        <w:rPr>
          <w:szCs w:val="21"/>
        </w:rPr>
        <w:t>自行承担。</w:t>
      </w:r>
    </w:p>
    <w:p w14:paraId="48E72127">
      <w:pPr>
        <w:spacing w:before="120" w:line="320" w:lineRule="atLeast"/>
        <w:ind w:firstLine="422" w:firstLineChars="200"/>
        <w:outlineLvl w:val="2"/>
        <w:rPr>
          <w:szCs w:val="21"/>
        </w:rPr>
      </w:pPr>
      <w:r>
        <w:rPr>
          <w:b/>
          <w:bCs/>
          <w:kern w:val="0"/>
          <w:szCs w:val="21"/>
        </w:rPr>
        <w:t>4.4样品</w:t>
      </w:r>
    </w:p>
    <w:p w14:paraId="65EFBC91">
      <w:pPr>
        <w:spacing w:before="120" w:line="320" w:lineRule="atLeast"/>
        <w:ind w:firstLine="420" w:firstLineChars="200"/>
        <w:rPr>
          <w:szCs w:val="21"/>
        </w:rPr>
      </w:pPr>
      <w:r>
        <w:rPr>
          <w:szCs w:val="21"/>
        </w:rPr>
        <w:t>4.4.1“</w:t>
      </w:r>
      <w:r>
        <w:rPr>
          <w:rFonts w:hint="eastAsia"/>
          <w:szCs w:val="21"/>
        </w:rPr>
        <w:t>投标人须知</w:t>
      </w:r>
      <w:r>
        <w:rPr>
          <w:szCs w:val="21"/>
        </w:rPr>
        <w:t>前附表”规定递交样品的，</w:t>
      </w:r>
      <w:r>
        <w:rPr>
          <w:rFonts w:hint="eastAsia"/>
          <w:szCs w:val="21"/>
        </w:rPr>
        <w:t>投标人</w:t>
      </w:r>
      <w:r>
        <w:rPr>
          <w:szCs w:val="21"/>
        </w:rPr>
        <w:t>应按前附表规定递交样品，递交样品时应附样品递交表（格式见第六章）。</w:t>
      </w:r>
    </w:p>
    <w:p w14:paraId="3921F9FE">
      <w:pPr>
        <w:spacing w:before="120" w:line="320" w:lineRule="atLeast"/>
        <w:ind w:firstLine="420" w:firstLineChars="200"/>
        <w:rPr>
          <w:szCs w:val="21"/>
        </w:rPr>
      </w:pPr>
      <w:r>
        <w:rPr>
          <w:szCs w:val="21"/>
        </w:rPr>
        <w:t>4.4.2未按规定时间递交样品可能引起的样品分数被计为0分或投标无效等后果由</w:t>
      </w:r>
      <w:r>
        <w:rPr>
          <w:rFonts w:hint="eastAsia"/>
          <w:szCs w:val="21"/>
        </w:rPr>
        <w:t>投标人</w:t>
      </w:r>
      <w:r>
        <w:rPr>
          <w:szCs w:val="21"/>
        </w:rPr>
        <w:t>自行承担。</w:t>
      </w:r>
    </w:p>
    <w:p w14:paraId="67804DA7">
      <w:pPr>
        <w:spacing w:before="120" w:line="320" w:lineRule="atLeast"/>
        <w:ind w:firstLine="420" w:firstLineChars="200"/>
        <w:rPr>
          <w:szCs w:val="21"/>
        </w:rPr>
      </w:pPr>
      <w:bookmarkStart w:id="66" w:name="_Toc254970686"/>
      <w:bookmarkStart w:id="67" w:name="_Toc254970545"/>
      <w:r>
        <w:rPr>
          <w:szCs w:val="21"/>
        </w:rPr>
        <w:t>4.4.3样品封存或退还的说明请见第六章投标文件格式所附样品递交表。</w:t>
      </w:r>
    </w:p>
    <w:p w14:paraId="402FEB57">
      <w:pPr>
        <w:spacing w:before="120" w:line="320" w:lineRule="atLeast"/>
        <w:ind w:left="2" w:leftChars="1" w:firstLine="422" w:firstLineChars="200"/>
        <w:outlineLvl w:val="1"/>
        <w:rPr>
          <w:b/>
          <w:bCs/>
          <w:kern w:val="0"/>
          <w:szCs w:val="21"/>
        </w:rPr>
      </w:pPr>
      <w:bookmarkStart w:id="68" w:name="_Hlk93420947"/>
      <w:r>
        <w:rPr>
          <w:b/>
          <w:bCs/>
          <w:kern w:val="0"/>
          <w:szCs w:val="21"/>
        </w:rPr>
        <w:t>5．</w:t>
      </w:r>
      <w:r>
        <w:rPr>
          <w:rFonts w:hint="eastAsia"/>
          <w:b/>
          <w:bCs/>
          <w:kern w:val="0"/>
          <w:szCs w:val="21"/>
        </w:rPr>
        <w:t>资格审查</w:t>
      </w:r>
    </w:p>
    <w:p w14:paraId="0964431F">
      <w:pPr>
        <w:spacing w:before="120" w:line="320" w:lineRule="atLeast"/>
        <w:ind w:left="2" w:leftChars="1" w:firstLine="420" w:firstLineChars="200"/>
        <w:outlineLvl w:val="1"/>
        <w:rPr>
          <w:bCs/>
          <w:kern w:val="0"/>
          <w:szCs w:val="21"/>
        </w:rPr>
      </w:pPr>
      <w:r>
        <w:rPr>
          <w:rFonts w:hint="eastAsia"/>
          <w:bCs/>
          <w:kern w:val="0"/>
          <w:szCs w:val="21"/>
        </w:rPr>
        <w:t>5</w:t>
      </w:r>
      <w:r>
        <w:rPr>
          <w:bCs/>
          <w:kern w:val="0"/>
          <w:szCs w:val="21"/>
        </w:rPr>
        <w:t>.1</w:t>
      </w:r>
      <w:r>
        <w:rPr>
          <w:rFonts w:ascii="宋体" w:hAnsi="宋体"/>
          <w:bCs/>
          <w:szCs w:val="21"/>
        </w:rPr>
        <w:t>开标结束后，</w:t>
      </w:r>
      <w:r>
        <w:rPr>
          <w:rFonts w:hint="eastAsia" w:ascii="宋体" w:hAnsi="宋体"/>
          <w:bCs/>
          <w:szCs w:val="21"/>
        </w:rPr>
        <w:t>采购人或者采购代理机构通过电子交易平台</w:t>
      </w:r>
      <w:r>
        <w:rPr>
          <w:rFonts w:ascii="宋体" w:hAnsi="宋体"/>
          <w:bCs/>
          <w:szCs w:val="21"/>
        </w:rPr>
        <w:t>对</w:t>
      </w:r>
      <w:r>
        <w:rPr>
          <w:rFonts w:hint="eastAsia" w:ascii="宋体" w:hAnsi="宋体"/>
          <w:bCs/>
          <w:szCs w:val="21"/>
        </w:rPr>
        <w:t>投标人</w:t>
      </w:r>
      <w:r>
        <w:rPr>
          <w:rFonts w:ascii="宋体" w:hAnsi="宋体"/>
          <w:bCs/>
          <w:szCs w:val="21"/>
        </w:rPr>
        <w:t>的资格进行审查。</w:t>
      </w:r>
      <w:r>
        <w:rPr>
          <w:rFonts w:hint="eastAsia" w:ascii="宋体" w:hAnsi="宋体"/>
          <w:bCs/>
          <w:szCs w:val="21"/>
        </w:rPr>
        <w:t>资格审查</w:t>
      </w:r>
      <w:r>
        <w:rPr>
          <w:rFonts w:hint="eastAsia"/>
          <w:bCs/>
          <w:kern w:val="0"/>
          <w:szCs w:val="21"/>
        </w:rPr>
        <w:t>是根据法律法规和招标文件的规定，对投标人的基本资格条件、特定资格条件进行审查。</w:t>
      </w:r>
    </w:p>
    <w:p w14:paraId="666FBFEC">
      <w:pPr>
        <w:spacing w:before="120" w:line="320" w:lineRule="atLeast"/>
        <w:ind w:left="2" w:leftChars="1" w:firstLine="420" w:firstLineChars="200"/>
        <w:outlineLvl w:val="1"/>
        <w:rPr>
          <w:bCs/>
          <w:kern w:val="0"/>
          <w:szCs w:val="21"/>
        </w:rPr>
      </w:pPr>
      <w:r>
        <w:rPr>
          <w:rFonts w:hint="eastAsia"/>
          <w:bCs/>
          <w:kern w:val="0"/>
          <w:szCs w:val="21"/>
        </w:rPr>
        <w:t>5.</w:t>
      </w:r>
      <w:r>
        <w:rPr>
          <w:bCs/>
          <w:kern w:val="0"/>
          <w:szCs w:val="21"/>
        </w:rPr>
        <w:t>2</w:t>
      </w:r>
      <w:r>
        <w:rPr>
          <w:rFonts w:hint="eastAsia"/>
          <w:bCs/>
          <w:kern w:val="0"/>
          <w:szCs w:val="21"/>
        </w:rPr>
        <w:t>资格审查标准在第四章评审方法及标准中规定，符合资格审查标准要求的投标人即为资格审查合格。</w:t>
      </w:r>
    </w:p>
    <w:p w14:paraId="68229B65">
      <w:pPr>
        <w:spacing w:before="120" w:line="276" w:lineRule="auto"/>
        <w:ind w:left="2" w:leftChars="1" w:firstLine="420" w:firstLineChars="200"/>
        <w:outlineLvl w:val="1"/>
        <w:rPr>
          <w:bCs/>
          <w:kern w:val="0"/>
          <w:szCs w:val="21"/>
        </w:rPr>
      </w:pPr>
      <w:r>
        <w:rPr>
          <w:bCs/>
          <w:kern w:val="0"/>
          <w:szCs w:val="21"/>
        </w:rPr>
        <w:t>5.3</w:t>
      </w:r>
      <w:r>
        <w:rPr>
          <w:rFonts w:hint="eastAsia"/>
          <w:bCs/>
          <w:kern w:val="0"/>
          <w:szCs w:val="21"/>
        </w:rPr>
        <w:t>投标人有下列情形之一的，资格审查不合格，作无效投标处理：</w:t>
      </w:r>
    </w:p>
    <w:p w14:paraId="12B069A8">
      <w:pPr>
        <w:spacing w:line="276" w:lineRule="auto"/>
        <w:ind w:firstLine="420" w:firstLineChars="200"/>
        <w:rPr>
          <w:rFonts w:hAnsi="宋体"/>
          <w:szCs w:val="21"/>
        </w:rPr>
      </w:pPr>
      <w:r>
        <w:rPr>
          <w:rFonts w:hint="eastAsia"/>
          <w:szCs w:val="21"/>
        </w:rPr>
        <w:t>5</w:t>
      </w:r>
      <w:r>
        <w:rPr>
          <w:szCs w:val="21"/>
        </w:rPr>
        <w:t>.3.1</w:t>
      </w:r>
      <w:r>
        <w:rPr>
          <w:rFonts w:hint="eastAsia"/>
          <w:szCs w:val="21"/>
        </w:rPr>
        <w:t>不具备招标文件中规定的资格要求或资格条件的； （注：其中信用查询规则见“投标人须知前附表”，广西政府采购云平台已与“信用中国”平台做接口，可直接在线查询）</w:t>
      </w:r>
    </w:p>
    <w:p w14:paraId="14D1FE18">
      <w:pPr>
        <w:spacing w:before="120" w:line="276" w:lineRule="auto"/>
        <w:ind w:firstLine="420" w:firstLineChars="200"/>
        <w:rPr>
          <w:szCs w:val="21"/>
        </w:rPr>
      </w:pPr>
      <w:r>
        <w:rPr>
          <w:rFonts w:hint="eastAsia"/>
          <w:szCs w:val="21"/>
        </w:rPr>
        <w:t>5</w:t>
      </w:r>
      <w:r>
        <w:rPr>
          <w:szCs w:val="21"/>
        </w:rPr>
        <w:t>.3.2</w:t>
      </w:r>
      <w:r>
        <w:rPr>
          <w:rFonts w:hint="eastAsia"/>
          <w:szCs w:val="21"/>
        </w:rPr>
        <w:t>投标文件缺少任何一项资格证明文件或不符合第四章评审方法及标准中资格审查标准规定的评审内容的；</w:t>
      </w:r>
    </w:p>
    <w:p w14:paraId="570D8AB3">
      <w:pPr>
        <w:spacing w:before="120" w:line="276" w:lineRule="auto"/>
        <w:ind w:left="2" w:leftChars="1" w:firstLine="420" w:firstLineChars="200"/>
        <w:outlineLvl w:val="1"/>
        <w:rPr>
          <w:bCs/>
          <w:kern w:val="0"/>
          <w:szCs w:val="21"/>
        </w:rPr>
      </w:pPr>
      <w:r>
        <w:rPr>
          <w:bCs/>
          <w:kern w:val="0"/>
          <w:szCs w:val="21"/>
        </w:rPr>
        <w:t>5.4</w:t>
      </w:r>
      <w:r>
        <w:rPr>
          <w:rFonts w:hint="eastAsia"/>
          <w:bCs/>
          <w:kern w:val="0"/>
          <w:szCs w:val="21"/>
        </w:rPr>
        <w:t>资格审查合格的投标人不足3家的，不得评审。</w:t>
      </w:r>
    </w:p>
    <w:bookmarkEnd w:id="68"/>
    <w:p w14:paraId="3D8EE6C5">
      <w:pPr>
        <w:spacing w:before="120" w:line="320" w:lineRule="atLeast"/>
        <w:ind w:left="2" w:leftChars="1" w:firstLine="422" w:firstLineChars="200"/>
        <w:outlineLvl w:val="1"/>
        <w:rPr>
          <w:b/>
          <w:bCs/>
          <w:kern w:val="0"/>
          <w:szCs w:val="21"/>
        </w:rPr>
      </w:pPr>
      <w:bookmarkStart w:id="69" w:name="_Hlk93420990"/>
      <w:r>
        <w:rPr>
          <w:b/>
          <w:bCs/>
          <w:kern w:val="0"/>
          <w:szCs w:val="21"/>
        </w:rPr>
        <w:t>6．评审</w:t>
      </w:r>
      <w:bookmarkEnd w:id="66"/>
      <w:bookmarkEnd w:id="67"/>
    </w:p>
    <w:p w14:paraId="2E37E311">
      <w:pPr>
        <w:spacing w:before="120" w:line="320" w:lineRule="atLeast"/>
        <w:ind w:firstLine="422" w:firstLineChars="200"/>
        <w:outlineLvl w:val="2"/>
        <w:rPr>
          <w:b/>
          <w:bCs/>
          <w:kern w:val="0"/>
          <w:szCs w:val="21"/>
        </w:rPr>
      </w:pPr>
      <w:r>
        <w:rPr>
          <w:b/>
          <w:bCs/>
          <w:kern w:val="0"/>
          <w:szCs w:val="21"/>
        </w:rPr>
        <w:t>6.1评审委员会</w:t>
      </w:r>
      <w:r>
        <w:rPr>
          <w:rFonts w:hint="eastAsia"/>
          <w:b/>
          <w:bCs/>
          <w:kern w:val="0"/>
          <w:szCs w:val="21"/>
        </w:rPr>
        <w:t>及评审原则</w:t>
      </w:r>
    </w:p>
    <w:p w14:paraId="310ED24D">
      <w:pPr>
        <w:spacing w:before="120" w:line="320" w:lineRule="atLeast"/>
        <w:ind w:firstLine="420" w:firstLineChars="200"/>
        <w:rPr>
          <w:szCs w:val="21"/>
        </w:rPr>
      </w:pPr>
      <w:bookmarkStart w:id="70" w:name="_Hlk91249317"/>
      <w:r>
        <w:rPr>
          <w:rFonts w:hint="eastAsia"/>
          <w:szCs w:val="21"/>
        </w:rPr>
        <w:t>6.1.1</w:t>
      </w:r>
      <w:r>
        <w:rPr>
          <w:szCs w:val="21"/>
        </w:rPr>
        <w:t>本项目</w:t>
      </w:r>
      <w:r>
        <w:rPr>
          <w:rFonts w:hint="eastAsia"/>
          <w:szCs w:val="21"/>
        </w:rPr>
        <w:t>评审工作由</w:t>
      </w:r>
      <w:r>
        <w:rPr>
          <w:szCs w:val="21"/>
        </w:rPr>
        <w:t>评审委员会</w:t>
      </w:r>
      <w:r>
        <w:rPr>
          <w:rFonts w:hint="eastAsia"/>
          <w:szCs w:val="21"/>
        </w:rPr>
        <w:t>负责，评审委员会</w:t>
      </w:r>
      <w:r>
        <w:rPr>
          <w:szCs w:val="21"/>
        </w:rPr>
        <w:t>由</w:t>
      </w:r>
      <w:r>
        <w:rPr>
          <w:rFonts w:hint="eastAsia"/>
          <w:szCs w:val="21"/>
        </w:rPr>
        <w:t>评审专家</w:t>
      </w:r>
      <w:r>
        <w:rPr>
          <w:szCs w:val="21"/>
        </w:rPr>
        <w:t>和采购人代表</w:t>
      </w:r>
      <w:r>
        <w:rPr>
          <w:rFonts w:hint="eastAsia"/>
          <w:szCs w:val="21"/>
        </w:rPr>
        <w:t>（如有）</w:t>
      </w:r>
      <w:r>
        <w:rPr>
          <w:szCs w:val="21"/>
        </w:rPr>
        <w:t>组成。</w:t>
      </w:r>
      <w:r>
        <w:rPr>
          <w:rFonts w:hint="eastAsia"/>
          <w:szCs w:val="21"/>
        </w:rPr>
        <w:t>评审委员会评审时必须公平、公正、客观，不带任何倾向性和启发性；不得向外界透露任何与评审有关的内容；任何单位和个人不得干扰、影响评标的正常进行；评审委员会及有关工作人员不得私下与投标人接触，不得收受利害关系人的财物或者其他好处；</w:t>
      </w:r>
      <w:r>
        <w:rPr>
          <w:szCs w:val="21"/>
        </w:rPr>
        <w:t>评审专家发现本人与参加采购活动的</w:t>
      </w:r>
      <w:r>
        <w:rPr>
          <w:rFonts w:hint="eastAsia"/>
          <w:szCs w:val="21"/>
        </w:rPr>
        <w:t>投标人</w:t>
      </w:r>
      <w:r>
        <w:rPr>
          <w:szCs w:val="21"/>
        </w:rPr>
        <w:t>有利害关系的，应当主动提出回避</w:t>
      </w:r>
      <w:r>
        <w:rPr>
          <w:rFonts w:hint="eastAsia"/>
          <w:szCs w:val="21"/>
        </w:rPr>
        <w:t>。</w:t>
      </w:r>
    </w:p>
    <w:p w14:paraId="20A6A69F">
      <w:pPr>
        <w:spacing w:before="120" w:line="320" w:lineRule="atLeast"/>
        <w:ind w:firstLine="420" w:firstLineChars="200"/>
        <w:rPr>
          <w:szCs w:val="21"/>
        </w:rPr>
      </w:pPr>
      <w:r>
        <w:rPr>
          <w:rFonts w:hint="eastAsia"/>
          <w:szCs w:val="21"/>
        </w:rPr>
        <w:t>6.1.2评审委员会成员应当通过电子交易平台进行独立评审，评审委员会成员对需要共同认定的事项存在争议的，应当按照少数服从多数的原则作出结论。持不同意见的评审委员会成员应当在评审报告上签署不同意见及理由，否则视为同意评审报告。如果在评审过程中出现法律法规和招标文件均没有明确规定的情形时，由评审委员会现场协商确定，协商不一致的，由全体评审委员会成员投票表决，应当按照少数服从多数的原则作出结论并记录在评审报告中。</w:t>
      </w:r>
    </w:p>
    <w:p w14:paraId="3452E2A7">
      <w:pPr>
        <w:spacing w:before="120" w:line="320" w:lineRule="atLeast"/>
        <w:ind w:firstLine="420" w:firstLineChars="200"/>
        <w:rPr>
          <w:szCs w:val="21"/>
        </w:rPr>
      </w:pPr>
      <w:r>
        <w:rPr>
          <w:rFonts w:hint="eastAsia"/>
          <w:szCs w:val="21"/>
        </w:rPr>
        <w:t>6.1.3采购人、采购代理机构应当采取必要措施，保证评审在严格保密（封闭式评审）的情况下进行。除采购人代表、评审现场组织人员外，采购人的其他工作人员以及与评审工作无关的人员不得进入评审现场。有关人员对评审情况以及在评审过程中获悉的国家秘密、商业秘密负有保密责任。</w:t>
      </w:r>
    </w:p>
    <w:p w14:paraId="6ACDDFAE">
      <w:pPr>
        <w:spacing w:before="120" w:line="320" w:lineRule="atLeast"/>
        <w:ind w:firstLine="420" w:firstLineChars="200"/>
        <w:rPr>
          <w:szCs w:val="21"/>
        </w:rPr>
      </w:pPr>
      <w:r>
        <w:rPr>
          <w:rFonts w:hint="eastAsia"/>
          <w:szCs w:val="21"/>
        </w:rPr>
        <w:t>6.1.4本项目评审过程实行全程网上留痕及录音、录像监控，投标人在评审过程中所进行的试图影响评审结果的不公正活动，可能导致其投标按无效处理。</w:t>
      </w:r>
    </w:p>
    <w:bookmarkEnd w:id="70"/>
    <w:p w14:paraId="770B0D32">
      <w:pPr>
        <w:spacing w:before="120" w:line="320" w:lineRule="atLeast"/>
        <w:ind w:firstLine="422" w:firstLineChars="200"/>
        <w:outlineLvl w:val="2"/>
        <w:rPr>
          <w:b/>
          <w:bCs/>
          <w:kern w:val="0"/>
          <w:szCs w:val="21"/>
        </w:rPr>
      </w:pPr>
      <w:bookmarkStart w:id="71" w:name="_Hlk91324148"/>
      <w:r>
        <w:rPr>
          <w:b/>
          <w:bCs/>
          <w:kern w:val="0"/>
          <w:szCs w:val="21"/>
        </w:rPr>
        <w:t>6.2</w:t>
      </w:r>
      <w:r>
        <w:rPr>
          <w:rFonts w:hint="eastAsia"/>
          <w:b/>
          <w:bCs/>
          <w:kern w:val="0"/>
          <w:szCs w:val="21"/>
        </w:rPr>
        <w:t>评审方法及依据</w:t>
      </w:r>
    </w:p>
    <w:p w14:paraId="7E062215">
      <w:pPr>
        <w:spacing w:before="120" w:line="320" w:lineRule="atLeast"/>
        <w:ind w:firstLine="420" w:firstLineChars="200"/>
        <w:rPr>
          <w:bCs/>
          <w:kern w:val="0"/>
          <w:szCs w:val="21"/>
        </w:rPr>
      </w:pPr>
      <w:r>
        <w:rPr>
          <w:bCs/>
          <w:kern w:val="0"/>
          <w:szCs w:val="21"/>
        </w:rPr>
        <w:t>6.2.1</w:t>
      </w:r>
      <w:r>
        <w:rPr>
          <w:rFonts w:hint="eastAsia"/>
          <w:bCs/>
          <w:kern w:val="0"/>
          <w:szCs w:val="21"/>
        </w:rPr>
        <w:t>本项目采用第四章评审方法及标准规定的方法进行评审。</w:t>
      </w:r>
    </w:p>
    <w:p w14:paraId="4C5687A0">
      <w:pPr>
        <w:suppressAutoHyphens/>
        <w:spacing w:before="120" w:line="320" w:lineRule="atLeast"/>
        <w:ind w:firstLine="420" w:firstLineChars="200"/>
        <w:rPr>
          <w:bCs/>
          <w:kern w:val="0"/>
          <w:szCs w:val="21"/>
        </w:rPr>
      </w:pPr>
      <w:r>
        <w:rPr>
          <w:bCs/>
          <w:kern w:val="0"/>
          <w:szCs w:val="21"/>
        </w:rPr>
        <w:t>6.2.2</w:t>
      </w:r>
      <w:r>
        <w:rPr>
          <w:rFonts w:hint="eastAsia"/>
        </w:rPr>
        <w:t>评审委员会</w:t>
      </w:r>
      <w:r>
        <w:t>以</w:t>
      </w:r>
      <w:r>
        <w:rPr>
          <w:rFonts w:hint="eastAsia"/>
        </w:rPr>
        <w:t>招标</w:t>
      </w:r>
      <w:r>
        <w:t>文件、补充文件、</w:t>
      </w:r>
      <w:r>
        <w:rPr>
          <w:rFonts w:hint="eastAsia"/>
        </w:rPr>
        <w:t>投标</w:t>
      </w:r>
      <w:r>
        <w:t>文件、澄清及答复为评审依据</w:t>
      </w:r>
      <w:r>
        <w:rPr>
          <w:rFonts w:hint="eastAsia"/>
        </w:rPr>
        <w:t>，</w:t>
      </w:r>
      <w:r>
        <w:rPr>
          <w:rFonts w:hint="eastAsia"/>
          <w:bCs/>
          <w:kern w:val="0"/>
          <w:szCs w:val="21"/>
        </w:rPr>
        <w:t>第四章评审方法及标准没有规定的评审方法、标准及因素，不得作为评审依据。</w:t>
      </w:r>
    </w:p>
    <w:bookmarkEnd w:id="71"/>
    <w:p w14:paraId="2E9DD2AD">
      <w:pPr>
        <w:spacing w:before="120" w:line="320" w:lineRule="atLeast"/>
        <w:ind w:firstLine="422" w:firstLineChars="200"/>
        <w:outlineLvl w:val="2"/>
        <w:rPr>
          <w:b/>
          <w:bCs/>
          <w:kern w:val="0"/>
          <w:szCs w:val="21"/>
        </w:rPr>
      </w:pPr>
      <w:bookmarkStart w:id="72" w:name="_Hlk91324322"/>
      <w:r>
        <w:rPr>
          <w:b/>
          <w:bCs/>
          <w:kern w:val="0"/>
          <w:szCs w:val="21"/>
        </w:rPr>
        <w:t>6.3评审</w:t>
      </w:r>
      <w:r>
        <w:rPr>
          <w:rFonts w:hint="eastAsia"/>
          <w:b/>
          <w:bCs/>
          <w:kern w:val="0"/>
          <w:szCs w:val="21"/>
        </w:rPr>
        <w:t>程序</w:t>
      </w:r>
    </w:p>
    <w:p w14:paraId="77A8109C">
      <w:pPr>
        <w:spacing w:before="120" w:line="320" w:lineRule="atLeast"/>
        <w:ind w:firstLine="420" w:firstLineChars="200"/>
      </w:pPr>
      <w:r>
        <w:t>6.</w:t>
      </w:r>
      <w:bookmarkStart w:id="73" w:name="_Hlk19175507"/>
      <w:bookmarkStart w:id="74" w:name="_Hlk80956880"/>
      <w:r>
        <w:t>3.1</w:t>
      </w:r>
      <w:r>
        <w:rPr>
          <w:rFonts w:hint="eastAsia"/>
        </w:rPr>
        <w:t>符合性审查</w:t>
      </w:r>
    </w:p>
    <w:p w14:paraId="059221BE">
      <w:pPr>
        <w:spacing w:before="120" w:line="320" w:lineRule="atLeast"/>
        <w:ind w:firstLine="420" w:firstLineChars="200"/>
        <w:rPr>
          <w:szCs w:val="21"/>
        </w:rPr>
      </w:pPr>
      <w:r>
        <w:rPr>
          <w:bCs/>
          <w:kern w:val="1"/>
          <w:szCs w:val="21"/>
        </w:rPr>
        <w:t>资格审查结束后，</w:t>
      </w:r>
      <w:r>
        <w:rPr>
          <w:rFonts w:hint="eastAsia" w:hAnsi="宋体"/>
        </w:rPr>
        <w:t>评审委员会对</w:t>
      </w:r>
      <w:r>
        <w:t>通过资格审查的</w:t>
      </w:r>
      <w:r>
        <w:rPr>
          <w:rFonts w:hint="eastAsia"/>
        </w:rPr>
        <w:t>投标人</w:t>
      </w:r>
      <w:r>
        <w:rPr>
          <w:rFonts w:hint="eastAsia" w:hAnsi="宋体"/>
        </w:rPr>
        <w:t>的投标文件报价、商务资信、技术等方面实质性内容进行符合性审查，</w:t>
      </w:r>
      <w:r>
        <w:rPr>
          <w:rFonts w:hint="eastAsia"/>
          <w:szCs w:val="21"/>
        </w:rPr>
        <w:t>符合性审查标准</w:t>
      </w:r>
      <w:r>
        <w:rPr>
          <w:szCs w:val="21"/>
        </w:rPr>
        <w:t>详见第四章评审方法及标准。</w:t>
      </w:r>
    </w:p>
    <w:bookmarkEnd w:id="73"/>
    <w:bookmarkEnd w:id="74"/>
    <w:p w14:paraId="52252D3F">
      <w:pPr>
        <w:spacing w:before="120" w:line="320" w:lineRule="atLeast"/>
        <w:ind w:firstLine="420" w:firstLineChars="200"/>
        <w:rPr>
          <w:szCs w:val="21"/>
        </w:rPr>
      </w:pPr>
      <w:r>
        <w:rPr>
          <w:rFonts w:hint="eastAsia"/>
          <w:szCs w:val="21"/>
        </w:rPr>
        <w:t>6</w:t>
      </w:r>
      <w:r>
        <w:rPr>
          <w:szCs w:val="21"/>
        </w:rPr>
        <w:t>.3.2</w:t>
      </w:r>
      <w:r>
        <w:rPr>
          <w:rFonts w:hAnsi="宋体"/>
        </w:rPr>
        <w:t>强制性</w:t>
      </w:r>
      <w:r>
        <w:rPr>
          <w:szCs w:val="21"/>
        </w:rPr>
        <w:t>采购要求</w:t>
      </w:r>
      <w:r>
        <w:rPr>
          <w:rFonts w:hint="eastAsia"/>
          <w:szCs w:val="21"/>
        </w:rPr>
        <w:t>（仅适用于货物采购项目）</w:t>
      </w:r>
    </w:p>
    <w:p w14:paraId="77459EB4">
      <w:pPr>
        <w:suppressAutoHyphens/>
        <w:spacing w:before="120" w:line="320" w:lineRule="atLeast"/>
        <w:ind w:firstLine="422" w:firstLineChars="201"/>
        <w:rPr>
          <w:szCs w:val="21"/>
        </w:rPr>
      </w:pPr>
      <w:r>
        <w:rPr>
          <w:rFonts w:hint="eastAsia"/>
        </w:rPr>
        <w:t>（1）</w:t>
      </w:r>
      <w:r>
        <w:rPr>
          <w:rFonts w:hint="eastAsia"/>
          <w:szCs w:val="21"/>
        </w:rPr>
        <w:t>根据《财政部 发展改革委 生态环境部 市场监管总局关于调整优化节能产品、环境标志产品政府采购执行机制的通知》（财库〔2019〕9号）和《关于印发节能产品政府采购品目清单的通知》（财库〔2019〕19号）规定，本项目采购需求中的产品属于节能产品政府采购品目清单内标注“★”的，投标人的投标货物必须使用政府强制采购的节能产品，否则投标文件作无效处理；属于品目清单内非标注“★”的产品时，应优先采购。</w:t>
      </w:r>
    </w:p>
    <w:p w14:paraId="44E650E8">
      <w:pPr>
        <w:spacing w:before="120" w:line="276" w:lineRule="auto"/>
        <w:ind w:firstLine="420" w:firstLineChars="200"/>
        <w:rPr>
          <w:szCs w:val="21"/>
        </w:rPr>
      </w:pPr>
      <w:r>
        <w:rPr>
          <w:rFonts w:hint="eastAsia"/>
          <w:szCs w:val="21"/>
        </w:rPr>
        <w:t>（2）根据《关于调整网络安全专用产品安全管理有关事项的公告》（2023年1号）及关于调整《网络关键设备和网络安全专用产品目录》（2023年2号）的公告规定，本项目采购需求中的产品如果包括《网络关键设备和网络安全专用产品目录》的网络安全专用产品，投标人在投标文件中应主动列明供货范围中属于网络安全专用产品的投标产品，并提供由中共中央网络安全和信息化委员会办公室网站最新发布的《网络关键设备和网络安全专用产品安全认证和安全检测结果》截图证明材料，不在《网络关键设备和网络安全专用产品安全认证和安全检测结果》中或不在有效期内或未提供有效的《计算机信息系统安全专用产品销售许可证》的，投标无效。</w:t>
      </w:r>
    </w:p>
    <w:p w14:paraId="52BAB550">
      <w:pPr>
        <w:spacing w:before="120" w:line="276" w:lineRule="auto"/>
        <w:ind w:firstLine="420" w:firstLineChars="200"/>
        <w:rPr>
          <w:szCs w:val="21"/>
        </w:rPr>
      </w:pPr>
      <w:r>
        <w:rPr>
          <w:rFonts w:hint="eastAsia"/>
          <w:szCs w:val="21"/>
        </w:rPr>
        <w:t>注：网络安全专用产品在中共中央网络安全和信息化委员会办公室网站上发布的《网络关键设备和网络安全专用产品目录》中查询。</w:t>
      </w:r>
      <w:r>
        <w:rPr>
          <w:szCs w:val="21"/>
        </w:rPr>
        <w:t xml:space="preserve"> </w:t>
      </w:r>
      <w:r>
        <w:rPr>
          <w:rFonts w:hint="eastAsia"/>
          <w:szCs w:val="21"/>
        </w:rPr>
        <w:t>“网络安全专用产品”内“产品类别”共34类：数据备份与恢复产品、防火墙、入侵检测系统（I</w:t>
      </w:r>
      <w:r>
        <w:rPr>
          <w:szCs w:val="21"/>
        </w:rPr>
        <w:t>DS</w:t>
      </w:r>
      <w:r>
        <w:rPr>
          <w:rFonts w:hint="eastAsia"/>
          <w:szCs w:val="21"/>
        </w:rPr>
        <w:t>）、入侵防御系统（</w:t>
      </w:r>
      <w:r>
        <w:rPr>
          <w:szCs w:val="21"/>
        </w:rPr>
        <w:t>IPS</w:t>
      </w:r>
      <w:r>
        <w:rPr>
          <w:rFonts w:hint="eastAsia"/>
          <w:szCs w:val="21"/>
        </w:rPr>
        <w:t>）、网络和终端隔离产品、反垃圾邮件产品、网络综合审计产品、网络脆弱性扫描产品、安全数据库系统、网站恢复产品、虚拟专用网产品、防病毒网关、统一威胁管理产品（UTM）、病毒防治产品、安全操作系统、安全网络存储、公钥基础设施、网络安全态势感知产品、信息系统安全管理平台、网络型流量控制产品、负载均衡产品、信息过滤产品、抗拒绝服务攻击产品、终端接入控制产品、USB移动存储介质管理系统、文件加密产品、数据泄露防护产品、数据销毁软件产品、安全配置检查产品、运维安全管理产品、日志分析产品、身份鉴别产品、终端安全监护产品、电子文档安全管理产品。</w:t>
      </w:r>
    </w:p>
    <w:p w14:paraId="5FCAA084">
      <w:pPr>
        <w:spacing w:before="120" w:line="320" w:lineRule="atLeast"/>
        <w:ind w:firstLine="420" w:firstLineChars="200"/>
      </w:pPr>
      <w:bookmarkStart w:id="75" w:name="_Hlk19176155"/>
      <w:r>
        <w:t>6.3.3澄清、说明或补正</w:t>
      </w:r>
    </w:p>
    <w:p w14:paraId="7B7CDBB7">
      <w:pPr>
        <w:spacing w:before="120" w:line="320" w:lineRule="atLeast"/>
        <w:ind w:firstLine="420" w:firstLineChars="200"/>
      </w:pPr>
      <w:r>
        <w:rPr>
          <w:rFonts w:hint="eastAsia"/>
        </w:rPr>
        <w:t>（1）对投标文件中含义不明确、同类问题表述不一致或者有明显文字和计算错误的内容，评审委员会应在</w:t>
      </w:r>
      <w:r>
        <w:rPr>
          <w:rFonts w:hint="eastAsia"/>
          <w:szCs w:val="21"/>
        </w:rPr>
        <w:t>广西政府采购云平台</w:t>
      </w:r>
      <w:r>
        <w:rPr>
          <w:rFonts w:hint="eastAsia"/>
        </w:rPr>
        <w:t>发布电子澄清函，要求投标人在平台设置的时间内作出必要的澄清、说明或者补正。投标人在</w:t>
      </w:r>
      <w:r>
        <w:rPr>
          <w:rFonts w:hint="eastAsia"/>
          <w:szCs w:val="21"/>
        </w:rPr>
        <w:t>广西政府采购云平台</w:t>
      </w:r>
      <w:r>
        <w:rPr>
          <w:rFonts w:hint="eastAsia"/>
        </w:rPr>
        <w:t>接收到电子澄清函后根据澄清函内容直接在线编辑或上传PDF格式回函，电子澄清答复函使用CA证书加盖单位电子签章后提交至评审委员会。投标人的澄清、说明或者补正不得超出投标文件的范围或者改变投标文件的实质性内容。投标人未在规定时间内进行澄清、说明或者补正的，按无效投标处理。</w:t>
      </w:r>
    </w:p>
    <w:p w14:paraId="0005EDAD">
      <w:pPr>
        <w:spacing w:before="120" w:line="320" w:lineRule="atLeast"/>
        <w:ind w:firstLine="420" w:firstLineChars="200"/>
      </w:pPr>
      <w:r>
        <w:rPr>
          <w:rFonts w:hint="eastAsia"/>
        </w:rPr>
        <w:t>（2）异常情况处理：如遇无法正常使用线上发送澄清函的情况，将以书面形式执行。评审委员会以书面形式要求投标人在规定时间内作出必要的澄清、说明或者补正。投标人的澄清、说明或者补正必须采用书面形式，并加盖公章或者由法定代表人或者其授权的代表签字。</w:t>
      </w:r>
    </w:p>
    <w:p w14:paraId="7E7BB26D">
      <w:pPr>
        <w:spacing w:before="120" w:line="320" w:lineRule="atLeast"/>
        <w:ind w:firstLine="420" w:firstLineChars="200"/>
      </w:pPr>
      <w:r>
        <w:t>6.3.4</w:t>
      </w:r>
      <w:r>
        <w:rPr>
          <w:rFonts w:hint="eastAsia"/>
        </w:rPr>
        <w:t>报价</w:t>
      </w:r>
      <w:r>
        <w:t>修正</w:t>
      </w:r>
    </w:p>
    <w:p w14:paraId="6A7902B9">
      <w:pPr>
        <w:spacing w:before="120" w:line="320" w:lineRule="atLeast"/>
        <w:ind w:firstLine="420" w:firstLineChars="200"/>
      </w:pPr>
      <w:r>
        <w:rPr>
          <w:rFonts w:hint="eastAsia"/>
        </w:rPr>
        <w:t>（1）报价出现前后不一致的，按照下列规定修正：</w:t>
      </w:r>
    </w:p>
    <w:p w14:paraId="3F6A560A">
      <w:pPr>
        <w:spacing w:before="120" w:line="320" w:lineRule="atLeast"/>
        <w:ind w:firstLine="420" w:firstLineChars="200"/>
        <w:rPr>
          <w:szCs w:val="21"/>
        </w:rPr>
      </w:pPr>
      <w:r>
        <w:rPr>
          <w:rFonts w:hint="eastAsia" w:ascii="宋体" w:hAnsi="宋体"/>
          <w:szCs w:val="21"/>
        </w:rPr>
        <w:t>①</w:t>
      </w:r>
      <w:r>
        <w:rPr>
          <w:szCs w:val="21"/>
        </w:rPr>
        <w:t>投标文件中开标一览表（报价表）内容与投标文件中相应内容不一致的，以开标一览表（报价表）为准；</w:t>
      </w:r>
    </w:p>
    <w:p w14:paraId="6D738782">
      <w:pPr>
        <w:spacing w:before="120" w:line="320" w:lineRule="atLeast"/>
        <w:ind w:firstLine="420" w:firstLineChars="200"/>
        <w:rPr>
          <w:szCs w:val="21"/>
        </w:rPr>
      </w:pPr>
      <w:r>
        <w:rPr>
          <w:rFonts w:ascii="宋体" w:hAnsi="宋体"/>
          <w:szCs w:val="21"/>
        </w:rPr>
        <w:t>②</w:t>
      </w:r>
      <w:r>
        <w:rPr>
          <w:szCs w:val="21"/>
        </w:rPr>
        <w:t>大写金额和小写金额不一致的，以大写金额为准；</w:t>
      </w:r>
    </w:p>
    <w:p w14:paraId="04228A2E">
      <w:pPr>
        <w:spacing w:before="120" w:line="320" w:lineRule="atLeast"/>
        <w:ind w:firstLine="420" w:firstLineChars="200"/>
        <w:rPr>
          <w:szCs w:val="21"/>
        </w:rPr>
      </w:pPr>
      <w:r>
        <w:rPr>
          <w:rFonts w:hint="eastAsia"/>
          <w:szCs w:val="21"/>
        </w:rPr>
        <w:t>③</w:t>
      </w:r>
      <w:r>
        <w:rPr>
          <w:szCs w:val="21"/>
        </w:rPr>
        <w:t>单价金额小数点或者百分比有明显错位的，以开标一览表的总价为准，并修改单价；</w:t>
      </w:r>
    </w:p>
    <w:p w14:paraId="3C1BB53E">
      <w:pPr>
        <w:spacing w:before="120" w:line="320" w:lineRule="atLeast"/>
        <w:ind w:firstLine="420" w:firstLineChars="200"/>
        <w:rPr>
          <w:szCs w:val="21"/>
        </w:rPr>
      </w:pPr>
      <w:r>
        <w:rPr>
          <w:rFonts w:hint="eastAsia"/>
          <w:szCs w:val="21"/>
        </w:rPr>
        <w:t>④</w:t>
      </w:r>
      <w:r>
        <w:rPr>
          <w:szCs w:val="21"/>
        </w:rPr>
        <w:t>总价金额与按单价汇总金额不一致的，以单价金额计算结果为准</w:t>
      </w:r>
      <w:r>
        <w:rPr>
          <w:rFonts w:hint="eastAsia"/>
          <w:szCs w:val="21"/>
        </w:rPr>
        <w:t>。</w:t>
      </w:r>
    </w:p>
    <w:p w14:paraId="0E04DDA6">
      <w:pPr>
        <w:spacing w:before="120" w:line="320" w:lineRule="atLeast"/>
        <w:ind w:firstLine="420" w:firstLineChars="200"/>
        <w:rPr>
          <w:szCs w:val="21"/>
        </w:rPr>
      </w:pPr>
      <w:r>
        <w:rPr>
          <w:rFonts w:hint="eastAsia"/>
          <w:szCs w:val="21"/>
        </w:rPr>
        <w:t>同时出现两种以上不一致的，按照上述</w:t>
      </w:r>
      <w:r>
        <w:rPr>
          <w:rFonts w:hint="eastAsia" w:ascii="宋体" w:hAnsi="宋体"/>
          <w:szCs w:val="21"/>
        </w:rPr>
        <w:t>①-</w:t>
      </w:r>
      <w:r>
        <w:rPr>
          <w:rFonts w:hint="eastAsia"/>
          <w:szCs w:val="21"/>
        </w:rPr>
        <w:t>④顺序修正。修正后的报价按照上述“</w:t>
      </w:r>
      <w:r>
        <w:rPr>
          <w:szCs w:val="21"/>
        </w:rPr>
        <w:t>6.3.3</w:t>
      </w:r>
      <w:r>
        <w:rPr>
          <w:rFonts w:hint="eastAsia"/>
          <w:szCs w:val="21"/>
        </w:rPr>
        <w:t>澄清、说明或补正”的规定经投标人确认后产生约束力，投标人不确认的，其投标无效。</w:t>
      </w:r>
    </w:p>
    <w:p w14:paraId="6BB7DFC6">
      <w:pPr>
        <w:spacing w:before="120" w:line="320" w:lineRule="atLeast"/>
        <w:ind w:firstLine="420" w:firstLineChars="200"/>
        <w:rPr>
          <w:szCs w:val="21"/>
        </w:rPr>
      </w:pPr>
      <w:r>
        <w:rPr>
          <w:rFonts w:hint="eastAsia"/>
          <w:szCs w:val="21"/>
        </w:rPr>
        <w:t>处理。</w:t>
      </w:r>
    </w:p>
    <w:p w14:paraId="0810B129">
      <w:pPr>
        <w:spacing w:before="120" w:line="320" w:lineRule="atLeast"/>
        <w:ind w:firstLine="420" w:firstLineChars="200"/>
        <w:rPr>
          <w:szCs w:val="21"/>
        </w:rPr>
      </w:pPr>
      <w:r>
        <w:rPr>
          <w:rFonts w:hint="eastAsia"/>
          <w:szCs w:val="21"/>
        </w:rPr>
        <w:t>（2）经投标人确认修正后的报价若超过采购预算金额或者最高限价，其投标文件作无效投标处理。</w:t>
      </w:r>
    </w:p>
    <w:p w14:paraId="036919AF">
      <w:pPr>
        <w:spacing w:before="120" w:line="320" w:lineRule="atLeast"/>
        <w:ind w:firstLine="420" w:firstLineChars="200"/>
        <w:rPr>
          <w:szCs w:val="21"/>
        </w:rPr>
      </w:pPr>
      <w:r>
        <w:rPr>
          <w:rFonts w:hint="eastAsia"/>
          <w:szCs w:val="21"/>
        </w:rPr>
        <w:t>（3）经投标人确认修正后的报价作为签订合同的依据，并以此报价计算价格分。</w:t>
      </w:r>
    </w:p>
    <w:p w14:paraId="720B135B">
      <w:pPr>
        <w:spacing w:before="120" w:line="320" w:lineRule="atLeast"/>
        <w:ind w:firstLine="420" w:firstLineChars="200"/>
        <w:rPr>
          <w:szCs w:val="21"/>
        </w:rPr>
      </w:pPr>
      <w:r>
        <w:rPr>
          <w:rFonts w:hint="eastAsia"/>
          <w:szCs w:val="21"/>
        </w:rPr>
        <w:t>6.3.5异常低价审查</w:t>
      </w:r>
    </w:p>
    <w:p w14:paraId="2DF28086">
      <w:pPr>
        <w:spacing w:before="120" w:line="320" w:lineRule="atLeast"/>
        <w:ind w:firstLine="420" w:firstLineChars="200"/>
        <w:rPr>
          <w:szCs w:val="21"/>
        </w:rPr>
      </w:pPr>
      <w:r>
        <w:rPr>
          <w:szCs w:val="21"/>
        </w:rPr>
        <w:t>本项目</w:t>
      </w:r>
      <w:r>
        <w:rPr>
          <w:rFonts w:hint="eastAsia"/>
          <w:szCs w:val="21"/>
        </w:rPr>
        <w:t>异常低价审查情形见</w:t>
      </w:r>
      <w:r>
        <w:rPr>
          <w:szCs w:val="21"/>
        </w:rPr>
        <w:t>“</w:t>
      </w:r>
      <w:r>
        <w:rPr>
          <w:rFonts w:hint="eastAsia"/>
          <w:szCs w:val="21"/>
        </w:rPr>
        <w:t>投标人须知</w:t>
      </w:r>
      <w:r>
        <w:rPr>
          <w:szCs w:val="21"/>
        </w:rPr>
        <w:t>前附表”规定。</w:t>
      </w:r>
    </w:p>
    <w:p w14:paraId="4B394EE6">
      <w:pPr>
        <w:spacing w:before="120" w:line="320" w:lineRule="atLeast"/>
        <w:ind w:firstLine="420" w:firstLineChars="200"/>
        <w:rPr>
          <w:szCs w:val="21"/>
        </w:rPr>
      </w:pPr>
      <w:r>
        <w:rPr>
          <w:rFonts w:hint="eastAsia"/>
          <w:szCs w:val="21"/>
        </w:rPr>
        <w:t>评审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7094AC90">
      <w:pPr>
        <w:spacing w:before="120" w:line="320" w:lineRule="atLeast"/>
        <w:ind w:firstLine="420" w:firstLineChars="200"/>
        <w:rPr>
          <w:strike/>
          <w:szCs w:val="21"/>
        </w:rPr>
      </w:pPr>
      <w:r>
        <w:rPr>
          <w:rFonts w:hint="eastAsia"/>
          <w:szCs w:val="21"/>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处理。</w:t>
      </w:r>
    </w:p>
    <w:p w14:paraId="12ACF671">
      <w:pPr>
        <w:spacing w:before="120" w:line="320" w:lineRule="atLeast"/>
        <w:ind w:firstLine="420" w:firstLineChars="200"/>
        <w:rPr>
          <w:szCs w:val="21"/>
        </w:rPr>
      </w:pPr>
      <w:r>
        <w:rPr>
          <w:rFonts w:hint="eastAsia"/>
          <w:szCs w:val="21"/>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107716B5">
      <w:pPr>
        <w:spacing w:before="120" w:line="320" w:lineRule="atLeast"/>
        <w:ind w:firstLine="420" w:firstLineChars="200"/>
        <w:rPr>
          <w:szCs w:val="21"/>
        </w:rPr>
      </w:pPr>
      <w:r>
        <w:rPr>
          <w:rFonts w:hint="eastAsia"/>
          <w:szCs w:val="21"/>
        </w:rPr>
        <w:t>异常低价投标审查的启动原因、审查意见和审查结果应当在评审报告中记录，并随供应商提供的相关书面说明及证明材料，以及评审委员会有关互联网浏览、查询历史一并归档。</w:t>
      </w:r>
    </w:p>
    <w:p w14:paraId="43AEE66F">
      <w:pPr>
        <w:spacing w:before="120" w:line="320" w:lineRule="atLeast"/>
        <w:ind w:firstLine="420" w:firstLineChars="200"/>
        <w:rPr>
          <w:szCs w:val="21"/>
        </w:rPr>
      </w:pPr>
      <w:r>
        <w:rPr>
          <w:rFonts w:hint="eastAsia"/>
          <w:szCs w:val="21"/>
        </w:rPr>
        <w:t>书面证明应当按照上述“</w:t>
      </w:r>
      <w:r>
        <w:rPr>
          <w:szCs w:val="21"/>
        </w:rPr>
        <w:t>6.3.3</w:t>
      </w:r>
      <w:r>
        <w:rPr>
          <w:rFonts w:hint="eastAsia"/>
          <w:szCs w:val="21"/>
        </w:rPr>
        <w:t>澄清、说明或补正”的规定提交。</w:t>
      </w:r>
    </w:p>
    <w:p w14:paraId="27CB1182">
      <w:pPr>
        <w:spacing w:before="120" w:line="320" w:lineRule="atLeast"/>
        <w:ind w:firstLine="420" w:firstLineChars="200"/>
        <w:rPr>
          <w:szCs w:val="21"/>
        </w:rPr>
      </w:pPr>
      <w:r>
        <w:rPr>
          <w:rFonts w:hint="eastAsia"/>
          <w:szCs w:val="21"/>
        </w:rPr>
        <w:t>6</w:t>
      </w:r>
      <w:r>
        <w:rPr>
          <w:szCs w:val="21"/>
        </w:rPr>
        <w:t>.3.</w:t>
      </w:r>
      <w:r>
        <w:rPr>
          <w:rFonts w:hint="eastAsia"/>
          <w:szCs w:val="21"/>
        </w:rPr>
        <w:t>6相同品牌认定（仅适用于货物采购项目）</w:t>
      </w:r>
    </w:p>
    <w:p w14:paraId="346B7242">
      <w:pPr>
        <w:spacing w:before="120" w:line="320" w:lineRule="atLeast"/>
        <w:ind w:firstLine="420" w:firstLineChars="200"/>
        <w:rPr>
          <w:szCs w:val="21"/>
        </w:rPr>
      </w:pPr>
      <w:r>
        <w:rPr>
          <w:rFonts w:hint="eastAsia"/>
          <w:szCs w:val="21"/>
        </w:rPr>
        <w:t>（1）单一产品采购项目，</w:t>
      </w:r>
      <w:r>
        <w:t>不同</w:t>
      </w:r>
      <w:r>
        <w:rPr>
          <w:rFonts w:hint="eastAsia"/>
        </w:rPr>
        <w:t>投标人</w:t>
      </w:r>
      <w:r>
        <w:t>提供的产品品牌相同时，</w:t>
      </w:r>
      <w:r>
        <w:rPr>
          <w:rFonts w:hint="eastAsia"/>
        </w:rPr>
        <w:t>按以下</w:t>
      </w:r>
      <w:r>
        <w:t>规定</w:t>
      </w:r>
      <w:r>
        <w:rPr>
          <w:rFonts w:hint="eastAsia"/>
        </w:rPr>
        <w:t>确定</w:t>
      </w:r>
      <w:r>
        <w:rPr>
          <w:bCs/>
          <w:kern w:val="0"/>
          <w:szCs w:val="21"/>
        </w:rPr>
        <w:t>相同品牌的投标有效性</w:t>
      </w:r>
      <w:r>
        <w:t>。</w:t>
      </w:r>
    </w:p>
    <w:bookmarkEnd w:id="75"/>
    <w:p w14:paraId="190B1323">
      <w:pPr>
        <w:spacing w:before="120" w:line="320" w:lineRule="atLeast"/>
        <w:ind w:firstLine="420" w:firstLineChars="200"/>
        <w:rPr>
          <w:szCs w:val="21"/>
        </w:rPr>
      </w:pPr>
      <w:r>
        <w:rPr>
          <w:rFonts w:hint="eastAsia" w:ascii="宋体" w:hAnsi="宋体"/>
          <w:szCs w:val="21"/>
        </w:rPr>
        <w:t>①采</w:t>
      </w:r>
      <w:r>
        <w:rPr>
          <w:rFonts w:hint="eastAsia"/>
          <w:szCs w:val="21"/>
        </w:rPr>
        <w:t>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审委员会按照招标文件规定的方式确定一个投标人获得中标人推荐资格，招标文件未规定的采取随机抽取方式确定，其他同品牌投标人不作为中标候选人。</w:t>
      </w:r>
    </w:p>
    <w:p w14:paraId="58E9F24A">
      <w:pPr>
        <w:spacing w:before="120" w:line="320" w:lineRule="atLeast"/>
        <w:ind w:firstLine="420" w:firstLineChars="200"/>
        <w:rPr>
          <w:szCs w:val="21"/>
        </w:rPr>
      </w:pPr>
      <w:r>
        <w:rPr>
          <w:rFonts w:ascii="宋体" w:hAnsi="宋体"/>
          <w:szCs w:val="21"/>
        </w:rPr>
        <w:t>②</w:t>
      </w:r>
      <w:r>
        <w:rPr>
          <w:rFonts w:hint="eastAsia"/>
          <w:szCs w:val="21"/>
        </w:rPr>
        <w:t>采用最低评标价法的采购项目，提供相同品牌产品的不同投标人参加同一合同项下投标的，以其中通过资格审查、符合性审查且报价最低的参加评标；报价相同的，由采购人或者采购人委托评审委员会按照招标文件规定的方式确定一个参加评标的投标人，招标文件未规定的采取随机抽取方式确定，其他投标无效。</w:t>
      </w:r>
    </w:p>
    <w:p w14:paraId="2200F327">
      <w:pPr>
        <w:spacing w:before="120" w:line="320" w:lineRule="atLeast"/>
        <w:ind w:firstLine="420" w:firstLineChars="200"/>
      </w:pPr>
      <w:r>
        <w:rPr>
          <w:rFonts w:hint="eastAsia"/>
          <w:szCs w:val="21"/>
        </w:rPr>
        <w:t>（2）非单一产品采购项目，</w:t>
      </w:r>
      <w:r>
        <w:rPr>
          <w:szCs w:val="21"/>
        </w:rPr>
        <w:t>采购人应当确定核心产品，并在招标文件中载明。</w:t>
      </w:r>
      <w:r>
        <w:rPr>
          <w:rFonts w:hint="eastAsia"/>
          <w:szCs w:val="21"/>
        </w:rPr>
        <w:t>不同投标人</w:t>
      </w:r>
      <w:r>
        <w:rPr>
          <w:szCs w:val="21"/>
        </w:rPr>
        <w:t>提供的核心产品品牌相同的，按上述规定处理。核心产品</w:t>
      </w:r>
      <w:r>
        <w:rPr>
          <w:rFonts w:hint="eastAsia"/>
          <w:szCs w:val="21"/>
        </w:rPr>
        <w:t>在第二章</w:t>
      </w:r>
      <w:r>
        <w:rPr>
          <w:szCs w:val="21"/>
        </w:rPr>
        <w:t>采购需求规定。</w:t>
      </w:r>
    </w:p>
    <w:p w14:paraId="197CD2B9">
      <w:pPr>
        <w:spacing w:before="120" w:line="320" w:lineRule="atLeast"/>
        <w:ind w:firstLine="420" w:firstLineChars="200"/>
        <w:rPr>
          <w:szCs w:val="21"/>
        </w:rPr>
      </w:pPr>
      <w:r>
        <w:rPr>
          <w:szCs w:val="21"/>
        </w:rPr>
        <w:t>6.3.</w:t>
      </w:r>
      <w:r>
        <w:rPr>
          <w:rFonts w:hint="eastAsia"/>
          <w:szCs w:val="21"/>
        </w:rPr>
        <w:t>7</w:t>
      </w:r>
      <w:r>
        <w:rPr>
          <w:szCs w:val="21"/>
        </w:rPr>
        <w:t>串通投标认定</w:t>
      </w:r>
    </w:p>
    <w:p w14:paraId="64ACB57B">
      <w:pPr>
        <w:spacing w:before="120" w:line="320" w:lineRule="atLeast"/>
        <w:ind w:firstLine="420" w:firstLineChars="200"/>
      </w:pPr>
      <w:r>
        <w:rPr>
          <w:szCs w:val="21"/>
        </w:rPr>
        <w:t>评审委员会须根据</w:t>
      </w:r>
      <w:r>
        <w:rPr>
          <w:rFonts w:hint="eastAsia"/>
          <w:szCs w:val="21"/>
        </w:rPr>
        <w:t>以下</w:t>
      </w:r>
      <w:r>
        <w:rPr>
          <w:szCs w:val="21"/>
        </w:rPr>
        <w:t>规定</w:t>
      </w:r>
      <w:r>
        <w:rPr>
          <w:rFonts w:hint="eastAsia"/>
          <w:szCs w:val="21"/>
        </w:rPr>
        <w:t>认定投标人</w:t>
      </w:r>
      <w:r>
        <w:rPr>
          <w:szCs w:val="21"/>
        </w:rPr>
        <w:t>是否有</w:t>
      </w:r>
      <w:r>
        <w:rPr>
          <w:bCs/>
          <w:kern w:val="0"/>
          <w:szCs w:val="21"/>
        </w:rPr>
        <w:t>串通投标的行为</w:t>
      </w:r>
      <w:r>
        <w:t>。</w:t>
      </w:r>
    </w:p>
    <w:p w14:paraId="50BB2B51">
      <w:pPr>
        <w:spacing w:before="120" w:line="320" w:lineRule="atLeast"/>
        <w:ind w:firstLine="420" w:firstLineChars="200"/>
        <w:rPr>
          <w:szCs w:val="21"/>
        </w:rPr>
      </w:pPr>
      <w:bookmarkStart w:id="76" w:name="_Hlk19122026"/>
      <w:r>
        <w:rPr>
          <w:rFonts w:hint="eastAsia"/>
          <w:szCs w:val="21"/>
        </w:rPr>
        <w:t>（1）</w:t>
      </w:r>
      <w:bookmarkEnd w:id="76"/>
      <w:r>
        <w:rPr>
          <w:szCs w:val="21"/>
        </w:rPr>
        <w:t>根据《关于防治政府采购招标中串通投标行为的通知》</w:t>
      </w:r>
      <w:r>
        <w:rPr>
          <w:rFonts w:hint="eastAsia"/>
          <w:szCs w:val="21"/>
        </w:rPr>
        <w:t>（</w:t>
      </w:r>
      <w:r>
        <w:rPr>
          <w:szCs w:val="21"/>
        </w:rPr>
        <w:t>桂财采</w:t>
      </w:r>
      <w:r>
        <w:rPr>
          <w:rFonts w:hint="eastAsia"/>
          <w:szCs w:val="21"/>
        </w:rPr>
        <w:t>〔2016〕42号）</w:t>
      </w:r>
      <w:r>
        <w:rPr>
          <w:szCs w:val="21"/>
        </w:rPr>
        <w:t>规定，出现下述情况的，相关供应商的投标作无效投标处理。</w:t>
      </w:r>
    </w:p>
    <w:p w14:paraId="37799107">
      <w:pPr>
        <w:spacing w:before="120" w:line="320" w:lineRule="atLeast"/>
        <w:ind w:firstLine="420" w:firstLineChars="200"/>
        <w:rPr>
          <w:szCs w:val="21"/>
        </w:rPr>
      </w:pPr>
      <w:bookmarkStart w:id="77" w:name="_Hlk19122039"/>
      <w:r>
        <w:rPr>
          <w:rFonts w:hint="eastAsia" w:ascii="宋体" w:hAnsi="宋体" w:cs="宋体"/>
          <w:szCs w:val="21"/>
        </w:rPr>
        <w:t>①</w:t>
      </w:r>
      <w:r>
        <w:rPr>
          <w:szCs w:val="21"/>
        </w:rPr>
        <w:t>单位负责人为同一人或者存在直接控股、管理关系，参加同一合同项下政府采购活动的不同供应商。</w:t>
      </w:r>
    </w:p>
    <w:p w14:paraId="4DBD81C6">
      <w:pPr>
        <w:spacing w:before="120" w:line="320" w:lineRule="atLeast"/>
        <w:ind w:firstLine="420" w:firstLineChars="200"/>
        <w:rPr>
          <w:szCs w:val="21"/>
        </w:rPr>
      </w:pPr>
      <w:r>
        <w:rPr>
          <w:rFonts w:hint="eastAsia"/>
          <w:szCs w:val="21"/>
        </w:rPr>
        <w:t>②</w:t>
      </w:r>
      <w:r>
        <w:rPr>
          <w:szCs w:val="21"/>
        </w:rPr>
        <w:t>授权给供应商后参加同一合同项（分标、分包）投标的生产厂商。</w:t>
      </w:r>
    </w:p>
    <w:p w14:paraId="7A2866A9">
      <w:pPr>
        <w:spacing w:before="120" w:line="320" w:lineRule="atLeast"/>
        <w:ind w:firstLine="420" w:firstLineChars="200"/>
        <w:rPr>
          <w:szCs w:val="21"/>
        </w:rPr>
      </w:pPr>
      <w:r>
        <w:rPr>
          <w:rFonts w:hint="eastAsia"/>
          <w:szCs w:val="21"/>
        </w:rPr>
        <w:t>③</w:t>
      </w:r>
      <w:r>
        <w:rPr>
          <w:szCs w:val="21"/>
        </w:rPr>
        <w:t>视为或被认定为串通投标的相关供应商。</w:t>
      </w:r>
    </w:p>
    <w:bookmarkEnd w:id="77"/>
    <w:p w14:paraId="7AF76A83">
      <w:pPr>
        <w:spacing w:before="120" w:line="320" w:lineRule="atLeast"/>
        <w:ind w:firstLine="420" w:firstLineChars="200"/>
        <w:rPr>
          <w:szCs w:val="21"/>
        </w:rPr>
      </w:pPr>
      <w:bookmarkStart w:id="78" w:name="_Hlk19122058"/>
      <w:r>
        <w:rPr>
          <w:rFonts w:hint="eastAsia"/>
          <w:szCs w:val="21"/>
        </w:rPr>
        <w:t>（2）</w:t>
      </w:r>
      <w:bookmarkEnd w:id="78"/>
      <w:r>
        <w:rPr>
          <w:szCs w:val="21"/>
        </w:rPr>
        <w:t>根据《关于防治政府采购招标中串通投标行为的通知》</w:t>
      </w:r>
      <w:r>
        <w:rPr>
          <w:rFonts w:hint="eastAsia"/>
          <w:szCs w:val="21"/>
        </w:rPr>
        <w:t>（</w:t>
      </w:r>
      <w:r>
        <w:rPr>
          <w:szCs w:val="21"/>
        </w:rPr>
        <w:t>桂财采</w:t>
      </w:r>
      <w:r>
        <w:rPr>
          <w:rFonts w:hint="eastAsia"/>
          <w:szCs w:val="21"/>
        </w:rPr>
        <w:t>〔2016〕42号）</w:t>
      </w:r>
      <w:r>
        <w:rPr>
          <w:szCs w:val="21"/>
        </w:rPr>
        <w:t>规定，有下列情形之一的视为</w:t>
      </w:r>
      <w:r>
        <w:rPr>
          <w:rFonts w:hint="eastAsia"/>
          <w:szCs w:val="21"/>
        </w:rPr>
        <w:t>投标人</w:t>
      </w:r>
      <w:r>
        <w:rPr>
          <w:szCs w:val="21"/>
        </w:rPr>
        <w:t>相互串通投标，投标文件将被视为无效。</w:t>
      </w:r>
    </w:p>
    <w:p w14:paraId="00BE0D05">
      <w:pPr>
        <w:spacing w:before="120" w:line="320" w:lineRule="atLeast"/>
        <w:ind w:firstLine="420" w:firstLineChars="200"/>
        <w:rPr>
          <w:szCs w:val="21"/>
        </w:rPr>
      </w:pPr>
      <w:bookmarkStart w:id="79" w:name="_Hlk19122048"/>
      <w:r>
        <w:rPr>
          <w:rFonts w:hint="eastAsia" w:ascii="宋体" w:hAnsi="宋体" w:cs="宋体"/>
          <w:szCs w:val="21"/>
        </w:rPr>
        <w:t>①</w:t>
      </w:r>
      <w:r>
        <w:rPr>
          <w:szCs w:val="21"/>
        </w:rPr>
        <w:t>不同</w:t>
      </w:r>
      <w:r>
        <w:rPr>
          <w:rFonts w:hint="eastAsia"/>
          <w:szCs w:val="21"/>
        </w:rPr>
        <w:t>投标人</w:t>
      </w:r>
      <w:r>
        <w:rPr>
          <w:szCs w:val="21"/>
        </w:rPr>
        <w:t>的投标文件由同一单位或者个人编制；或不同</w:t>
      </w:r>
      <w:r>
        <w:rPr>
          <w:rFonts w:hint="eastAsia"/>
          <w:szCs w:val="21"/>
        </w:rPr>
        <w:t>投标人</w:t>
      </w:r>
      <w:r>
        <w:rPr>
          <w:szCs w:val="21"/>
        </w:rPr>
        <w:t>报名的IP地址一致的；</w:t>
      </w:r>
    </w:p>
    <w:p w14:paraId="16061BD0">
      <w:pPr>
        <w:spacing w:before="120" w:line="320" w:lineRule="atLeast"/>
        <w:ind w:firstLine="420" w:firstLineChars="200"/>
        <w:rPr>
          <w:szCs w:val="21"/>
        </w:rPr>
      </w:pPr>
      <w:r>
        <w:rPr>
          <w:rFonts w:hint="eastAsia"/>
          <w:szCs w:val="21"/>
        </w:rPr>
        <w:t>②</w:t>
      </w:r>
      <w:r>
        <w:rPr>
          <w:szCs w:val="21"/>
        </w:rPr>
        <w:t>不同</w:t>
      </w:r>
      <w:r>
        <w:rPr>
          <w:rFonts w:hint="eastAsia"/>
          <w:szCs w:val="21"/>
        </w:rPr>
        <w:t>投标人</w:t>
      </w:r>
      <w:r>
        <w:rPr>
          <w:szCs w:val="21"/>
        </w:rPr>
        <w:t>委托同一单位或者个人办理投标事宜；</w:t>
      </w:r>
    </w:p>
    <w:p w14:paraId="0365A760">
      <w:pPr>
        <w:spacing w:before="120" w:line="320" w:lineRule="atLeast"/>
        <w:ind w:firstLine="420" w:firstLineChars="200"/>
        <w:rPr>
          <w:szCs w:val="21"/>
        </w:rPr>
      </w:pPr>
      <w:r>
        <w:rPr>
          <w:rFonts w:hint="eastAsia"/>
          <w:szCs w:val="21"/>
        </w:rPr>
        <w:t>③</w:t>
      </w:r>
      <w:r>
        <w:rPr>
          <w:szCs w:val="21"/>
        </w:rPr>
        <w:t>不同的</w:t>
      </w:r>
      <w:r>
        <w:rPr>
          <w:rFonts w:hint="eastAsia"/>
          <w:szCs w:val="21"/>
        </w:rPr>
        <w:t>投标人</w:t>
      </w:r>
      <w:r>
        <w:rPr>
          <w:szCs w:val="21"/>
        </w:rPr>
        <w:t>的投标文件载明的项目管理员为同一个人；</w:t>
      </w:r>
    </w:p>
    <w:p w14:paraId="6DD2BE50">
      <w:pPr>
        <w:spacing w:before="120" w:line="320" w:lineRule="atLeast"/>
        <w:ind w:firstLine="420" w:firstLineChars="200"/>
        <w:rPr>
          <w:szCs w:val="21"/>
        </w:rPr>
      </w:pPr>
      <w:r>
        <w:rPr>
          <w:rFonts w:hint="eastAsia"/>
          <w:szCs w:val="21"/>
        </w:rPr>
        <w:t>④</w:t>
      </w:r>
      <w:r>
        <w:rPr>
          <w:szCs w:val="21"/>
        </w:rPr>
        <w:t>不同</w:t>
      </w:r>
      <w:r>
        <w:rPr>
          <w:rFonts w:hint="eastAsia"/>
          <w:szCs w:val="21"/>
        </w:rPr>
        <w:t>投标人</w:t>
      </w:r>
      <w:r>
        <w:rPr>
          <w:szCs w:val="21"/>
        </w:rPr>
        <w:t>的投标文件异常一致或投标报价呈规律性差异；</w:t>
      </w:r>
    </w:p>
    <w:p w14:paraId="48DC009B">
      <w:pPr>
        <w:spacing w:before="120" w:line="320" w:lineRule="atLeast"/>
        <w:ind w:firstLine="420" w:firstLineChars="200"/>
        <w:rPr>
          <w:szCs w:val="21"/>
        </w:rPr>
      </w:pPr>
      <w:r>
        <w:rPr>
          <w:rFonts w:hint="eastAsia"/>
          <w:szCs w:val="21"/>
        </w:rPr>
        <w:t>⑤</w:t>
      </w:r>
      <w:r>
        <w:rPr>
          <w:szCs w:val="21"/>
        </w:rPr>
        <w:t>不同</w:t>
      </w:r>
      <w:r>
        <w:rPr>
          <w:rFonts w:hint="eastAsia"/>
          <w:szCs w:val="21"/>
        </w:rPr>
        <w:t>投标人</w:t>
      </w:r>
      <w:r>
        <w:rPr>
          <w:szCs w:val="21"/>
        </w:rPr>
        <w:t>的投标文件相互混装；</w:t>
      </w:r>
    </w:p>
    <w:p w14:paraId="3B100E01">
      <w:pPr>
        <w:spacing w:before="120" w:line="320" w:lineRule="atLeast"/>
        <w:ind w:firstLine="420" w:firstLineChars="200"/>
        <w:rPr>
          <w:szCs w:val="21"/>
        </w:rPr>
      </w:pPr>
      <w:r>
        <w:rPr>
          <w:rFonts w:hint="eastAsia"/>
          <w:szCs w:val="21"/>
        </w:rPr>
        <w:t>⑥</w:t>
      </w:r>
      <w:r>
        <w:rPr>
          <w:szCs w:val="21"/>
        </w:rPr>
        <w:t>不同</w:t>
      </w:r>
      <w:r>
        <w:rPr>
          <w:rFonts w:hint="eastAsia"/>
          <w:szCs w:val="21"/>
        </w:rPr>
        <w:t>投标人</w:t>
      </w:r>
      <w:r>
        <w:rPr>
          <w:szCs w:val="21"/>
        </w:rPr>
        <w:t>的保证金从同一单位或者个人账户转出。</w:t>
      </w:r>
    </w:p>
    <w:bookmarkEnd w:id="79"/>
    <w:p w14:paraId="71F61214">
      <w:pPr>
        <w:spacing w:before="120" w:line="320" w:lineRule="atLeast"/>
        <w:ind w:firstLine="420" w:firstLineChars="200"/>
        <w:rPr>
          <w:szCs w:val="21"/>
        </w:rPr>
      </w:pPr>
      <w:bookmarkStart w:id="80" w:name="_Hlk19122102"/>
      <w:r>
        <w:rPr>
          <w:rFonts w:hint="eastAsia"/>
          <w:szCs w:val="21"/>
        </w:rPr>
        <w:t>（3）</w:t>
      </w:r>
      <w:bookmarkEnd w:id="80"/>
      <w:r>
        <w:rPr>
          <w:szCs w:val="21"/>
        </w:rPr>
        <w:t>根据《关于防治政府采购招标中串通投标行为的通知》</w:t>
      </w:r>
      <w:r>
        <w:rPr>
          <w:rFonts w:hint="eastAsia"/>
          <w:szCs w:val="21"/>
        </w:rPr>
        <w:t>（</w:t>
      </w:r>
      <w:r>
        <w:rPr>
          <w:szCs w:val="21"/>
        </w:rPr>
        <w:t>桂财采</w:t>
      </w:r>
      <w:r>
        <w:rPr>
          <w:rFonts w:hint="eastAsia"/>
          <w:szCs w:val="21"/>
        </w:rPr>
        <w:t>〔2016〕42号）</w:t>
      </w:r>
      <w:r>
        <w:rPr>
          <w:szCs w:val="21"/>
        </w:rPr>
        <w:t>规定，供应商有下列情形之一的，属于恶意串通行为，投标文件将被视为无效。</w:t>
      </w:r>
    </w:p>
    <w:p w14:paraId="082081AE">
      <w:pPr>
        <w:spacing w:before="120" w:line="320" w:lineRule="atLeast"/>
        <w:ind w:firstLine="420" w:firstLineChars="200"/>
        <w:rPr>
          <w:szCs w:val="21"/>
        </w:rPr>
      </w:pPr>
      <w:bookmarkStart w:id="81" w:name="_Hlk19122095"/>
      <w:r>
        <w:rPr>
          <w:rFonts w:hint="eastAsia"/>
          <w:szCs w:val="21"/>
        </w:rPr>
        <w:t>①</w:t>
      </w:r>
      <w:r>
        <w:rPr>
          <w:szCs w:val="21"/>
        </w:rPr>
        <w:t>供应商直接或者间接从采购人或者采购代理机构处获得其他供应商的相关信息并修改其投标文件或者响应文件；</w:t>
      </w:r>
    </w:p>
    <w:p w14:paraId="621B9FCA">
      <w:pPr>
        <w:spacing w:before="120" w:line="320" w:lineRule="atLeast"/>
        <w:ind w:firstLine="420" w:firstLineChars="200"/>
        <w:rPr>
          <w:szCs w:val="21"/>
        </w:rPr>
      </w:pPr>
      <w:r>
        <w:rPr>
          <w:rFonts w:hint="eastAsia"/>
          <w:szCs w:val="21"/>
        </w:rPr>
        <w:t>②</w:t>
      </w:r>
      <w:r>
        <w:rPr>
          <w:szCs w:val="21"/>
        </w:rPr>
        <w:t>供应商按照采购人或者采购代理机构的授意撤换、修改投标文件或者响应文件</w:t>
      </w:r>
      <w:r>
        <w:rPr>
          <w:rFonts w:hint="eastAsia"/>
          <w:szCs w:val="21"/>
        </w:rPr>
        <w:t>;</w:t>
      </w:r>
    </w:p>
    <w:p w14:paraId="58CDEF55">
      <w:pPr>
        <w:spacing w:before="120" w:line="320" w:lineRule="atLeast"/>
        <w:ind w:firstLine="420" w:firstLineChars="200"/>
        <w:rPr>
          <w:szCs w:val="21"/>
        </w:rPr>
      </w:pPr>
      <w:r>
        <w:rPr>
          <w:rFonts w:hint="eastAsia"/>
          <w:szCs w:val="21"/>
        </w:rPr>
        <w:t>③</w:t>
      </w:r>
      <w:r>
        <w:rPr>
          <w:szCs w:val="21"/>
        </w:rPr>
        <w:t>供应商之间协商报价、技术方案等投标文件或者响应文件的实质性内容；</w:t>
      </w:r>
    </w:p>
    <w:p w14:paraId="6F637FBF">
      <w:pPr>
        <w:spacing w:before="120" w:line="320" w:lineRule="atLeast"/>
        <w:ind w:firstLine="420" w:firstLineChars="200"/>
        <w:rPr>
          <w:szCs w:val="21"/>
        </w:rPr>
      </w:pPr>
      <w:r>
        <w:rPr>
          <w:rFonts w:hint="eastAsia"/>
          <w:szCs w:val="21"/>
        </w:rPr>
        <w:t>④</w:t>
      </w:r>
      <w:r>
        <w:rPr>
          <w:szCs w:val="21"/>
        </w:rPr>
        <w:t>属于同一集团、协会、商会等组织成员的供应商按照该组织要求协同参加政府采购活动；</w:t>
      </w:r>
    </w:p>
    <w:p w14:paraId="5728A37E">
      <w:pPr>
        <w:spacing w:before="120" w:line="320" w:lineRule="atLeast"/>
        <w:ind w:firstLine="420" w:firstLineChars="200"/>
        <w:rPr>
          <w:szCs w:val="21"/>
        </w:rPr>
      </w:pPr>
      <w:r>
        <w:rPr>
          <w:rFonts w:hint="eastAsia"/>
          <w:szCs w:val="21"/>
        </w:rPr>
        <w:t>⑤</w:t>
      </w:r>
      <w:r>
        <w:rPr>
          <w:szCs w:val="21"/>
        </w:rPr>
        <w:t>供应商之间事先约定一致抬高或者压低投标报价，或者在招标项目中事先约定轮流以高价位或者低价位中标，或者事先约定由某一特定供应商中标，然后再参加投标；</w:t>
      </w:r>
    </w:p>
    <w:p w14:paraId="4D150232">
      <w:pPr>
        <w:spacing w:before="120" w:line="320" w:lineRule="atLeast"/>
        <w:ind w:firstLine="420" w:firstLineChars="200"/>
        <w:rPr>
          <w:szCs w:val="21"/>
        </w:rPr>
      </w:pPr>
      <w:r>
        <w:rPr>
          <w:rFonts w:hint="eastAsia"/>
          <w:szCs w:val="21"/>
        </w:rPr>
        <w:t>⑥</w:t>
      </w:r>
      <w:r>
        <w:rPr>
          <w:szCs w:val="21"/>
        </w:rPr>
        <w:t>供应商之间商定部分供应商放弃参加政府采购活动或者放弃中标；</w:t>
      </w:r>
    </w:p>
    <w:p w14:paraId="3A0227CF">
      <w:pPr>
        <w:spacing w:before="120" w:line="320" w:lineRule="atLeast"/>
        <w:ind w:firstLine="420" w:firstLineChars="200"/>
        <w:rPr>
          <w:szCs w:val="21"/>
        </w:rPr>
      </w:pPr>
      <w:r>
        <w:rPr>
          <w:rFonts w:hint="eastAsia"/>
          <w:szCs w:val="21"/>
        </w:rPr>
        <w:t>⑦</w:t>
      </w:r>
      <w:r>
        <w:rPr>
          <w:szCs w:val="21"/>
        </w:rPr>
        <w:t>供应商与采购人或者采购代理机构之间、供应商相互之间，为谋求特定供应商中标或者排斥其他供应商的其他串通行为。</w:t>
      </w:r>
    </w:p>
    <w:bookmarkEnd w:id="81"/>
    <w:p w14:paraId="7FBDFC66">
      <w:pPr>
        <w:spacing w:before="120" w:line="320" w:lineRule="atLeast"/>
        <w:ind w:firstLine="420" w:firstLineChars="200"/>
        <w:rPr>
          <w:szCs w:val="21"/>
        </w:rPr>
      </w:pPr>
      <w:r>
        <w:rPr>
          <w:szCs w:val="21"/>
        </w:rPr>
        <w:t>6.3.</w:t>
      </w:r>
      <w:r>
        <w:rPr>
          <w:rFonts w:hint="eastAsia"/>
          <w:szCs w:val="21"/>
        </w:rPr>
        <w:t>8</w:t>
      </w:r>
      <w:r>
        <w:rPr>
          <w:szCs w:val="21"/>
        </w:rPr>
        <w:t>投标</w:t>
      </w:r>
      <w:r>
        <w:rPr>
          <w:rFonts w:hint="eastAsia"/>
          <w:szCs w:val="21"/>
        </w:rPr>
        <w:t>无效</w:t>
      </w:r>
      <w:r>
        <w:rPr>
          <w:szCs w:val="21"/>
        </w:rPr>
        <w:t>认定</w:t>
      </w:r>
    </w:p>
    <w:p w14:paraId="3688CAD8">
      <w:pPr>
        <w:spacing w:before="120" w:line="320" w:lineRule="atLeast"/>
        <w:ind w:firstLine="420" w:firstLineChars="200"/>
        <w:rPr>
          <w:szCs w:val="21"/>
        </w:rPr>
      </w:pPr>
      <w:bookmarkStart w:id="82" w:name="_Hlk19113301"/>
      <w:r>
        <w:rPr>
          <w:rFonts w:hint="eastAsia"/>
          <w:szCs w:val="21"/>
        </w:rPr>
        <w:t>（</w:t>
      </w:r>
      <w:r>
        <w:rPr>
          <w:szCs w:val="21"/>
        </w:rPr>
        <w:t>1）在</w:t>
      </w:r>
      <w:r>
        <w:rPr>
          <w:rFonts w:hint="eastAsia"/>
          <w:szCs w:val="21"/>
        </w:rPr>
        <w:t>评审过程中</w:t>
      </w:r>
      <w:r>
        <w:rPr>
          <w:szCs w:val="21"/>
        </w:rPr>
        <w:t>如发现下列情形之一的，投标文件将被视为无效：</w:t>
      </w:r>
    </w:p>
    <w:p w14:paraId="38DA88A0">
      <w:pPr>
        <w:spacing w:before="120" w:line="320" w:lineRule="atLeast"/>
        <w:ind w:firstLine="420" w:firstLineChars="200"/>
      </w:pPr>
      <w:r>
        <w:rPr>
          <w:rFonts w:hint="eastAsia"/>
          <w:szCs w:val="21"/>
        </w:rPr>
        <w:t>①</w:t>
      </w:r>
      <w:r>
        <w:rPr>
          <w:szCs w:val="21"/>
        </w:rPr>
        <w:t>投标文件</w:t>
      </w:r>
      <w:r>
        <w:rPr>
          <w:rFonts w:hint="eastAsia"/>
          <w:szCs w:val="21"/>
        </w:rPr>
        <w:t>存在法律、法规及监督部门有关文件规定的无效情形</w:t>
      </w:r>
      <w:r>
        <w:rPr>
          <w:szCs w:val="21"/>
        </w:rPr>
        <w:t>。</w:t>
      </w:r>
    </w:p>
    <w:p w14:paraId="32B838E5">
      <w:pPr>
        <w:spacing w:before="120" w:line="320" w:lineRule="atLeast"/>
        <w:ind w:firstLine="420" w:firstLineChars="200"/>
        <w:rPr>
          <w:szCs w:val="21"/>
        </w:rPr>
      </w:pPr>
      <w:r>
        <w:rPr>
          <w:rFonts w:hint="eastAsia"/>
          <w:szCs w:val="21"/>
        </w:rPr>
        <w:t>②</w:t>
      </w:r>
      <w:r>
        <w:rPr>
          <w:szCs w:val="21"/>
        </w:rPr>
        <w:t>投标文件</w:t>
      </w:r>
      <w:r>
        <w:rPr>
          <w:rFonts w:hint="eastAsia"/>
          <w:szCs w:val="21"/>
        </w:rPr>
        <w:t>存在招标文件规定的无效情形。</w:t>
      </w:r>
    </w:p>
    <w:bookmarkEnd w:id="82"/>
    <w:p w14:paraId="606B69B4">
      <w:pPr>
        <w:spacing w:before="120" w:line="320" w:lineRule="atLeast"/>
        <w:ind w:firstLine="420" w:firstLineChars="200"/>
        <w:rPr>
          <w:szCs w:val="21"/>
        </w:rPr>
      </w:pPr>
      <w:bookmarkStart w:id="83" w:name="_Hlk19113313"/>
      <w:r>
        <w:rPr>
          <w:rFonts w:hint="eastAsia"/>
          <w:szCs w:val="21"/>
        </w:rPr>
        <w:t>（2）根据</w:t>
      </w:r>
      <w:r>
        <w:rPr>
          <w:szCs w:val="21"/>
        </w:rPr>
        <w:t>财库</w:t>
      </w:r>
      <w:r>
        <w:rPr>
          <w:rFonts w:hint="eastAsia"/>
          <w:szCs w:val="21"/>
        </w:rPr>
        <w:t>《</w:t>
      </w:r>
      <w:r>
        <w:rPr>
          <w:szCs w:val="21"/>
        </w:rPr>
        <w:t>关于促进政府采购公平竞争优化营商环境的通知</w:t>
      </w:r>
      <w:r>
        <w:rPr>
          <w:rFonts w:hint="eastAsia"/>
          <w:szCs w:val="21"/>
        </w:rPr>
        <w:t>》（</w:t>
      </w:r>
      <w:r>
        <w:rPr>
          <w:szCs w:val="21"/>
        </w:rPr>
        <w:t>〔2019〕38号</w:t>
      </w:r>
      <w:r>
        <w:rPr>
          <w:rFonts w:hint="eastAsia"/>
          <w:szCs w:val="21"/>
        </w:rPr>
        <w:t>）以及《广西壮族自治区财政厅转发财政部关于促进政府采购公平竞争优化营商环境的通知》（桂财采〔2019〕41号）规定，评审委员会不得因装订、纸张、文件排序等非实质性的格式、形式问题认定投标无效或否决投标，从而限制和影响供应商投标（响应）。</w:t>
      </w:r>
    </w:p>
    <w:bookmarkEnd w:id="83"/>
    <w:p w14:paraId="13C3074B">
      <w:pPr>
        <w:spacing w:before="120" w:line="320" w:lineRule="atLeast"/>
        <w:ind w:firstLine="420" w:firstLineChars="200"/>
        <w:rPr>
          <w:szCs w:val="21"/>
        </w:rPr>
      </w:pPr>
      <w:bookmarkStart w:id="84" w:name="_Hlk19113363"/>
      <w:r>
        <w:rPr>
          <w:szCs w:val="21"/>
        </w:rPr>
        <w:t>6.3.</w:t>
      </w:r>
      <w:r>
        <w:rPr>
          <w:rFonts w:hint="eastAsia"/>
          <w:szCs w:val="21"/>
        </w:rPr>
        <w:t>9</w:t>
      </w:r>
      <w:r>
        <w:rPr>
          <w:szCs w:val="21"/>
        </w:rPr>
        <w:t>比较与评价</w:t>
      </w:r>
    </w:p>
    <w:p w14:paraId="3BFB871D">
      <w:pPr>
        <w:spacing w:before="120" w:line="320" w:lineRule="atLeast"/>
        <w:ind w:firstLine="420" w:firstLineChars="200"/>
        <w:rPr>
          <w:szCs w:val="21"/>
        </w:rPr>
      </w:pPr>
      <w:r>
        <w:rPr>
          <w:rFonts w:hint="eastAsia"/>
          <w:szCs w:val="21"/>
        </w:rPr>
        <w:t>（1）评审委员会</w:t>
      </w:r>
      <w:r>
        <w:rPr>
          <w:szCs w:val="21"/>
        </w:rPr>
        <w:t>按招标文件中规定的评审方法和标准，对符合性审查合格的投标文件进行综合比较与评价。</w:t>
      </w:r>
    </w:p>
    <w:p w14:paraId="3B7B2639">
      <w:pPr>
        <w:spacing w:before="120" w:line="320" w:lineRule="atLeast"/>
        <w:ind w:firstLine="420" w:firstLineChars="200"/>
        <w:rPr>
          <w:szCs w:val="21"/>
        </w:rPr>
      </w:pPr>
      <w:r>
        <w:rPr>
          <w:rFonts w:hint="eastAsia"/>
          <w:szCs w:val="21"/>
        </w:rPr>
        <w:t>（2）</w:t>
      </w:r>
      <w:r>
        <w:rPr>
          <w:szCs w:val="21"/>
        </w:rPr>
        <w:t>评审委员会各成员独立对每个有效供应商的投标文件进行评价</w:t>
      </w:r>
      <w:r>
        <w:rPr>
          <w:rFonts w:hint="eastAsia"/>
          <w:szCs w:val="21"/>
        </w:rPr>
        <w:t>。评价</w:t>
      </w:r>
      <w:r>
        <w:rPr>
          <w:szCs w:val="21"/>
        </w:rPr>
        <w:t>有误的应及时进行修正。评</w:t>
      </w:r>
      <w:r>
        <w:rPr>
          <w:rFonts w:hint="eastAsia"/>
          <w:szCs w:val="21"/>
        </w:rPr>
        <w:t>分</w:t>
      </w:r>
      <w:r>
        <w:rPr>
          <w:szCs w:val="21"/>
        </w:rPr>
        <w:t>标准如有客观分定义，评审委员会所有成员的客观分</w:t>
      </w:r>
      <w:r>
        <w:rPr>
          <w:rFonts w:hint="eastAsia"/>
          <w:szCs w:val="21"/>
        </w:rPr>
        <w:t>评分分值</w:t>
      </w:r>
      <w:r>
        <w:rPr>
          <w:szCs w:val="21"/>
        </w:rPr>
        <w:t>应当一致。</w:t>
      </w:r>
    </w:p>
    <w:p w14:paraId="7E762581">
      <w:pPr>
        <w:spacing w:before="120" w:line="320" w:lineRule="atLeast"/>
        <w:ind w:firstLine="420" w:firstLineChars="200"/>
        <w:rPr>
          <w:szCs w:val="21"/>
        </w:rPr>
      </w:pPr>
      <w:r>
        <w:rPr>
          <w:rFonts w:hint="eastAsia"/>
          <w:szCs w:val="21"/>
        </w:rPr>
        <w:t>（3）评审委员会</w:t>
      </w:r>
      <w:r>
        <w:rPr>
          <w:szCs w:val="21"/>
        </w:rPr>
        <w:t>按</w:t>
      </w:r>
      <w:r>
        <w:rPr>
          <w:rFonts w:hint="eastAsia"/>
          <w:szCs w:val="21"/>
        </w:rPr>
        <w:t>综合评</w:t>
      </w:r>
      <w:r>
        <w:rPr>
          <w:szCs w:val="21"/>
        </w:rPr>
        <w:t>分由高到低的排列顺序推荐中标候选人</w:t>
      </w:r>
      <w:r>
        <w:rPr>
          <w:rFonts w:hint="eastAsia"/>
          <w:szCs w:val="21"/>
        </w:rPr>
        <w:t>，中标候选人最多不超过3名。</w:t>
      </w:r>
      <w:r>
        <w:rPr>
          <w:szCs w:val="21"/>
        </w:rPr>
        <w:t>若中标候选人综合</w:t>
      </w:r>
      <w:r>
        <w:rPr>
          <w:rFonts w:hint="eastAsia"/>
          <w:szCs w:val="21"/>
        </w:rPr>
        <w:t>评</w:t>
      </w:r>
      <w:r>
        <w:rPr>
          <w:szCs w:val="21"/>
        </w:rPr>
        <w:t>分相同的，按投标报价由低到高顺序排列；综合</w:t>
      </w:r>
      <w:r>
        <w:rPr>
          <w:rFonts w:hint="eastAsia"/>
          <w:szCs w:val="21"/>
        </w:rPr>
        <w:t>评</w:t>
      </w:r>
      <w:r>
        <w:rPr>
          <w:szCs w:val="21"/>
        </w:rPr>
        <w:t>分且投标报价相同的</w:t>
      </w:r>
      <w:r>
        <w:t>并列</w:t>
      </w:r>
      <w:r>
        <w:rPr>
          <w:szCs w:val="21"/>
        </w:rPr>
        <w:t>；中标候选人并列的，按技术部分得分由高到低顺序排列，若综合评分、投标报价、技术部分均相同的，按商务部分得分由高到低顺序排列</w:t>
      </w:r>
      <w:r>
        <w:rPr>
          <w:rFonts w:hint="eastAsia"/>
          <w:szCs w:val="21"/>
        </w:rPr>
        <w:t>。</w:t>
      </w:r>
    </w:p>
    <w:p w14:paraId="1589CD09">
      <w:pPr>
        <w:spacing w:before="120" w:line="320" w:lineRule="atLeast"/>
        <w:ind w:firstLine="420" w:firstLineChars="200"/>
      </w:pPr>
      <w:r>
        <w:rPr>
          <w:rFonts w:hint="eastAsia"/>
          <w:szCs w:val="21"/>
        </w:rPr>
        <w:t>（</w:t>
      </w:r>
      <w:r>
        <w:rPr>
          <w:szCs w:val="21"/>
        </w:rPr>
        <w:t>4</w:t>
      </w:r>
      <w:r>
        <w:rPr>
          <w:rFonts w:hint="eastAsia"/>
          <w:szCs w:val="21"/>
        </w:rPr>
        <w:t>）评审委员会根据评审记录及评审结果编写评审报告，评审委员会成员均应当在评审报告上签字，对自己的评审意见承担法律责任。</w:t>
      </w:r>
      <w:r>
        <w:t>评审报告签署前，经复核发现存在以</w:t>
      </w:r>
      <w:r>
        <w:rPr>
          <w:rFonts w:hint="eastAsia"/>
        </w:rPr>
        <w:t>下</w:t>
      </w:r>
      <w:r>
        <w:t>情形之一的，评审委员会应当当场修改评审结果，并在评审报告中记载；评审报告签署后，采购人或者采购代理机构发现存在以</w:t>
      </w:r>
      <w:r>
        <w:rPr>
          <w:rFonts w:hint="eastAsia"/>
        </w:rPr>
        <w:t>下</w:t>
      </w:r>
      <w:r>
        <w:t>情形之一的，应当组织原评审委员会进行重新评审。</w:t>
      </w:r>
    </w:p>
    <w:p w14:paraId="628B9FD2">
      <w:pPr>
        <w:spacing w:before="120" w:line="320" w:lineRule="atLeast"/>
        <w:ind w:firstLine="420" w:firstLineChars="200"/>
      </w:pPr>
      <w:r>
        <w:t>分值汇总计算错误的；分项评分超出评分标准范围的；评审委员会成员对客观评审因素评分不一致的；经评审委员会认定评分畸高、畸低的。</w:t>
      </w:r>
    </w:p>
    <w:bookmarkEnd w:id="84"/>
    <w:p w14:paraId="217F150E">
      <w:pPr>
        <w:spacing w:before="120" w:line="320" w:lineRule="atLeast"/>
        <w:ind w:firstLine="422" w:firstLineChars="200"/>
        <w:outlineLvl w:val="2"/>
        <w:rPr>
          <w:b/>
          <w:bCs/>
          <w:kern w:val="0"/>
          <w:szCs w:val="21"/>
        </w:rPr>
      </w:pPr>
      <w:r>
        <w:rPr>
          <w:b/>
          <w:bCs/>
          <w:kern w:val="0"/>
          <w:szCs w:val="21"/>
        </w:rPr>
        <w:t>6.4确定中标人</w:t>
      </w:r>
    </w:p>
    <w:p w14:paraId="235784CB">
      <w:pPr>
        <w:spacing w:before="120" w:line="276" w:lineRule="auto"/>
        <w:ind w:firstLine="420" w:firstLineChars="200"/>
        <w:rPr>
          <w:szCs w:val="21"/>
        </w:rPr>
      </w:pPr>
      <w:r>
        <w:rPr>
          <w:rFonts w:hint="eastAsia"/>
          <w:szCs w:val="21"/>
        </w:rPr>
        <w:t>6.4</w:t>
      </w:r>
      <w:r>
        <w:rPr>
          <w:szCs w:val="21"/>
        </w:rPr>
        <w:t>.1采购代理机构在评审结束后2个工作日内将评审报告送采购人，采购人在5个工作日内按照评审报告中推荐的中标候选</w:t>
      </w:r>
      <w:r>
        <w:rPr>
          <w:rFonts w:hint="eastAsia"/>
          <w:szCs w:val="21"/>
        </w:rPr>
        <w:t>人</w:t>
      </w:r>
      <w:r>
        <w:rPr>
          <w:szCs w:val="21"/>
        </w:rPr>
        <w:t>顺序确定中标人。</w:t>
      </w:r>
      <w:r>
        <w:rPr>
          <w:rFonts w:hint="eastAsia"/>
          <w:szCs w:val="21"/>
        </w:rPr>
        <w:t>中标候选人并列的，由采购人或者采购人委托评审委员会按照招标文件规定的方式确定中标人；招标文件未规定的，采取随机抽取的方式确定。</w:t>
      </w:r>
    </w:p>
    <w:p w14:paraId="6F8E16E4">
      <w:pPr>
        <w:spacing w:before="120" w:line="276" w:lineRule="auto"/>
        <w:ind w:firstLine="420" w:firstLineChars="200"/>
        <w:rPr>
          <w:szCs w:val="21"/>
        </w:rPr>
      </w:pPr>
      <w:r>
        <w:rPr>
          <w:szCs w:val="21"/>
        </w:rPr>
        <w:t>6.4.2</w:t>
      </w:r>
      <w:r>
        <w:rPr>
          <w:rFonts w:hint="eastAsia"/>
          <w:szCs w:val="21"/>
        </w:rPr>
        <w:t>采购人、采购代理机构认为供应商对采购过程、中标结果提出的质疑成立且影响或者可能影响中标结果的，合格供应商符合法定数量时，可以从合格的中标候选人中另行确定中标人的，应当依法另行确定中标人；否则应当重新开展采购活动。</w:t>
      </w:r>
    </w:p>
    <w:p w14:paraId="39111D0B">
      <w:pPr>
        <w:spacing w:before="120" w:line="320" w:lineRule="atLeast"/>
        <w:ind w:firstLine="422" w:firstLineChars="200"/>
        <w:outlineLvl w:val="2"/>
        <w:rPr>
          <w:b/>
          <w:bCs/>
          <w:kern w:val="0"/>
          <w:szCs w:val="21"/>
        </w:rPr>
      </w:pPr>
      <w:r>
        <w:rPr>
          <w:b/>
          <w:bCs/>
          <w:kern w:val="0"/>
          <w:szCs w:val="21"/>
        </w:rPr>
        <w:t>6.5</w:t>
      </w:r>
      <w:r>
        <w:rPr>
          <w:rFonts w:hint="eastAsia"/>
          <w:b/>
          <w:bCs/>
          <w:kern w:val="0"/>
          <w:szCs w:val="21"/>
        </w:rPr>
        <w:t>结果公告</w:t>
      </w:r>
    </w:p>
    <w:p w14:paraId="6093FE58">
      <w:pPr>
        <w:spacing w:before="120" w:line="320" w:lineRule="atLeast"/>
        <w:ind w:firstLine="420" w:firstLineChars="200"/>
        <w:rPr>
          <w:szCs w:val="21"/>
        </w:rPr>
      </w:pPr>
      <w:r>
        <w:rPr>
          <w:rFonts w:hint="eastAsia"/>
          <w:szCs w:val="21"/>
        </w:rPr>
        <w:t>6</w:t>
      </w:r>
      <w:r>
        <w:rPr>
          <w:szCs w:val="21"/>
        </w:rPr>
        <w:t>.5.1自中标人确定后2个工作日内，采购代理机构</w:t>
      </w:r>
      <w:r>
        <w:rPr>
          <w:rFonts w:hint="eastAsia"/>
          <w:szCs w:val="21"/>
        </w:rPr>
        <w:t>按照投标人须知</w:t>
      </w:r>
      <w:r>
        <w:rPr>
          <w:rFonts w:hint="eastAsia"/>
          <w:kern w:val="0"/>
          <w:szCs w:val="21"/>
        </w:rPr>
        <w:t>前附表的规定</w:t>
      </w:r>
      <w:r>
        <w:rPr>
          <w:kern w:val="0"/>
          <w:szCs w:val="21"/>
        </w:rPr>
        <w:t>公告</w:t>
      </w:r>
      <w:r>
        <w:rPr>
          <w:szCs w:val="21"/>
        </w:rPr>
        <w:t>中标结果</w:t>
      </w:r>
      <w:r>
        <w:rPr>
          <w:rFonts w:hint="eastAsia"/>
          <w:szCs w:val="21"/>
        </w:rPr>
        <w:t>，中标结果公告期限为1个工作日，发布中标结果公告的同时向中标人发出中标通知书。采购代理机构发出中标通知书前，应当对中标人信用进行核实，对列入失信被执行人、重大税收违法案件当事人名 单、政府采购严重违法失信行为记录名单及其他不符合《中华人民共和国政府采购法》第二十二条规定条件的投标人，取消其中标资格，并确定排名第二的中标候选人为中标人。排名第二的中标候选人因前款规定的同样原因被取消中标资格的，采购人可以确定排名第三的中标候选人为中标人，以此类推。以上信息查询记录及相关证据与采购文件一并保存。</w:t>
      </w:r>
    </w:p>
    <w:p w14:paraId="28915D85">
      <w:pPr>
        <w:spacing w:before="120" w:line="320" w:lineRule="atLeast"/>
        <w:ind w:firstLine="420" w:firstLineChars="200"/>
        <w:rPr>
          <w:szCs w:val="21"/>
        </w:rPr>
      </w:pPr>
      <w:r>
        <w:rPr>
          <w:rFonts w:hint="eastAsia"/>
          <w:szCs w:val="21"/>
        </w:rPr>
        <w:t>6</w:t>
      </w:r>
      <w:r>
        <w:rPr>
          <w:szCs w:val="21"/>
        </w:rPr>
        <w:t>.5.2在发布</w:t>
      </w:r>
      <w:r>
        <w:rPr>
          <w:rFonts w:hint="eastAsia"/>
          <w:szCs w:val="21"/>
        </w:rPr>
        <w:t>结果</w:t>
      </w:r>
      <w:r>
        <w:rPr>
          <w:szCs w:val="21"/>
        </w:rPr>
        <w:t>公告的同时，采购代理机构以</w:t>
      </w:r>
      <w:r>
        <w:rPr>
          <w:rFonts w:hint="eastAsia"/>
          <w:szCs w:val="21"/>
        </w:rPr>
        <w:t>投标人须知</w:t>
      </w:r>
      <w:r>
        <w:rPr>
          <w:szCs w:val="21"/>
        </w:rPr>
        <w:t>前附表规定的形式向中标人发出中标通知书。中标通知书发出后，采购人改变中标结果，或者中标人放弃中标，应当承担相应的法律责任。</w:t>
      </w:r>
    </w:p>
    <w:p w14:paraId="6BBD9234">
      <w:pPr>
        <w:spacing w:before="120" w:line="320" w:lineRule="atLeast"/>
        <w:ind w:firstLine="420" w:firstLineChars="200"/>
        <w:rPr>
          <w:b/>
          <w:bCs/>
          <w:kern w:val="0"/>
          <w:szCs w:val="21"/>
        </w:rPr>
      </w:pPr>
      <w:r>
        <w:rPr>
          <w:rFonts w:hint="eastAsia"/>
          <w:szCs w:val="21"/>
        </w:rPr>
        <w:t>6</w:t>
      </w:r>
      <w:r>
        <w:rPr>
          <w:szCs w:val="21"/>
        </w:rPr>
        <w:t>.5.3</w:t>
      </w:r>
      <w:r>
        <w:rPr>
          <w:rFonts w:hint="eastAsia"/>
          <w:szCs w:val="21"/>
        </w:rPr>
        <w:t>在发布结果公告的同时，</w:t>
      </w:r>
      <w:r>
        <w:rPr>
          <w:szCs w:val="21"/>
        </w:rPr>
        <w:t>采购代理机构以</w:t>
      </w:r>
      <w:r>
        <w:rPr>
          <w:rFonts w:hint="eastAsia"/>
          <w:szCs w:val="21"/>
        </w:rPr>
        <w:t>投标人须知</w:t>
      </w:r>
      <w:r>
        <w:rPr>
          <w:szCs w:val="21"/>
        </w:rPr>
        <w:t>前附表规定的形式</w:t>
      </w:r>
      <w:r>
        <w:rPr>
          <w:rFonts w:hint="eastAsia"/>
          <w:szCs w:val="21"/>
        </w:rPr>
        <w:t>向未中标人发出招标结果通知书，供应商自行承担未及时查收的后果。</w:t>
      </w:r>
    </w:p>
    <w:p w14:paraId="629EBB64">
      <w:pPr>
        <w:suppressAutoHyphens/>
        <w:spacing w:before="120" w:line="320" w:lineRule="atLeast"/>
        <w:ind w:firstLine="422" w:firstLineChars="200"/>
        <w:outlineLvl w:val="2"/>
        <w:rPr>
          <w:b/>
          <w:bCs/>
          <w:kern w:val="0"/>
          <w:szCs w:val="21"/>
        </w:rPr>
      </w:pPr>
      <w:r>
        <w:rPr>
          <w:b/>
          <w:bCs/>
          <w:kern w:val="0"/>
          <w:szCs w:val="21"/>
        </w:rPr>
        <w:t>6.6</w:t>
      </w:r>
      <w:r>
        <w:rPr>
          <w:rFonts w:hint="eastAsia"/>
          <w:b/>
          <w:bCs/>
          <w:kern w:val="0"/>
          <w:szCs w:val="21"/>
        </w:rPr>
        <w:t>废标</w:t>
      </w:r>
    </w:p>
    <w:p w14:paraId="7E87D7BF">
      <w:pPr>
        <w:spacing w:before="120" w:line="320" w:lineRule="atLeast"/>
        <w:ind w:firstLine="420" w:firstLineChars="200"/>
        <w:rPr>
          <w:kern w:val="1"/>
          <w:szCs w:val="21"/>
        </w:rPr>
      </w:pPr>
      <w:r>
        <w:rPr>
          <w:kern w:val="1"/>
          <w:szCs w:val="21"/>
        </w:rPr>
        <w:t>6.6.1</w:t>
      </w:r>
      <w:r>
        <w:rPr>
          <w:rFonts w:hint="eastAsia"/>
          <w:kern w:val="1"/>
          <w:szCs w:val="21"/>
        </w:rPr>
        <w:t xml:space="preserve">出现下列情形之一，将导致项目废标： </w:t>
      </w:r>
    </w:p>
    <w:p w14:paraId="3C6CB438">
      <w:pPr>
        <w:spacing w:before="120" w:line="320" w:lineRule="atLeast"/>
        <w:ind w:firstLine="420" w:firstLineChars="200"/>
        <w:rPr>
          <w:szCs w:val="21"/>
        </w:rPr>
      </w:pPr>
      <w:r>
        <w:rPr>
          <w:rFonts w:hint="eastAsia"/>
          <w:kern w:val="1"/>
          <w:szCs w:val="21"/>
        </w:rPr>
        <w:t>（1</w:t>
      </w:r>
      <w:r>
        <w:rPr>
          <w:rFonts w:hint="eastAsia"/>
          <w:szCs w:val="21"/>
        </w:rPr>
        <w:t>）符合专业条件的供应商或者对招标文件做实质性响应的供应商不足三家；</w:t>
      </w:r>
    </w:p>
    <w:p w14:paraId="314AAFAC">
      <w:pPr>
        <w:spacing w:before="120" w:line="320" w:lineRule="atLeast"/>
        <w:ind w:firstLine="420" w:firstLineChars="200"/>
        <w:rPr>
          <w:szCs w:val="21"/>
        </w:rPr>
      </w:pPr>
      <w:r>
        <w:rPr>
          <w:rFonts w:hint="eastAsia"/>
          <w:szCs w:val="21"/>
        </w:rPr>
        <w:t>（2）出现影响采购公正的违法、违规行为的；</w:t>
      </w:r>
    </w:p>
    <w:p w14:paraId="19421F78">
      <w:pPr>
        <w:spacing w:before="120" w:line="320" w:lineRule="atLeast"/>
        <w:ind w:firstLine="420" w:firstLineChars="200"/>
        <w:rPr>
          <w:szCs w:val="21"/>
        </w:rPr>
      </w:pPr>
      <w:r>
        <w:rPr>
          <w:rFonts w:hint="eastAsia"/>
          <w:szCs w:val="21"/>
        </w:rPr>
        <w:t>（3）供应商的报价均超过了采购预算，采购人不能支付的；</w:t>
      </w:r>
    </w:p>
    <w:p w14:paraId="18BE0B19">
      <w:pPr>
        <w:spacing w:before="120" w:line="320" w:lineRule="atLeast"/>
        <w:ind w:firstLine="420" w:firstLineChars="200"/>
      </w:pPr>
      <w:r>
        <w:rPr>
          <w:rFonts w:hint="eastAsia"/>
          <w:szCs w:val="21"/>
        </w:rPr>
        <w:t>（4）</w:t>
      </w:r>
      <w:r>
        <w:rPr>
          <w:rFonts w:hint="eastAsia"/>
        </w:rPr>
        <w:t>因发生重大变故或采购任务取消的。</w:t>
      </w:r>
    </w:p>
    <w:p w14:paraId="4DBC8304">
      <w:pPr>
        <w:spacing w:before="120" w:line="320" w:lineRule="atLeast"/>
        <w:ind w:firstLine="420" w:firstLineChars="200"/>
        <w:rPr>
          <w:szCs w:val="21"/>
        </w:rPr>
      </w:pPr>
      <w:r>
        <w:rPr>
          <w:kern w:val="1"/>
          <w:szCs w:val="21"/>
        </w:rPr>
        <w:t>6.6.2</w:t>
      </w:r>
      <w:r>
        <w:rPr>
          <w:rFonts w:hint="eastAsia"/>
          <w:kern w:val="1"/>
          <w:szCs w:val="21"/>
        </w:rPr>
        <w:t>废标后</w:t>
      </w:r>
      <w:r>
        <w:rPr>
          <w:rFonts w:hint="eastAsia"/>
          <w:szCs w:val="21"/>
        </w:rPr>
        <w:t>采购</w:t>
      </w:r>
      <w:r>
        <w:rPr>
          <w:rFonts w:hint="eastAsia"/>
          <w:kern w:val="1"/>
          <w:szCs w:val="21"/>
        </w:rPr>
        <w:t>代理机构将发布废标公告通知供应商。</w:t>
      </w:r>
      <w:bookmarkEnd w:id="72"/>
    </w:p>
    <w:bookmarkEnd w:id="69"/>
    <w:p w14:paraId="53FB0E7D">
      <w:pPr>
        <w:spacing w:before="120" w:line="320" w:lineRule="atLeast"/>
        <w:ind w:left="2" w:leftChars="1" w:firstLine="422" w:firstLineChars="200"/>
        <w:outlineLvl w:val="1"/>
        <w:rPr>
          <w:b/>
          <w:bCs/>
        </w:rPr>
      </w:pPr>
      <w:r>
        <w:rPr>
          <w:rFonts w:hint="eastAsia"/>
          <w:b/>
          <w:bCs/>
        </w:rPr>
        <w:t>7.履约保证金</w:t>
      </w:r>
    </w:p>
    <w:p w14:paraId="6167A9AD">
      <w:pPr>
        <w:spacing w:before="120" w:line="320" w:lineRule="atLeast"/>
        <w:ind w:left="2" w:leftChars="1" w:firstLine="420" w:firstLineChars="200"/>
        <w:outlineLvl w:val="1"/>
      </w:pPr>
      <w:r>
        <w:rPr>
          <w:rFonts w:hint="eastAsia"/>
        </w:rPr>
        <w:t>7.1履约保证金的金额、提交方式、缴纳期限、退付的时间和条件详见“投标人须知前附表”。供应商未按规定提交履约保证金的，视为拒绝与采购人签订合同。</w:t>
      </w:r>
    </w:p>
    <w:p w14:paraId="60E52AA3">
      <w:pPr>
        <w:spacing w:before="120" w:line="320" w:lineRule="atLeast"/>
        <w:ind w:left="2" w:leftChars="1" w:firstLine="420" w:firstLineChars="200"/>
        <w:outlineLvl w:val="1"/>
      </w:pPr>
      <w:r>
        <w:rPr>
          <w:rFonts w:hint="eastAsia"/>
        </w:rPr>
        <w:t>7.2在履约保证金退还日期前，若供应商的开户名称、开户银行、账号有变动的，请以书面形式通知履约保证金收取单位，否则由此产生的后果由供应商自行承担。</w:t>
      </w:r>
    </w:p>
    <w:p w14:paraId="52A1926B">
      <w:pPr>
        <w:spacing w:before="120" w:line="320" w:lineRule="atLeast"/>
        <w:ind w:left="2" w:leftChars="1" w:firstLine="422" w:firstLineChars="200"/>
        <w:outlineLvl w:val="1"/>
        <w:rPr>
          <w:b/>
          <w:bCs/>
          <w:kern w:val="0"/>
          <w:szCs w:val="21"/>
        </w:rPr>
      </w:pPr>
      <w:r>
        <w:rPr>
          <w:rFonts w:hint="eastAsia"/>
          <w:b/>
          <w:bCs/>
          <w:kern w:val="0"/>
          <w:szCs w:val="21"/>
        </w:rPr>
        <w:t>8</w:t>
      </w:r>
      <w:r>
        <w:rPr>
          <w:b/>
          <w:bCs/>
          <w:kern w:val="0"/>
          <w:szCs w:val="21"/>
        </w:rPr>
        <w:t>．合同</w:t>
      </w:r>
    </w:p>
    <w:p w14:paraId="1B7AFF98">
      <w:pPr>
        <w:spacing w:before="120" w:line="320" w:lineRule="atLeast"/>
        <w:ind w:firstLine="422" w:firstLineChars="200"/>
        <w:outlineLvl w:val="2"/>
        <w:rPr>
          <w:b/>
          <w:bCs/>
          <w:kern w:val="0"/>
          <w:szCs w:val="21"/>
        </w:rPr>
      </w:pPr>
      <w:r>
        <w:rPr>
          <w:rFonts w:hint="eastAsia"/>
          <w:b/>
          <w:bCs/>
          <w:kern w:val="0"/>
          <w:szCs w:val="21"/>
        </w:rPr>
        <w:t>8</w:t>
      </w:r>
      <w:r>
        <w:rPr>
          <w:b/>
          <w:bCs/>
          <w:kern w:val="0"/>
          <w:szCs w:val="21"/>
        </w:rPr>
        <w:t>.1合同授予标准</w:t>
      </w:r>
    </w:p>
    <w:p w14:paraId="58AC3333">
      <w:pPr>
        <w:spacing w:before="120" w:line="320" w:lineRule="atLeast"/>
        <w:ind w:firstLine="420" w:firstLineChars="200"/>
        <w:rPr>
          <w:szCs w:val="21"/>
        </w:rPr>
      </w:pPr>
      <w:r>
        <w:rPr>
          <w:szCs w:val="21"/>
        </w:rPr>
        <w:t>合同将授予被确定实质上响应招标文件要求，具备履行合同能力，综合评分排名第一的供应商。在</w:t>
      </w:r>
      <w:r>
        <w:rPr>
          <w:rFonts w:hint="eastAsia"/>
          <w:szCs w:val="21"/>
        </w:rPr>
        <w:t>中标</w:t>
      </w:r>
      <w:r>
        <w:rPr>
          <w:szCs w:val="21"/>
        </w:rPr>
        <w:t>通知书发出前或签订合同前，如果</w:t>
      </w:r>
      <w:r>
        <w:rPr>
          <w:rFonts w:hint="eastAsia"/>
          <w:szCs w:val="21"/>
        </w:rPr>
        <w:t>中标</w:t>
      </w:r>
      <w:r>
        <w:rPr>
          <w:szCs w:val="21"/>
        </w:rPr>
        <w:t>人的组织机构</w:t>
      </w:r>
      <w:r>
        <w:rPr>
          <w:rFonts w:hint="eastAsia"/>
          <w:szCs w:val="21"/>
        </w:rPr>
        <w:t>、</w:t>
      </w:r>
      <w:r>
        <w:rPr>
          <w:szCs w:val="21"/>
        </w:rPr>
        <w:t>经营、财务状况发生较大变化，可能造成不能履行合同、无法按照</w:t>
      </w:r>
      <w:r>
        <w:rPr>
          <w:rFonts w:hint="eastAsia"/>
          <w:szCs w:val="21"/>
        </w:rPr>
        <w:t>招标</w:t>
      </w:r>
      <w:r>
        <w:rPr>
          <w:szCs w:val="21"/>
        </w:rPr>
        <w:t>文件要求提交履约保证金等情形，不符合中标条件或不满足供应商资格条件要求 ，应在</w:t>
      </w:r>
      <w:r>
        <w:rPr>
          <w:rFonts w:hint="eastAsia"/>
          <w:szCs w:val="21"/>
        </w:rPr>
        <w:t>中标</w:t>
      </w:r>
      <w:r>
        <w:rPr>
          <w:szCs w:val="21"/>
        </w:rPr>
        <w:t>通知书发出前或签订合同前及时书面告知采购人</w:t>
      </w:r>
      <w:r>
        <w:rPr>
          <w:rFonts w:hint="eastAsia"/>
          <w:szCs w:val="21"/>
        </w:rPr>
        <w:t>，</w:t>
      </w:r>
      <w:r>
        <w:rPr>
          <w:szCs w:val="21"/>
        </w:rPr>
        <w:t>未主动告知</w:t>
      </w:r>
      <w:r>
        <w:rPr>
          <w:rFonts w:hint="eastAsia"/>
          <w:szCs w:val="21"/>
        </w:rPr>
        <w:t>，</w:t>
      </w:r>
      <w:r>
        <w:rPr>
          <w:szCs w:val="21"/>
        </w:rPr>
        <w:t>给采购人造成损失的</w:t>
      </w:r>
      <w:r>
        <w:rPr>
          <w:rFonts w:hint="eastAsia"/>
          <w:szCs w:val="21"/>
        </w:rPr>
        <w:t>，</w:t>
      </w:r>
      <w:r>
        <w:rPr>
          <w:szCs w:val="21"/>
        </w:rPr>
        <w:t>采购人有权</w:t>
      </w:r>
      <w:r>
        <w:rPr>
          <w:rFonts w:hint="eastAsia"/>
          <w:szCs w:val="21"/>
        </w:rPr>
        <w:t>取消其中标资格并</w:t>
      </w:r>
      <w:r>
        <w:rPr>
          <w:szCs w:val="21"/>
        </w:rPr>
        <w:t>没收投标保证金</w:t>
      </w:r>
      <w:r>
        <w:rPr>
          <w:rFonts w:hint="eastAsia"/>
          <w:szCs w:val="21"/>
        </w:rPr>
        <w:t>。</w:t>
      </w:r>
    </w:p>
    <w:p w14:paraId="61350238">
      <w:pPr>
        <w:spacing w:before="120" w:line="320" w:lineRule="atLeast"/>
        <w:ind w:firstLine="422" w:firstLineChars="200"/>
        <w:outlineLvl w:val="2"/>
        <w:rPr>
          <w:b/>
          <w:bCs/>
          <w:kern w:val="0"/>
          <w:szCs w:val="21"/>
        </w:rPr>
      </w:pPr>
      <w:r>
        <w:rPr>
          <w:rFonts w:hint="eastAsia"/>
          <w:b/>
          <w:bCs/>
          <w:kern w:val="0"/>
          <w:szCs w:val="21"/>
        </w:rPr>
        <w:t>8</w:t>
      </w:r>
      <w:r>
        <w:rPr>
          <w:b/>
          <w:bCs/>
          <w:kern w:val="0"/>
          <w:szCs w:val="21"/>
        </w:rPr>
        <w:t>.2签订合同</w:t>
      </w:r>
    </w:p>
    <w:p w14:paraId="49A2FE40">
      <w:pPr>
        <w:spacing w:before="120" w:line="320" w:lineRule="atLeast"/>
        <w:ind w:firstLine="420" w:firstLineChars="200"/>
        <w:rPr>
          <w:szCs w:val="21"/>
        </w:rPr>
      </w:pPr>
      <w:bookmarkStart w:id="85" w:name="_Hlk93421039"/>
      <w:r>
        <w:rPr>
          <w:rFonts w:hint="eastAsia"/>
          <w:szCs w:val="21"/>
        </w:rPr>
        <w:t>8.</w:t>
      </w:r>
      <w:r>
        <w:rPr>
          <w:szCs w:val="21"/>
        </w:rPr>
        <w:t>2.1如</w:t>
      </w:r>
      <w:r>
        <w:rPr>
          <w:rFonts w:hint="eastAsia"/>
          <w:szCs w:val="21"/>
        </w:rPr>
        <w:t>招标</w:t>
      </w:r>
      <w:r>
        <w:rPr>
          <w:szCs w:val="21"/>
        </w:rPr>
        <w:t>文件无</w:t>
      </w:r>
      <w:r>
        <w:rPr>
          <w:rFonts w:hint="eastAsia"/>
          <w:szCs w:val="21"/>
        </w:rPr>
        <w:t>特别</w:t>
      </w:r>
      <w:r>
        <w:rPr>
          <w:szCs w:val="21"/>
        </w:rPr>
        <w:t>规定，</w:t>
      </w:r>
      <w:r>
        <w:rPr>
          <w:rFonts w:hint="eastAsia"/>
          <w:szCs w:val="21"/>
        </w:rPr>
        <w:t>中标人按招标文件确定的事项签订政府采购合同。</w:t>
      </w:r>
    </w:p>
    <w:p w14:paraId="0D00CA46">
      <w:pPr>
        <w:spacing w:before="120" w:line="320" w:lineRule="atLeast"/>
        <w:ind w:firstLine="420" w:firstLineChars="200"/>
        <w:rPr>
          <w:szCs w:val="21"/>
        </w:rPr>
      </w:pPr>
      <w:r>
        <w:rPr>
          <w:rFonts w:hint="eastAsia"/>
          <w:szCs w:val="21"/>
        </w:rPr>
        <w:t>8</w:t>
      </w:r>
      <w:r>
        <w:rPr>
          <w:szCs w:val="21"/>
        </w:rPr>
        <w:t>.2.2</w:t>
      </w:r>
      <w:r>
        <w:rPr>
          <w:rFonts w:hint="eastAsia"/>
          <w:szCs w:val="21"/>
        </w:rPr>
        <w:t>政府采购合同应当包括采购人与中标人的名称和住所、标的、数量、质量、价款或者报酬、履行期限及地点和方式、验收要求、违约责任、解决争议的方法等内容。</w:t>
      </w:r>
      <w:r>
        <w:rPr>
          <w:szCs w:val="21"/>
        </w:rPr>
        <w:t>招标文件、中标人的投标文件及澄清文件等，均为签订政府采购合同的依据。</w:t>
      </w:r>
    </w:p>
    <w:p w14:paraId="725C9DEB">
      <w:pPr>
        <w:spacing w:before="120" w:line="320" w:lineRule="atLeast"/>
        <w:ind w:firstLine="420" w:firstLineChars="200"/>
        <w:rPr>
          <w:szCs w:val="21"/>
        </w:rPr>
      </w:pPr>
      <w:r>
        <w:rPr>
          <w:rFonts w:hint="eastAsia"/>
          <w:szCs w:val="21"/>
        </w:rPr>
        <w:t>8</w:t>
      </w:r>
      <w:r>
        <w:rPr>
          <w:szCs w:val="21"/>
        </w:rPr>
        <w:t>.2.3如中标人不按中标通知书的规定签订合同，</w:t>
      </w:r>
      <w:r>
        <w:rPr>
          <w:rFonts w:hint="eastAsia"/>
          <w:szCs w:val="21"/>
        </w:rPr>
        <w:t>其投标保证金将不予退还，并报由同级政府采购监督管理部门处理。</w:t>
      </w:r>
    </w:p>
    <w:p w14:paraId="66232CF1">
      <w:pPr>
        <w:spacing w:before="120" w:line="320" w:lineRule="atLeast"/>
        <w:ind w:firstLine="420" w:firstLineChars="200"/>
        <w:rPr>
          <w:szCs w:val="21"/>
        </w:rPr>
      </w:pPr>
      <w:r>
        <w:rPr>
          <w:rFonts w:hint="eastAsia"/>
          <w:szCs w:val="21"/>
        </w:rPr>
        <w:t>8</w:t>
      </w:r>
      <w:r>
        <w:rPr>
          <w:szCs w:val="21"/>
        </w:rPr>
        <w:t>.2.4</w:t>
      </w:r>
      <w:r>
        <w:rPr>
          <w:rFonts w:hint="eastAsia"/>
          <w:szCs w:val="21"/>
        </w:rPr>
        <w:t>中标人拒绝与采购人签订合同的，采购人可以按照评审报告推荐的中标候选人名单排序，确定下一候选人为中标人，也可以重新开展政府采购活动。</w:t>
      </w:r>
    </w:p>
    <w:p w14:paraId="6E7FFB08">
      <w:pPr>
        <w:spacing w:before="120" w:line="320" w:lineRule="atLeast"/>
        <w:ind w:firstLine="420" w:firstLineChars="200"/>
        <w:rPr>
          <w:szCs w:val="21"/>
        </w:rPr>
      </w:pPr>
      <w:bookmarkStart w:id="86" w:name="_Hlk155170999"/>
      <w:r>
        <w:rPr>
          <w:rFonts w:hint="eastAsia"/>
          <w:szCs w:val="21"/>
        </w:rPr>
        <w:t>8</w:t>
      </w:r>
      <w:r>
        <w:rPr>
          <w:szCs w:val="21"/>
        </w:rPr>
        <w:t>.2.5</w:t>
      </w:r>
      <w:r>
        <w:rPr>
          <w:rFonts w:hint="eastAsia"/>
          <w:szCs w:val="21"/>
        </w:rPr>
        <w:t>采购人因不可抗力原因迟延签订合同的，应当自不可抗力事由消除之日起5个工作日内完成合同签订事宜。</w:t>
      </w:r>
    </w:p>
    <w:bookmarkEnd w:id="85"/>
    <w:bookmarkEnd w:id="86"/>
    <w:p w14:paraId="3ECE47CF">
      <w:pPr>
        <w:spacing w:before="120" w:line="320" w:lineRule="atLeast"/>
        <w:ind w:firstLine="422" w:firstLineChars="200"/>
        <w:outlineLvl w:val="2"/>
        <w:rPr>
          <w:b/>
          <w:bCs/>
          <w:kern w:val="0"/>
          <w:szCs w:val="21"/>
        </w:rPr>
      </w:pPr>
      <w:r>
        <w:rPr>
          <w:rFonts w:hint="eastAsia"/>
          <w:b/>
          <w:bCs/>
          <w:kern w:val="0"/>
          <w:szCs w:val="21"/>
        </w:rPr>
        <w:t>8</w:t>
      </w:r>
      <w:r>
        <w:rPr>
          <w:b/>
          <w:bCs/>
          <w:kern w:val="0"/>
          <w:szCs w:val="21"/>
        </w:rPr>
        <w:t>.3合同公告</w:t>
      </w:r>
    </w:p>
    <w:p w14:paraId="0AA5AB3E">
      <w:pPr>
        <w:spacing w:before="120" w:line="320" w:lineRule="atLeast"/>
        <w:ind w:firstLine="420" w:firstLineChars="200"/>
        <w:rPr>
          <w:szCs w:val="21"/>
        </w:rPr>
      </w:pPr>
      <w:bookmarkStart w:id="87" w:name="_Hlk93421052"/>
      <w:r>
        <w:rPr>
          <w:rFonts w:hint="eastAsia"/>
          <w:szCs w:val="21"/>
        </w:rPr>
        <w:t>8</w:t>
      </w:r>
      <w:r>
        <w:rPr>
          <w:szCs w:val="21"/>
        </w:rPr>
        <w:t>.3.1如</w:t>
      </w:r>
      <w:r>
        <w:rPr>
          <w:rFonts w:hint="eastAsia"/>
          <w:szCs w:val="21"/>
        </w:rPr>
        <w:t>招标</w:t>
      </w:r>
      <w:r>
        <w:rPr>
          <w:szCs w:val="21"/>
        </w:rPr>
        <w:t>文件无特殊规定</w:t>
      </w:r>
      <w:r>
        <w:rPr>
          <w:rFonts w:hint="eastAsia"/>
          <w:szCs w:val="21"/>
        </w:rPr>
        <w:t>，</w:t>
      </w:r>
      <w:r>
        <w:rPr>
          <w:szCs w:val="21"/>
        </w:rPr>
        <w:t>中标人应在签订合同后1个工作日内，将政府采购合同副本送采购代理机构</w:t>
      </w:r>
      <w:r>
        <w:rPr>
          <w:rFonts w:hint="eastAsia"/>
          <w:szCs w:val="21"/>
        </w:rPr>
        <w:t>存档</w:t>
      </w:r>
      <w:r>
        <w:rPr>
          <w:szCs w:val="21"/>
        </w:rPr>
        <w:t>。</w:t>
      </w:r>
    </w:p>
    <w:p w14:paraId="10A7113D">
      <w:pPr>
        <w:spacing w:before="120" w:line="320" w:lineRule="atLeast"/>
        <w:ind w:firstLine="420" w:firstLineChars="200"/>
        <w:rPr>
          <w:szCs w:val="21"/>
        </w:rPr>
      </w:pPr>
      <w:r>
        <w:rPr>
          <w:rFonts w:hint="eastAsia"/>
          <w:szCs w:val="21"/>
        </w:rPr>
        <w:t>8</w:t>
      </w:r>
      <w:r>
        <w:rPr>
          <w:szCs w:val="21"/>
        </w:rPr>
        <w:t>.3.2采购人应当自政府采购合同签订之日起2个工作日内，将政府采购合同在省级以上人民政府财政部门指定的媒体上公告，但政府采购合同中涉及国家秘密、商业秘密的内容除外。</w:t>
      </w:r>
    </w:p>
    <w:p w14:paraId="744D0EF9">
      <w:pPr>
        <w:spacing w:before="120" w:line="320" w:lineRule="atLeast"/>
        <w:ind w:firstLine="420" w:firstLineChars="200"/>
        <w:rPr>
          <w:szCs w:val="21"/>
        </w:rPr>
      </w:pPr>
      <w:bookmarkStart w:id="88" w:name="_Hlk155171014"/>
      <w:r>
        <w:rPr>
          <w:rFonts w:hint="eastAsia"/>
          <w:szCs w:val="21"/>
        </w:rPr>
        <w:t>8</w:t>
      </w:r>
      <w:r>
        <w:rPr>
          <w:szCs w:val="21"/>
        </w:rPr>
        <w:t xml:space="preserve">.3.3 </w:t>
      </w:r>
      <w:r>
        <w:rPr>
          <w:rFonts w:hint="eastAsia"/>
          <w:szCs w:val="21"/>
        </w:rPr>
        <w:t>政府采购合同双方不得擅自变更合同，依照政府采购法确需变更政府采购合同内容的，采购人应当自合同变更之日起2个工作日内在省级以上财政部门指定的媒体上发布政府采购合同变更公告，但涉及国家秘密、商业秘密的信息和其他依法不得公开的信息除外。</w:t>
      </w:r>
    </w:p>
    <w:bookmarkEnd w:id="87"/>
    <w:bookmarkEnd w:id="88"/>
    <w:p w14:paraId="4B44610A">
      <w:pPr>
        <w:spacing w:before="120" w:line="320" w:lineRule="atLeast"/>
        <w:ind w:firstLine="422" w:firstLineChars="200"/>
        <w:outlineLvl w:val="2"/>
        <w:rPr>
          <w:b/>
          <w:bCs/>
          <w:kern w:val="0"/>
          <w:szCs w:val="21"/>
        </w:rPr>
      </w:pPr>
      <w:r>
        <w:rPr>
          <w:rFonts w:hint="eastAsia"/>
          <w:b/>
          <w:bCs/>
          <w:kern w:val="0"/>
          <w:szCs w:val="21"/>
        </w:rPr>
        <w:t>8</w:t>
      </w:r>
      <w:r>
        <w:rPr>
          <w:b/>
          <w:bCs/>
          <w:kern w:val="0"/>
          <w:szCs w:val="21"/>
        </w:rPr>
        <w:t>.4 履行合同</w:t>
      </w:r>
    </w:p>
    <w:p w14:paraId="194B9CC5">
      <w:pPr>
        <w:spacing w:before="120" w:line="320" w:lineRule="atLeast"/>
        <w:ind w:firstLine="420" w:firstLineChars="200"/>
        <w:rPr>
          <w:szCs w:val="21"/>
        </w:rPr>
      </w:pPr>
      <w:bookmarkStart w:id="89" w:name="_Hlk93421061"/>
      <w:r>
        <w:rPr>
          <w:rFonts w:hint="eastAsia"/>
          <w:szCs w:val="21"/>
        </w:rPr>
        <w:t>8</w:t>
      </w:r>
      <w:r>
        <w:rPr>
          <w:szCs w:val="21"/>
        </w:rPr>
        <w:t>.4.1</w:t>
      </w:r>
      <w:bookmarkStart w:id="90" w:name="_Toc217446070"/>
      <w:bookmarkStart w:id="91" w:name="_Toc308164814"/>
      <w:r>
        <w:rPr>
          <w:rFonts w:hint="eastAsia"/>
          <w:szCs w:val="21"/>
        </w:rPr>
        <w:t>采购人与中标人签订合同后，政府采购合同的履行、违约责任和解决争议的方法等适用《中华人民共和国民法典》。合同双方应严格执行合同条款，履行合同规定的义务，保证合同的顺利完成。双方均不得擅自变更、中止或者终止政府采购合同。</w:t>
      </w:r>
    </w:p>
    <w:bookmarkEnd w:id="89"/>
    <w:p w14:paraId="04C9E6C5">
      <w:pPr>
        <w:spacing w:before="120" w:line="320" w:lineRule="atLeast"/>
        <w:ind w:firstLine="422" w:firstLineChars="200"/>
        <w:rPr>
          <w:b/>
          <w:bCs/>
          <w:kern w:val="0"/>
          <w:szCs w:val="21"/>
        </w:rPr>
      </w:pPr>
      <w:r>
        <w:rPr>
          <w:rFonts w:hint="eastAsia"/>
          <w:b/>
          <w:bCs/>
          <w:kern w:val="0"/>
          <w:szCs w:val="21"/>
        </w:rPr>
        <w:t>8</w:t>
      </w:r>
      <w:r>
        <w:rPr>
          <w:b/>
          <w:bCs/>
          <w:kern w:val="0"/>
          <w:szCs w:val="21"/>
        </w:rPr>
        <w:t>.5履约验收</w:t>
      </w:r>
      <w:bookmarkEnd w:id="90"/>
      <w:bookmarkEnd w:id="91"/>
    </w:p>
    <w:p w14:paraId="50A6C5B1">
      <w:pPr>
        <w:spacing w:before="120" w:line="320" w:lineRule="atLeast"/>
        <w:ind w:firstLine="420" w:firstLineChars="200"/>
        <w:rPr>
          <w:szCs w:val="21"/>
        </w:rPr>
      </w:pPr>
      <w:bookmarkStart w:id="92" w:name="_Hlk93421069"/>
      <w:r>
        <w:rPr>
          <w:rFonts w:hint="eastAsia"/>
          <w:szCs w:val="21"/>
        </w:rPr>
        <w:t>8</w:t>
      </w:r>
      <w:r>
        <w:rPr>
          <w:szCs w:val="21"/>
        </w:rPr>
        <w:t>.5.1采购人可以根据政府采购项目具体情况自行组织验收，或者委托政府采购代理机构、国家认可的质量检测机构开展采购项目履约验收工作。</w:t>
      </w:r>
    </w:p>
    <w:p w14:paraId="28FB04FF">
      <w:pPr>
        <w:spacing w:before="120" w:line="320" w:lineRule="atLeast"/>
        <w:ind w:firstLine="420" w:firstLineChars="200"/>
        <w:rPr>
          <w:szCs w:val="21"/>
        </w:rPr>
      </w:pPr>
      <w:r>
        <w:rPr>
          <w:rFonts w:hint="eastAsia"/>
          <w:szCs w:val="21"/>
        </w:rPr>
        <w:t>8</w:t>
      </w:r>
      <w:r>
        <w:rPr>
          <w:szCs w:val="21"/>
        </w:rPr>
        <w:t>.5.2验收结果合格的，中标人可向采购人申请办理履约保证金（如有）的退付手续；验收结果不合格的，履约保证金（如有）将不予退还，并按合同约定处理，还可能会报告本项目同级财政部门并按照政府采购法律法规及有关规定给予行政处罚或者以失信行为记入诚信档案。</w:t>
      </w:r>
    </w:p>
    <w:p w14:paraId="40FB817B">
      <w:pPr>
        <w:spacing w:before="120" w:line="320" w:lineRule="atLeast"/>
        <w:ind w:firstLine="420" w:firstLineChars="200"/>
        <w:rPr>
          <w:szCs w:val="21"/>
        </w:rPr>
      </w:pPr>
      <w:r>
        <w:rPr>
          <w:rFonts w:hint="eastAsia"/>
          <w:szCs w:val="21"/>
        </w:rPr>
        <w:t>8</w:t>
      </w:r>
      <w:r>
        <w:rPr>
          <w:szCs w:val="21"/>
        </w:rPr>
        <w:t>.5.3采购合同项目完成验收后，采购人应当将验收原始记录、验收书等资料作为该采购项目档案妥善保管，不得伪造、变造、隐匿或者销毁，验收资料保存期为采购结束之日起至少保存15年。</w:t>
      </w:r>
    </w:p>
    <w:p w14:paraId="0BA3132B">
      <w:pPr>
        <w:spacing w:before="120" w:line="320" w:lineRule="atLeast"/>
        <w:ind w:firstLine="420" w:firstLineChars="200"/>
        <w:rPr>
          <w:szCs w:val="21"/>
        </w:rPr>
      </w:pPr>
      <w:r>
        <w:rPr>
          <w:rFonts w:hint="eastAsia"/>
          <w:szCs w:val="21"/>
        </w:rPr>
        <w:t>8</w:t>
      </w:r>
      <w:r>
        <w:rPr>
          <w:szCs w:val="21"/>
        </w:rPr>
        <w:t>.5.4本项目将严格按照本招标文件及合同有关规定进行合同履约验收。招标文件或合同未规定的按财政部关于进一步加强政府采购需求和履约验收管理的指导意见（财库〔2016〕205号）以及《广西壮族自治区政府采购项目履约验收管理办法》（桂财采〔2015〕22号）的规定执行。</w:t>
      </w:r>
    </w:p>
    <w:bookmarkEnd w:id="92"/>
    <w:p w14:paraId="0A23170A">
      <w:pPr>
        <w:spacing w:before="120" w:line="320" w:lineRule="atLeast"/>
        <w:ind w:left="2" w:leftChars="1" w:firstLine="422" w:firstLineChars="200"/>
        <w:outlineLvl w:val="1"/>
        <w:rPr>
          <w:b/>
          <w:bCs/>
          <w:kern w:val="0"/>
          <w:szCs w:val="21"/>
        </w:rPr>
      </w:pPr>
      <w:bookmarkStart w:id="93" w:name="_Toc254970533"/>
      <w:bookmarkStart w:id="94" w:name="_Toc254970674"/>
      <w:r>
        <w:rPr>
          <w:rFonts w:hint="eastAsia"/>
          <w:b/>
          <w:bCs/>
          <w:kern w:val="0"/>
          <w:szCs w:val="21"/>
        </w:rPr>
        <w:t>9</w:t>
      </w:r>
      <w:r>
        <w:rPr>
          <w:b/>
          <w:bCs/>
          <w:kern w:val="0"/>
          <w:szCs w:val="21"/>
        </w:rPr>
        <w:t>．质疑和投诉</w:t>
      </w:r>
      <w:bookmarkEnd w:id="93"/>
      <w:bookmarkEnd w:id="94"/>
    </w:p>
    <w:p w14:paraId="7F3799DE">
      <w:pPr>
        <w:spacing w:before="120" w:line="320" w:lineRule="atLeast"/>
        <w:ind w:firstLine="422" w:firstLineChars="200"/>
        <w:outlineLvl w:val="2"/>
        <w:rPr>
          <w:b/>
          <w:bCs/>
          <w:kern w:val="0"/>
          <w:szCs w:val="21"/>
        </w:rPr>
      </w:pPr>
      <w:r>
        <w:rPr>
          <w:rFonts w:hint="eastAsia"/>
          <w:b/>
          <w:bCs/>
          <w:kern w:val="0"/>
          <w:szCs w:val="21"/>
        </w:rPr>
        <w:t>9</w:t>
      </w:r>
      <w:r>
        <w:rPr>
          <w:b/>
          <w:bCs/>
          <w:kern w:val="0"/>
          <w:szCs w:val="21"/>
        </w:rPr>
        <w:t>.1质疑</w:t>
      </w:r>
    </w:p>
    <w:p w14:paraId="1316E58B">
      <w:pPr>
        <w:spacing w:before="120" w:line="320" w:lineRule="atLeast"/>
        <w:ind w:firstLine="420" w:firstLineChars="200"/>
        <w:rPr>
          <w:szCs w:val="21"/>
        </w:rPr>
      </w:pPr>
      <w:r>
        <w:rPr>
          <w:rFonts w:hint="eastAsia"/>
          <w:szCs w:val="21"/>
        </w:rPr>
        <w:t>9</w:t>
      </w:r>
      <w:r>
        <w:rPr>
          <w:szCs w:val="21"/>
        </w:rPr>
        <w:t>.1.1质疑内容、时限</w:t>
      </w:r>
    </w:p>
    <w:p w14:paraId="7070BDC4">
      <w:pPr>
        <w:spacing w:before="120" w:line="320" w:lineRule="atLeast"/>
        <w:ind w:firstLine="420" w:firstLineChars="200"/>
        <w:rPr>
          <w:szCs w:val="21"/>
        </w:rPr>
      </w:pPr>
      <w:r>
        <w:rPr>
          <w:rFonts w:hint="eastAsia"/>
          <w:szCs w:val="21"/>
        </w:rPr>
        <w:t>（1）供应商对政府采购活动有疑问的，可以向采购人或采购代理机构提出询问。采购人或者采购代理机构应当在3个工作日内对供应商依法提出的询问作出答复。</w:t>
      </w:r>
    </w:p>
    <w:p w14:paraId="302CF1DA">
      <w:pPr>
        <w:spacing w:before="120" w:line="320" w:lineRule="atLeast"/>
        <w:ind w:firstLine="420" w:firstLineChars="200"/>
        <w:rPr>
          <w:szCs w:val="21"/>
        </w:rPr>
      </w:pPr>
      <w:r>
        <w:rPr>
          <w:rFonts w:hint="eastAsia"/>
          <w:szCs w:val="21"/>
        </w:rPr>
        <w:t>（2）供应商认为招标文件、采购过程、中标或者成交结果使自己的权益受到损害的，可以在知道或者应知其权益受到损害之日起7个工作日内向采购人或采购代理机构提出质疑。采购人或</w:t>
      </w:r>
      <w:r>
        <w:rPr>
          <w:szCs w:val="21"/>
        </w:rPr>
        <w:t>采购代理机构在收到供应商书面质疑后7个工作日内，对质疑内容作出答复。</w:t>
      </w:r>
    </w:p>
    <w:p w14:paraId="47471688">
      <w:pPr>
        <w:spacing w:before="120" w:line="320" w:lineRule="atLeast"/>
        <w:ind w:firstLine="420" w:firstLineChars="200"/>
        <w:rPr>
          <w:szCs w:val="21"/>
        </w:rPr>
      </w:pPr>
      <w:r>
        <w:rPr>
          <w:rFonts w:hint="eastAsia"/>
          <w:szCs w:val="21"/>
        </w:rPr>
        <w:t>9</w:t>
      </w:r>
      <w:r>
        <w:rPr>
          <w:szCs w:val="21"/>
        </w:rPr>
        <w:t>.1.2质疑形式</w:t>
      </w:r>
    </w:p>
    <w:p w14:paraId="0D382D2F">
      <w:pPr>
        <w:spacing w:before="120" w:line="320" w:lineRule="atLeast"/>
        <w:ind w:firstLine="420" w:firstLineChars="200"/>
        <w:rPr>
          <w:szCs w:val="21"/>
        </w:rPr>
      </w:pPr>
      <w:r>
        <w:rPr>
          <w:szCs w:val="21"/>
        </w:rPr>
        <w:t>质疑应当采用</w:t>
      </w:r>
      <w:r>
        <w:rPr>
          <w:rFonts w:hint="eastAsia"/>
          <w:szCs w:val="21"/>
        </w:rPr>
        <w:t>投标人须知</w:t>
      </w:r>
      <w:r>
        <w:rPr>
          <w:szCs w:val="21"/>
        </w:rPr>
        <w:t>前附表所规定的形式，质疑书应明确阐述</w:t>
      </w:r>
      <w:r>
        <w:rPr>
          <w:rFonts w:hint="eastAsia"/>
          <w:szCs w:val="21"/>
        </w:rPr>
        <w:t>招标文件</w:t>
      </w:r>
      <w:r>
        <w:rPr>
          <w:szCs w:val="21"/>
        </w:rPr>
        <w:t>、</w:t>
      </w:r>
      <w:r>
        <w:rPr>
          <w:rFonts w:hint="eastAsia"/>
          <w:szCs w:val="21"/>
        </w:rPr>
        <w:t>采购</w:t>
      </w:r>
      <w:r>
        <w:rPr>
          <w:szCs w:val="21"/>
        </w:rPr>
        <w:t>过程或中标结果中使自己合法权益受到损害的实质性内容，提供相关事实、依据和证据及其来源或线索，便于有关单位调查、答复和处理。</w:t>
      </w:r>
    </w:p>
    <w:p w14:paraId="3F2A2C61">
      <w:pPr>
        <w:spacing w:before="120" w:line="320" w:lineRule="atLeast"/>
        <w:ind w:firstLine="420" w:firstLineChars="200"/>
        <w:rPr>
          <w:szCs w:val="21"/>
        </w:rPr>
      </w:pPr>
      <w:r>
        <w:rPr>
          <w:rFonts w:hint="eastAsia"/>
          <w:szCs w:val="21"/>
        </w:rPr>
        <w:t>9</w:t>
      </w:r>
      <w:r>
        <w:rPr>
          <w:szCs w:val="21"/>
        </w:rPr>
        <w:t>.1.3</w:t>
      </w:r>
      <w:r>
        <w:rPr>
          <w:rFonts w:hint="eastAsia"/>
        </w:rPr>
        <w:t xml:space="preserve"> </w:t>
      </w:r>
      <w:r>
        <w:rPr>
          <w:rFonts w:hint="eastAsia"/>
          <w:szCs w:val="21"/>
        </w:rPr>
        <w:t>供应商提出质疑应当提交质疑函和必要的证明材料。质疑函应当包括下列内容：</w:t>
      </w:r>
    </w:p>
    <w:p w14:paraId="4FF569F1">
      <w:pPr>
        <w:spacing w:before="120" w:line="320" w:lineRule="atLeast"/>
        <w:ind w:firstLine="420" w:firstLineChars="200"/>
        <w:rPr>
          <w:szCs w:val="21"/>
        </w:rPr>
      </w:pPr>
      <w:r>
        <w:rPr>
          <w:rFonts w:hint="eastAsia"/>
          <w:szCs w:val="21"/>
        </w:rPr>
        <w:t>（1）</w:t>
      </w:r>
      <w:r>
        <w:rPr>
          <w:rFonts w:hint="eastAsia"/>
          <w:szCs w:val="21"/>
        </w:rPr>
        <w:tab/>
      </w:r>
      <w:r>
        <w:rPr>
          <w:rFonts w:hint="eastAsia"/>
          <w:szCs w:val="21"/>
        </w:rPr>
        <w:t>供应商的姓名或者名称、地址、邮编、联系人及联系电话；</w:t>
      </w:r>
    </w:p>
    <w:p w14:paraId="14EE2130">
      <w:pPr>
        <w:spacing w:before="120" w:line="320" w:lineRule="atLeast"/>
        <w:ind w:firstLine="420" w:firstLineChars="200"/>
        <w:rPr>
          <w:szCs w:val="21"/>
        </w:rPr>
      </w:pPr>
      <w:r>
        <w:rPr>
          <w:rFonts w:hint="eastAsia"/>
          <w:szCs w:val="21"/>
        </w:rPr>
        <w:t>（2）</w:t>
      </w:r>
      <w:r>
        <w:rPr>
          <w:rFonts w:hint="eastAsia"/>
          <w:szCs w:val="21"/>
        </w:rPr>
        <w:tab/>
      </w:r>
      <w:r>
        <w:rPr>
          <w:rFonts w:hint="eastAsia"/>
          <w:szCs w:val="21"/>
        </w:rPr>
        <w:t>质疑项目的名称、编号；</w:t>
      </w:r>
    </w:p>
    <w:p w14:paraId="0E7BF1BA">
      <w:pPr>
        <w:spacing w:before="120" w:line="320" w:lineRule="atLeast"/>
        <w:ind w:firstLine="420" w:firstLineChars="200"/>
        <w:rPr>
          <w:szCs w:val="21"/>
        </w:rPr>
      </w:pPr>
      <w:r>
        <w:rPr>
          <w:rFonts w:hint="eastAsia"/>
          <w:szCs w:val="21"/>
        </w:rPr>
        <w:t>（3）</w:t>
      </w:r>
      <w:r>
        <w:rPr>
          <w:rFonts w:hint="eastAsia"/>
          <w:szCs w:val="21"/>
        </w:rPr>
        <w:tab/>
      </w:r>
      <w:r>
        <w:rPr>
          <w:rFonts w:hint="eastAsia"/>
          <w:szCs w:val="21"/>
        </w:rPr>
        <w:t>具体、明确的质疑事项和与质疑事项相关的请求；</w:t>
      </w:r>
    </w:p>
    <w:p w14:paraId="43F52464">
      <w:pPr>
        <w:spacing w:before="120" w:line="320" w:lineRule="atLeast"/>
        <w:ind w:firstLine="420" w:firstLineChars="200"/>
        <w:rPr>
          <w:szCs w:val="21"/>
        </w:rPr>
      </w:pPr>
      <w:r>
        <w:rPr>
          <w:rFonts w:hint="eastAsia"/>
          <w:szCs w:val="21"/>
        </w:rPr>
        <w:t>（4）</w:t>
      </w:r>
      <w:r>
        <w:rPr>
          <w:rFonts w:hint="eastAsia"/>
          <w:szCs w:val="21"/>
        </w:rPr>
        <w:tab/>
      </w:r>
      <w:r>
        <w:rPr>
          <w:rFonts w:hint="eastAsia"/>
          <w:szCs w:val="21"/>
        </w:rPr>
        <w:t>事实依据；</w:t>
      </w:r>
    </w:p>
    <w:p w14:paraId="2E81F688">
      <w:pPr>
        <w:spacing w:before="120" w:line="320" w:lineRule="atLeast"/>
        <w:ind w:firstLine="420" w:firstLineChars="200"/>
        <w:rPr>
          <w:szCs w:val="21"/>
        </w:rPr>
      </w:pPr>
      <w:r>
        <w:rPr>
          <w:rFonts w:hint="eastAsia"/>
          <w:szCs w:val="21"/>
        </w:rPr>
        <w:t>（5）</w:t>
      </w:r>
      <w:r>
        <w:rPr>
          <w:rFonts w:hint="eastAsia"/>
          <w:szCs w:val="21"/>
        </w:rPr>
        <w:tab/>
      </w:r>
      <w:r>
        <w:rPr>
          <w:rFonts w:hint="eastAsia"/>
          <w:szCs w:val="21"/>
        </w:rPr>
        <w:t>必要的法律依据；</w:t>
      </w:r>
    </w:p>
    <w:p w14:paraId="4ADB8FF4">
      <w:pPr>
        <w:spacing w:before="120" w:line="320" w:lineRule="atLeast"/>
        <w:ind w:firstLine="420" w:firstLineChars="200"/>
        <w:rPr>
          <w:szCs w:val="21"/>
        </w:rPr>
      </w:pPr>
      <w:r>
        <w:rPr>
          <w:rFonts w:hint="eastAsia"/>
          <w:szCs w:val="21"/>
        </w:rPr>
        <w:t>（6）</w:t>
      </w:r>
      <w:r>
        <w:rPr>
          <w:rFonts w:hint="eastAsia"/>
          <w:szCs w:val="21"/>
        </w:rPr>
        <w:tab/>
      </w:r>
      <w:r>
        <w:rPr>
          <w:rFonts w:hint="eastAsia"/>
          <w:szCs w:val="21"/>
        </w:rPr>
        <w:t>提出质疑的日期。</w:t>
      </w:r>
    </w:p>
    <w:p w14:paraId="642E6798">
      <w:pPr>
        <w:spacing w:before="120" w:line="320" w:lineRule="atLeast"/>
        <w:ind w:firstLine="420" w:firstLineChars="200"/>
        <w:rPr>
          <w:szCs w:val="21"/>
        </w:rPr>
      </w:pPr>
      <w:r>
        <w:rPr>
          <w:rFonts w:hint="eastAsia"/>
          <w:szCs w:val="21"/>
        </w:rPr>
        <w:t>供应商为自然人的，应当由本人签字；供应商为法人或者其他组织的，应当由法定代表人、主要负责人，或者其授权代表签字或者盖章，并加盖公章。</w:t>
      </w:r>
      <w:r>
        <w:rPr>
          <w:szCs w:val="21"/>
        </w:rPr>
        <w:t xml:space="preserve"> </w:t>
      </w:r>
    </w:p>
    <w:p w14:paraId="634917E5">
      <w:pPr>
        <w:spacing w:before="120" w:line="320" w:lineRule="atLeast"/>
        <w:ind w:firstLine="422" w:firstLineChars="200"/>
        <w:outlineLvl w:val="2"/>
        <w:rPr>
          <w:b/>
          <w:bCs/>
          <w:kern w:val="0"/>
          <w:szCs w:val="21"/>
        </w:rPr>
      </w:pPr>
      <w:r>
        <w:rPr>
          <w:rFonts w:hint="eastAsia"/>
          <w:b/>
          <w:bCs/>
          <w:kern w:val="0"/>
          <w:szCs w:val="21"/>
        </w:rPr>
        <w:t>9</w:t>
      </w:r>
      <w:r>
        <w:rPr>
          <w:b/>
          <w:bCs/>
          <w:kern w:val="0"/>
          <w:szCs w:val="21"/>
        </w:rPr>
        <w:t>.2投诉</w:t>
      </w:r>
    </w:p>
    <w:p w14:paraId="062698B1">
      <w:pPr>
        <w:spacing w:before="120" w:line="320" w:lineRule="atLeast"/>
        <w:ind w:firstLine="420" w:firstLineChars="200"/>
        <w:rPr>
          <w:szCs w:val="21"/>
        </w:rPr>
      </w:pPr>
      <w:r>
        <w:rPr>
          <w:rFonts w:hint="eastAsia"/>
          <w:szCs w:val="21"/>
        </w:rPr>
        <w:t>9</w:t>
      </w:r>
      <w:r>
        <w:rPr>
          <w:szCs w:val="21"/>
        </w:rPr>
        <w:t>.2.1供应商对采购人、采购代理机构的答复不满意，或者采购人、采购代理机构未在规定时间内答复的，可在答复期满后15个工作日内按有关规定，向同级财政部门投诉。</w:t>
      </w:r>
    </w:p>
    <w:p w14:paraId="11BC7261">
      <w:pPr>
        <w:spacing w:before="120" w:line="320" w:lineRule="atLeast"/>
        <w:ind w:firstLine="420" w:firstLineChars="200"/>
        <w:rPr>
          <w:szCs w:val="21"/>
        </w:rPr>
      </w:pPr>
      <w:r>
        <w:rPr>
          <w:rFonts w:hint="eastAsia"/>
          <w:szCs w:val="21"/>
        </w:rPr>
        <w:t>9</w:t>
      </w:r>
      <w:r>
        <w:rPr>
          <w:szCs w:val="21"/>
        </w:rPr>
        <w:t>.2.</w:t>
      </w:r>
      <w:r>
        <w:rPr>
          <w:rFonts w:hint="eastAsia"/>
          <w:szCs w:val="21"/>
        </w:rPr>
        <w:t>2投诉</w:t>
      </w:r>
      <w:r>
        <w:rPr>
          <w:szCs w:val="21"/>
        </w:rPr>
        <w:t>书应使用财政部发布的</w:t>
      </w:r>
      <w:r>
        <w:rPr>
          <w:rFonts w:hint="eastAsia"/>
          <w:szCs w:val="21"/>
        </w:rPr>
        <w:t>政府采购供应投诉书范本，并应按照“投诉书制作说明”进行编写。</w:t>
      </w:r>
    </w:p>
    <w:p w14:paraId="057CAFEF">
      <w:pPr>
        <w:spacing w:before="120" w:line="320" w:lineRule="atLeast"/>
        <w:ind w:left="2" w:leftChars="1" w:firstLine="422" w:firstLineChars="200"/>
        <w:outlineLvl w:val="1"/>
        <w:rPr>
          <w:b/>
          <w:bCs/>
          <w:kern w:val="0"/>
          <w:szCs w:val="21"/>
        </w:rPr>
      </w:pPr>
      <w:r>
        <w:rPr>
          <w:rFonts w:hint="eastAsia"/>
          <w:b/>
          <w:bCs/>
          <w:kern w:val="0"/>
          <w:szCs w:val="21"/>
        </w:rPr>
        <w:t>10</w:t>
      </w:r>
      <w:r>
        <w:rPr>
          <w:b/>
          <w:bCs/>
          <w:kern w:val="0"/>
          <w:szCs w:val="21"/>
        </w:rPr>
        <w:t>．其他事项</w:t>
      </w:r>
    </w:p>
    <w:p w14:paraId="1B761C3F">
      <w:pPr>
        <w:spacing w:before="120" w:line="320" w:lineRule="atLeast"/>
        <w:ind w:left="2" w:leftChars="1" w:firstLine="420" w:firstLineChars="200"/>
        <w:rPr>
          <w:szCs w:val="21"/>
        </w:rPr>
      </w:pPr>
      <w:r>
        <w:rPr>
          <w:rFonts w:hint="eastAsia"/>
          <w:szCs w:val="21"/>
        </w:rPr>
        <w:t>10</w:t>
      </w:r>
      <w:r>
        <w:rPr>
          <w:szCs w:val="21"/>
        </w:rPr>
        <w:t>.1代理服务收费由采购代理机构向中标人收取。签订合同前，中标人应向采购代理机构一次付清代理服务费。</w:t>
      </w:r>
    </w:p>
    <w:p w14:paraId="1D266E1D">
      <w:pPr>
        <w:spacing w:before="120" w:line="320" w:lineRule="atLeast"/>
        <w:ind w:left="2" w:leftChars="1" w:firstLine="420" w:firstLineChars="200"/>
        <w:rPr>
          <w:szCs w:val="21"/>
        </w:rPr>
      </w:pPr>
      <w:r>
        <w:rPr>
          <w:rFonts w:hint="eastAsia"/>
          <w:szCs w:val="21"/>
        </w:rPr>
        <w:t>10</w:t>
      </w:r>
      <w:r>
        <w:rPr>
          <w:szCs w:val="21"/>
        </w:rPr>
        <w:t>.2</w:t>
      </w:r>
      <w:r>
        <w:rPr>
          <w:rFonts w:hint="eastAsia"/>
          <w:szCs w:val="21"/>
        </w:rPr>
        <w:t>电子交易活动的中止。采购过程中出现以下情形，导致电子交易平台无法正常运行，或者无法保证电子交易的公平、公正和安全时，采购机构可中止电子交易活动：</w:t>
      </w:r>
    </w:p>
    <w:p w14:paraId="665AFE1D">
      <w:pPr>
        <w:spacing w:before="120" w:line="276" w:lineRule="auto"/>
        <w:ind w:firstLine="420" w:firstLineChars="200"/>
        <w:rPr>
          <w:szCs w:val="21"/>
        </w:rPr>
      </w:pPr>
      <w:r>
        <w:rPr>
          <w:rFonts w:hint="eastAsia"/>
          <w:szCs w:val="21"/>
        </w:rPr>
        <w:t xml:space="preserve">（1）电子交易平台发生故障而无法登录访问的； </w:t>
      </w:r>
    </w:p>
    <w:p w14:paraId="4BD3857C">
      <w:pPr>
        <w:spacing w:before="120" w:line="276" w:lineRule="auto"/>
        <w:ind w:firstLine="420" w:firstLineChars="200"/>
        <w:rPr>
          <w:szCs w:val="21"/>
        </w:rPr>
      </w:pPr>
      <w:r>
        <w:rPr>
          <w:rFonts w:hint="eastAsia"/>
          <w:szCs w:val="21"/>
        </w:rPr>
        <w:t>（2）电子交易平台应用或数据库出现错误，不能进行正常操作的；</w:t>
      </w:r>
    </w:p>
    <w:p w14:paraId="0CB4D5EB">
      <w:pPr>
        <w:spacing w:before="120" w:line="276" w:lineRule="auto"/>
        <w:ind w:firstLine="420" w:firstLineChars="200"/>
        <w:rPr>
          <w:szCs w:val="21"/>
        </w:rPr>
      </w:pPr>
      <w:r>
        <w:rPr>
          <w:rFonts w:hint="eastAsia"/>
          <w:szCs w:val="21"/>
        </w:rPr>
        <w:t>（3）电子交易平台发现严重安全漏洞，有潜在泄密危险的；</w:t>
      </w:r>
    </w:p>
    <w:p w14:paraId="107F531E">
      <w:pPr>
        <w:spacing w:before="120" w:line="276" w:lineRule="auto"/>
        <w:ind w:firstLine="420" w:firstLineChars="200"/>
        <w:rPr>
          <w:szCs w:val="21"/>
        </w:rPr>
      </w:pPr>
      <w:r>
        <w:rPr>
          <w:rFonts w:hint="eastAsia"/>
          <w:szCs w:val="21"/>
        </w:rPr>
        <w:t xml:space="preserve">（4）病毒发作导致不能进行正常操作的； </w:t>
      </w:r>
    </w:p>
    <w:p w14:paraId="7FA468F5">
      <w:pPr>
        <w:spacing w:before="120" w:line="276" w:lineRule="auto"/>
        <w:ind w:firstLine="420" w:firstLineChars="200"/>
        <w:rPr>
          <w:szCs w:val="21"/>
        </w:rPr>
      </w:pPr>
      <w:r>
        <w:rPr>
          <w:rFonts w:hint="eastAsia"/>
          <w:szCs w:val="21"/>
        </w:rPr>
        <w:t>（</w:t>
      </w:r>
      <w:r>
        <w:rPr>
          <w:szCs w:val="21"/>
        </w:rPr>
        <w:t>5</w:t>
      </w:r>
      <w:r>
        <w:rPr>
          <w:rFonts w:hint="eastAsia"/>
          <w:szCs w:val="21"/>
        </w:rPr>
        <w:t>）其他无法保证电子交易的公平、公正和安全的情况。</w:t>
      </w:r>
    </w:p>
    <w:p w14:paraId="615B6EA5">
      <w:pPr>
        <w:tabs>
          <w:tab w:val="left" w:pos="4820"/>
        </w:tabs>
        <w:spacing w:before="120" w:line="360" w:lineRule="auto"/>
        <w:ind w:firstLine="420" w:firstLineChars="200"/>
        <w:rPr>
          <w:szCs w:val="21"/>
        </w:rPr>
      </w:pPr>
      <w:r>
        <w:rPr>
          <w:rFonts w:hint="eastAsia"/>
          <w:szCs w:val="21"/>
        </w:rPr>
        <w:t>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r>
        <w:rPr>
          <w:szCs w:val="21"/>
        </w:rPr>
        <w:t xml:space="preserve"> </w:t>
      </w:r>
    </w:p>
    <w:p w14:paraId="0BB0A2A9">
      <w:pPr>
        <w:spacing w:before="120" w:line="320" w:lineRule="atLeast"/>
        <w:ind w:left="2" w:leftChars="1" w:firstLine="420" w:firstLineChars="200"/>
        <w:rPr>
          <w:szCs w:val="21"/>
        </w:rPr>
      </w:pPr>
      <w:r>
        <w:rPr>
          <w:rFonts w:hint="eastAsia"/>
          <w:szCs w:val="21"/>
        </w:rPr>
        <w:t>10</w:t>
      </w:r>
      <w:r>
        <w:rPr>
          <w:szCs w:val="21"/>
        </w:rPr>
        <w:t>.3</w:t>
      </w:r>
      <w:r>
        <w:rPr>
          <w:rFonts w:hint="eastAsia"/>
          <w:szCs w:val="21"/>
        </w:rPr>
        <w:t>本项目的附件及图纸</w:t>
      </w:r>
      <w:r>
        <w:rPr>
          <w:szCs w:val="21"/>
        </w:rPr>
        <w:t>详见</w:t>
      </w:r>
      <w:r>
        <w:rPr>
          <w:rFonts w:hint="eastAsia"/>
          <w:szCs w:val="21"/>
        </w:rPr>
        <w:t>投标人须知</w:t>
      </w:r>
      <w:r>
        <w:rPr>
          <w:szCs w:val="21"/>
        </w:rPr>
        <w:t>前附表</w:t>
      </w:r>
      <w:r>
        <w:rPr>
          <w:rFonts w:hint="eastAsia"/>
          <w:szCs w:val="21"/>
        </w:rPr>
        <w:t>。</w:t>
      </w:r>
    </w:p>
    <w:p w14:paraId="125CE465">
      <w:pPr>
        <w:spacing w:before="120" w:line="320" w:lineRule="atLeast"/>
        <w:ind w:left="2" w:leftChars="1" w:firstLine="420" w:firstLineChars="200"/>
        <w:rPr>
          <w:szCs w:val="21"/>
        </w:rPr>
      </w:pPr>
      <w:r>
        <w:rPr>
          <w:rFonts w:hint="eastAsia"/>
          <w:szCs w:val="21"/>
        </w:rPr>
        <w:t>10</w:t>
      </w:r>
      <w:r>
        <w:rPr>
          <w:szCs w:val="21"/>
        </w:rPr>
        <w:t>.4</w:t>
      </w:r>
      <w:r>
        <w:rPr>
          <w:rFonts w:hint="eastAsia"/>
          <w:szCs w:val="21"/>
        </w:rPr>
        <w:t>本项目的其他事项</w:t>
      </w:r>
      <w:r>
        <w:rPr>
          <w:szCs w:val="21"/>
        </w:rPr>
        <w:t>详见</w:t>
      </w:r>
      <w:r>
        <w:rPr>
          <w:rFonts w:hint="eastAsia"/>
          <w:szCs w:val="21"/>
        </w:rPr>
        <w:t>投标人须知</w:t>
      </w:r>
      <w:r>
        <w:rPr>
          <w:szCs w:val="21"/>
        </w:rPr>
        <w:t>前附表</w:t>
      </w:r>
      <w:r>
        <w:rPr>
          <w:rFonts w:hint="eastAsia"/>
          <w:szCs w:val="21"/>
        </w:rPr>
        <w:t>。</w:t>
      </w:r>
    </w:p>
    <w:p w14:paraId="10B2B69C">
      <w:pPr>
        <w:spacing w:before="120" w:line="320" w:lineRule="atLeast"/>
        <w:ind w:left="2" w:leftChars="1" w:firstLine="422" w:firstLineChars="200"/>
        <w:outlineLvl w:val="1"/>
        <w:rPr>
          <w:b/>
          <w:bCs/>
          <w:kern w:val="0"/>
          <w:szCs w:val="21"/>
        </w:rPr>
      </w:pPr>
      <w:bookmarkStart w:id="95" w:name="_Toc254970549"/>
      <w:bookmarkStart w:id="96" w:name="_Toc254970690"/>
      <w:r>
        <w:rPr>
          <w:b/>
          <w:bCs/>
          <w:kern w:val="0"/>
          <w:szCs w:val="21"/>
        </w:rPr>
        <w:t>1</w:t>
      </w:r>
      <w:r>
        <w:rPr>
          <w:rFonts w:hint="eastAsia"/>
          <w:b/>
          <w:bCs/>
          <w:kern w:val="0"/>
          <w:szCs w:val="21"/>
        </w:rPr>
        <w:t>1</w:t>
      </w:r>
      <w:r>
        <w:rPr>
          <w:b/>
          <w:bCs/>
          <w:kern w:val="0"/>
          <w:szCs w:val="21"/>
        </w:rPr>
        <w:t>．</w:t>
      </w:r>
      <w:r>
        <w:rPr>
          <w:rFonts w:hint="eastAsia"/>
          <w:b/>
          <w:bCs/>
          <w:kern w:val="0"/>
          <w:szCs w:val="21"/>
        </w:rPr>
        <w:t>其他说明</w:t>
      </w:r>
    </w:p>
    <w:p w14:paraId="33142FD3">
      <w:pPr>
        <w:spacing w:before="120" w:line="320" w:lineRule="atLeast"/>
        <w:ind w:left="2" w:leftChars="1" w:firstLine="420" w:firstLineChars="200"/>
        <w:rPr>
          <w:kern w:val="0"/>
          <w:szCs w:val="21"/>
        </w:rPr>
      </w:pPr>
      <w:r>
        <w:rPr>
          <w:rFonts w:hint="eastAsia"/>
          <w:kern w:val="0"/>
          <w:szCs w:val="21"/>
        </w:rPr>
        <w:t>11</w:t>
      </w:r>
      <w:r>
        <w:rPr>
          <w:kern w:val="0"/>
          <w:szCs w:val="21"/>
        </w:rPr>
        <w:t>.1</w:t>
      </w:r>
      <w:r>
        <w:rPr>
          <w:rFonts w:hint="eastAsia"/>
          <w:kern w:val="0"/>
          <w:szCs w:val="21"/>
        </w:rPr>
        <w:t>其余未尽事宜按</w:t>
      </w:r>
      <w:r>
        <w:rPr>
          <w:kern w:val="0"/>
          <w:szCs w:val="21"/>
        </w:rPr>
        <w:t>《中华人民共和国政府采购法》、《中华人民共和国政府采购法实施条例》</w:t>
      </w:r>
      <w:r>
        <w:rPr>
          <w:rFonts w:hint="eastAsia"/>
          <w:kern w:val="0"/>
          <w:szCs w:val="21"/>
        </w:rPr>
        <w:t>的相关规定执行。</w:t>
      </w:r>
    </w:p>
    <w:p w14:paraId="287B917D">
      <w:pPr>
        <w:spacing w:before="120" w:line="320" w:lineRule="atLeast"/>
        <w:ind w:left="2" w:leftChars="1" w:firstLine="420" w:firstLineChars="200"/>
      </w:pPr>
      <w:r>
        <w:rPr>
          <w:kern w:val="0"/>
          <w:szCs w:val="21"/>
        </w:rPr>
        <w:t>1</w:t>
      </w:r>
      <w:r>
        <w:rPr>
          <w:rFonts w:hint="eastAsia"/>
          <w:kern w:val="0"/>
          <w:szCs w:val="21"/>
        </w:rPr>
        <w:t>1</w:t>
      </w:r>
      <w:r>
        <w:rPr>
          <w:kern w:val="0"/>
          <w:szCs w:val="21"/>
        </w:rPr>
        <w:t>.2</w:t>
      </w:r>
      <w:r>
        <w:rPr>
          <w:rFonts w:hint="eastAsia"/>
        </w:rPr>
        <w:t>本</w:t>
      </w:r>
      <w:r>
        <w:t>招标文件是根据国家有关法律及有关政策、法规和参照国际惯例编制，解释权属采购代理机构。</w:t>
      </w:r>
    </w:p>
    <w:p w14:paraId="2789281A">
      <w:pPr>
        <w:widowControl/>
        <w:jc w:val="left"/>
      </w:pPr>
      <w:r>
        <w:br w:type="page"/>
      </w:r>
    </w:p>
    <w:bookmarkEnd w:id="33"/>
    <w:p w14:paraId="53D4300E">
      <w:pPr>
        <w:pStyle w:val="26"/>
        <w:snapToGrid w:val="0"/>
        <w:spacing w:before="120" w:after="120" w:line="320" w:lineRule="exact"/>
        <w:jc w:val="center"/>
        <w:outlineLvl w:val="0"/>
        <w:rPr>
          <w:rFonts w:ascii="Times New Roman" w:hAnsi="Times New Roman" w:cs="Times New Roman"/>
          <w:sz w:val="32"/>
          <w:szCs w:val="32"/>
        </w:rPr>
      </w:pPr>
      <w:bookmarkStart w:id="97" w:name="_Toc14272"/>
      <w:r>
        <w:rPr>
          <w:rFonts w:ascii="Times New Roman" w:hAnsi="Times New Roman" w:cs="Times New Roman"/>
          <w:sz w:val="32"/>
          <w:szCs w:val="32"/>
        </w:rPr>
        <w:t>第四章  评审方法及标准</w:t>
      </w:r>
      <w:bookmarkEnd w:id="97"/>
    </w:p>
    <w:p w14:paraId="0E447549">
      <w:pPr>
        <w:spacing w:before="120" w:line="320" w:lineRule="atLeast"/>
        <w:ind w:firstLine="413" w:firstLineChars="196"/>
        <w:outlineLvl w:val="1"/>
        <w:rPr>
          <w:b/>
          <w:bCs/>
          <w:kern w:val="0"/>
          <w:szCs w:val="21"/>
        </w:rPr>
      </w:pPr>
      <w:bookmarkStart w:id="98" w:name="_Hlk93421148"/>
      <w:r>
        <w:rPr>
          <w:rFonts w:hint="eastAsia"/>
          <w:b/>
          <w:bCs/>
          <w:kern w:val="0"/>
          <w:szCs w:val="21"/>
        </w:rPr>
        <w:t>1.</w:t>
      </w:r>
      <w:r>
        <w:rPr>
          <w:b/>
          <w:bCs/>
          <w:kern w:val="0"/>
          <w:szCs w:val="21"/>
        </w:rPr>
        <w:t>评审方法</w:t>
      </w:r>
    </w:p>
    <w:p w14:paraId="73543015">
      <w:pPr>
        <w:suppressAutoHyphens/>
        <w:spacing w:before="120" w:line="320" w:lineRule="atLeast"/>
        <w:ind w:firstLine="420" w:firstLineChars="200"/>
      </w:pPr>
      <w:r>
        <w:rPr>
          <w:szCs w:val="21"/>
        </w:rPr>
        <w:sym w:font="Wingdings 2" w:char="F052"/>
      </w:r>
      <w:r>
        <w:t>本项目采用综合评分法进行评审。</w:t>
      </w:r>
    </w:p>
    <w:p w14:paraId="7FC5892A">
      <w:pPr>
        <w:suppressAutoHyphens/>
        <w:spacing w:before="120" w:line="320" w:lineRule="atLeast"/>
        <w:ind w:firstLine="420" w:firstLineChars="200"/>
      </w:pPr>
      <w:r>
        <w:t>综合评分法，是指投标文件满足招标文件全部实质性要求且按照评审因素的量化指标评审得分最高的</w:t>
      </w:r>
      <w:r>
        <w:rPr>
          <w:rFonts w:hint="eastAsia"/>
        </w:rPr>
        <w:t>投标人</w:t>
      </w:r>
      <w:r>
        <w:t>为中标候选人的评审方法。</w:t>
      </w:r>
    </w:p>
    <w:p w14:paraId="582C140E">
      <w:pPr>
        <w:suppressAutoHyphens/>
        <w:spacing w:before="120" w:line="320" w:lineRule="atLeast"/>
        <w:ind w:firstLine="420" w:firstLineChars="200"/>
      </w:pPr>
      <w:r>
        <w:rPr>
          <w:rFonts w:hint="eastAsia" w:hAnsi="宋体"/>
        </w:rPr>
        <w:t>□</w:t>
      </w:r>
      <w:r>
        <w:t>本项目采用</w:t>
      </w:r>
      <w:r>
        <w:rPr>
          <w:rFonts w:hint="eastAsia"/>
        </w:rPr>
        <w:t>最低评标价</w:t>
      </w:r>
      <w:r>
        <w:t>法进行评审。</w:t>
      </w:r>
    </w:p>
    <w:p w14:paraId="2E0A4A68">
      <w:pPr>
        <w:suppressAutoHyphens/>
        <w:spacing w:before="120" w:line="320" w:lineRule="atLeast"/>
        <w:ind w:firstLine="420" w:firstLineChars="200"/>
      </w:pPr>
      <w:r>
        <w:rPr>
          <w:rFonts w:hint="eastAsia"/>
        </w:rPr>
        <w:t>最低评标价法，是指投标文件满足招标文件全部实质性要求且投标报价最低的投标人为中标候选人的评标方法。</w:t>
      </w:r>
    </w:p>
    <w:p w14:paraId="5BD55225">
      <w:pPr>
        <w:suppressAutoHyphens/>
        <w:spacing w:before="120" w:line="320" w:lineRule="atLeast"/>
        <w:ind w:firstLine="420" w:firstLineChars="200"/>
      </w:pPr>
      <w:bookmarkStart w:id="99" w:name="_Hlk92206009"/>
      <w:r>
        <w:rPr>
          <w:rFonts w:hint="eastAsia"/>
        </w:rPr>
        <w:t>本项目评审的其他详细规定在第三章投标人须知中规定。</w:t>
      </w:r>
      <w:bookmarkEnd w:id="99"/>
    </w:p>
    <w:bookmarkEnd w:id="98"/>
    <w:p w14:paraId="21BD3188">
      <w:pPr>
        <w:widowControl/>
        <w:rPr>
          <w:b/>
          <w:bCs/>
          <w:kern w:val="0"/>
          <w:szCs w:val="21"/>
        </w:rPr>
      </w:pPr>
      <w:bookmarkStart w:id="100" w:name="_Hlk19113393"/>
      <w:bookmarkStart w:id="101" w:name="_Hlk19052412"/>
    </w:p>
    <w:p w14:paraId="7221EAF2">
      <w:pPr>
        <w:spacing w:before="120" w:line="320" w:lineRule="atLeast"/>
        <w:ind w:firstLine="422" w:firstLineChars="200"/>
        <w:outlineLvl w:val="1"/>
        <w:rPr>
          <w:b/>
          <w:bCs/>
          <w:kern w:val="0"/>
          <w:szCs w:val="21"/>
        </w:rPr>
      </w:pPr>
      <w:r>
        <w:rPr>
          <w:rFonts w:hint="eastAsia"/>
          <w:b/>
          <w:bCs/>
          <w:kern w:val="0"/>
          <w:szCs w:val="21"/>
        </w:rPr>
        <w:t>2</w:t>
      </w:r>
      <w:r>
        <w:rPr>
          <w:b/>
          <w:bCs/>
          <w:kern w:val="0"/>
          <w:szCs w:val="21"/>
        </w:rPr>
        <w:t>.</w:t>
      </w:r>
      <w:r>
        <w:rPr>
          <w:rFonts w:hint="eastAsia"/>
          <w:b/>
          <w:bCs/>
          <w:kern w:val="0"/>
          <w:szCs w:val="21"/>
        </w:rPr>
        <w:t>评分</w:t>
      </w:r>
      <w:r>
        <w:rPr>
          <w:b/>
          <w:bCs/>
          <w:kern w:val="0"/>
          <w:szCs w:val="21"/>
        </w:rPr>
        <w:t>标准</w:t>
      </w:r>
    </w:p>
    <w:bookmarkEnd w:id="100"/>
    <w:p w14:paraId="1A3F3D21">
      <w:pPr>
        <w:pStyle w:val="26"/>
        <w:spacing w:line="560" w:lineRule="exact"/>
        <w:jc w:val="center"/>
        <w:rPr>
          <w:rFonts w:hAnsi="宋体" w:cs="宋体"/>
          <w:b/>
          <w:bCs/>
          <w:sz w:val="22"/>
          <w:szCs w:val="22"/>
        </w:rPr>
      </w:pPr>
      <w:bookmarkStart w:id="102" w:name="_Hlk132791948"/>
      <w:bookmarkStart w:id="103" w:name="_Hlk77609326"/>
      <w:r>
        <w:rPr>
          <w:rFonts w:hint="eastAsia" w:hAnsi="宋体" w:cs="宋体"/>
          <w:b/>
          <w:bCs/>
          <w:sz w:val="22"/>
          <w:szCs w:val="22"/>
        </w:rPr>
        <w:t>（适用于1、2、3、4分标）</w:t>
      </w:r>
    </w:p>
    <w:tbl>
      <w:tblPr>
        <w:tblStyle w:val="51"/>
        <w:tblW w:w="96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4"/>
        <w:gridCol w:w="1276"/>
        <w:gridCol w:w="716"/>
        <w:gridCol w:w="1557"/>
        <w:gridCol w:w="5405"/>
      </w:tblGrid>
      <w:tr w14:paraId="7E836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 w:type="dxa"/>
            <w:vAlign w:val="center"/>
          </w:tcPr>
          <w:p w14:paraId="0718CE2B">
            <w:pPr>
              <w:adjustRightInd w:val="0"/>
              <w:spacing w:line="410" w:lineRule="exact"/>
              <w:jc w:val="center"/>
              <w:textAlignment w:val="baseline"/>
              <w:rPr>
                <w:rFonts w:ascii="宋体" w:hAnsi="宋体" w:cs="宋体"/>
                <w:b/>
                <w:szCs w:val="21"/>
              </w:rPr>
            </w:pPr>
            <w:r>
              <w:rPr>
                <w:rFonts w:hint="eastAsia" w:ascii="宋体" w:hAnsi="宋体" w:cs="宋体"/>
                <w:b/>
                <w:szCs w:val="21"/>
              </w:rPr>
              <w:t>序号</w:t>
            </w:r>
          </w:p>
        </w:tc>
        <w:tc>
          <w:tcPr>
            <w:tcW w:w="1276" w:type="dxa"/>
            <w:vAlign w:val="center"/>
          </w:tcPr>
          <w:p w14:paraId="5DA9FD6B">
            <w:pPr>
              <w:adjustRightInd w:val="0"/>
              <w:spacing w:line="410" w:lineRule="exact"/>
              <w:jc w:val="center"/>
              <w:textAlignment w:val="baseline"/>
              <w:rPr>
                <w:rFonts w:ascii="宋体" w:hAnsi="宋体" w:cs="宋体"/>
                <w:szCs w:val="21"/>
              </w:rPr>
            </w:pPr>
            <w:r>
              <w:rPr>
                <w:rFonts w:hint="eastAsia" w:ascii="宋体" w:hAnsi="宋体" w:cs="宋体"/>
                <w:b/>
                <w:szCs w:val="21"/>
              </w:rPr>
              <w:t>评审因素</w:t>
            </w:r>
          </w:p>
        </w:tc>
        <w:tc>
          <w:tcPr>
            <w:tcW w:w="716" w:type="dxa"/>
            <w:vAlign w:val="center"/>
          </w:tcPr>
          <w:p w14:paraId="5D6BDBBE">
            <w:pPr>
              <w:adjustRightInd w:val="0"/>
              <w:spacing w:line="410" w:lineRule="exact"/>
              <w:jc w:val="center"/>
              <w:textAlignment w:val="baseline"/>
              <w:rPr>
                <w:rFonts w:ascii="宋体" w:hAnsi="宋体" w:cs="宋体"/>
                <w:b/>
                <w:szCs w:val="21"/>
              </w:rPr>
            </w:pPr>
            <w:r>
              <w:rPr>
                <w:rFonts w:hint="eastAsia" w:ascii="宋体" w:hAnsi="宋体" w:cs="宋体"/>
                <w:b/>
                <w:szCs w:val="21"/>
              </w:rPr>
              <w:t>分值</w:t>
            </w:r>
          </w:p>
        </w:tc>
        <w:tc>
          <w:tcPr>
            <w:tcW w:w="6962" w:type="dxa"/>
            <w:gridSpan w:val="2"/>
            <w:vAlign w:val="center"/>
          </w:tcPr>
          <w:p w14:paraId="0DD9FB1E">
            <w:pPr>
              <w:adjustRightInd w:val="0"/>
              <w:spacing w:line="410" w:lineRule="exact"/>
              <w:jc w:val="center"/>
              <w:textAlignment w:val="baseline"/>
              <w:rPr>
                <w:rFonts w:ascii="宋体" w:hAnsi="宋体" w:cs="宋体"/>
                <w:b/>
                <w:szCs w:val="21"/>
              </w:rPr>
            </w:pPr>
            <w:r>
              <w:rPr>
                <w:rFonts w:hint="eastAsia" w:ascii="宋体" w:hAnsi="宋体" w:cs="宋体"/>
                <w:b/>
                <w:szCs w:val="21"/>
              </w:rPr>
              <w:t>评标标准</w:t>
            </w:r>
          </w:p>
        </w:tc>
      </w:tr>
      <w:tr w14:paraId="0F139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 w:type="dxa"/>
            <w:vAlign w:val="center"/>
          </w:tcPr>
          <w:p w14:paraId="113B718D">
            <w:pPr>
              <w:adjustRightInd w:val="0"/>
              <w:spacing w:line="360" w:lineRule="auto"/>
              <w:jc w:val="center"/>
              <w:textAlignment w:val="baseline"/>
              <w:rPr>
                <w:rFonts w:ascii="宋体" w:hAnsi="宋体" w:cs="宋体"/>
                <w:b/>
                <w:szCs w:val="21"/>
              </w:rPr>
            </w:pPr>
            <w:r>
              <w:rPr>
                <w:rFonts w:hint="eastAsia" w:ascii="宋体" w:hAnsi="宋体" w:cs="宋体"/>
                <w:b/>
                <w:szCs w:val="21"/>
              </w:rPr>
              <w:t>1</w:t>
            </w:r>
          </w:p>
        </w:tc>
        <w:tc>
          <w:tcPr>
            <w:tcW w:w="1276" w:type="dxa"/>
            <w:vAlign w:val="center"/>
          </w:tcPr>
          <w:p w14:paraId="307FE166">
            <w:pPr>
              <w:adjustRightInd w:val="0"/>
              <w:spacing w:line="360" w:lineRule="auto"/>
              <w:jc w:val="center"/>
              <w:textAlignment w:val="baseline"/>
              <w:rPr>
                <w:rFonts w:ascii="宋体" w:hAnsi="宋体" w:cs="宋体"/>
                <w:b/>
                <w:szCs w:val="21"/>
              </w:rPr>
            </w:pPr>
            <w:r>
              <w:rPr>
                <w:rFonts w:hint="eastAsia" w:ascii="宋体" w:hAnsi="宋体" w:cs="宋体"/>
                <w:b/>
                <w:szCs w:val="21"/>
              </w:rPr>
              <w:t>投标报价</w:t>
            </w:r>
          </w:p>
        </w:tc>
        <w:tc>
          <w:tcPr>
            <w:tcW w:w="716" w:type="dxa"/>
            <w:vAlign w:val="center"/>
          </w:tcPr>
          <w:p w14:paraId="34F6E238">
            <w:pPr>
              <w:adjustRightInd w:val="0"/>
              <w:spacing w:line="360" w:lineRule="auto"/>
              <w:jc w:val="center"/>
              <w:textAlignment w:val="baseline"/>
              <w:rPr>
                <w:rFonts w:ascii="宋体" w:hAnsi="宋体" w:cs="宋体"/>
                <w:b/>
                <w:szCs w:val="21"/>
              </w:rPr>
            </w:pPr>
            <w:r>
              <w:rPr>
                <w:rFonts w:hint="eastAsia" w:ascii="宋体" w:hAnsi="宋体" w:cs="宋体"/>
                <w:b/>
                <w:szCs w:val="21"/>
              </w:rPr>
              <w:t>40分</w:t>
            </w:r>
          </w:p>
        </w:tc>
        <w:tc>
          <w:tcPr>
            <w:tcW w:w="6962" w:type="dxa"/>
            <w:gridSpan w:val="2"/>
            <w:vAlign w:val="center"/>
          </w:tcPr>
          <w:p w14:paraId="7E5141DA">
            <w:pPr>
              <w:spacing w:line="420" w:lineRule="exact"/>
              <w:outlineLvl w:val="0"/>
              <w:rPr>
                <w:rFonts w:ascii="宋体" w:hAnsi="宋体" w:cs="宋体"/>
                <w:bCs/>
                <w:kern w:val="0"/>
                <w:szCs w:val="21"/>
              </w:rPr>
            </w:pPr>
            <w:r>
              <w:rPr>
                <w:rFonts w:hint="eastAsia" w:ascii="宋体" w:hAnsi="宋体" w:cs="宋体"/>
                <w:bCs/>
                <w:kern w:val="0"/>
                <w:szCs w:val="21"/>
              </w:rPr>
              <w:t>（一）本项目1分标为专门面向小微企业的项目，不执行价格分扣除的相关政策。</w:t>
            </w:r>
          </w:p>
          <w:p w14:paraId="0E583B4A">
            <w:pPr>
              <w:pStyle w:val="26"/>
              <w:spacing w:line="380" w:lineRule="exact"/>
              <w:rPr>
                <w:rFonts w:hAnsi="宋体" w:cs="宋体"/>
              </w:rPr>
            </w:pPr>
            <w:r>
              <w:rPr>
                <w:rFonts w:hint="eastAsia" w:hAnsi="宋体" w:cs="宋体"/>
                <w:bCs/>
                <w:kern w:val="0"/>
              </w:rPr>
              <w:t>（二）本项目2、3、4分标为非面向中小企业的项目，</w:t>
            </w:r>
            <w:r>
              <w:rPr>
                <w:rFonts w:hint="eastAsia" w:hAnsi="宋体" w:cs="宋体"/>
              </w:rPr>
              <w:t>符合《政府采购促进中小企业发展管理办法》（财库〔2020〕46号）规定条件且按该办法中规定的格式提供了《中小企业声明函》的小型和微型企业。对其投标价给予10%的扣除，扣除后的价格为评标价，即评标价=投标价×（1-10%）；大中型企业与小型、微型企业组成联合体投标，其中小型、微型企业的协议合同金额占到联合体协议合同总金额30%以上的，联合体投标价给予4%的扣除，扣除后的价格为评标价，即评标价=投标价×（1-4%）；除上述情况外，评标价=投标价。</w:t>
            </w:r>
          </w:p>
          <w:p w14:paraId="69E7395B">
            <w:pPr>
              <w:pStyle w:val="26"/>
              <w:spacing w:line="380" w:lineRule="exact"/>
              <w:ind w:firstLine="420" w:firstLineChars="200"/>
              <w:rPr>
                <w:rFonts w:hAnsi="宋体" w:cs="宋体"/>
              </w:rPr>
            </w:pPr>
            <w:r>
              <w:rPr>
                <w:rFonts w:hint="eastAsia" w:hAnsi="宋体" w:cs="宋体"/>
              </w:rPr>
              <w:t>按《关于政府采购支持监狱企业发展有关问题的通知》（财库〔2014〕68号）认定为监狱企业的，在政府采购活动中，监狱企业视同小型、微型企业。监狱企业参加政府采购活动时，应当提供由省级以上监狱管理局、戒毒管理局（含新疆生产建设兵团）出具的属于监狱企业的证明文件。</w:t>
            </w:r>
          </w:p>
          <w:p w14:paraId="66905017">
            <w:pPr>
              <w:pStyle w:val="26"/>
              <w:spacing w:line="380" w:lineRule="exact"/>
              <w:ind w:firstLine="420" w:firstLineChars="200"/>
              <w:rPr>
                <w:rFonts w:hAnsi="宋体" w:cs="宋体"/>
                <w:bCs/>
                <w:kern w:val="0"/>
              </w:rPr>
            </w:pPr>
            <w:r>
              <w:rPr>
                <w:rFonts w:hint="eastAsia" w:hAnsi="宋体" w:cs="宋体"/>
              </w:rPr>
              <w:t>按《关于促进残疾人就业政府采购政策的通知》(财库〔2017〕141号)认定为残疾人福利性单位的，在政府采购活动中，残疾人福利性单位视同小型、微型企业。残疾人福利性单位参加政府采购活动时，应当提供该通知规定的《残疾人福利性单位声明函》，并对声明的真实性负责。</w:t>
            </w:r>
          </w:p>
          <w:p w14:paraId="495D821C">
            <w:pPr>
              <w:spacing w:line="420" w:lineRule="exact"/>
              <w:outlineLvl w:val="0"/>
              <w:rPr>
                <w:rFonts w:ascii="宋体" w:hAnsi="宋体" w:cs="宋体"/>
                <w:bCs/>
                <w:kern w:val="0"/>
                <w:szCs w:val="21"/>
              </w:rPr>
            </w:pPr>
            <w:r>
              <w:rPr>
                <w:rFonts w:hint="eastAsia" w:ascii="宋体" w:hAnsi="宋体" w:cs="宋体"/>
                <w:bCs/>
                <w:kern w:val="0"/>
                <w:szCs w:val="21"/>
              </w:rPr>
              <w:t>（三）投标报价分采用低价优先法计算，满足招标文件要求且投标报价最低的有效投标人的报价为评标基准价，其投标报价分为满分。</w:t>
            </w:r>
          </w:p>
          <w:p w14:paraId="23553A66">
            <w:pPr>
              <w:spacing w:line="420" w:lineRule="exact"/>
              <w:outlineLvl w:val="0"/>
              <w:rPr>
                <w:rFonts w:ascii="宋体" w:hAnsi="宋体" w:cs="宋体"/>
                <w:bCs/>
                <w:kern w:val="0"/>
                <w:szCs w:val="21"/>
              </w:rPr>
            </w:pPr>
            <w:r>
              <w:rPr>
                <w:rFonts w:hint="eastAsia" w:ascii="宋体" w:hAnsi="宋体" w:cs="宋体"/>
                <w:bCs/>
                <w:kern w:val="0"/>
                <w:szCs w:val="21"/>
              </w:rPr>
              <w:t>（四）其他投标人的价格分统一按照下列公式计算：</w:t>
            </w:r>
          </w:p>
          <w:p w14:paraId="17AE26CF">
            <w:pPr>
              <w:spacing w:line="420" w:lineRule="exact"/>
              <w:outlineLvl w:val="0"/>
              <w:rPr>
                <w:rFonts w:ascii="宋体" w:hAnsi="宋体" w:cs="宋体"/>
                <w:bCs/>
                <w:szCs w:val="21"/>
              </w:rPr>
            </w:pPr>
            <w:r>
              <w:rPr>
                <w:rFonts w:hint="eastAsia" w:ascii="宋体" w:hAnsi="宋体" w:cs="宋体"/>
                <w:bCs/>
                <w:kern w:val="0"/>
                <w:szCs w:val="21"/>
              </w:rPr>
              <w:t>某有效投标人的投标报价分=（评标基准价／某投标人有效评标报价）×40分</w:t>
            </w:r>
          </w:p>
        </w:tc>
      </w:tr>
      <w:tr w14:paraId="5F1AE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 w:type="dxa"/>
            <w:vMerge w:val="restart"/>
            <w:vAlign w:val="center"/>
          </w:tcPr>
          <w:p w14:paraId="7ECE623A">
            <w:pPr>
              <w:adjustRightInd w:val="0"/>
              <w:spacing w:line="360" w:lineRule="auto"/>
              <w:jc w:val="center"/>
              <w:textAlignment w:val="baseline"/>
              <w:rPr>
                <w:rFonts w:ascii="宋体" w:hAnsi="宋体" w:cs="宋体"/>
                <w:b/>
                <w:szCs w:val="21"/>
              </w:rPr>
            </w:pPr>
            <w:r>
              <w:rPr>
                <w:rFonts w:hint="eastAsia" w:ascii="宋体" w:hAnsi="宋体" w:cs="宋体"/>
                <w:b/>
                <w:szCs w:val="21"/>
              </w:rPr>
              <w:t>2</w:t>
            </w:r>
          </w:p>
        </w:tc>
        <w:tc>
          <w:tcPr>
            <w:tcW w:w="1276" w:type="dxa"/>
            <w:vMerge w:val="restart"/>
            <w:vAlign w:val="center"/>
          </w:tcPr>
          <w:p w14:paraId="4E9B45F4">
            <w:pPr>
              <w:adjustRightInd w:val="0"/>
              <w:spacing w:line="360" w:lineRule="auto"/>
              <w:jc w:val="center"/>
              <w:textAlignment w:val="baseline"/>
              <w:rPr>
                <w:rFonts w:ascii="宋体" w:hAnsi="宋体" w:cs="宋体"/>
                <w:b/>
                <w:szCs w:val="21"/>
              </w:rPr>
            </w:pPr>
            <w:r>
              <w:rPr>
                <w:rFonts w:hint="eastAsia" w:ascii="宋体" w:hAnsi="宋体" w:cs="宋体"/>
                <w:b/>
                <w:szCs w:val="21"/>
              </w:rPr>
              <w:t>技术分</w:t>
            </w:r>
          </w:p>
          <w:p w14:paraId="35D77749">
            <w:pPr>
              <w:adjustRightInd w:val="0"/>
              <w:spacing w:line="360" w:lineRule="auto"/>
              <w:jc w:val="center"/>
              <w:textAlignment w:val="baseline"/>
              <w:rPr>
                <w:rFonts w:ascii="宋体" w:hAnsi="宋体" w:cs="宋体"/>
                <w:b/>
                <w:szCs w:val="21"/>
              </w:rPr>
            </w:pPr>
          </w:p>
        </w:tc>
        <w:tc>
          <w:tcPr>
            <w:tcW w:w="716" w:type="dxa"/>
            <w:vMerge w:val="restart"/>
            <w:vAlign w:val="center"/>
          </w:tcPr>
          <w:p w14:paraId="2607F699">
            <w:pPr>
              <w:adjustRightInd w:val="0"/>
              <w:spacing w:line="360" w:lineRule="auto"/>
              <w:jc w:val="center"/>
              <w:textAlignment w:val="baseline"/>
              <w:rPr>
                <w:rFonts w:ascii="宋体" w:hAnsi="宋体" w:cs="宋体"/>
                <w:b/>
                <w:szCs w:val="21"/>
              </w:rPr>
            </w:pPr>
            <w:r>
              <w:rPr>
                <w:rFonts w:hint="eastAsia" w:ascii="宋体" w:hAnsi="宋体" w:cs="宋体"/>
                <w:b/>
                <w:szCs w:val="21"/>
              </w:rPr>
              <w:t>30分</w:t>
            </w:r>
          </w:p>
        </w:tc>
        <w:tc>
          <w:tcPr>
            <w:tcW w:w="1557" w:type="dxa"/>
            <w:vAlign w:val="center"/>
          </w:tcPr>
          <w:p w14:paraId="1A8C2593">
            <w:pPr>
              <w:spacing w:line="360" w:lineRule="auto"/>
              <w:jc w:val="center"/>
              <w:rPr>
                <w:rFonts w:ascii="宋体" w:hAnsi="宋体" w:cs="宋体"/>
                <w:bCs/>
                <w:szCs w:val="21"/>
              </w:rPr>
            </w:pPr>
            <w:r>
              <w:rPr>
                <w:rFonts w:hint="eastAsia" w:ascii="宋体" w:hAnsi="宋体" w:cs="宋体"/>
                <w:b/>
                <w:szCs w:val="21"/>
              </w:rPr>
              <w:t>配送服务及应急方案（满分8分）</w:t>
            </w:r>
          </w:p>
        </w:tc>
        <w:tc>
          <w:tcPr>
            <w:tcW w:w="5405" w:type="dxa"/>
            <w:vAlign w:val="center"/>
          </w:tcPr>
          <w:p w14:paraId="0D8A31A7">
            <w:pPr>
              <w:spacing w:line="360" w:lineRule="auto"/>
              <w:jc w:val="left"/>
              <w:rPr>
                <w:rFonts w:ascii="宋体" w:hAnsi="宋体" w:cs="宋体"/>
                <w:bCs/>
                <w:szCs w:val="21"/>
              </w:rPr>
            </w:pPr>
            <w:r>
              <w:rPr>
                <w:rFonts w:hint="eastAsia" w:ascii="宋体" w:hAnsi="宋体" w:cs="宋体"/>
                <w:bCs/>
                <w:szCs w:val="21"/>
              </w:rPr>
              <w:t>评标委员会根据投标人提供的配送服务及应急方案内容，综合评定所属档次及分值，未提供的配送服务及应急方案内容的不得分。</w:t>
            </w:r>
          </w:p>
          <w:p w14:paraId="099F7E75">
            <w:pPr>
              <w:spacing w:line="360" w:lineRule="auto"/>
              <w:jc w:val="left"/>
              <w:rPr>
                <w:rFonts w:ascii="宋体" w:hAnsi="宋体" w:cs="宋体"/>
                <w:bCs/>
                <w:szCs w:val="21"/>
              </w:rPr>
            </w:pPr>
            <w:r>
              <w:rPr>
                <w:rFonts w:hint="eastAsia" w:ascii="宋体" w:hAnsi="宋体" w:cs="宋体"/>
                <w:bCs/>
                <w:szCs w:val="21"/>
              </w:rPr>
              <w:t>一档（2分）：有固定的生产或销售场地，配送服务方案基本满足要求；</w:t>
            </w:r>
          </w:p>
          <w:p w14:paraId="46C2F71D">
            <w:pPr>
              <w:spacing w:line="360" w:lineRule="auto"/>
              <w:jc w:val="left"/>
              <w:rPr>
                <w:rFonts w:ascii="宋体" w:hAnsi="宋体" w:cs="宋体"/>
                <w:bCs/>
                <w:szCs w:val="21"/>
              </w:rPr>
            </w:pPr>
            <w:r>
              <w:rPr>
                <w:rFonts w:hint="eastAsia" w:ascii="宋体" w:hAnsi="宋体" w:cs="宋体"/>
                <w:bCs/>
                <w:szCs w:val="21"/>
              </w:rPr>
              <w:t>二档(4分)：有固定的生产或销售场地，有明确项目配送供货时间并且安排合理，管理制度、配送服务方案基本满足要求，有具体实施步骤和要求描述，能保证配送服务，对问题食材发生紧急事件处理预案内容可行；</w:t>
            </w:r>
          </w:p>
          <w:p w14:paraId="408EFE9C">
            <w:pPr>
              <w:spacing w:line="360" w:lineRule="auto"/>
              <w:jc w:val="left"/>
              <w:rPr>
                <w:rFonts w:ascii="宋体" w:hAnsi="宋体" w:cs="宋体"/>
                <w:bCs/>
                <w:szCs w:val="21"/>
              </w:rPr>
            </w:pPr>
            <w:r>
              <w:rPr>
                <w:rFonts w:hint="eastAsia" w:ascii="宋体" w:hAnsi="宋体" w:cs="宋体"/>
                <w:bCs/>
                <w:szCs w:val="21"/>
              </w:rPr>
              <w:t>三档（6分）：有固定的生产或销售场地，有明确项目配送供货时间并且安排合理，有明确的项目配送体系，有较完善的管理制度、配送服务方案，有机动人员用于对紧急事件处理，对问题食材发生紧急事件处理预案内容较具体，结合监狱实际需求，针对项目实施中可能发生的突发情况，有1套具体的应急预案，方案有针对性；</w:t>
            </w:r>
          </w:p>
          <w:p w14:paraId="48CA6FCD">
            <w:pPr>
              <w:spacing w:line="360" w:lineRule="auto"/>
              <w:jc w:val="left"/>
              <w:rPr>
                <w:rFonts w:ascii="宋体" w:hAnsi="宋体" w:cs="宋体"/>
                <w:bCs/>
                <w:szCs w:val="21"/>
              </w:rPr>
            </w:pPr>
            <w:r>
              <w:rPr>
                <w:rFonts w:hint="eastAsia" w:ascii="宋体" w:hAnsi="宋体" w:cs="宋体"/>
                <w:bCs/>
                <w:szCs w:val="21"/>
              </w:rPr>
              <w:t>四档（7分)：有固定的生产或销售场地，配送工作体系健全完善，配送供货时间安排合理，有较完善的管理制度、配送服务方案，具体实施步骤和要求描述详细，有不少于2名机动人员用于对紧急事件处理，紧急供货时间承诺1.5小时以内完成，对问题食材发生紧急事件处理，能结合监狱实际需求，针对项目实施中可能发生的突发情况，有2套具体的应急预案，方案有针对性；</w:t>
            </w:r>
          </w:p>
          <w:p w14:paraId="192FF01B">
            <w:pPr>
              <w:spacing w:line="360" w:lineRule="auto"/>
              <w:jc w:val="left"/>
              <w:rPr>
                <w:rFonts w:ascii="宋体" w:hAnsi="宋体" w:cs="宋体"/>
                <w:bCs/>
                <w:szCs w:val="21"/>
              </w:rPr>
            </w:pPr>
            <w:r>
              <w:rPr>
                <w:rFonts w:hint="eastAsia" w:ascii="宋体" w:hAnsi="宋体" w:cs="宋体"/>
                <w:bCs/>
                <w:szCs w:val="21"/>
              </w:rPr>
              <w:t>五档（8分）:有固定的生产或销售场地，配送工作体系健全完善，配送供货时间安排合理，针对项目实际情况，能提供全面细致、可靠的管理制度、配送服务方案，具体实施步骤和要求描述全面，可行性强，充分优于本项目需求，对问题食材发生紧急事件处理预案内容的具体、全面，有不少于4名机动人员用于对紧急事件处理，紧急供货时间承诺1小时以内完成，对问题食材发生紧急事件处理，能结合监狱实际需求，针对项目实施中可能发生的突发情况，有2套</w:t>
            </w:r>
            <w:r>
              <w:rPr>
                <w:rFonts w:hint="eastAsia"/>
              </w:rPr>
              <w:t>或以上</w:t>
            </w:r>
            <w:r>
              <w:rPr>
                <w:rFonts w:hint="eastAsia" w:ascii="宋体" w:hAnsi="宋体" w:cs="宋体"/>
                <w:bCs/>
                <w:szCs w:val="21"/>
              </w:rPr>
              <w:t>全面细致的应急预案，方案有针对性且能保证采购食材卫生安全等重要因素的。</w:t>
            </w:r>
          </w:p>
        </w:tc>
      </w:tr>
      <w:tr w14:paraId="53780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4" w:hRule="atLeast"/>
          <w:jc w:val="center"/>
        </w:trPr>
        <w:tc>
          <w:tcPr>
            <w:tcW w:w="734" w:type="dxa"/>
            <w:vMerge w:val="continue"/>
            <w:vAlign w:val="center"/>
          </w:tcPr>
          <w:p w14:paraId="270738F2">
            <w:pPr>
              <w:adjustRightInd w:val="0"/>
              <w:spacing w:line="360" w:lineRule="auto"/>
              <w:jc w:val="center"/>
              <w:textAlignment w:val="baseline"/>
              <w:rPr>
                <w:rFonts w:ascii="宋体" w:hAnsi="宋体" w:cs="宋体"/>
                <w:b/>
                <w:szCs w:val="21"/>
              </w:rPr>
            </w:pPr>
          </w:p>
        </w:tc>
        <w:tc>
          <w:tcPr>
            <w:tcW w:w="1276" w:type="dxa"/>
            <w:vMerge w:val="continue"/>
            <w:vAlign w:val="center"/>
          </w:tcPr>
          <w:p w14:paraId="5B20535C">
            <w:pPr>
              <w:adjustRightInd w:val="0"/>
              <w:spacing w:line="360" w:lineRule="auto"/>
              <w:jc w:val="center"/>
              <w:textAlignment w:val="baseline"/>
              <w:rPr>
                <w:rFonts w:ascii="宋体" w:hAnsi="宋体" w:cs="宋体"/>
                <w:b/>
                <w:szCs w:val="21"/>
              </w:rPr>
            </w:pPr>
          </w:p>
        </w:tc>
        <w:tc>
          <w:tcPr>
            <w:tcW w:w="716" w:type="dxa"/>
            <w:vMerge w:val="continue"/>
            <w:vAlign w:val="center"/>
          </w:tcPr>
          <w:p w14:paraId="022ADA26">
            <w:pPr>
              <w:adjustRightInd w:val="0"/>
              <w:spacing w:line="360" w:lineRule="auto"/>
              <w:jc w:val="center"/>
              <w:textAlignment w:val="baseline"/>
              <w:rPr>
                <w:rFonts w:ascii="宋体" w:hAnsi="宋体" w:cs="宋体"/>
                <w:b/>
                <w:szCs w:val="21"/>
              </w:rPr>
            </w:pPr>
          </w:p>
        </w:tc>
        <w:tc>
          <w:tcPr>
            <w:tcW w:w="1557" w:type="dxa"/>
            <w:shd w:val="clear" w:color="auto" w:fill="auto"/>
            <w:vAlign w:val="center"/>
          </w:tcPr>
          <w:p w14:paraId="40FFA298">
            <w:pPr>
              <w:spacing w:line="360" w:lineRule="auto"/>
              <w:jc w:val="center"/>
              <w:rPr>
                <w:rFonts w:ascii="宋体" w:hAnsi="宋体" w:cs="宋体"/>
                <w:bCs/>
                <w:szCs w:val="21"/>
              </w:rPr>
            </w:pPr>
            <w:r>
              <w:rPr>
                <w:rFonts w:hint="eastAsia" w:ascii="宋体" w:hAnsi="宋体" w:cs="宋体"/>
                <w:b/>
                <w:szCs w:val="21"/>
              </w:rPr>
              <w:t>食材安全措施（满分15分）</w:t>
            </w:r>
          </w:p>
        </w:tc>
        <w:tc>
          <w:tcPr>
            <w:tcW w:w="5405" w:type="dxa"/>
            <w:shd w:val="clear" w:color="auto" w:fill="auto"/>
            <w:vAlign w:val="center"/>
          </w:tcPr>
          <w:p w14:paraId="2A0D834E">
            <w:pPr>
              <w:spacing w:line="360" w:lineRule="auto"/>
              <w:rPr>
                <w:rFonts w:ascii="宋体" w:hAnsi="宋体" w:cs="宋体"/>
                <w:bCs/>
                <w:szCs w:val="21"/>
              </w:rPr>
            </w:pPr>
            <w:r>
              <w:rPr>
                <w:rFonts w:hint="eastAsia" w:ascii="宋体" w:hAnsi="宋体" w:cs="宋体"/>
                <w:bCs/>
                <w:szCs w:val="21"/>
              </w:rPr>
              <w:t>包括进货采购渠道、食材控制管理措施、检验检疫措施、食材质量标准、追溯方式等情况进行比较综合评分。综合评定所属档次及分值，达不到一档要求的不得分。</w:t>
            </w:r>
          </w:p>
          <w:p w14:paraId="637308E5">
            <w:pPr>
              <w:spacing w:line="360" w:lineRule="auto"/>
              <w:rPr>
                <w:rFonts w:ascii="宋体" w:hAnsi="宋体" w:cs="宋体"/>
                <w:bCs/>
                <w:szCs w:val="21"/>
              </w:rPr>
            </w:pPr>
            <w:r>
              <w:rPr>
                <w:rFonts w:hint="eastAsia" w:ascii="宋体" w:hAnsi="宋体" w:cs="宋体"/>
                <w:bCs/>
                <w:szCs w:val="21"/>
              </w:rPr>
              <w:t>一档（3分）：措施中有对进货采购渠道、食材控制管理措施、食材质量标准、追溯方式这几个方面描述；</w:t>
            </w:r>
          </w:p>
          <w:p w14:paraId="4F2936EC">
            <w:pPr>
              <w:spacing w:line="360" w:lineRule="auto"/>
              <w:rPr>
                <w:rFonts w:ascii="宋体" w:hAnsi="宋体" w:cs="宋体"/>
                <w:bCs/>
                <w:szCs w:val="21"/>
              </w:rPr>
            </w:pPr>
            <w:r>
              <w:rPr>
                <w:rFonts w:hint="eastAsia" w:ascii="宋体" w:hAnsi="宋体" w:cs="宋体"/>
                <w:bCs/>
                <w:szCs w:val="21"/>
              </w:rPr>
              <w:t>二档（6分）：措施中有对进货采购渠道、食材控制管理措施、食材质量标准、追溯方式这几个方面描述清晰，检验检疫措施可行；</w:t>
            </w:r>
          </w:p>
          <w:p w14:paraId="7B2CCDA1">
            <w:pPr>
              <w:spacing w:line="360" w:lineRule="auto"/>
              <w:rPr>
                <w:rFonts w:ascii="宋体" w:hAnsi="宋体" w:cs="宋体"/>
                <w:bCs/>
                <w:szCs w:val="21"/>
              </w:rPr>
            </w:pPr>
            <w:r>
              <w:rPr>
                <w:rFonts w:hint="eastAsia" w:ascii="宋体" w:hAnsi="宋体" w:cs="宋体"/>
                <w:bCs/>
                <w:szCs w:val="21"/>
              </w:rPr>
              <w:t>三档（9分）:措施中有对进货采购渠道、食材控制管理措施、食材质量标准、追溯方式这几个方面描述较清晰、较详细，检验检疫措施较全面，主动开展检验工作，有食品安监部门或国家承认的检测机构检测报告；</w:t>
            </w:r>
          </w:p>
          <w:p w14:paraId="00D987C9">
            <w:pPr>
              <w:spacing w:line="360" w:lineRule="auto"/>
              <w:rPr>
                <w:rFonts w:ascii="宋体" w:hAnsi="宋体" w:cs="宋体"/>
                <w:bCs/>
                <w:szCs w:val="21"/>
              </w:rPr>
            </w:pPr>
            <w:r>
              <w:rPr>
                <w:rFonts w:hint="eastAsia" w:ascii="宋体" w:hAnsi="宋体" w:cs="宋体"/>
                <w:bCs/>
                <w:szCs w:val="21"/>
              </w:rPr>
              <w:t>四档（12分）：措施中有对进货采购渠道、食材控制管理措施、食材质量标准、追溯方式这几个方面描述清晰，详细，检验检疫措施详细、全面，能严格进行食材质量把关，主动开展检验工作，每季度有食品安监部门或国家承认的检测机构检测报告；</w:t>
            </w:r>
          </w:p>
          <w:p w14:paraId="343AEBE2">
            <w:pPr>
              <w:spacing w:line="360" w:lineRule="auto"/>
              <w:rPr>
                <w:rFonts w:ascii="宋体" w:hAnsi="宋体" w:cs="宋体"/>
                <w:bCs/>
                <w:szCs w:val="21"/>
              </w:rPr>
            </w:pPr>
            <w:r>
              <w:rPr>
                <w:rFonts w:hint="eastAsia" w:ascii="宋体" w:hAnsi="宋体" w:cs="宋体"/>
                <w:bCs/>
                <w:szCs w:val="21"/>
              </w:rPr>
              <w:t>五档(15分）：措施中有对进货采购渠道、食材控制管理措施、食材质量标准、追溯方式这几个方面全部描述清晰，详细，检验检疫措施详细、全面，各项措施安排合理，可操作性强，能严格进行食材质量把关，主动开展检验工作，每月有食品安监部门或国家承认的检测机构检测报告。</w:t>
            </w:r>
          </w:p>
        </w:tc>
      </w:tr>
      <w:tr w14:paraId="5230A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 w:type="dxa"/>
            <w:vMerge w:val="continue"/>
            <w:vAlign w:val="center"/>
          </w:tcPr>
          <w:p w14:paraId="3F23AF19">
            <w:pPr>
              <w:adjustRightInd w:val="0"/>
              <w:spacing w:line="360" w:lineRule="auto"/>
              <w:jc w:val="center"/>
              <w:textAlignment w:val="baseline"/>
              <w:rPr>
                <w:rFonts w:ascii="宋体" w:hAnsi="宋体" w:cs="宋体"/>
                <w:b/>
                <w:szCs w:val="21"/>
              </w:rPr>
            </w:pPr>
          </w:p>
        </w:tc>
        <w:tc>
          <w:tcPr>
            <w:tcW w:w="1276" w:type="dxa"/>
            <w:vMerge w:val="continue"/>
            <w:vAlign w:val="center"/>
          </w:tcPr>
          <w:p w14:paraId="57012A32">
            <w:pPr>
              <w:adjustRightInd w:val="0"/>
              <w:spacing w:line="360" w:lineRule="auto"/>
              <w:jc w:val="center"/>
              <w:textAlignment w:val="baseline"/>
              <w:rPr>
                <w:rFonts w:ascii="宋体" w:hAnsi="宋体" w:cs="宋体"/>
                <w:b/>
                <w:szCs w:val="21"/>
              </w:rPr>
            </w:pPr>
          </w:p>
        </w:tc>
        <w:tc>
          <w:tcPr>
            <w:tcW w:w="716" w:type="dxa"/>
            <w:vMerge w:val="continue"/>
            <w:vAlign w:val="center"/>
          </w:tcPr>
          <w:p w14:paraId="62BCB161">
            <w:pPr>
              <w:adjustRightInd w:val="0"/>
              <w:spacing w:line="360" w:lineRule="auto"/>
              <w:jc w:val="center"/>
              <w:textAlignment w:val="baseline"/>
              <w:rPr>
                <w:rFonts w:ascii="宋体" w:hAnsi="宋体" w:cs="宋体"/>
                <w:b/>
                <w:szCs w:val="21"/>
              </w:rPr>
            </w:pPr>
          </w:p>
        </w:tc>
        <w:tc>
          <w:tcPr>
            <w:tcW w:w="1557" w:type="dxa"/>
            <w:shd w:val="clear" w:color="auto" w:fill="auto"/>
            <w:vAlign w:val="center"/>
          </w:tcPr>
          <w:p w14:paraId="7BEDC1AF">
            <w:pPr>
              <w:spacing w:line="360" w:lineRule="auto"/>
              <w:jc w:val="left"/>
              <w:rPr>
                <w:rFonts w:ascii="宋体" w:hAnsi="宋体" w:cs="宋体"/>
                <w:bCs/>
                <w:szCs w:val="21"/>
              </w:rPr>
            </w:pPr>
            <w:r>
              <w:rPr>
                <w:rFonts w:hint="eastAsia" w:ascii="宋体" w:hAnsi="宋体" w:cs="宋体"/>
                <w:b/>
                <w:szCs w:val="21"/>
              </w:rPr>
              <w:t>售后服务方案分（满分7分）</w:t>
            </w:r>
          </w:p>
        </w:tc>
        <w:tc>
          <w:tcPr>
            <w:tcW w:w="5405" w:type="dxa"/>
            <w:shd w:val="clear" w:color="auto" w:fill="auto"/>
            <w:vAlign w:val="center"/>
          </w:tcPr>
          <w:p w14:paraId="6B2C428B">
            <w:pPr>
              <w:spacing w:line="360" w:lineRule="auto"/>
              <w:rPr>
                <w:rFonts w:ascii="宋体" w:hAnsi="宋体" w:cs="宋体"/>
                <w:bCs/>
                <w:szCs w:val="21"/>
              </w:rPr>
            </w:pPr>
            <w:r>
              <w:rPr>
                <w:rFonts w:hint="eastAsia" w:ascii="宋体" w:hAnsi="宋体" w:cs="宋体"/>
                <w:bCs/>
                <w:szCs w:val="21"/>
              </w:rPr>
              <w:t>对售后服务要求的响应程度及提供的服务承诺方案、售后服务措施（包括：承诺如何确保按期、按质、按量供货；出现问题时如何采取相应的措施；如何保障后期服务）等情况。评标委员会综合评定所属档次及分值，达不到一档要求的不得分。</w:t>
            </w:r>
          </w:p>
          <w:p w14:paraId="1C01C4F6">
            <w:pPr>
              <w:spacing w:line="360" w:lineRule="auto"/>
              <w:rPr>
                <w:rFonts w:ascii="宋体" w:hAnsi="宋体" w:cs="宋体"/>
                <w:bCs/>
                <w:szCs w:val="21"/>
              </w:rPr>
            </w:pPr>
            <w:r>
              <w:rPr>
                <w:rFonts w:hint="eastAsia" w:ascii="宋体" w:hAnsi="宋体" w:cs="宋体"/>
                <w:bCs/>
                <w:szCs w:val="21"/>
              </w:rPr>
              <w:t>一档（3分）：承诺退换时间超过5小时（不含5小时），服务承诺、措施、后期服务承诺较简单。</w:t>
            </w:r>
          </w:p>
          <w:p w14:paraId="0AEDCB97">
            <w:pPr>
              <w:spacing w:line="360" w:lineRule="auto"/>
              <w:rPr>
                <w:rFonts w:ascii="宋体" w:hAnsi="宋体" w:cs="宋体"/>
                <w:bCs/>
                <w:szCs w:val="21"/>
              </w:rPr>
            </w:pPr>
            <w:r>
              <w:rPr>
                <w:rFonts w:hint="eastAsia" w:ascii="宋体" w:hAnsi="宋体" w:cs="宋体"/>
                <w:bCs/>
                <w:szCs w:val="21"/>
              </w:rPr>
              <w:t>二档（4分）：承诺退换时间需4小时（不含4小时）-5小时（含5小时），服务承诺、措施、后期服务承诺</w:t>
            </w:r>
            <w:r>
              <w:rPr>
                <w:rFonts w:hint="eastAsia" w:ascii="宋体" w:hAnsi="宋体"/>
              </w:rPr>
              <w:t>满足本项目需求</w:t>
            </w:r>
            <w:r>
              <w:rPr>
                <w:rFonts w:hint="eastAsia" w:ascii="宋体" w:hAnsi="宋体" w:cs="宋体"/>
                <w:bCs/>
                <w:szCs w:val="21"/>
              </w:rPr>
              <w:t>，货物出问题时，有相应的解决措施。</w:t>
            </w:r>
          </w:p>
          <w:p w14:paraId="5FA81880">
            <w:pPr>
              <w:spacing w:line="360" w:lineRule="auto"/>
              <w:rPr>
                <w:rFonts w:ascii="宋体" w:hAnsi="宋体" w:cs="宋体"/>
                <w:bCs/>
                <w:szCs w:val="21"/>
              </w:rPr>
            </w:pPr>
            <w:r>
              <w:rPr>
                <w:rFonts w:hint="eastAsia" w:ascii="宋体" w:hAnsi="宋体" w:cs="宋体"/>
                <w:bCs/>
                <w:szCs w:val="21"/>
              </w:rPr>
              <w:t>三档（5分）：承诺退换时间需3小时（不含3小时）-4小时（含4小时），服务承诺、措施可行，后期服务承诺响应满足项目需求，货物出问题时，有相应的解决措施，并明确如何确保退换的货物符合采购人需求。</w:t>
            </w:r>
          </w:p>
          <w:p w14:paraId="4EC0CCA0">
            <w:pPr>
              <w:spacing w:line="360" w:lineRule="auto"/>
              <w:rPr>
                <w:rFonts w:ascii="宋体" w:hAnsi="宋体" w:cs="宋体"/>
                <w:bCs/>
                <w:szCs w:val="21"/>
              </w:rPr>
            </w:pPr>
            <w:r>
              <w:rPr>
                <w:rFonts w:hint="eastAsia" w:ascii="宋体" w:hAnsi="宋体" w:cs="宋体"/>
                <w:bCs/>
                <w:szCs w:val="21"/>
              </w:rPr>
              <w:t>四档（6分）：对因货物出现问题，而发生紧急事件问题处理预案内容较具体、全面，并承诺退换时间需2小时（不含2小时）-3小时（含3小时），有健全、详细的服务承诺、后期售后服务方式多样有效，措施得力，能满足项目需求，包括售后服务监督和回访管理、台账管理、售后服务管理及售后服务措施（含对问题物料的处理及特殊情况的应急预案），明确如何确保退换的货物符合采购人需求，并配备专门人员为业主提供服务，确保接到业主通知后1小时内响应。</w:t>
            </w:r>
          </w:p>
          <w:p w14:paraId="55770611">
            <w:pPr>
              <w:spacing w:line="360" w:lineRule="auto"/>
              <w:rPr>
                <w:rFonts w:ascii="宋体" w:hAnsi="宋体" w:cs="宋体"/>
                <w:bCs/>
                <w:szCs w:val="21"/>
              </w:rPr>
            </w:pPr>
            <w:r>
              <w:rPr>
                <w:rFonts w:hint="eastAsia" w:ascii="宋体" w:hAnsi="宋体" w:cs="宋体"/>
                <w:bCs/>
                <w:szCs w:val="21"/>
              </w:rPr>
              <w:t>五档（7分）：对因货物出现问题，而对发生紧急事件问题处理预案内容具体、全面，并承诺退换时间在2小时内（含2小时），有健全、详细、高效的服务承诺、后期售后服务方式多样有效，措施得力，充分满足项目需求，包括售后服务监督和回访管理、台账管理、售后服务管理及售后服务措施（含对问题物料的处理及特殊情况的应急预案）、其他优惠措施、配送（物流）、货物分发方等方面措施等及其它服务计划，明确如何确保退换的货物符合采购人需求，并配备专门人员为业主提供服务，确保接到业主通知后0.5小时内响应。</w:t>
            </w:r>
          </w:p>
        </w:tc>
      </w:tr>
      <w:tr w14:paraId="1A4F5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 w:type="dxa"/>
            <w:vMerge w:val="restart"/>
            <w:vAlign w:val="center"/>
          </w:tcPr>
          <w:p w14:paraId="2ECD568E">
            <w:pPr>
              <w:adjustRightInd w:val="0"/>
              <w:spacing w:line="360" w:lineRule="auto"/>
              <w:jc w:val="center"/>
              <w:textAlignment w:val="baseline"/>
              <w:rPr>
                <w:rFonts w:ascii="宋体" w:hAnsi="宋体" w:cs="宋体"/>
                <w:b/>
                <w:szCs w:val="21"/>
              </w:rPr>
            </w:pPr>
            <w:r>
              <w:rPr>
                <w:rFonts w:hint="eastAsia" w:ascii="宋体" w:hAnsi="宋体" w:cs="宋体"/>
                <w:b/>
                <w:szCs w:val="21"/>
              </w:rPr>
              <w:t>3</w:t>
            </w:r>
          </w:p>
        </w:tc>
        <w:tc>
          <w:tcPr>
            <w:tcW w:w="1276" w:type="dxa"/>
            <w:vMerge w:val="restart"/>
            <w:vAlign w:val="center"/>
          </w:tcPr>
          <w:p w14:paraId="167E4F3E">
            <w:pPr>
              <w:adjustRightInd w:val="0"/>
              <w:spacing w:line="360" w:lineRule="auto"/>
              <w:jc w:val="center"/>
              <w:textAlignment w:val="baseline"/>
              <w:rPr>
                <w:rFonts w:ascii="宋体" w:hAnsi="宋体" w:cs="宋体"/>
                <w:b/>
                <w:szCs w:val="21"/>
              </w:rPr>
            </w:pPr>
            <w:r>
              <w:rPr>
                <w:rFonts w:hint="eastAsia" w:ascii="宋体" w:hAnsi="宋体" w:cs="宋体"/>
                <w:b/>
                <w:szCs w:val="21"/>
              </w:rPr>
              <w:t>商务分</w:t>
            </w:r>
          </w:p>
        </w:tc>
        <w:tc>
          <w:tcPr>
            <w:tcW w:w="716" w:type="dxa"/>
            <w:vMerge w:val="restart"/>
            <w:vAlign w:val="center"/>
          </w:tcPr>
          <w:p w14:paraId="06B2C635">
            <w:pPr>
              <w:adjustRightInd w:val="0"/>
              <w:spacing w:line="360" w:lineRule="auto"/>
              <w:jc w:val="center"/>
              <w:textAlignment w:val="baseline"/>
              <w:rPr>
                <w:rFonts w:ascii="宋体" w:hAnsi="宋体" w:cs="宋体"/>
                <w:b/>
                <w:szCs w:val="21"/>
              </w:rPr>
            </w:pPr>
            <w:r>
              <w:rPr>
                <w:rFonts w:hint="eastAsia" w:ascii="宋体" w:hAnsi="宋体" w:cs="宋体"/>
                <w:b/>
                <w:szCs w:val="21"/>
              </w:rPr>
              <w:t>30分</w:t>
            </w:r>
          </w:p>
        </w:tc>
        <w:tc>
          <w:tcPr>
            <w:tcW w:w="1557" w:type="dxa"/>
            <w:vAlign w:val="center"/>
          </w:tcPr>
          <w:p w14:paraId="136A9A13">
            <w:pPr>
              <w:jc w:val="center"/>
              <w:rPr>
                <w:rFonts w:ascii="宋体" w:hAnsi="宋体" w:cs="宋体"/>
                <w:bCs/>
                <w:kern w:val="0"/>
                <w:szCs w:val="21"/>
              </w:rPr>
            </w:pPr>
            <w:r>
              <w:rPr>
                <w:rFonts w:hint="eastAsia"/>
              </w:rPr>
              <w:t>业绩（满分9分）</w:t>
            </w:r>
          </w:p>
        </w:tc>
        <w:tc>
          <w:tcPr>
            <w:tcW w:w="5405" w:type="dxa"/>
            <w:vAlign w:val="center"/>
          </w:tcPr>
          <w:p w14:paraId="7BA594EE">
            <w:pPr>
              <w:pStyle w:val="50"/>
              <w:ind w:left="0" w:leftChars="0" w:firstLine="0" w:firstLineChars="0"/>
              <w:rPr>
                <w:rFonts w:ascii="宋体" w:hAnsi="宋体" w:cs="宋体"/>
                <w:bCs/>
                <w:szCs w:val="21"/>
              </w:rPr>
            </w:pPr>
            <w:r>
              <w:rPr>
                <w:rFonts w:hint="eastAsia" w:ascii="宋体" w:hAnsi="宋体" w:cs="宋体"/>
                <w:bCs/>
                <w:szCs w:val="21"/>
              </w:rPr>
              <w:t>2023年1月1日以来至投标截止时间[以合同签订时间或中标（成交）通知书发出时间为准]止，供应商每具有一个类似食材配送业绩得3分，满分9分（投标文件中须提供合同扫描件或者中标（成交）通知书扫描件，否则该业绩不得分)。</w:t>
            </w:r>
          </w:p>
        </w:tc>
      </w:tr>
      <w:tr w14:paraId="2CC5E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 w:type="dxa"/>
            <w:vMerge w:val="continue"/>
            <w:vAlign w:val="center"/>
          </w:tcPr>
          <w:p w14:paraId="713BE532">
            <w:pPr>
              <w:adjustRightInd w:val="0"/>
              <w:spacing w:line="360" w:lineRule="auto"/>
              <w:jc w:val="center"/>
              <w:textAlignment w:val="baseline"/>
              <w:rPr>
                <w:rFonts w:ascii="宋体" w:hAnsi="宋体" w:cs="宋体"/>
                <w:b/>
                <w:szCs w:val="21"/>
              </w:rPr>
            </w:pPr>
          </w:p>
        </w:tc>
        <w:tc>
          <w:tcPr>
            <w:tcW w:w="1276" w:type="dxa"/>
            <w:vMerge w:val="continue"/>
            <w:vAlign w:val="center"/>
          </w:tcPr>
          <w:p w14:paraId="21D4A866">
            <w:pPr>
              <w:adjustRightInd w:val="0"/>
              <w:spacing w:line="360" w:lineRule="auto"/>
              <w:jc w:val="center"/>
              <w:textAlignment w:val="baseline"/>
              <w:rPr>
                <w:rFonts w:ascii="宋体" w:hAnsi="宋体" w:cs="宋体"/>
                <w:b/>
                <w:szCs w:val="21"/>
              </w:rPr>
            </w:pPr>
          </w:p>
        </w:tc>
        <w:tc>
          <w:tcPr>
            <w:tcW w:w="716" w:type="dxa"/>
            <w:vMerge w:val="continue"/>
            <w:vAlign w:val="center"/>
          </w:tcPr>
          <w:p w14:paraId="764D26FF">
            <w:pPr>
              <w:adjustRightInd w:val="0"/>
              <w:spacing w:line="360" w:lineRule="auto"/>
              <w:jc w:val="center"/>
              <w:textAlignment w:val="baseline"/>
              <w:rPr>
                <w:rFonts w:ascii="宋体" w:hAnsi="宋体" w:cs="宋体"/>
                <w:b/>
                <w:szCs w:val="21"/>
              </w:rPr>
            </w:pPr>
          </w:p>
        </w:tc>
        <w:tc>
          <w:tcPr>
            <w:tcW w:w="1557" w:type="dxa"/>
            <w:vAlign w:val="center"/>
          </w:tcPr>
          <w:p w14:paraId="08DDEB98">
            <w:pPr>
              <w:jc w:val="center"/>
              <w:rPr>
                <w:rFonts w:ascii="宋体" w:hAnsi="宋体" w:cs="宋体"/>
                <w:bCs/>
                <w:kern w:val="0"/>
                <w:szCs w:val="21"/>
              </w:rPr>
            </w:pPr>
            <w:r>
              <w:rPr>
                <w:rFonts w:hint="eastAsia"/>
              </w:rPr>
              <w:t>配送能力（满分5分）</w:t>
            </w:r>
          </w:p>
        </w:tc>
        <w:tc>
          <w:tcPr>
            <w:tcW w:w="5405" w:type="dxa"/>
            <w:vAlign w:val="center"/>
          </w:tcPr>
          <w:p w14:paraId="44A3C983">
            <w:pPr>
              <w:pStyle w:val="50"/>
              <w:ind w:left="0" w:leftChars="0" w:firstLine="0" w:firstLineChars="0"/>
              <w:rPr>
                <w:rFonts w:ascii="宋体" w:hAnsi="宋体" w:cs="宋体"/>
                <w:bCs/>
                <w:szCs w:val="21"/>
              </w:rPr>
            </w:pPr>
            <w:r>
              <w:rPr>
                <w:rFonts w:hint="eastAsia"/>
                <w:bCs/>
                <w:szCs w:val="21"/>
              </w:rPr>
              <w:t>若</w:t>
            </w:r>
            <w:r>
              <w:rPr>
                <w:rFonts w:hint="eastAsia" w:ascii="宋体" w:hAnsi="宋体" w:cs="宋体"/>
                <w:bCs/>
                <w:szCs w:val="21"/>
              </w:rPr>
              <w:t>投1分标，投标人或其法定代表人名下登记的自有或投标人租赁的配送车辆(轿车或客车除外），在满足采购需求中要求的2辆货车基础上，每多投入一辆普通货车得2分，满分5分。</w:t>
            </w:r>
          </w:p>
          <w:p w14:paraId="5A766F45">
            <w:pPr>
              <w:pStyle w:val="50"/>
              <w:ind w:left="0" w:leftChars="0" w:firstLine="0" w:firstLineChars="0"/>
              <w:rPr>
                <w:rFonts w:ascii="宋体" w:hAnsi="宋体" w:cs="宋体"/>
                <w:bCs/>
                <w:szCs w:val="21"/>
              </w:rPr>
            </w:pPr>
            <w:r>
              <w:rPr>
                <w:rFonts w:hint="eastAsia"/>
                <w:bCs/>
                <w:szCs w:val="21"/>
              </w:rPr>
              <w:t>若投</w:t>
            </w:r>
            <w:r>
              <w:rPr>
                <w:rFonts w:hint="eastAsia" w:ascii="宋体" w:hAnsi="宋体" w:cs="宋体"/>
                <w:bCs/>
                <w:szCs w:val="21"/>
              </w:rPr>
              <w:t>2、3、4分</w:t>
            </w:r>
            <w:r>
              <w:rPr>
                <w:rFonts w:hint="eastAsia"/>
                <w:bCs/>
                <w:szCs w:val="21"/>
              </w:rPr>
              <w:t>标，</w:t>
            </w:r>
            <w:r>
              <w:rPr>
                <w:rFonts w:hint="eastAsia" w:ascii="宋体" w:hAnsi="宋体" w:cs="宋体"/>
                <w:bCs/>
                <w:szCs w:val="21"/>
              </w:rPr>
              <w:t>投标人或其法定代表人名下登记的自有或投标人租赁的配送车辆(轿车或客车除外），在满足采购需求中要求的2辆冷链车基础上，每多投入一辆冷链车得2分，每多投入一辆普通货车得1分，满分5分。</w:t>
            </w:r>
          </w:p>
          <w:p w14:paraId="0C978B40">
            <w:pPr>
              <w:pStyle w:val="50"/>
              <w:ind w:left="0" w:leftChars="0" w:firstLine="0" w:firstLineChars="0"/>
              <w:rPr>
                <w:rFonts w:ascii="宋体" w:hAnsi="宋体" w:cs="宋体"/>
                <w:bCs/>
                <w:szCs w:val="21"/>
              </w:rPr>
            </w:pPr>
            <w:r>
              <w:rPr>
                <w:rFonts w:hint="eastAsia" w:ascii="宋体" w:hAnsi="宋体" w:cs="宋体"/>
                <w:bCs/>
                <w:szCs w:val="21"/>
              </w:rPr>
              <w:t>注：投标人拟投入本项目的配送车辆符合以下任一种情形的，按规定提供相关证明材料扫描件并加盖投标人电子签章，否则不予计分：①拟投入的配送车辆属投标人自身所有的（车辆为投标人或其法定代表人名下登记的自有车辆，轿车或客车除外），于投标文件中提供有效年检期内的机动车行驶证扫描件或机动车登记证书扫描件；②拟投入的配送车辆为投标人租赁的，于投标文件中提供有效年检期内的车辆租赁协议扫描件、《机动车行驶证》扫描件【如车辆租赁期不能覆盖本项目履约期限的，投标人还应提交相应承诺函（格式自拟），承诺函中应承诺租赁到期后将继续租赁（或购买）满足本项目需求的运输车辆，确保履约期限提供及时、稳定的物资配送服务】；未按要求提供的不得分。</w:t>
            </w:r>
          </w:p>
        </w:tc>
      </w:tr>
      <w:tr w14:paraId="7C12C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0" w:hRule="atLeast"/>
          <w:jc w:val="center"/>
        </w:trPr>
        <w:tc>
          <w:tcPr>
            <w:tcW w:w="734" w:type="dxa"/>
            <w:vMerge w:val="continue"/>
            <w:vAlign w:val="center"/>
          </w:tcPr>
          <w:p w14:paraId="3E39EF51">
            <w:pPr>
              <w:adjustRightInd w:val="0"/>
              <w:spacing w:line="360" w:lineRule="auto"/>
              <w:jc w:val="center"/>
              <w:textAlignment w:val="baseline"/>
              <w:rPr>
                <w:rFonts w:ascii="宋体" w:hAnsi="宋体" w:cs="宋体"/>
                <w:b/>
                <w:szCs w:val="21"/>
              </w:rPr>
            </w:pPr>
          </w:p>
        </w:tc>
        <w:tc>
          <w:tcPr>
            <w:tcW w:w="1276" w:type="dxa"/>
            <w:vMerge w:val="continue"/>
            <w:vAlign w:val="center"/>
          </w:tcPr>
          <w:p w14:paraId="4F9EC300">
            <w:pPr>
              <w:adjustRightInd w:val="0"/>
              <w:spacing w:line="360" w:lineRule="auto"/>
              <w:jc w:val="center"/>
              <w:textAlignment w:val="baseline"/>
              <w:rPr>
                <w:rFonts w:ascii="宋体" w:hAnsi="宋体" w:cs="宋体"/>
                <w:b/>
                <w:szCs w:val="21"/>
              </w:rPr>
            </w:pPr>
          </w:p>
        </w:tc>
        <w:tc>
          <w:tcPr>
            <w:tcW w:w="716" w:type="dxa"/>
            <w:vMerge w:val="continue"/>
            <w:vAlign w:val="center"/>
          </w:tcPr>
          <w:p w14:paraId="18ABC945">
            <w:pPr>
              <w:adjustRightInd w:val="0"/>
              <w:spacing w:line="360" w:lineRule="auto"/>
              <w:jc w:val="center"/>
              <w:textAlignment w:val="baseline"/>
              <w:rPr>
                <w:rFonts w:ascii="宋体" w:hAnsi="宋体" w:cs="宋体"/>
                <w:b/>
                <w:szCs w:val="21"/>
              </w:rPr>
            </w:pPr>
          </w:p>
        </w:tc>
        <w:tc>
          <w:tcPr>
            <w:tcW w:w="1557" w:type="dxa"/>
            <w:vAlign w:val="center"/>
          </w:tcPr>
          <w:p w14:paraId="11550F9F">
            <w:pPr>
              <w:jc w:val="center"/>
              <w:rPr>
                <w:rFonts w:ascii="宋体" w:hAnsi="宋体" w:cs="宋体"/>
                <w:bCs/>
                <w:kern w:val="0"/>
                <w:szCs w:val="21"/>
              </w:rPr>
            </w:pPr>
            <w:r>
              <w:rPr>
                <w:rFonts w:hint="eastAsia"/>
              </w:rPr>
              <w:t>实施人员（满分6分）</w:t>
            </w:r>
          </w:p>
        </w:tc>
        <w:tc>
          <w:tcPr>
            <w:tcW w:w="5405" w:type="dxa"/>
            <w:vAlign w:val="center"/>
          </w:tcPr>
          <w:p w14:paraId="0744F90B">
            <w:pPr>
              <w:pStyle w:val="50"/>
              <w:ind w:left="0" w:leftChars="0" w:firstLine="0" w:firstLineChars="0"/>
              <w:rPr>
                <w:rFonts w:ascii="宋体" w:hAnsi="宋体" w:cs="宋体"/>
                <w:bCs/>
                <w:szCs w:val="21"/>
              </w:rPr>
            </w:pPr>
            <w:r>
              <w:rPr>
                <w:rFonts w:hint="eastAsia" w:ascii="宋体" w:hAnsi="宋体" w:cs="宋体"/>
                <w:bCs/>
                <w:szCs w:val="21"/>
              </w:rPr>
              <w:t>拟投入本项目的项目实施人员，在满足采购需求中要求的2人基础上，每多投入1人得2分，满分6分（投标文件中必须提供实施人员的劳动合同及加盖有社保部门公章或参保缴费证明电子专用章的社保缴费明细证明材料、身份证和健康证、无犯罪证明材料扫描件，否则不予计分）。</w:t>
            </w:r>
          </w:p>
        </w:tc>
      </w:tr>
      <w:tr w14:paraId="7843E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 w:type="dxa"/>
            <w:vMerge w:val="continue"/>
            <w:vAlign w:val="center"/>
          </w:tcPr>
          <w:p w14:paraId="77D87184">
            <w:pPr>
              <w:adjustRightInd w:val="0"/>
              <w:spacing w:line="360" w:lineRule="auto"/>
              <w:jc w:val="center"/>
              <w:textAlignment w:val="baseline"/>
              <w:rPr>
                <w:rFonts w:ascii="宋体" w:hAnsi="宋体" w:cs="宋体"/>
                <w:b/>
                <w:szCs w:val="21"/>
              </w:rPr>
            </w:pPr>
          </w:p>
        </w:tc>
        <w:tc>
          <w:tcPr>
            <w:tcW w:w="1276" w:type="dxa"/>
            <w:vMerge w:val="continue"/>
            <w:vAlign w:val="center"/>
          </w:tcPr>
          <w:p w14:paraId="4587C39F">
            <w:pPr>
              <w:adjustRightInd w:val="0"/>
              <w:spacing w:line="360" w:lineRule="auto"/>
              <w:jc w:val="center"/>
              <w:textAlignment w:val="baseline"/>
              <w:rPr>
                <w:rFonts w:ascii="宋体" w:hAnsi="宋体" w:cs="宋体"/>
                <w:b/>
                <w:szCs w:val="21"/>
              </w:rPr>
            </w:pPr>
          </w:p>
        </w:tc>
        <w:tc>
          <w:tcPr>
            <w:tcW w:w="716" w:type="dxa"/>
            <w:vMerge w:val="continue"/>
            <w:vAlign w:val="center"/>
          </w:tcPr>
          <w:p w14:paraId="04688F8B">
            <w:pPr>
              <w:adjustRightInd w:val="0"/>
              <w:spacing w:line="360" w:lineRule="auto"/>
              <w:jc w:val="center"/>
              <w:textAlignment w:val="baseline"/>
              <w:rPr>
                <w:rFonts w:ascii="宋体" w:hAnsi="宋体" w:cs="宋体"/>
                <w:b/>
                <w:szCs w:val="21"/>
              </w:rPr>
            </w:pPr>
          </w:p>
        </w:tc>
        <w:tc>
          <w:tcPr>
            <w:tcW w:w="1557" w:type="dxa"/>
            <w:vAlign w:val="center"/>
          </w:tcPr>
          <w:p w14:paraId="3A5786BC">
            <w:pPr>
              <w:jc w:val="center"/>
              <w:rPr>
                <w:rFonts w:ascii="宋体" w:hAnsi="宋体" w:cs="宋体"/>
                <w:bCs/>
                <w:kern w:val="0"/>
                <w:szCs w:val="21"/>
              </w:rPr>
            </w:pPr>
            <w:r>
              <w:rPr>
                <w:rFonts w:hint="eastAsia"/>
              </w:rPr>
              <w:t>安全责任险（满分5分）</w:t>
            </w:r>
          </w:p>
        </w:tc>
        <w:tc>
          <w:tcPr>
            <w:tcW w:w="5405" w:type="dxa"/>
            <w:vAlign w:val="center"/>
          </w:tcPr>
          <w:p w14:paraId="4AD8BFD3">
            <w:pPr>
              <w:pStyle w:val="50"/>
              <w:ind w:left="0" w:leftChars="0" w:firstLine="0" w:firstLineChars="0"/>
              <w:rPr>
                <w:rFonts w:ascii="宋体" w:hAnsi="宋体" w:cs="宋体"/>
                <w:bCs/>
                <w:szCs w:val="21"/>
              </w:rPr>
            </w:pPr>
            <w:r>
              <w:rPr>
                <w:rFonts w:hint="eastAsia" w:ascii="宋体" w:hAnsi="宋体" w:cs="宋体"/>
                <w:bCs/>
                <w:szCs w:val="21"/>
              </w:rPr>
              <w:t>投标人已购买《食品安全责任保险》（有效期内），保额300万元以下的得1分，保额300万元（含）-500万元的得2分，保额500万元（含）-800万元的得3分，保额800万元（含）-1000万元的得4分，1000万元（含）及以上的得5分，满分5分（投标文件中必须提供相关保单、发票证明扫描件，否则不予计分）。</w:t>
            </w:r>
          </w:p>
        </w:tc>
      </w:tr>
      <w:tr w14:paraId="4DFBF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734" w:type="dxa"/>
            <w:vMerge w:val="continue"/>
            <w:vAlign w:val="center"/>
          </w:tcPr>
          <w:p w14:paraId="5EFD5A4C">
            <w:pPr>
              <w:adjustRightInd w:val="0"/>
              <w:spacing w:line="360" w:lineRule="auto"/>
              <w:jc w:val="center"/>
              <w:textAlignment w:val="baseline"/>
              <w:rPr>
                <w:rFonts w:ascii="宋体" w:hAnsi="宋体" w:cs="宋体"/>
                <w:b/>
                <w:szCs w:val="21"/>
              </w:rPr>
            </w:pPr>
          </w:p>
        </w:tc>
        <w:tc>
          <w:tcPr>
            <w:tcW w:w="1276" w:type="dxa"/>
            <w:vMerge w:val="continue"/>
            <w:vAlign w:val="center"/>
          </w:tcPr>
          <w:p w14:paraId="387DF7FE">
            <w:pPr>
              <w:adjustRightInd w:val="0"/>
              <w:spacing w:line="360" w:lineRule="auto"/>
              <w:jc w:val="center"/>
              <w:textAlignment w:val="baseline"/>
              <w:rPr>
                <w:rFonts w:ascii="宋体" w:hAnsi="宋体" w:cs="宋体"/>
                <w:b/>
                <w:szCs w:val="21"/>
              </w:rPr>
            </w:pPr>
          </w:p>
        </w:tc>
        <w:tc>
          <w:tcPr>
            <w:tcW w:w="716" w:type="dxa"/>
            <w:vMerge w:val="continue"/>
            <w:vAlign w:val="center"/>
          </w:tcPr>
          <w:p w14:paraId="539F91B5">
            <w:pPr>
              <w:adjustRightInd w:val="0"/>
              <w:spacing w:line="360" w:lineRule="auto"/>
              <w:jc w:val="center"/>
              <w:textAlignment w:val="baseline"/>
              <w:rPr>
                <w:rFonts w:ascii="宋体" w:hAnsi="宋体" w:cs="宋体"/>
                <w:b/>
                <w:szCs w:val="21"/>
              </w:rPr>
            </w:pPr>
          </w:p>
        </w:tc>
        <w:tc>
          <w:tcPr>
            <w:tcW w:w="1557" w:type="dxa"/>
            <w:shd w:val="clear" w:color="auto" w:fill="auto"/>
            <w:vAlign w:val="center"/>
          </w:tcPr>
          <w:p w14:paraId="2BA59CB4">
            <w:pPr>
              <w:jc w:val="center"/>
              <w:rPr>
                <w:rFonts w:ascii="宋体" w:hAnsi="宋体" w:cs="宋体"/>
                <w:bCs/>
                <w:kern w:val="0"/>
                <w:szCs w:val="21"/>
              </w:rPr>
            </w:pPr>
            <w:r>
              <w:rPr>
                <w:rFonts w:hint="eastAsia"/>
              </w:rPr>
              <w:t>生产、种植或养殖合作（满分3分）</w:t>
            </w:r>
          </w:p>
        </w:tc>
        <w:tc>
          <w:tcPr>
            <w:tcW w:w="5405" w:type="dxa"/>
            <w:shd w:val="clear" w:color="auto" w:fill="auto"/>
            <w:vAlign w:val="center"/>
          </w:tcPr>
          <w:p w14:paraId="0B7977F7">
            <w:pPr>
              <w:pStyle w:val="50"/>
              <w:ind w:left="0" w:leftChars="0" w:firstLine="0" w:firstLineChars="0"/>
              <w:rPr>
                <w:rFonts w:ascii="宋体" w:hAnsi="宋体" w:cs="宋体"/>
                <w:bCs/>
                <w:szCs w:val="21"/>
              </w:rPr>
            </w:pPr>
            <w:r>
              <w:rPr>
                <w:rFonts w:hint="eastAsia" w:ascii="宋体" w:hAnsi="宋体" w:cs="宋体"/>
                <w:bCs/>
                <w:szCs w:val="21"/>
              </w:rPr>
              <w:t>投标人自有生产、种植或养殖的产品与所投分标货物需求一致，得3分；投标人与种植、养殖基地有长期合作关系、有产品经销商代理权且生产、种植或养殖的产品与所投分标货物需求一致，得2分；投标人与种植、养殖基地有合作关系且生产、种植或养殖的产品与所投分标货物需求一致，得1分，满分3分（投标文件中必须提供相关证明扫描件，否则不予计分）。</w:t>
            </w:r>
          </w:p>
        </w:tc>
      </w:tr>
      <w:tr w14:paraId="68BA4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 w:type="dxa"/>
            <w:vMerge w:val="continue"/>
            <w:vAlign w:val="center"/>
          </w:tcPr>
          <w:p w14:paraId="567EE1CD">
            <w:pPr>
              <w:adjustRightInd w:val="0"/>
              <w:spacing w:line="360" w:lineRule="auto"/>
              <w:jc w:val="center"/>
              <w:textAlignment w:val="baseline"/>
              <w:rPr>
                <w:rFonts w:ascii="宋体" w:hAnsi="宋体" w:cs="宋体"/>
                <w:b/>
                <w:szCs w:val="21"/>
              </w:rPr>
            </w:pPr>
          </w:p>
        </w:tc>
        <w:tc>
          <w:tcPr>
            <w:tcW w:w="1276" w:type="dxa"/>
            <w:vMerge w:val="continue"/>
            <w:vAlign w:val="center"/>
          </w:tcPr>
          <w:p w14:paraId="5CA96C15">
            <w:pPr>
              <w:adjustRightInd w:val="0"/>
              <w:spacing w:line="360" w:lineRule="auto"/>
              <w:jc w:val="center"/>
              <w:textAlignment w:val="baseline"/>
              <w:rPr>
                <w:rFonts w:ascii="宋体" w:hAnsi="宋体" w:cs="宋体"/>
                <w:b/>
                <w:szCs w:val="21"/>
              </w:rPr>
            </w:pPr>
          </w:p>
        </w:tc>
        <w:tc>
          <w:tcPr>
            <w:tcW w:w="716" w:type="dxa"/>
            <w:vMerge w:val="continue"/>
            <w:vAlign w:val="center"/>
          </w:tcPr>
          <w:p w14:paraId="6AA45012">
            <w:pPr>
              <w:adjustRightInd w:val="0"/>
              <w:spacing w:line="360" w:lineRule="auto"/>
              <w:jc w:val="center"/>
              <w:textAlignment w:val="baseline"/>
              <w:rPr>
                <w:rFonts w:ascii="宋体" w:hAnsi="宋体" w:cs="宋体"/>
                <w:b/>
                <w:szCs w:val="21"/>
              </w:rPr>
            </w:pPr>
          </w:p>
        </w:tc>
        <w:tc>
          <w:tcPr>
            <w:tcW w:w="1557" w:type="dxa"/>
            <w:vAlign w:val="center"/>
          </w:tcPr>
          <w:p w14:paraId="3CA0B8B4">
            <w:pPr>
              <w:jc w:val="center"/>
              <w:rPr>
                <w:rFonts w:ascii="宋体" w:hAnsi="宋体" w:cs="宋体"/>
                <w:bCs/>
                <w:szCs w:val="21"/>
              </w:rPr>
            </w:pPr>
            <w:r>
              <w:rPr>
                <w:rFonts w:hint="eastAsia" w:ascii="宋体" w:hAnsi="宋体" w:cs="宋体"/>
                <w:bCs/>
                <w:szCs w:val="21"/>
              </w:rPr>
              <w:t>检验检测设备（满分2分）</w:t>
            </w:r>
          </w:p>
        </w:tc>
        <w:tc>
          <w:tcPr>
            <w:tcW w:w="5405" w:type="dxa"/>
            <w:vAlign w:val="center"/>
          </w:tcPr>
          <w:p w14:paraId="7CDA9606">
            <w:pPr>
              <w:pStyle w:val="50"/>
              <w:ind w:left="0" w:leftChars="0" w:firstLine="0" w:firstLineChars="0"/>
              <w:rPr>
                <w:rFonts w:ascii="宋体" w:hAnsi="宋体" w:cs="宋体"/>
                <w:bCs/>
                <w:szCs w:val="21"/>
              </w:rPr>
            </w:pPr>
            <w:r>
              <w:rPr>
                <w:rFonts w:hint="eastAsia" w:ascii="宋体" w:hAnsi="宋体" w:cs="宋体"/>
                <w:bCs/>
                <w:szCs w:val="21"/>
              </w:rPr>
              <w:t>投标人具备食品检验检测能力的，得2分（投标文件中必须提供投标人购买检验检测设备发票扫描件及公司检测技术人员相关的检测证书扫描件，否则不予计分）。</w:t>
            </w:r>
          </w:p>
        </w:tc>
      </w:tr>
      <w:tr w14:paraId="5C7FE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88" w:type="dxa"/>
            <w:gridSpan w:val="5"/>
            <w:vAlign w:val="center"/>
          </w:tcPr>
          <w:p w14:paraId="4E1D7E37">
            <w:pPr>
              <w:spacing w:line="360" w:lineRule="auto"/>
              <w:rPr>
                <w:rFonts w:ascii="宋体" w:hAnsi="宋体" w:cs="宋体"/>
                <w:bCs/>
                <w:szCs w:val="21"/>
              </w:rPr>
            </w:pPr>
            <w:r>
              <w:rPr>
                <w:rFonts w:hint="eastAsia" w:ascii="宋体" w:hAnsi="宋体" w:cs="宋体"/>
                <w:b/>
                <w:bCs/>
                <w:szCs w:val="21"/>
              </w:rPr>
              <w:t>总得分=1+2+3。</w:t>
            </w:r>
          </w:p>
        </w:tc>
      </w:tr>
    </w:tbl>
    <w:p w14:paraId="31172B55">
      <w:pPr>
        <w:pStyle w:val="40"/>
        <w:spacing w:line="380" w:lineRule="exact"/>
        <w:ind w:left="0"/>
        <w:rPr>
          <w:rFonts w:ascii="宋体" w:hAnsi="宋体"/>
          <w:b/>
          <w:bCs/>
        </w:rPr>
      </w:pPr>
      <w:r>
        <w:rPr>
          <w:rFonts w:hint="eastAsia" w:ascii="宋体" w:hAnsi="宋体"/>
          <w:b/>
          <w:bCs/>
        </w:rPr>
        <w:t>三、中标候选人推荐原则</w:t>
      </w:r>
    </w:p>
    <w:p w14:paraId="60E6284E">
      <w:pPr>
        <w:pStyle w:val="40"/>
        <w:spacing w:line="380" w:lineRule="exact"/>
        <w:ind w:left="0"/>
        <w:rPr>
          <w:rFonts w:ascii="宋体" w:hAnsi="宋体"/>
          <w:bCs/>
        </w:rPr>
      </w:pPr>
      <w:r>
        <w:rPr>
          <w:rFonts w:hint="eastAsia" w:ascii="宋体" w:hAnsi="宋体"/>
          <w:b/>
          <w:bCs/>
        </w:rPr>
        <w:t xml:space="preserve">  </w:t>
      </w:r>
      <w:r>
        <w:rPr>
          <w:rFonts w:hint="eastAsia" w:ascii="宋体" w:hAnsi="宋体"/>
          <w:bCs/>
        </w:rPr>
        <w:t>（一）评标委员会将根据评审后得分由高到低顺序排列次序并推荐中标候选人。得分相同的，以投标报价由低到高顺序排列；得分相同且投标报价相同的并列，投标文件满足招标文件全部实质性要求，且按照评审因素的量化指标评审得分最高的投标人为排名第一的中标候选人。</w:t>
      </w:r>
    </w:p>
    <w:p w14:paraId="78A51CA9">
      <w:pPr>
        <w:pStyle w:val="40"/>
        <w:spacing w:line="380" w:lineRule="exact"/>
        <w:ind w:left="0" w:firstLine="420" w:firstLineChars="200"/>
        <w:rPr>
          <w:rFonts w:ascii="宋体" w:hAnsi="宋体"/>
          <w:bCs/>
        </w:rPr>
      </w:pPr>
      <w:r>
        <w:rPr>
          <w:rFonts w:hint="eastAsia" w:ascii="宋体" w:hAnsi="宋体"/>
          <w:bCs/>
        </w:rPr>
        <w:t>采购人应当确定评审委员会推荐排名第一的中标候选人为</w:t>
      </w:r>
      <w:r>
        <w:rPr>
          <w:rFonts w:hint="eastAsia" w:ascii="宋体" w:hAnsi="宋体"/>
        </w:rPr>
        <w:t>中标人</w:t>
      </w:r>
      <w:r>
        <w:rPr>
          <w:rFonts w:hint="eastAsia" w:ascii="宋体" w:hAnsi="宋体"/>
          <w:bCs/>
        </w:rPr>
        <w:t>。排名第一的中标候选人放弃中标、因不可抗力或者自身原因提出不能履行合同，采购人可以确定排名第二的中标候选人为</w:t>
      </w:r>
      <w:r>
        <w:rPr>
          <w:rFonts w:hint="eastAsia" w:ascii="宋体" w:hAnsi="宋体"/>
        </w:rPr>
        <w:t>中标人</w:t>
      </w:r>
      <w:r>
        <w:rPr>
          <w:rFonts w:hint="eastAsia" w:ascii="宋体" w:hAnsi="宋体"/>
          <w:bCs/>
        </w:rPr>
        <w:t>。排名第二的中标候选人因前款规定的同样原因不能签订合同的，采购人、采购代理机构可以确定排名第三的中标候选人为中标人，采购人也可以决定重新采购。对采购过程、中标结果提出的质疑，合格供应商符合法定数量时，可以从合格的中标候选人中另行确定中标供应商的，应当依法另行确定中标供应商；否则应当重新开展采购活动。</w:t>
      </w:r>
    </w:p>
    <w:p w14:paraId="714987E9">
      <w:pPr>
        <w:pStyle w:val="40"/>
        <w:spacing w:line="380" w:lineRule="exact"/>
        <w:ind w:left="0"/>
        <w:rPr>
          <w:rFonts w:ascii="宋体" w:hAnsi="宋体"/>
        </w:rPr>
      </w:pPr>
      <w:r>
        <w:rPr>
          <w:rFonts w:hint="eastAsia" w:ascii="宋体" w:hAnsi="宋体"/>
          <w:bCs/>
        </w:rPr>
        <w:t xml:space="preserve">  （二）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bookmarkEnd w:id="95"/>
    <w:bookmarkEnd w:id="96"/>
    <w:bookmarkEnd w:id="102"/>
    <w:bookmarkEnd w:id="103"/>
    <w:p w14:paraId="2CEFF40D">
      <w:pPr>
        <w:widowControl/>
        <w:jc w:val="left"/>
        <w:rPr>
          <w:b/>
          <w:bCs/>
          <w:strike/>
          <w:kern w:val="0"/>
          <w:szCs w:val="21"/>
        </w:rPr>
      </w:pPr>
      <w:bookmarkStart w:id="104" w:name="_Hlk65851690"/>
      <w:bookmarkStart w:id="105" w:name="_Hlk60651046"/>
      <w:bookmarkStart w:id="106" w:name="_Hlk80957087"/>
    </w:p>
    <w:p w14:paraId="0C725AB0">
      <w:pPr>
        <w:spacing w:before="120" w:line="320" w:lineRule="atLeast"/>
        <w:ind w:firstLine="420" w:firstLineChars="200"/>
      </w:pPr>
      <w:r>
        <w:rPr>
          <w:rFonts w:hint="eastAsia"/>
        </w:rPr>
        <w:t>4</w:t>
      </w:r>
      <w:r>
        <w:t>.1</w:t>
      </w:r>
      <w:r>
        <w:rPr>
          <w:rFonts w:hint="eastAsia"/>
        </w:rPr>
        <w:t>偏离认定说明</w:t>
      </w:r>
    </w:p>
    <w:p w14:paraId="1A0DBBC0">
      <w:pPr>
        <w:spacing w:before="120" w:line="320" w:lineRule="atLeast"/>
        <w:ind w:firstLine="420" w:firstLineChars="200"/>
        <w:rPr>
          <w:szCs w:val="21"/>
        </w:rPr>
      </w:pPr>
      <w:bookmarkStart w:id="107" w:name="_Hlk132792081"/>
      <w:r>
        <w:rPr>
          <w:rFonts w:hint="eastAsia"/>
          <w:szCs w:val="21"/>
        </w:rPr>
        <w:t>供应商根据采购需求中技术参数为基准，填写响应表，对于响应表或证明材料与技术参数不符的，按如下规定：</w:t>
      </w:r>
    </w:p>
    <w:p w14:paraId="1BE875DD">
      <w:pPr>
        <w:spacing w:before="120" w:line="320" w:lineRule="atLeast"/>
        <w:ind w:firstLine="420" w:firstLineChars="200"/>
        <w:rPr>
          <w:szCs w:val="21"/>
        </w:rPr>
      </w:pPr>
      <w:r>
        <w:rPr>
          <w:rFonts w:hint="eastAsia"/>
          <w:szCs w:val="21"/>
        </w:rPr>
        <w:t>（1）实质性参数要求提交证明材料的，证明材料没有体现响应表中响应的内容的或未提供证明材料的，视为无效响应。非实质性参数要求提交证明材料的，证明材料没有体现响应表中响应的内容的或未提供证明材料的，视为负偏离。</w:t>
      </w:r>
    </w:p>
    <w:p w14:paraId="3FFE7335">
      <w:pPr>
        <w:spacing w:before="120" w:line="320" w:lineRule="atLeast"/>
        <w:ind w:firstLine="420" w:firstLineChars="200"/>
        <w:rPr>
          <w:szCs w:val="21"/>
        </w:rPr>
      </w:pPr>
      <w:r>
        <w:rPr>
          <w:rFonts w:hint="eastAsia"/>
          <w:szCs w:val="21"/>
        </w:rPr>
        <w:t>（2）响应表中响应的内容与证明材料不一致的，以证明材料为准作为评审依据。</w:t>
      </w:r>
    </w:p>
    <w:p w14:paraId="1F967C84">
      <w:pPr>
        <w:spacing w:before="120" w:line="320" w:lineRule="atLeast"/>
        <w:ind w:firstLine="420" w:firstLineChars="200"/>
        <w:rPr>
          <w:szCs w:val="21"/>
        </w:rPr>
      </w:pPr>
      <w:r>
        <w:rPr>
          <w:rFonts w:hint="eastAsia"/>
          <w:szCs w:val="21"/>
        </w:rPr>
        <w:t>（3）同时出现以上两种情况的，按照（1）-（2）顺序认定。</w:t>
      </w:r>
    </w:p>
    <w:p w14:paraId="6B3399A2">
      <w:pPr>
        <w:spacing w:before="120" w:line="320" w:lineRule="atLeast"/>
        <w:ind w:firstLine="420" w:firstLineChars="200"/>
        <w:rPr>
          <w:szCs w:val="21"/>
        </w:rPr>
      </w:pPr>
      <w:r>
        <w:rPr>
          <w:rFonts w:hint="eastAsia"/>
          <w:szCs w:val="21"/>
        </w:rPr>
        <w:t>（</w:t>
      </w:r>
      <w:r>
        <w:rPr>
          <w:szCs w:val="21"/>
        </w:rPr>
        <w:t>4</w:t>
      </w:r>
      <w:r>
        <w:rPr>
          <w:rFonts w:hint="eastAsia"/>
          <w:szCs w:val="21"/>
        </w:rPr>
        <w:t>）响应表与采购需求中技术参数比较有漏项的，如为实质性参数漏项，视为未响应；如为非实质性参数漏项，视为负偏离。</w:t>
      </w:r>
    </w:p>
    <w:p w14:paraId="3599D935">
      <w:pPr>
        <w:spacing w:before="120" w:line="320" w:lineRule="atLeast"/>
        <w:ind w:firstLine="420" w:firstLineChars="200"/>
        <w:rPr>
          <w:szCs w:val="21"/>
        </w:rPr>
      </w:pPr>
      <w:r>
        <w:rPr>
          <w:rFonts w:hint="eastAsia"/>
          <w:szCs w:val="21"/>
        </w:rPr>
        <w:t>（</w:t>
      </w:r>
      <w:r>
        <w:rPr>
          <w:szCs w:val="21"/>
        </w:rPr>
        <w:t>5</w:t>
      </w:r>
      <w:r>
        <w:rPr>
          <w:rFonts w:hint="eastAsia"/>
          <w:szCs w:val="21"/>
        </w:rPr>
        <w:t>）一项技术参数有多条小项要求的，必须全部响应。如只响应部分参数，视为漏项，按照（4）判定。评审时以每一条技术参数为评审依据。</w:t>
      </w:r>
    </w:p>
    <w:p w14:paraId="6A2E9BBF">
      <w:pPr>
        <w:spacing w:before="120" w:line="320" w:lineRule="atLeast"/>
        <w:ind w:firstLine="420" w:firstLineChars="200"/>
        <w:rPr>
          <w:szCs w:val="21"/>
        </w:rPr>
      </w:pPr>
      <w:r>
        <w:rPr>
          <w:rFonts w:hint="eastAsia"/>
          <w:szCs w:val="21"/>
        </w:rPr>
        <w:t>（6）对于固定参数，响应与采购需求中技术参数一致，视为无偏离，其他均视为负偏离，此类参数无正偏离。</w:t>
      </w:r>
    </w:p>
    <w:p w14:paraId="1919D1E5">
      <w:pPr>
        <w:spacing w:before="120" w:line="320" w:lineRule="atLeast"/>
        <w:ind w:firstLine="420" w:firstLineChars="200"/>
        <w:rPr>
          <w:szCs w:val="21"/>
        </w:rPr>
      </w:pPr>
      <w:r>
        <w:rPr>
          <w:rFonts w:hint="eastAsia"/>
          <w:szCs w:val="21"/>
        </w:rPr>
        <w:t>（7）如采购需求中技术参数有特殊要求与上述说明不一致的，以特殊要求为准。</w:t>
      </w:r>
    </w:p>
    <w:bookmarkEnd w:id="107"/>
    <w:p w14:paraId="0E95FA10">
      <w:pPr>
        <w:spacing w:before="120" w:line="320" w:lineRule="atLeast"/>
        <w:ind w:firstLine="420" w:firstLineChars="200"/>
        <w:rPr>
          <w:szCs w:val="21"/>
        </w:rPr>
      </w:pPr>
    </w:p>
    <w:bookmarkEnd w:id="101"/>
    <w:bookmarkEnd w:id="104"/>
    <w:bookmarkEnd w:id="105"/>
    <w:p w14:paraId="2AA6F04F">
      <w:pPr>
        <w:spacing w:before="120" w:line="320" w:lineRule="atLeast"/>
        <w:ind w:firstLine="420" w:firstLineChars="200"/>
        <w:rPr>
          <w:szCs w:val="21"/>
        </w:rPr>
      </w:pPr>
    </w:p>
    <w:bookmarkEnd w:id="106"/>
    <w:p w14:paraId="615DDEE3">
      <w:pPr>
        <w:pStyle w:val="26"/>
        <w:snapToGrid w:val="0"/>
        <w:spacing w:before="120" w:after="120"/>
        <w:outlineLvl w:val="0"/>
        <w:rPr>
          <w:rFonts w:ascii="Times New Roman" w:hAnsi="Times New Roman" w:cs="Times New Roman"/>
          <w:b/>
          <w:sz w:val="32"/>
          <w:szCs w:val="32"/>
        </w:rPr>
        <w:sectPr>
          <w:headerReference r:id="rId11" w:type="default"/>
          <w:pgSz w:w="11906" w:h="16838"/>
          <w:pgMar w:top="1418" w:right="1133" w:bottom="1246" w:left="1418" w:header="851" w:footer="992" w:gutter="0"/>
          <w:cols w:space="720" w:num="1"/>
          <w:docGrid w:linePitch="312" w:charSpace="0"/>
        </w:sectPr>
      </w:pPr>
    </w:p>
    <w:p w14:paraId="693CA2A6">
      <w:pPr>
        <w:pStyle w:val="26"/>
        <w:snapToGrid w:val="0"/>
        <w:spacing w:before="120" w:after="120" w:line="320" w:lineRule="exact"/>
        <w:jc w:val="center"/>
        <w:outlineLvl w:val="0"/>
        <w:rPr>
          <w:rFonts w:ascii="Times New Roman" w:hAnsi="Times New Roman" w:cs="Times New Roman"/>
          <w:sz w:val="32"/>
          <w:szCs w:val="32"/>
        </w:rPr>
      </w:pPr>
      <w:bookmarkStart w:id="108" w:name="_Toc29421"/>
      <w:bookmarkStart w:id="109" w:name="_Hlk132792163"/>
      <w:bookmarkStart w:id="110" w:name="_Hlk160525271"/>
      <w:r>
        <w:rPr>
          <w:rFonts w:ascii="Times New Roman" w:hAnsi="Times New Roman" w:cs="Times New Roman"/>
          <w:sz w:val="32"/>
          <w:szCs w:val="32"/>
        </w:rPr>
        <w:t>第五章  合同主要条款格式</w:t>
      </w:r>
      <w:bookmarkEnd w:id="108"/>
    </w:p>
    <w:p w14:paraId="5638A1A1">
      <w:pPr>
        <w:pStyle w:val="19"/>
        <w:rPr>
          <w:b/>
          <w:bCs/>
          <w:sz w:val="36"/>
          <w:szCs w:val="36"/>
        </w:rPr>
      </w:pPr>
    </w:p>
    <w:p w14:paraId="559D89D5">
      <w:pPr>
        <w:pStyle w:val="19"/>
        <w:ind w:left="1764" w:hanging="924"/>
        <w:jc w:val="center"/>
        <w:rPr>
          <w:b/>
          <w:bCs/>
          <w:sz w:val="36"/>
          <w:szCs w:val="36"/>
        </w:rPr>
      </w:pPr>
    </w:p>
    <w:p w14:paraId="17BDA33F">
      <w:pPr>
        <w:spacing w:before="120" w:line="320" w:lineRule="atLeast"/>
        <w:ind w:firstLine="422" w:firstLineChars="200"/>
        <w:jc w:val="center"/>
        <w:outlineLvl w:val="1"/>
        <w:rPr>
          <w:b/>
          <w:bCs/>
          <w:kern w:val="0"/>
          <w:szCs w:val="21"/>
        </w:rPr>
      </w:pPr>
      <w:r>
        <w:rPr>
          <w:b/>
          <w:bCs/>
          <w:kern w:val="0"/>
          <w:szCs w:val="21"/>
        </w:rPr>
        <w:t>广西壮族自治区政府采购合同</w:t>
      </w:r>
    </w:p>
    <w:tbl>
      <w:tblPr>
        <w:tblStyle w:val="51"/>
        <w:tblW w:w="0" w:type="auto"/>
        <w:tblInd w:w="0" w:type="dxa"/>
        <w:tblLayout w:type="autofit"/>
        <w:tblCellMar>
          <w:top w:w="0" w:type="dxa"/>
          <w:left w:w="108" w:type="dxa"/>
          <w:bottom w:w="0" w:type="dxa"/>
          <w:right w:w="108" w:type="dxa"/>
        </w:tblCellMar>
      </w:tblPr>
      <w:tblGrid>
        <w:gridCol w:w="2336"/>
        <w:gridCol w:w="2336"/>
        <w:gridCol w:w="2336"/>
        <w:gridCol w:w="2337"/>
      </w:tblGrid>
      <w:tr w14:paraId="28D163FD">
        <w:tblPrEx>
          <w:tblCellMar>
            <w:top w:w="0" w:type="dxa"/>
            <w:left w:w="108" w:type="dxa"/>
            <w:bottom w:w="0" w:type="dxa"/>
            <w:right w:w="108" w:type="dxa"/>
          </w:tblCellMar>
        </w:tblPrEx>
        <w:tc>
          <w:tcPr>
            <w:tcW w:w="2336" w:type="dxa"/>
          </w:tcPr>
          <w:p w14:paraId="612C6CD2">
            <w:pPr>
              <w:snapToGrid w:val="0"/>
              <w:spacing w:line="360" w:lineRule="exact"/>
              <w:ind w:right="480"/>
              <w:jc w:val="left"/>
              <w:rPr>
                <w:bCs/>
                <w:szCs w:val="21"/>
              </w:rPr>
            </w:pPr>
            <w:r>
              <w:rPr>
                <w:rFonts w:hint="eastAsia"/>
                <w:bCs/>
                <w:szCs w:val="21"/>
              </w:rPr>
              <w:t>合同编号：</w:t>
            </w:r>
          </w:p>
        </w:tc>
        <w:tc>
          <w:tcPr>
            <w:tcW w:w="2336" w:type="dxa"/>
          </w:tcPr>
          <w:p w14:paraId="00579254">
            <w:pPr>
              <w:snapToGrid w:val="0"/>
              <w:spacing w:line="360" w:lineRule="exact"/>
              <w:ind w:right="480"/>
              <w:jc w:val="left"/>
              <w:rPr>
                <w:bCs/>
                <w:szCs w:val="21"/>
              </w:rPr>
            </w:pPr>
          </w:p>
        </w:tc>
        <w:tc>
          <w:tcPr>
            <w:tcW w:w="2336" w:type="dxa"/>
          </w:tcPr>
          <w:p w14:paraId="3A95526B">
            <w:pPr>
              <w:snapToGrid w:val="0"/>
              <w:spacing w:line="360" w:lineRule="exact"/>
              <w:ind w:right="480"/>
              <w:jc w:val="left"/>
              <w:rPr>
                <w:bCs/>
                <w:szCs w:val="21"/>
              </w:rPr>
            </w:pPr>
            <w:r>
              <w:rPr>
                <w:rFonts w:hint="eastAsia"/>
                <w:bCs/>
                <w:szCs w:val="21"/>
              </w:rPr>
              <w:t>采购计划号：</w:t>
            </w:r>
          </w:p>
        </w:tc>
        <w:tc>
          <w:tcPr>
            <w:tcW w:w="2337" w:type="dxa"/>
          </w:tcPr>
          <w:p w14:paraId="0D87ABAA">
            <w:pPr>
              <w:snapToGrid w:val="0"/>
              <w:spacing w:line="360" w:lineRule="exact"/>
              <w:ind w:right="480"/>
              <w:jc w:val="left"/>
              <w:rPr>
                <w:bCs/>
                <w:szCs w:val="21"/>
              </w:rPr>
            </w:pPr>
          </w:p>
        </w:tc>
      </w:tr>
      <w:tr w14:paraId="0E847D5C">
        <w:tblPrEx>
          <w:tblCellMar>
            <w:top w:w="0" w:type="dxa"/>
            <w:left w:w="108" w:type="dxa"/>
            <w:bottom w:w="0" w:type="dxa"/>
            <w:right w:w="108" w:type="dxa"/>
          </w:tblCellMar>
        </w:tblPrEx>
        <w:tc>
          <w:tcPr>
            <w:tcW w:w="2336" w:type="dxa"/>
          </w:tcPr>
          <w:p w14:paraId="03F5A27A">
            <w:pPr>
              <w:snapToGrid w:val="0"/>
              <w:spacing w:line="360" w:lineRule="exact"/>
              <w:ind w:right="480"/>
              <w:jc w:val="left"/>
              <w:rPr>
                <w:bCs/>
                <w:szCs w:val="21"/>
              </w:rPr>
            </w:pPr>
            <w:r>
              <w:rPr>
                <w:rFonts w:hint="eastAsia"/>
                <w:bCs/>
                <w:szCs w:val="21"/>
              </w:rPr>
              <w:t>项目名称：</w:t>
            </w:r>
          </w:p>
        </w:tc>
        <w:tc>
          <w:tcPr>
            <w:tcW w:w="2336" w:type="dxa"/>
          </w:tcPr>
          <w:p w14:paraId="0166D354">
            <w:pPr>
              <w:snapToGrid w:val="0"/>
              <w:spacing w:line="360" w:lineRule="exact"/>
              <w:ind w:right="480"/>
              <w:jc w:val="left"/>
              <w:rPr>
                <w:bCs/>
                <w:szCs w:val="21"/>
              </w:rPr>
            </w:pPr>
          </w:p>
        </w:tc>
        <w:tc>
          <w:tcPr>
            <w:tcW w:w="2336" w:type="dxa"/>
          </w:tcPr>
          <w:p w14:paraId="60C5E90C">
            <w:pPr>
              <w:snapToGrid w:val="0"/>
              <w:spacing w:line="360" w:lineRule="exact"/>
              <w:ind w:right="480"/>
              <w:jc w:val="left"/>
              <w:rPr>
                <w:bCs/>
                <w:szCs w:val="21"/>
              </w:rPr>
            </w:pPr>
            <w:r>
              <w:rPr>
                <w:rFonts w:hint="eastAsia"/>
                <w:bCs/>
                <w:szCs w:val="21"/>
              </w:rPr>
              <w:t>项目编号：</w:t>
            </w:r>
          </w:p>
        </w:tc>
        <w:tc>
          <w:tcPr>
            <w:tcW w:w="2337" w:type="dxa"/>
          </w:tcPr>
          <w:p w14:paraId="238A5FA8">
            <w:pPr>
              <w:snapToGrid w:val="0"/>
              <w:spacing w:line="360" w:lineRule="exact"/>
              <w:ind w:right="480"/>
              <w:jc w:val="left"/>
              <w:rPr>
                <w:bCs/>
                <w:szCs w:val="21"/>
              </w:rPr>
            </w:pPr>
          </w:p>
        </w:tc>
      </w:tr>
      <w:tr w14:paraId="3D2BB714">
        <w:tblPrEx>
          <w:tblCellMar>
            <w:top w:w="0" w:type="dxa"/>
            <w:left w:w="108" w:type="dxa"/>
            <w:bottom w:w="0" w:type="dxa"/>
            <w:right w:w="108" w:type="dxa"/>
          </w:tblCellMar>
        </w:tblPrEx>
        <w:tc>
          <w:tcPr>
            <w:tcW w:w="2336" w:type="dxa"/>
          </w:tcPr>
          <w:p w14:paraId="0BC9F749">
            <w:pPr>
              <w:snapToGrid w:val="0"/>
              <w:spacing w:line="360" w:lineRule="exact"/>
              <w:jc w:val="left"/>
              <w:rPr>
                <w:bCs/>
                <w:szCs w:val="21"/>
              </w:rPr>
            </w:pPr>
            <w:r>
              <w:rPr>
                <w:rFonts w:hint="eastAsia"/>
                <w:bCs/>
                <w:szCs w:val="21"/>
              </w:rPr>
              <w:t>采购人（甲方）：</w:t>
            </w:r>
          </w:p>
        </w:tc>
        <w:tc>
          <w:tcPr>
            <w:tcW w:w="2336" w:type="dxa"/>
          </w:tcPr>
          <w:p w14:paraId="5E205C39">
            <w:pPr>
              <w:snapToGrid w:val="0"/>
              <w:spacing w:line="360" w:lineRule="exact"/>
              <w:ind w:right="480"/>
              <w:jc w:val="left"/>
              <w:rPr>
                <w:bCs/>
                <w:szCs w:val="21"/>
              </w:rPr>
            </w:pPr>
          </w:p>
        </w:tc>
        <w:tc>
          <w:tcPr>
            <w:tcW w:w="2336" w:type="dxa"/>
          </w:tcPr>
          <w:p w14:paraId="1A7ED319">
            <w:pPr>
              <w:snapToGrid w:val="0"/>
              <w:spacing w:line="360" w:lineRule="exact"/>
              <w:jc w:val="left"/>
              <w:rPr>
                <w:bCs/>
                <w:szCs w:val="21"/>
              </w:rPr>
            </w:pPr>
            <w:r>
              <w:rPr>
                <w:rFonts w:hint="eastAsia"/>
                <w:bCs/>
                <w:szCs w:val="21"/>
              </w:rPr>
              <w:t>供应商（乙方）：</w:t>
            </w:r>
          </w:p>
        </w:tc>
        <w:tc>
          <w:tcPr>
            <w:tcW w:w="2337" w:type="dxa"/>
          </w:tcPr>
          <w:p w14:paraId="0E751823">
            <w:pPr>
              <w:snapToGrid w:val="0"/>
              <w:spacing w:line="360" w:lineRule="exact"/>
              <w:ind w:right="480"/>
              <w:jc w:val="left"/>
              <w:rPr>
                <w:bCs/>
                <w:szCs w:val="21"/>
              </w:rPr>
            </w:pPr>
          </w:p>
        </w:tc>
      </w:tr>
      <w:tr w14:paraId="52C7745A">
        <w:tblPrEx>
          <w:tblCellMar>
            <w:top w:w="0" w:type="dxa"/>
            <w:left w:w="108" w:type="dxa"/>
            <w:bottom w:w="0" w:type="dxa"/>
            <w:right w:w="108" w:type="dxa"/>
          </w:tblCellMar>
        </w:tblPrEx>
        <w:tc>
          <w:tcPr>
            <w:tcW w:w="2336" w:type="dxa"/>
          </w:tcPr>
          <w:p w14:paraId="511B553A">
            <w:pPr>
              <w:snapToGrid w:val="0"/>
              <w:spacing w:line="360" w:lineRule="exact"/>
              <w:ind w:right="480"/>
              <w:jc w:val="left"/>
              <w:rPr>
                <w:bCs/>
                <w:szCs w:val="21"/>
              </w:rPr>
            </w:pPr>
            <w:r>
              <w:rPr>
                <w:rFonts w:hint="eastAsia"/>
                <w:bCs/>
                <w:szCs w:val="21"/>
              </w:rPr>
              <w:t>签订地点：</w:t>
            </w:r>
          </w:p>
        </w:tc>
        <w:tc>
          <w:tcPr>
            <w:tcW w:w="2336" w:type="dxa"/>
          </w:tcPr>
          <w:p w14:paraId="20A17F8B">
            <w:pPr>
              <w:snapToGrid w:val="0"/>
              <w:spacing w:line="360" w:lineRule="exact"/>
              <w:ind w:right="480"/>
              <w:jc w:val="left"/>
              <w:rPr>
                <w:bCs/>
                <w:szCs w:val="21"/>
              </w:rPr>
            </w:pPr>
          </w:p>
        </w:tc>
        <w:tc>
          <w:tcPr>
            <w:tcW w:w="2336" w:type="dxa"/>
          </w:tcPr>
          <w:p w14:paraId="6EA6B96E">
            <w:pPr>
              <w:snapToGrid w:val="0"/>
              <w:spacing w:line="360" w:lineRule="exact"/>
              <w:ind w:right="480"/>
              <w:jc w:val="left"/>
              <w:rPr>
                <w:bCs/>
                <w:szCs w:val="21"/>
              </w:rPr>
            </w:pPr>
            <w:r>
              <w:rPr>
                <w:rFonts w:hint="eastAsia"/>
                <w:bCs/>
                <w:szCs w:val="21"/>
              </w:rPr>
              <w:t>签订时间：</w:t>
            </w:r>
          </w:p>
        </w:tc>
        <w:tc>
          <w:tcPr>
            <w:tcW w:w="2337" w:type="dxa"/>
          </w:tcPr>
          <w:p w14:paraId="0D24AB2C">
            <w:pPr>
              <w:snapToGrid w:val="0"/>
              <w:spacing w:line="360" w:lineRule="exact"/>
              <w:ind w:right="480"/>
              <w:jc w:val="left"/>
              <w:rPr>
                <w:bCs/>
                <w:szCs w:val="21"/>
              </w:rPr>
            </w:pPr>
          </w:p>
        </w:tc>
      </w:tr>
    </w:tbl>
    <w:p w14:paraId="48C77178">
      <w:pPr>
        <w:snapToGrid w:val="0"/>
        <w:spacing w:line="360" w:lineRule="exact"/>
        <w:ind w:right="480" w:firstLine="5985" w:firstLineChars="2850"/>
        <w:rPr>
          <w:bCs/>
          <w:szCs w:val="21"/>
        </w:rPr>
      </w:pPr>
    </w:p>
    <w:p w14:paraId="2658DB17">
      <w:pPr>
        <w:pStyle w:val="26"/>
        <w:spacing w:line="300" w:lineRule="exact"/>
        <w:ind w:firstLine="420" w:firstLineChars="200"/>
        <w:rPr>
          <w:rFonts w:ascii="Times New Roman" w:hAnsi="Times New Roman" w:cs="Times New Roman"/>
        </w:rPr>
      </w:pPr>
      <w:r>
        <w:rPr>
          <w:rFonts w:ascii="Times New Roman" w:hAnsi="Times New Roman" w:cs="Times New Roman"/>
        </w:rPr>
        <w:t>根据《中华人民共和国政府采购法》</w:t>
      </w:r>
      <w:r>
        <w:rPr>
          <w:rFonts w:hint="eastAsia" w:ascii="Times New Roman" w:hAnsi="Times New Roman" w:cs="Times New Roman"/>
        </w:rPr>
        <w:t>、</w:t>
      </w:r>
      <w:r>
        <w:rPr>
          <w:rFonts w:ascii="Times New Roman" w:hAnsi="Times New Roman" w:cs="Times New Roman"/>
        </w:rPr>
        <w:t>《中华人民共和国政府采购法</w:t>
      </w:r>
      <w:r>
        <w:rPr>
          <w:rFonts w:hint="eastAsia" w:ascii="Times New Roman" w:hAnsi="Times New Roman" w:cs="Times New Roman"/>
        </w:rPr>
        <w:t>实施条例</w:t>
      </w:r>
      <w:r>
        <w:rPr>
          <w:rFonts w:ascii="Times New Roman" w:hAnsi="Times New Roman" w:cs="Times New Roman"/>
        </w:rPr>
        <w:t>》等法律、法规规定，按照招标文件规定</w:t>
      </w:r>
      <w:r>
        <w:rPr>
          <w:rFonts w:hint="eastAsia" w:ascii="Times New Roman" w:hAnsi="Times New Roman" w:cs="Times New Roman"/>
        </w:rPr>
        <w:t>、</w:t>
      </w:r>
      <w:r>
        <w:rPr>
          <w:rFonts w:ascii="Times New Roman" w:hAnsi="Times New Roman" w:cs="Times New Roman"/>
        </w:rPr>
        <w:t>乙方投标文件及其承诺</w:t>
      </w:r>
      <w:r>
        <w:rPr>
          <w:rFonts w:hint="eastAsia" w:ascii="Times New Roman" w:hAnsi="Times New Roman" w:cs="Times New Roman"/>
        </w:rPr>
        <w:t>和中标通知书</w:t>
      </w:r>
      <w:r>
        <w:rPr>
          <w:rFonts w:ascii="Times New Roman" w:hAnsi="Times New Roman" w:cs="Times New Roman"/>
        </w:rPr>
        <w:t>，甲乙双方签订本合同。</w:t>
      </w:r>
    </w:p>
    <w:p w14:paraId="39D9DAAC">
      <w:pPr>
        <w:pStyle w:val="26"/>
        <w:spacing w:line="300" w:lineRule="exact"/>
        <w:ind w:firstLine="422" w:firstLineChars="200"/>
        <w:rPr>
          <w:rFonts w:ascii="Times New Roman" w:hAnsi="Times New Roman" w:cs="Times New Roman"/>
          <w:b/>
          <w:bCs/>
        </w:rPr>
      </w:pPr>
      <w:r>
        <w:rPr>
          <w:rFonts w:hint="eastAsia" w:ascii="Times New Roman" w:hAnsi="Times New Roman" w:cs="Times New Roman"/>
          <w:b/>
          <w:bCs/>
        </w:rPr>
        <w:t>一、合同标的</w:t>
      </w:r>
    </w:p>
    <w:tbl>
      <w:tblPr>
        <w:tblStyle w:val="51"/>
        <w:tblW w:w="480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8"/>
        <w:gridCol w:w="1258"/>
        <w:gridCol w:w="789"/>
        <w:gridCol w:w="764"/>
        <w:gridCol w:w="793"/>
        <w:gridCol w:w="748"/>
        <w:gridCol w:w="793"/>
        <w:gridCol w:w="1103"/>
        <w:gridCol w:w="1060"/>
        <w:gridCol w:w="1000"/>
      </w:tblGrid>
      <w:tr w14:paraId="3B07D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94" w:type="dxa"/>
            <w:vAlign w:val="center"/>
          </w:tcPr>
          <w:p w14:paraId="75A6BFBD">
            <w:pPr>
              <w:snapToGrid w:val="0"/>
              <w:spacing w:before="50" w:after="50" w:line="360" w:lineRule="exact"/>
              <w:jc w:val="center"/>
              <w:rPr>
                <w:b/>
                <w:bCs/>
              </w:rPr>
            </w:pPr>
            <w:r>
              <w:rPr>
                <w:rFonts w:hint="eastAsia" w:ascii="宋体" w:hAnsi="宋体" w:cs="宋体"/>
                <w:b/>
                <w:szCs w:val="21"/>
              </w:rPr>
              <w:t>序号</w:t>
            </w:r>
          </w:p>
        </w:tc>
        <w:tc>
          <w:tcPr>
            <w:tcW w:w="1292" w:type="dxa"/>
            <w:vAlign w:val="center"/>
          </w:tcPr>
          <w:p w14:paraId="1916ABE6">
            <w:pPr>
              <w:snapToGrid w:val="0"/>
              <w:spacing w:before="50" w:after="50" w:line="360" w:lineRule="exact"/>
              <w:jc w:val="center"/>
              <w:rPr>
                <w:b/>
                <w:bCs/>
              </w:rPr>
            </w:pPr>
            <w:r>
              <w:rPr>
                <w:rFonts w:hint="eastAsia" w:ascii="宋体" w:hAnsi="宋体" w:cs="宋体"/>
                <w:b/>
                <w:szCs w:val="21"/>
              </w:rPr>
              <w:t>标的名称</w:t>
            </w:r>
          </w:p>
        </w:tc>
        <w:tc>
          <w:tcPr>
            <w:tcW w:w="807" w:type="dxa"/>
            <w:vAlign w:val="center"/>
          </w:tcPr>
          <w:p w14:paraId="15CD624F">
            <w:pPr>
              <w:snapToGrid w:val="0"/>
              <w:spacing w:before="50" w:after="50" w:line="360" w:lineRule="exact"/>
              <w:jc w:val="center"/>
              <w:rPr>
                <w:b/>
                <w:bCs/>
              </w:rPr>
            </w:pPr>
            <w:r>
              <w:rPr>
                <w:rFonts w:hint="eastAsia" w:ascii="宋体" w:hAnsi="宋体" w:cs="宋体"/>
                <w:b/>
                <w:bCs/>
                <w:szCs w:val="21"/>
              </w:rPr>
              <w:t>数量</w:t>
            </w:r>
            <w:r>
              <w:rPr>
                <w:rFonts w:hint="eastAsia"/>
                <w:b/>
                <w:bCs/>
              </w:rPr>
              <w:t>①</w:t>
            </w:r>
          </w:p>
        </w:tc>
        <w:tc>
          <w:tcPr>
            <w:tcW w:w="781" w:type="dxa"/>
            <w:vAlign w:val="center"/>
          </w:tcPr>
          <w:p w14:paraId="03413CAE">
            <w:pPr>
              <w:snapToGrid w:val="0"/>
              <w:spacing w:before="50" w:after="50" w:line="360" w:lineRule="exact"/>
              <w:jc w:val="center"/>
              <w:rPr>
                <w:b/>
                <w:bCs/>
              </w:rPr>
            </w:pPr>
            <w:r>
              <w:rPr>
                <w:rFonts w:hint="eastAsia" w:ascii="宋体" w:hAnsi="宋体" w:cs="宋体"/>
                <w:b/>
                <w:bCs/>
                <w:szCs w:val="21"/>
              </w:rPr>
              <w:t>单位</w:t>
            </w:r>
          </w:p>
        </w:tc>
        <w:tc>
          <w:tcPr>
            <w:tcW w:w="811" w:type="dxa"/>
            <w:vAlign w:val="center"/>
          </w:tcPr>
          <w:p w14:paraId="78C199BA">
            <w:pPr>
              <w:snapToGrid w:val="0"/>
              <w:spacing w:before="50" w:after="50" w:line="360" w:lineRule="exact"/>
              <w:jc w:val="center"/>
              <w:rPr>
                <w:rFonts w:ascii="宋体" w:hAnsi="宋体" w:cs="宋体"/>
                <w:b/>
                <w:bCs/>
                <w:szCs w:val="21"/>
              </w:rPr>
            </w:pPr>
            <w:r>
              <w:rPr>
                <w:rFonts w:hint="eastAsia" w:ascii="宋体" w:hAnsi="宋体" w:cs="宋体"/>
                <w:b/>
                <w:bCs/>
                <w:color w:val="0000FF"/>
                <w:szCs w:val="21"/>
              </w:rPr>
              <w:t>生产厂家</w:t>
            </w:r>
          </w:p>
        </w:tc>
        <w:tc>
          <w:tcPr>
            <w:tcW w:w="765" w:type="dxa"/>
            <w:vAlign w:val="center"/>
          </w:tcPr>
          <w:p w14:paraId="36336F75">
            <w:pPr>
              <w:snapToGrid w:val="0"/>
              <w:spacing w:before="50" w:after="50" w:line="360" w:lineRule="exact"/>
              <w:jc w:val="center"/>
              <w:rPr>
                <w:b/>
                <w:bCs/>
              </w:rPr>
            </w:pPr>
            <w:r>
              <w:rPr>
                <w:rFonts w:hint="eastAsia" w:ascii="宋体" w:hAnsi="宋体" w:cs="宋体"/>
                <w:b/>
                <w:bCs/>
                <w:szCs w:val="21"/>
              </w:rPr>
              <w:t>品牌</w:t>
            </w:r>
          </w:p>
        </w:tc>
        <w:tc>
          <w:tcPr>
            <w:tcW w:w="811" w:type="dxa"/>
            <w:vAlign w:val="center"/>
          </w:tcPr>
          <w:p w14:paraId="6E47A1DC">
            <w:pPr>
              <w:snapToGrid w:val="0"/>
              <w:spacing w:before="50" w:after="50" w:line="360" w:lineRule="exact"/>
              <w:jc w:val="center"/>
              <w:rPr>
                <w:b/>
                <w:bCs/>
              </w:rPr>
            </w:pPr>
            <w:r>
              <w:rPr>
                <w:rFonts w:hint="eastAsia" w:ascii="宋体" w:hAnsi="宋体" w:cs="宋体"/>
                <w:b/>
                <w:bCs/>
                <w:szCs w:val="21"/>
              </w:rPr>
              <w:t>规格</w:t>
            </w:r>
          </w:p>
        </w:tc>
        <w:tc>
          <w:tcPr>
            <w:tcW w:w="1132" w:type="dxa"/>
            <w:vAlign w:val="center"/>
          </w:tcPr>
          <w:p w14:paraId="4D196444">
            <w:pPr>
              <w:spacing w:line="300" w:lineRule="exact"/>
              <w:jc w:val="center"/>
              <w:rPr>
                <w:b/>
                <w:bCs/>
              </w:rPr>
            </w:pPr>
            <w:r>
              <w:rPr>
                <w:rFonts w:hint="eastAsia" w:ascii="宋体" w:hAnsi="宋体" w:cs="宋体"/>
                <w:b/>
                <w:szCs w:val="21"/>
              </w:rPr>
              <w:t>招标基准单价</w:t>
            </w:r>
            <w:r>
              <w:rPr>
                <w:rFonts w:hint="eastAsia"/>
                <w:b/>
                <w:bCs/>
              </w:rPr>
              <w:t>（元/公斤（瓶））</w:t>
            </w:r>
          </w:p>
        </w:tc>
        <w:tc>
          <w:tcPr>
            <w:tcW w:w="1087" w:type="dxa"/>
            <w:vAlign w:val="center"/>
          </w:tcPr>
          <w:p w14:paraId="62285B8B">
            <w:pPr>
              <w:jc w:val="center"/>
              <w:rPr>
                <w:b/>
                <w:bCs/>
              </w:rPr>
            </w:pPr>
            <w:r>
              <w:rPr>
                <w:rFonts w:hint="eastAsia"/>
                <w:b/>
                <w:bCs/>
              </w:rPr>
              <w:t>折扣后投标单价（元/公斤）②</w:t>
            </w:r>
          </w:p>
        </w:tc>
        <w:tc>
          <w:tcPr>
            <w:tcW w:w="1025" w:type="dxa"/>
            <w:vAlign w:val="center"/>
          </w:tcPr>
          <w:p w14:paraId="414CD157">
            <w:pPr>
              <w:jc w:val="center"/>
              <w:rPr>
                <w:b/>
                <w:bCs/>
              </w:rPr>
            </w:pPr>
            <w:r>
              <w:rPr>
                <w:rFonts w:hint="eastAsia"/>
                <w:b/>
                <w:bCs/>
              </w:rPr>
              <w:t>折扣后报价小计（元）③=①×②</w:t>
            </w:r>
          </w:p>
        </w:tc>
      </w:tr>
      <w:tr w14:paraId="70AE2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dxa"/>
            <w:vAlign w:val="center"/>
          </w:tcPr>
          <w:p w14:paraId="37782435">
            <w:pPr>
              <w:jc w:val="center"/>
              <w:rPr>
                <w:szCs w:val="21"/>
              </w:rPr>
            </w:pPr>
          </w:p>
        </w:tc>
        <w:tc>
          <w:tcPr>
            <w:tcW w:w="1292" w:type="dxa"/>
            <w:vAlign w:val="center"/>
          </w:tcPr>
          <w:p w14:paraId="1711C46C">
            <w:pPr>
              <w:jc w:val="center"/>
              <w:rPr>
                <w:szCs w:val="21"/>
              </w:rPr>
            </w:pPr>
          </w:p>
        </w:tc>
        <w:tc>
          <w:tcPr>
            <w:tcW w:w="807" w:type="dxa"/>
            <w:vAlign w:val="center"/>
          </w:tcPr>
          <w:p w14:paraId="1FA91B6F">
            <w:pPr>
              <w:jc w:val="center"/>
              <w:rPr>
                <w:szCs w:val="21"/>
              </w:rPr>
            </w:pPr>
          </w:p>
        </w:tc>
        <w:tc>
          <w:tcPr>
            <w:tcW w:w="781" w:type="dxa"/>
            <w:vAlign w:val="center"/>
          </w:tcPr>
          <w:p w14:paraId="358E2DA4">
            <w:pPr>
              <w:jc w:val="center"/>
              <w:rPr>
                <w:szCs w:val="21"/>
              </w:rPr>
            </w:pPr>
          </w:p>
        </w:tc>
        <w:tc>
          <w:tcPr>
            <w:tcW w:w="811" w:type="dxa"/>
            <w:vAlign w:val="center"/>
          </w:tcPr>
          <w:p w14:paraId="2A79CEE3">
            <w:pPr>
              <w:jc w:val="center"/>
              <w:rPr>
                <w:szCs w:val="21"/>
              </w:rPr>
            </w:pPr>
          </w:p>
        </w:tc>
        <w:tc>
          <w:tcPr>
            <w:tcW w:w="765" w:type="dxa"/>
            <w:vAlign w:val="center"/>
          </w:tcPr>
          <w:p w14:paraId="1E0299EE">
            <w:pPr>
              <w:jc w:val="center"/>
              <w:rPr>
                <w:szCs w:val="21"/>
              </w:rPr>
            </w:pPr>
          </w:p>
        </w:tc>
        <w:tc>
          <w:tcPr>
            <w:tcW w:w="811" w:type="dxa"/>
            <w:vAlign w:val="center"/>
          </w:tcPr>
          <w:p w14:paraId="64D81387">
            <w:pPr>
              <w:jc w:val="center"/>
              <w:rPr>
                <w:szCs w:val="21"/>
              </w:rPr>
            </w:pPr>
          </w:p>
        </w:tc>
        <w:tc>
          <w:tcPr>
            <w:tcW w:w="1132" w:type="dxa"/>
            <w:vAlign w:val="center"/>
          </w:tcPr>
          <w:p w14:paraId="50721A9A">
            <w:pPr>
              <w:jc w:val="center"/>
              <w:rPr>
                <w:szCs w:val="21"/>
              </w:rPr>
            </w:pPr>
          </w:p>
        </w:tc>
        <w:tc>
          <w:tcPr>
            <w:tcW w:w="1087" w:type="dxa"/>
            <w:vAlign w:val="center"/>
          </w:tcPr>
          <w:p w14:paraId="447369C0">
            <w:pPr>
              <w:jc w:val="center"/>
              <w:rPr>
                <w:szCs w:val="21"/>
              </w:rPr>
            </w:pPr>
          </w:p>
        </w:tc>
        <w:tc>
          <w:tcPr>
            <w:tcW w:w="1025" w:type="dxa"/>
            <w:vAlign w:val="center"/>
          </w:tcPr>
          <w:p w14:paraId="1AACC27E">
            <w:pPr>
              <w:jc w:val="center"/>
              <w:rPr>
                <w:szCs w:val="21"/>
              </w:rPr>
            </w:pPr>
          </w:p>
        </w:tc>
      </w:tr>
      <w:tr w14:paraId="4BE35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dxa"/>
            <w:vAlign w:val="center"/>
          </w:tcPr>
          <w:p w14:paraId="6493CD7E">
            <w:pPr>
              <w:jc w:val="center"/>
              <w:rPr>
                <w:szCs w:val="21"/>
              </w:rPr>
            </w:pPr>
          </w:p>
        </w:tc>
        <w:tc>
          <w:tcPr>
            <w:tcW w:w="1292" w:type="dxa"/>
            <w:vAlign w:val="center"/>
          </w:tcPr>
          <w:p w14:paraId="153F44F3">
            <w:pPr>
              <w:jc w:val="center"/>
              <w:rPr>
                <w:szCs w:val="21"/>
              </w:rPr>
            </w:pPr>
          </w:p>
        </w:tc>
        <w:tc>
          <w:tcPr>
            <w:tcW w:w="807" w:type="dxa"/>
            <w:vAlign w:val="center"/>
          </w:tcPr>
          <w:p w14:paraId="3744E084">
            <w:pPr>
              <w:jc w:val="center"/>
              <w:rPr>
                <w:szCs w:val="21"/>
              </w:rPr>
            </w:pPr>
          </w:p>
        </w:tc>
        <w:tc>
          <w:tcPr>
            <w:tcW w:w="781" w:type="dxa"/>
            <w:vAlign w:val="center"/>
          </w:tcPr>
          <w:p w14:paraId="6865F14E">
            <w:pPr>
              <w:jc w:val="center"/>
              <w:rPr>
                <w:szCs w:val="21"/>
              </w:rPr>
            </w:pPr>
          </w:p>
        </w:tc>
        <w:tc>
          <w:tcPr>
            <w:tcW w:w="811" w:type="dxa"/>
            <w:vAlign w:val="center"/>
          </w:tcPr>
          <w:p w14:paraId="29E736DF">
            <w:pPr>
              <w:jc w:val="center"/>
              <w:rPr>
                <w:szCs w:val="21"/>
              </w:rPr>
            </w:pPr>
          </w:p>
        </w:tc>
        <w:tc>
          <w:tcPr>
            <w:tcW w:w="765" w:type="dxa"/>
            <w:vAlign w:val="center"/>
          </w:tcPr>
          <w:p w14:paraId="2630D451">
            <w:pPr>
              <w:jc w:val="center"/>
              <w:rPr>
                <w:szCs w:val="21"/>
              </w:rPr>
            </w:pPr>
          </w:p>
        </w:tc>
        <w:tc>
          <w:tcPr>
            <w:tcW w:w="811" w:type="dxa"/>
            <w:vAlign w:val="center"/>
          </w:tcPr>
          <w:p w14:paraId="3A4DEFF5">
            <w:pPr>
              <w:jc w:val="center"/>
              <w:rPr>
                <w:szCs w:val="21"/>
              </w:rPr>
            </w:pPr>
          </w:p>
        </w:tc>
        <w:tc>
          <w:tcPr>
            <w:tcW w:w="1132" w:type="dxa"/>
            <w:vAlign w:val="center"/>
          </w:tcPr>
          <w:p w14:paraId="5AFB5D3F">
            <w:pPr>
              <w:jc w:val="center"/>
              <w:rPr>
                <w:szCs w:val="21"/>
              </w:rPr>
            </w:pPr>
          </w:p>
        </w:tc>
        <w:tc>
          <w:tcPr>
            <w:tcW w:w="1087" w:type="dxa"/>
            <w:vAlign w:val="center"/>
          </w:tcPr>
          <w:p w14:paraId="78353285">
            <w:pPr>
              <w:jc w:val="center"/>
              <w:rPr>
                <w:szCs w:val="21"/>
              </w:rPr>
            </w:pPr>
          </w:p>
        </w:tc>
        <w:tc>
          <w:tcPr>
            <w:tcW w:w="1025" w:type="dxa"/>
            <w:vAlign w:val="center"/>
          </w:tcPr>
          <w:p w14:paraId="2BE00317">
            <w:pPr>
              <w:jc w:val="center"/>
              <w:rPr>
                <w:szCs w:val="21"/>
              </w:rPr>
            </w:pPr>
          </w:p>
        </w:tc>
      </w:tr>
      <w:tr w14:paraId="7D5C0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94" w:type="dxa"/>
            <w:vAlign w:val="center"/>
          </w:tcPr>
          <w:p w14:paraId="6C759170">
            <w:pPr>
              <w:jc w:val="center"/>
              <w:rPr>
                <w:szCs w:val="21"/>
              </w:rPr>
            </w:pPr>
          </w:p>
        </w:tc>
        <w:tc>
          <w:tcPr>
            <w:tcW w:w="1292" w:type="dxa"/>
            <w:vAlign w:val="center"/>
          </w:tcPr>
          <w:p w14:paraId="75596E18">
            <w:pPr>
              <w:jc w:val="center"/>
              <w:rPr>
                <w:szCs w:val="21"/>
              </w:rPr>
            </w:pPr>
          </w:p>
        </w:tc>
        <w:tc>
          <w:tcPr>
            <w:tcW w:w="807" w:type="dxa"/>
            <w:vAlign w:val="center"/>
          </w:tcPr>
          <w:p w14:paraId="02E18B07">
            <w:pPr>
              <w:jc w:val="center"/>
              <w:rPr>
                <w:szCs w:val="21"/>
              </w:rPr>
            </w:pPr>
          </w:p>
        </w:tc>
        <w:tc>
          <w:tcPr>
            <w:tcW w:w="781" w:type="dxa"/>
            <w:vAlign w:val="center"/>
          </w:tcPr>
          <w:p w14:paraId="219F4C35">
            <w:pPr>
              <w:jc w:val="center"/>
              <w:rPr>
                <w:szCs w:val="21"/>
              </w:rPr>
            </w:pPr>
          </w:p>
        </w:tc>
        <w:tc>
          <w:tcPr>
            <w:tcW w:w="811" w:type="dxa"/>
            <w:vAlign w:val="center"/>
          </w:tcPr>
          <w:p w14:paraId="773B5DBA">
            <w:pPr>
              <w:jc w:val="center"/>
              <w:rPr>
                <w:szCs w:val="21"/>
              </w:rPr>
            </w:pPr>
          </w:p>
        </w:tc>
        <w:tc>
          <w:tcPr>
            <w:tcW w:w="765" w:type="dxa"/>
            <w:vAlign w:val="center"/>
          </w:tcPr>
          <w:p w14:paraId="3B879C8F">
            <w:pPr>
              <w:jc w:val="center"/>
              <w:rPr>
                <w:szCs w:val="21"/>
              </w:rPr>
            </w:pPr>
          </w:p>
        </w:tc>
        <w:tc>
          <w:tcPr>
            <w:tcW w:w="811" w:type="dxa"/>
            <w:vAlign w:val="center"/>
          </w:tcPr>
          <w:p w14:paraId="5C8DFAAE">
            <w:pPr>
              <w:jc w:val="center"/>
              <w:rPr>
                <w:szCs w:val="21"/>
              </w:rPr>
            </w:pPr>
          </w:p>
        </w:tc>
        <w:tc>
          <w:tcPr>
            <w:tcW w:w="1132" w:type="dxa"/>
            <w:vAlign w:val="center"/>
          </w:tcPr>
          <w:p w14:paraId="4DD6D228">
            <w:pPr>
              <w:jc w:val="center"/>
              <w:rPr>
                <w:szCs w:val="21"/>
              </w:rPr>
            </w:pPr>
          </w:p>
        </w:tc>
        <w:tc>
          <w:tcPr>
            <w:tcW w:w="1087" w:type="dxa"/>
            <w:vAlign w:val="center"/>
          </w:tcPr>
          <w:p w14:paraId="4549266B">
            <w:pPr>
              <w:jc w:val="center"/>
              <w:rPr>
                <w:szCs w:val="21"/>
              </w:rPr>
            </w:pPr>
          </w:p>
        </w:tc>
        <w:tc>
          <w:tcPr>
            <w:tcW w:w="1025" w:type="dxa"/>
            <w:vAlign w:val="center"/>
          </w:tcPr>
          <w:p w14:paraId="2253A134">
            <w:pPr>
              <w:jc w:val="center"/>
              <w:rPr>
                <w:szCs w:val="21"/>
              </w:rPr>
            </w:pPr>
          </w:p>
        </w:tc>
      </w:tr>
      <w:tr w14:paraId="3E2CE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94" w:type="dxa"/>
            <w:vAlign w:val="center"/>
          </w:tcPr>
          <w:p w14:paraId="4DDB0A68"/>
        </w:tc>
        <w:tc>
          <w:tcPr>
            <w:tcW w:w="7486" w:type="dxa"/>
            <w:gridSpan w:val="8"/>
            <w:vAlign w:val="center"/>
          </w:tcPr>
          <w:p w14:paraId="672B0554">
            <w:r>
              <w:rPr>
                <w:rFonts w:hint="eastAsia"/>
              </w:rPr>
              <w:t>合同合计总报价：人民币</w:t>
            </w:r>
            <w:r>
              <w:rPr>
                <w:rFonts w:hint="eastAsia"/>
                <w:u w:val="single"/>
              </w:rPr>
              <w:t xml:space="preserve">                </w:t>
            </w:r>
            <w:r>
              <w:rPr>
                <w:rFonts w:hint="eastAsia"/>
              </w:rPr>
              <w:t>（¥</w:t>
            </w:r>
            <w:r>
              <w:rPr>
                <w:rFonts w:hint="eastAsia"/>
                <w:u w:val="single"/>
              </w:rPr>
              <w:t xml:space="preserve">           </w:t>
            </w:r>
            <w:r>
              <w:rPr>
                <w:rFonts w:hint="eastAsia"/>
              </w:rPr>
              <w:t>）</w:t>
            </w:r>
          </w:p>
        </w:tc>
        <w:tc>
          <w:tcPr>
            <w:tcW w:w="1025" w:type="dxa"/>
            <w:vAlign w:val="center"/>
          </w:tcPr>
          <w:p w14:paraId="787867A4"/>
        </w:tc>
      </w:tr>
      <w:tr w14:paraId="42F52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4" w:type="dxa"/>
            <w:vAlign w:val="center"/>
          </w:tcPr>
          <w:p w14:paraId="5CF26A87"/>
        </w:tc>
        <w:tc>
          <w:tcPr>
            <w:tcW w:w="7486" w:type="dxa"/>
            <w:gridSpan w:val="8"/>
            <w:vAlign w:val="center"/>
          </w:tcPr>
          <w:p w14:paraId="5AED91DC">
            <w:r>
              <w:rPr>
                <w:rFonts w:hint="eastAsia"/>
              </w:rPr>
              <w:t>折扣系数（%）：</w:t>
            </w:r>
            <w:r>
              <w:rPr>
                <w:rFonts w:hint="eastAsia"/>
                <w:u w:val="single"/>
              </w:rPr>
              <w:t xml:space="preserve">                                     </w:t>
            </w:r>
          </w:p>
        </w:tc>
        <w:tc>
          <w:tcPr>
            <w:tcW w:w="1025" w:type="dxa"/>
            <w:vAlign w:val="center"/>
          </w:tcPr>
          <w:p w14:paraId="67019670"/>
        </w:tc>
      </w:tr>
    </w:tbl>
    <w:p w14:paraId="51FEC06E">
      <w:pPr>
        <w:snapToGrid w:val="0"/>
        <w:spacing w:line="360" w:lineRule="exact"/>
        <w:ind w:firstLine="420" w:firstLineChars="200"/>
        <w:rPr>
          <w:szCs w:val="21"/>
        </w:rPr>
      </w:pPr>
      <w:r>
        <w:rPr>
          <w:rFonts w:hint="eastAsia"/>
          <w:szCs w:val="21"/>
        </w:rPr>
        <w:t>合同金额是履行合同的最终价格，即满足全部采购需求所应提供的服务，以及伴随的货物和工程（如有）的价格；包括投标服务、技术服务、培训、税费等所有费用。</w:t>
      </w:r>
    </w:p>
    <w:p w14:paraId="35290D7C">
      <w:pPr>
        <w:snapToGrid w:val="0"/>
        <w:spacing w:line="360" w:lineRule="exact"/>
        <w:ind w:firstLine="422" w:firstLineChars="200"/>
        <w:rPr>
          <w:b/>
          <w:bCs/>
          <w:szCs w:val="21"/>
        </w:rPr>
      </w:pPr>
      <w:r>
        <w:rPr>
          <w:rFonts w:hint="eastAsia"/>
          <w:b/>
          <w:bCs/>
          <w:szCs w:val="21"/>
        </w:rPr>
        <w:t>二、质量保证</w:t>
      </w:r>
    </w:p>
    <w:p w14:paraId="02F71981">
      <w:pPr>
        <w:snapToGrid w:val="0"/>
        <w:spacing w:line="360" w:lineRule="exact"/>
        <w:ind w:firstLine="420" w:firstLineChars="200"/>
        <w:rPr>
          <w:szCs w:val="21"/>
        </w:rPr>
      </w:pPr>
      <w:r>
        <w:rPr>
          <w:rFonts w:hint="eastAsia"/>
          <w:szCs w:val="21"/>
        </w:rPr>
        <w:t>1.乙方提供的货物必须是具有合法销售途径的、完整、新鲜合格产品。货物的技术质量，包括品牌、型号、技术规格、技术参数等必须符合中华人民共和国农产品质量安全法等有关规定，必须与招投标文件和承诺相一致。</w:t>
      </w:r>
    </w:p>
    <w:p w14:paraId="5C9A19F7">
      <w:pPr>
        <w:snapToGrid w:val="0"/>
        <w:spacing w:line="360" w:lineRule="exact"/>
        <w:ind w:firstLine="420" w:firstLineChars="200"/>
        <w:rPr>
          <w:szCs w:val="21"/>
        </w:rPr>
      </w:pPr>
      <w:r>
        <w:rPr>
          <w:rFonts w:hint="eastAsia"/>
          <w:szCs w:val="21"/>
        </w:rPr>
        <w:t>2.乙方所供食品需符合国家食品卫生标准，不得提供腐烂变质、霉变、异形等食品。 如发生食物中毒，查明原因后，确实是乙方提供的货源，一切后果由乙方承担。</w:t>
      </w:r>
    </w:p>
    <w:p w14:paraId="1EE30A1A">
      <w:pPr>
        <w:snapToGrid w:val="0"/>
        <w:spacing w:line="360" w:lineRule="exact"/>
        <w:ind w:firstLine="420" w:firstLineChars="200"/>
        <w:rPr>
          <w:szCs w:val="21"/>
        </w:rPr>
      </w:pPr>
      <w:r>
        <w:rPr>
          <w:rFonts w:hint="eastAsia"/>
          <w:szCs w:val="21"/>
        </w:rPr>
        <w:t>3.乙方提供的肉类食品必须符合下列要求：</w:t>
      </w:r>
    </w:p>
    <w:p w14:paraId="07074B1C">
      <w:pPr>
        <w:snapToGrid w:val="0"/>
        <w:spacing w:line="360" w:lineRule="exact"/>
        <w:ind w:firstLine="420" w:firstLineChars="200"/>
        <w:rPr>
          <w:szCs w:val="21"/>
        </w:rPr>
      </w:pPr>
      <w:r>
        <w:rPr>
          <w:rFonts w:hint="eastAsia"/>
          <w:szCs w:val="21"/>
        </w:rPr>
        <w:t>⑴必须是经注册合法经营的食品公司统一定点屠宰猪肉或肉制品、水产品等。</w:t>
      </w:r>
    </w:p>
    <w:p w14:paraId="3DD92579">
      <w:pPr>
        <w:snapToGrid w:val="0"/>
        <w:spacing w:line="360" w:lineRule="exact"/>
        <w:ind w:firstLine="420" w:firstLineChars="200"/>
        <w:rPr>
          <w:szCs w:val="21"/>
        </w:rPr>
      </w:pPr>
      <w:r>
        <w:rPr>
          <w:rFonts w:hint="eastAsia"/>
          <w:szCs w:val="21"/>
        </w:rPr>
        <w:t>⑵必须经检验部门检验合格并加盖检疫章的肉类或肉制品。</w:t>
      </w:r>
    </w:p>
    <w:p w14:paraId="4E7F648E">
      <w:pPr>
        <w:snapToGrid w:val="0"/>
        <w:spacing w:line="360" w:lineRule="exact"/>
        <w:ind w:firstLine="420" w:firstLineChars="200"/>
        <w:rPr>
          <w:szCs w:val="21"/>
        </w:rPr>
      </w:pPr>
      <w:r>
        <w:rPr>
          <w:rFonts w:hint="eastAsia"/>
          <w:szCs w:val="21"/>
        </w:rPr>
        <w:t>⑶全部肉类必须是新鲜产品，不准配送冰冻产品、进口产品类食材、海鱼等海鲜产品。</w:t>
      </w:r>
    </w:p>
    <w:p w14:paraId="08416E03">
      <w:pPr>
        <w:snapToGrid w:val="0"/>
        <w:spacing w:line="360" w:lineRule="exact"/>
        <w:ind w:firstLine="420" w:firstLineChars="200"/>
        <w:rPr>
          <w:szCs w:val="21"/>
        </w:rPr>
      </w:pPr>
      <w:r>
        <w:rPr>
          <w:rFonts w:hint="eastAsia"/>
          <w:szCs w:val="21"/>
        </w:rPr>
        <w:t>4.乙方供应给甲方的蔬菜类，所有产品农药残留检测合格，质量符合《中华人民共和国农产品质量安全法》的要求，新鲜、干净、无杂质，无腐烂变质，可食率达95%以上。否则由此造成的一切后果及其损失均由乙方负责。</w:t>
      </w:r>
    </w:p>
    <w:p w14:paraId="51261512">
      <w:pPr>
        <w:snapToGrid w:val="0"/>
        <w:spacing w:line="360" w:lineRule="exact"/>
        <w:ind w:firstLine="420" w:firstLineChars="200"/>
        <w:rPr>
          <w:szCs w:val="21"/>
        </w:rPr>
      </w:pPr>
      <w:r>
        <w:rPr>
          <w:rFonts w:hint="eastAsia"/>
          <w:szCs w:val="21"/>
        </w:rPr>
        <w:t>5.乙方应在每批次货物供应时向甲方提供质量监督管理部门出具的货物/产品质量合格证明、产品质量检测报告或检疫报告等质量安全检验证明材料，并确保供应货物的质量符合甲方要求。</w:t>
      </w:r>
    </w:p>
    <w:p w14:paraId="3D034548">
      <w:pPr>
        <w:snapToGrid w:val="0"/>
        <w:spacing w:line="360" w:lineRule="exact"/>
        <w:ind w:firstLine="422" w:firstLineChars="200"/>
        <w:rPr>
          <w:b/>
          <w:bCs/>
          <w:szCs w:val="21"/>
        </w:rPr>
      </w:pPr>
      <w:r>
        <w:rPr>
          <w:rFonts w:hint="eastAsia"/>
          <w:b/>
          <w:bCs/>
          <w:szCs w:val="21"/>
        </w:rPr>
        <w:t>三、权利保证</w:t>
      </w:r>
    </w:p>
    <w:p w14:paraId="4185AAA8">
      <w:pPr>
        <w:snapToGrid w:val="0"/>
        <w:spacing w:line="360" w:lineRule="exact"/>
        <w:ind w:firstLine="420" w:firstLineChars="200"/>
        <w:rPr>
          <w:szCs w:val="21"/>
        </w:rPr>
      </w:pPr>
      <w:r>
        <w:rPr>
          <w:rFonts w:hint="eastAsia"/>
          <w:szCs w:val="21"/>
        </w:rPr>
        <w:t>乙方应保证所提供货物在使用时不会侵犯任何第三方的专利权、商标权或其他权利。乙方保证所交付货物的所有权完全属于乙方且无任何抵押、质押、查封等产权瑕疵。</w:t>
      </w:r>
    </w:p>
    <w:p w14:paraId="3FF0BE28">
      <w:pPr>
        <w:snapToGrid w:val="0"/>
        <w:spacing w:line="360" w:lineRule="exact"/>
        <w:ind w:firstLine="422" w:firstLineChars="200"/>
        <w:rPr>
          <w:b/>
          <w:bCs/>
          <w:szCs w:val="21"/>
        </w:rPr>
      </w:pPr>
      <w:r>
        <w:rPr>
          <w:rFonts w:hint="eastAsia"/>
          <w:b/>
          <w:bCs/>
          <w:szCs w:val="21"/>
        </w:rPr>
        <w:t>四、包装、运输及装卸</w:t>
      </w:r>
    </w:p>
    <w:p w14:paraId="11BBD72E">
      <w:pPr>
        <w:snapToGrid w:val="0"/>
        <w:spacing w:line="360" w:lineRule="exact"/>
        <w:ind w:firstLine="420" w:firstLineChars="200"/>
        <w:rPr>
          <w:szCs w:val="21"/>
        </w:rPr>
      </w:pPr>
      <w:r>
        <w:rPr>
          <w:rFonts w:hint="eastAsia"/>
          <w:szCs w:val="21"/>
        </w:rPr>
        <w:t>1.乙方提供的货物均应按招标文件规定或者投标文件承诺的要求的包装材料、包装标准、包装方式进行包装，每一包装单元内应附质量安全检验合格证明。</w:t>
      </w:r>
    </w:p>
    <w:p w14:paraId="6E3AC099">
      <w:pPr>
        <w:snapToGrid w:val="0"/>
        <w:spacing w:line="360" w:lineRule="exact"/>
        <w:ind w:firstLine="420" w:firstLineChars="200"/>
        <w:rPr>
          <w:szCs w:val="21"/>
        </w:rPr>
      </w:pPr>
      <w:r>
        <w:rPr>
          <w:rFonts w:hint="eastAsia"/>
          <w:szCs w:val="21"/>
        </w:rPr>
        <w:t>2.货物的运输方式： 冷链车或普通货车 。乙方自行选择，生鲜肉食材必须冷链车配送，满足货物保鲜无污染，米粉等新鲜食材生产环境安全卫生、运输距离、防潮、防震、防锈和防破损装卸要求，以保证货物安全运输到达甲方指定地点。</w:t>
      </w:r>
    </w:p>
    <w:p w14:paraId="5EFB92F5">
      <w:pPr>
        <w:snapToGrid w:val="0"/>
        <w:spacing w:line="360" w:lineRule="exact"/>
        <w:ind w:firstLine="420" w:firstLineChars="200"/>
        <w:rPr>
          <w:szCs w:val="21"/>
        </w:rPr>
      </w:pPr>
      <w:r>
        <w:rPr>
          <w:rFonts w:hint="eastAsia"/>
          <w:szCs w:val="21"/>
        </w:rPr>
        <w:t>3.货物运输、装卸由乙方负责，运输、装卸人员由乙方安排，运输及卸车费用由乙方承担。为确保运输过程的食品安全，乙方必须固定人员固定车辆送货，并提供送货人员健康证明材料及无犯罪记录证明材料。如临时更换固定人员或固定车辆送货，须取得甲方同意。货物运输合理损耗及计算方法： 所有损耗由乙方负责 。</w:t>
      </w:r>
    </w:p>
    <w:p w14:paraId="7441B810">
      <w:pPr>
        <w:snapToGrid w:val="0"/>
        <w:spacing w:line="360" w:lineRule="exact"/>
        <w:ind w:firstLine="420" w:firstLineChars="200"/>
        <w:rPr>
          <w:szCs w:val="21"/>
        </w:rPr>
      </w:pPr>
      <w:r>
        <w:rPr>
          <w:rFonts w:hint="eastAsia"/>
          <w:szCs w:val="21"/>
        </w:rPr>
        <w:t>4.货物在交付甲方前发生的风险均由乙方负责。</w:t>
      </w:r>
    </w:p>
    <w:p w14:paraId="183F2FB5">
      <w:pPr>
        <w:snapToGrid w:val="0"/>
        <w:spacing w:line="360" w:lineRule="exact"/>
        <w:ind w:firstLine="422" w:firstLineChars="200"/>
        <w:rPr>
          <w:b/>
          <w:bCs/>
          <w:szCs w:val="21"/>
        </w:rPr>
      </w:pPr>
      <w:r>
        <w:rPr>
          <w:rFonts w:hint="eastAsia"/>
          <w:b/>
          <w:bCs/>
          <w:szCs w:val="21"/>
        </w:rPr>
        <w:t xml:space="preserve">五、交付和验收 </w:t>
      </w:r>
    </w:p>
    <w:p w14:paraId="4B15E9D3">
      <w:pPr>
        <w:pStyle w:val="17"/>
        <w:rPr>
          <w:szCs w:val="21"/>
        </w:rPr>
      </w:pPr>
      <w:r>
        <w:rPr>
          <w:rFonts w:hint="eastAsia"/>
          <w:szCs w:val="21"/>
        </w:rPr>
        <w:t>交付时间及供货要求：在合同有效期范围内，按甲方招标文件的规定及甲方实际分批次供货的要求，按甲方采购计划规定的时间全年无休供货</w:t>
      </w:r>
      <w:r>
        <w:rPr>
          <w:rFonts w:hint="eastAsia"/>
        </w:rPr>
        <w:t>，如遇紧急采购情况，乙方应在</w:t>
      </w:r>
      <w:r>
        <w:rPr>
          <w:rFonts w:hint="eastAsia"/>
          <w:u w:val="single"/>
        </w:rPr>
        <w:t xml:space="preserve">      </w:t>
      </w:r>
      <w:r>
        <w:rPr>
          <w:rFonts w:hint="eastAsia"/>
        </w:rPr>
        <w:t>小时内将货物送达。（必须与招投标文件承诺相一致）</w:t>
      </w:r>
    </w:p>
    <w:p w14:paraId="22B830E6">
      <w:pPr>
        <w:snapToGrid w:val="0"/>
        <w:spacing w:line="360" w:lineRule="exact"/>
        <w:ind w:firstLine="420" w:firstLineChars="200"/>
        <w:rPr>
          <w:szCs w:val="21"/>
        </w:rPr>
      </w:pPr>
      <w:r>
        <w:rPr>
          <w:rFonts w:hint="eastAsia"/>
          <w:szCs w:val="21"/>
        </w:rPr>
        <w:t>配送要求：（1）为确保乙方的责任落实，甲方一般在周五将下一周菜单交给乙方，并于每天下午6时前将第二天具体所需要的物资通知乙方，以便乙方提早准备。</w:t>
      </w:r>
    </w:p>
    <w:p w14:paraId="0F38BAF4">
      <w:pPr>
        <w:snapToGrid w:val="0"/>
        <w:spacing w:line="360" w:lineRule="exact"/>
        <w:ind w:firstLine="420" w:firstLineChars="200"/>
        <w:rPr>
          <w:szCs w:val="21"/>
        </w:rPr>
      </w:pPr>
      <w:r>
        <w:rPr>
          <w:rFonts w:hint="eastAsia"/>
          <w:szCs w:val="21"/>
        </w:rPr>
        <w:t>（2）分批次供货，按采购单位采购计划规定的时间供货（包含节假日）。乙方约定送货当日上午8：00 前将货物送达甲方指定的地点。特殊情况按约定时间送货。</w:t>
      </w:r>
    </w:p>
    <w:p w14:paraId="0E68DC7D">
      <w:pPr>
        <w:snapToGrid w:val="0"/>
        <w:spacing w:line="360" w:lineRule="exact"/>
        <w:ind w:firstLine="420" w:firstLineChars="200"/>
        <w:rPr>
          <w:szCs w:val="21"/>
        </w:rPr>
      </w:pPr>
      <w:r>
        <w:rPr>
          <w:rFonts w:hint="eastAsia"/>
          <w:szCs w:val="21"/>
        </w:rPr>
        <w:t>（3）乙方必须按照监狱食堂物资采购员通知的时间、数量、品种、品质要求准时送货，经验收合格后签字确认，不能以任何理由推脱，一旦影响到甲方的正常运转，乙方应承担相应的经济赔偿，并视为违约处理。</w:t>
      </w:r>
    </w:p>
    <w:p w14:paraId="67DF6393">
      <w:pPr>
        <w:snapToGrid w:val="0"/>
        <w:spacing w:line="360" w:lineRule="exact"/>
        <w:ind w:firstLine="420" w:firstLineChars="200"/>
        <w:rPr>
          <w:szCs w:val="21"/>
        </w:rPr>
      </w:pPr>
      <w:r>
        <w:rPr>
          <w:rFonts w:hint="eastAsia"/>
          <w:szCs w:val="21"/>
        </w:rPr>
        <w:t>2.乙方提供不符合招标文件、投标文件和本合同规定的货物，甲方有权拒绝接受。并按照乙方逾期交付情形向甲方承担违约责任。</w:t>
      </w:r>
    </w:p>
    <w:p w14:paraId="7FFBF922">
      <w:pPr>
        <w:snapToGrid w:val="0"/>
        <w:spacing w:line="360" w:lineRule="exact"/>
        <w:ind w:firstLine="420" w:firstLineChars="200"/>
        <w:rPr>
          <w:szCs w:val="21"/>
        </w:rPr>
      </w:pPr>
      <w:r>
        <w:rPr>
          <w:rFonts w:hint="eastAsia"/>
          <w:szCs w:val="21"/>
        </w:rPr>
        <w:t>3.交货验收必须由甲方和乙方共同进行，甲方如认为有需要的，可委托相关检验部门对产品进行抽检，自检或检验部门抽检不合格的不给予验收，影响甲方实施进度的将追究相关责任，抽检产生的费用全部由乙方负责。</w:t>
      </w:r>
    </w:p>
    <w:p w14:paraId="00917B6D">
      <w:pPr>
        <w:snapToGrid w:val="0"/>
        <w:spacing w:line="360" w:lineRule="exact"/>
        <w:ind w:firstLine="420" w:firstLineChars="200"/>
        <w:rPr>
          <w:szCs w:val="21"/>
        </w:rPr>
      </w:pPr>
      <w:r>
        <w:rPr>
          <w:rFonts w:hint="eastAsia"/>
          <w:szCs w:val="21"/>
        </w:rPr>
        <w:t>4.验收工作的一般程序为：根据货物采购清单的具体要求，对所购名称进行清点、外观检查进行实测，并逐项记录。检测结束后，验收人员在验收单上签字。对未能通过验收的，一律退货、更换直至验收合格。</w:t>
      </w:r>
    </w:p>
    <w:p w14:paraId="6838B1A1">
      <w:pPr>
        <w:snapToGrid w:val="0"/>
        <w:spacing w:line="360" w:lineRule="exact"/>
        <w:ind w:firstLine="422" w:firstLineChars="200"/>
        <w:rPr>
          <w:b/>
          <w:bCs/>
          <w:szCs w:val="21"/>
        </w:rPr>
      </w:pPr>
      <w:r>
        <w:rPr>
          <w:rFonts w:hint="eastAsia"/>
          <w:b/>
          <w:bCs/>
          <w:szCs w:val="21"/>
        </w:rPr>
        <w:t xml:space="preserve">六、付款方式 </w:t>
      </w:r>
    </w:p>
    <w:p w14:paraId="62034DB2">
      <w:pPr>
        <w:snapToGrid w:val="0"/>
        <w:spacing w:line="360" w:lineRule="exact"/>
        <w:ind w:firstLine="420" w:firstLineChars="200"/>
        <w:rPr>
          <w:szCs w:val="21"/>
        </w:rPr>
      </w:pPr>
      <w:r>
        <w:rPr>
          <w:rFonts w:hint="eastAsia"/>
          <w:szCs w:val="21"/>
        </w:rPr>
        <w:t>1.实际采购数量由甲方按实际工作需要作出采购计划后进行采购，货款按照乙方在合同期内实际配数并验收合格的数量及单价（分标2和分标3前三个月按招标基准单价*中标折扣系数，其余合同期内如符合下述第2款调价条件的，按调价后的单价*中标折扣系数；分标1和分标4按招标基准单价*中标折扣系数，不予调价）进行定期结算。</w:t>
      </w:r>
    </w:p>
    <w:p w14:paraId="33C893A9">
      <w:pPr>
        <w:snapToGrid w:val="0"/>
        <w:spacing w:line="360" w:lineRule="exact"/>
        <w:ind w:firstLine="420" w:firstLineChars="200"/>
        <w:rPr>
          <w:szCs w:val="21"/>
        </w:rPr>
      </w:pPr>
      <w:r>
        <w:rPr>
          <w:rFonts w:hint="eastAsia"/>
          <w:szCs w:val="21"/>
        </w:rPr>
        <w:t>2.随着季节交替，存在市场价格变动，采购单价=基准单价×中标折扣系数。合同签订之日起 3 个月（90 天）价格不予调整，往后每3个月可以对市场价格变动幅度超过±20%的商品价格，进行基准单价调整1次。由乙方或者甲方提出调价申请，由甲方面向柳州市市场主体（柳州市市场主体为广西新柳邕农产品批发市场（柳州海吉星）、柳州市西江综合批发市场、鹿寨县鹿寨市场、鹿寨县桂中市场、鹿寨县开心购物超市）选择不少于 3 家具有代表性的调查对象开展市场价格调查，由甲方审议拟定新的基准单价，乙方应遵照执行。基准单价调整后，采购单价为变动后的基准单价×中标折扣系数。乙方应充分考虑到供货期间物品供应基准价上涨的风险。在调价申请未得到批复前，乙方必须按现行价格供货，否则视为单方违约，同时按违约进行处理。3个月后自动按初始中标价格执行，如需继续调升（降）价格，则乙方或甲方需重新提交调价申请，重新按规定程序进行审批（分标2、分标3适用，分标1、分标4不予调价）。</w:t>
      </w:r>
    </w:p>
    <w:p w14:paraId="30D586BF">
      <w:pPr>
        <w:snapToGrid w:val="0"/>
        <w:spacing w:line="360" w:lineRule="exact"/>
        <w:ind w:firstLine="420" w:firstLineChars="200"/>
        <w:rPr>
          <w:szCs w:val="21"/>
        </w:rPr>
      </w:pPr>
      <w:r>
        <w:rPr>
          <w:rFonts w:hint="eastAsia"/>
          <w:szCs w:val="21"/>
        </w:rPr>
        <w:t>3.付款方式：</w:t>
      </w:r>
    </w:p>
    <w:p w14:paraId="0A9F2AC0">
      <w:pPr>
        <w:snapToGrid w:val="0"/>
        <w:spacing w:line="360" w:lineRule="exact"/>
        <w:ind w:firstLine="420" w:firstLineChars="200"/>
        <w:rPr>
          <w:szCs w:val="21"/>
        </w:rPr>
      </w:pPr>
      <w:r>
        <w:rPr>
          <w:rFonts w:hint="eastAsia"/>
          <w:szCs w:val="21"/>
        </w:rPr>
        <w:t>（1）分批供货，每批次货款根据双方确认的批次的供货数量进行结算；</w:t>
      </w:r>
    </w:p>
    <w:p w14:paraId="1737C7AB">
      <w:pPr>
        <w:snapToGrid w:val="0"/>
        <w:spacing w:line="360" w:lineRule="exact"/>
        <w:ind w:firstLine="420" w:firstLineChars="200"/>
        <w:rPr>
          <w:szCs w:val="21"/>
        </w:rPr>
      </w:pPr>
      <w:r>
        <w:rPr>
          <w:rFonts w:hint="eastAsia"/>
          <w:szCs w:val="21"/>
        </w:rPr>
        <w:t>（2）按月结算，甲方在收到乙方上月全额发票后 10个工作日内向乙方一次付清上月货物的全部货款。</w:t>
      </w:r>
    </w:p>
    <w:p w14:paraId="51F39C46">
      <w:pPr>
        <w:snapToGrid w:val="0"/>
        <w:spacing w:line="360" w:lineRule="exact"/>
        <w:ind w:firstLine="420" w:firstLineChars="200"/>
        <w:rPr>
          <w:szCs w:val="21"/>
        </w:rPr>
      </w:pPr>
      <w:r>
        <w:rPr>
          <w:rFonts w:hint="eastAsia"/>
          <w:szCs w:val="21"/>
        </w:rPr>
        <w:t>（3）乙方不得要求甲方将货款支付给乙方以外的任何人或公司。</w:t>
      </w:r>
    </w:p>
    <w:p w14:paraId="09BF0944">
      <w:pPr>
        <w:snapToGrid w:val="0"/>
        <w:spacing w:line="360" w:lineRule="exact"/>
        <w:ind w:firstLine="420" w:firstLineChars="200"/>
        <w:rPr>
          <w:szCs w:val="21"/>
        </w:rPr>
      </w:pPr>
      <w:r>
        <w:rPr>
          <w:rFonts w:hint="eastAsia"/>
          <w:szCs w:val="21"/>
        </w:rPr>
        <w:t>（4）收款方、出具发票方、必须与合同乙方名称保持一致。</w:t>
      </w:r>
    </w:p>
    <w:p w14:paraId="00D33565">
      <w:pPr>
        <w:snapToGrid w:val="0"/>
        <w:spacing w:line="360" w:lineRule="exact"/>
        <w:ind w:firstLine="420" w:firstLineChars="200"/>
        <w:rPr>
          <w:szCs w:val="21"/>
        </w:rPr>
      </w:pPr>
      <w:r>
        <w:rPr>
          <w:rFonts w:hint="eastAsia"/>
          <w:szCs w:val="21"/>
        </w:rPr>
        <w:t>4.资金性质： 财政性资金。</w:t>
      </w:r>
    </w:p>
    <w:p w14:paraId="41B4264E">
      <w:pPr>
        <w:snapToGrid w:val="0"/>
        <w:spacing w:line="360" w:lineRule="exact"/>
        <w:ind w:firstLine="422" w:firstLineChars="200"/>
        <w:rPr>
          <w:szCs w:val="21"/>
        </w:rPr>
      </w:pPr>
      <w:r>
        <w:rPr>
          <w:rFonts w:hint="eastAsia"/>
          <w:b/>
          <w:bCs/>
          <w:szCs w:val="21"/>
        </w:rPr>
        <w:t>七、履约保证金</w:t>
      </w:r>
      <w:r>
        <w:rPr>
          <w:rFonts w:hint="eastAsia"/>
          <w:szCs w:val="21"/>
        </w:rPr>
        <w:t xml:space="preserve"> </w:t>
      </w:r>
    </w:p>
    <w:p w14:paraId="372E442C">
      <w:pPr>
        <w:snapToGrid w:val="0"/>
        <w:spacing w:line="360" w:lineRule="exact"/>
        <w:ind w:firstLine="420" w:firstLineChars="200"/>
        <w:rPr>
          <w:szCs w:val="21"/>
        </w:rPr>
      </w:pPr>
      <w:r>
        <w:rPr>
          <w:rFonts w:hint="eastAsia"/>
          <w:szCs w:val="21"/>
        </w:rPr>
        <w:t>1.乙方提供的履约保证金金额为：非中小企业按合同金额的 5 %，中小企业按合同金额的 2 %。</w:t>
      </w:r>
    </w:p>
    <w:p w14:paraId="04FA1604">
      <w:pPr>
        <w:snapToGrid w:val="0"/>
        <w:spacing w:line="360" w:lineRule="exact"/>
        <w:ind w:firstLine="420" w:firstLineChars="200"/>
        <w:rPr>
          <w:szCs w:val="21"/>
        </w:rPr>
      </w:pPr>
      <w:r>
        <w:rPr>
          <w:rFonts w:hint="eastAsia"/>
          <w:szCs w:val="21"/>
        </w:rPr>
        <w:t>2.履约保证金递交方式：合同签订前5个工作日内，转账、支票、汇票、本票或者金融、担保机构出具的保函等非现金方式。</w:t>
      </w:r>
    </w:p>
    <w:p w14:paraId="092B5C9E">
      <w:pPr>
        <w:snapToGrid w:val="0"/>
        <w:spacing w:line="360" w:lineRule="exact"/>
        <w:ind w:firstLine="420" w:firstLineChars="200"/>
        <w:rPr>
          <w:szCs w:val="21"/>
        </w:rPr>
      </w:pPr>
      <w:r>
        <w:rPr>
          <w:rFonts w:hint="eastAsia"/>
          <w:szCs w:val="21"/>
        </w:rPr>
        <w:t>3.履约保证金退付方式、时间及条件：乙方按合同约定履行完成服务内容，且未发生重大质量事故，由乙方向甲方提供《广西壮族自治区政府采购项目合同验收书》及《政府采购项目履约保证金退付意见书》，经甲方验收合格且甲方在收到完整合格材料后五个工作日内办理退还手续（不计利息）。</w:t>
      </w:r>
    </w:p>
    <w:p w14:paraId="5F8CBF9C">
      <w:pPr>
        <w:snapToGrid w:val="0"/>
        <w:spacing w:line="360" w:lineRule="exact"/>
        <w:ind w:firstLine="420" w:firstLineChars="200"/>
        <w:rPr>
          <w:szCs w:val="21"/>
        </w:rPr>
      </w:pPr>
      <w:r>
        <w:rPr>
          <w:rFonts w:hint="eastAsia"/>
          <w:szCs w:val="21"/>
        </w:rPr>
        <w:t>4.作为履约保证金，期间若履约保证金被扣除后，乙方应在15个工作日内补足，未按时补足的，甲方有权解除合同。</w:t>
      </w:r>
    </w:p>
    <w:p w14:paraId="359FB5F0">
      <w:pPr>
        <w:snapToGrid w:val="0"/>
        <w:spacing w:line="360" w:lineRule="exact"/>
        <w:ind w:firstLine="422" w:firstLineChars="200"/>
        <w:rPr>
          <w:b/>
          <w:bCs/>
          <w:szCs w:val="21"/>
        </w:rPr>
      </w:pPr>
      <w:r>
        <w:rPr>
          <w:rFonts w:hint="eastAsia"/>
          <w:b/>
          <w:bCs/>
          <w:szCs w:val="21"/>
        </w:rPr>
        <w:t xml:space="preserve">八、税费 </w:t>
      </w:r>
    </w:p>
    <w:p w14:paraId="4B13921A">
      <w:pPr>
        <w:snapToGrid w:val="0"/>
        <w:spacing w:line="360" w:lineRule="exact"/>
        <w:ind w:firstLine="420" w:firstLineChars="200"/>
        <w:rPr>
          <w:szCs w:val="21"/>
        </w:rPr>
      </w:pPr>
      <w:r>
        <w:rPr>
          <w:rFonts w:hint="eastAsia"/>
          <w:szCs w:val="21"/>
        </w:rPr>
        <w:t xml:space="preserve">本合同执行中相关的一切税费均由乙方负担。 </w:t>
      </w:r>
    </w:p>
    <w:p w14:paraId="48D8C816">
      <w:pPr>
        <w:snapToGrid w:val="0"/>
        <w:spacing w:line="360" w:lineRule="exact"/>
        <w:ind w:firstLine="422" w:firstLineChars="200"/>
        <w:rPr>
          <w:b/>
          <w:bCs/>
          <w:szCs w:val="21"/>
        </w:rPr>
      </w:pPr>
      <w:r>
        <w:rPr>
          <w:rFonts w:hint="eastAsia"/>
          <w:b/>
          <w:bCs/>
          <w:szCs w:val="21"/>
        </w:rPr>
        <w:t xml:space="preserve">九、售后服务 </w:t>
      </w:r>
    </w:p>
    <w:p w14:paraId="3F80C943">
      <w:pPr>
        <w:snapToGrid w:val="0"/>
        <w:spacing w:line="360" w:lineRule="exact"/>
        <w:ind w:firstLine="420" w:firstLineChars="200"/>
        <w:rPr>
          <w:szCs w:val="21"/>
        </w:rPr>
      </w:pPr>
      <w:r>
        <w:rPr>
          <w:rFonts w:hint="eastAsia"/>
          <w:szCs w:val="21"/>
        </w:rPr>
        <w:t xml:space="preserve">1.乙方应按照国家有关法律法规和“三包”规定以及招标文件、投标文件和本合同附件，为甲方提供售后服务。 </w:t>
      </w:r>
    </w:p>
    <w:p w14:paraId="4AB5DDF0">
      <w:pPr>
        <w:snapToGrid w:val="0"/>
        <w:spacing w:line="360" w:lineRule="exact"/>
        <w:ind w:firstLine="420" w:firstLineChars="200"/>
        <w:rPr>
          <w:szCs w:val="21"/>
        </w:rPr>
      </w:pPr>
      <w:r>
        <w:rPr>
          <w:rFonts w:hint="eastAsia"/>
          <w:szCs w:val="21"/>
        </w:rPr>
        <w:t>2.货物质保期：</w:t>
      </w:r>
    </w:p>
    <w:p w14:paraId="3E102EC8">
      <w:pPr>
        <w:snapToGrid w:val="0"/>
        <w:spacing w:line="360" w:lineRule="exact"/>
        <w:ind w:firstLine="420" w:firstLineChars="200"/>
        <w:rPr>
          <w:szCs w:val="21"/>
        </w:rPr>
      </w:pPr>
      <w:r>
        <w:rPr>
          <w:rFonts w:hint="eastAsia"/>
          <w:color w:val="0000FF"/>
          <w:szCs w:val="21"/>
        </w:rPr>
        <w:t>肉类及家禽、鱼类、水豆腐、油豆腐自每批次货物验收合格之日起计算，冷藏环境下质保期不少于24小时；蔬菜类常温环境下从采摘到送货不超过24小时；瓜果类每批次货物验收合格之日起计算常温环境下质保期不少于5天；蛋类、苹果、贡梨等货物自每批次货物验收合格之日起计算，保质期不少于15天；香蕉自每批次货物验收合格之日起计算，保质期不少于5天；所有干杂、副食品及预包装食品自每批次货物验收合格之日起，有效质保期不得低于货物包装上的实际质保期的三分之二。</w:t>
      </w:r>
    </w:p>
    <w:p w14:paraId="0DDF8C65">
      <w:pPr>
        <w:snapToGrid w:val="0"/>
        <w:spacing w:line="360" w:lineRule="exact"/>
        <w:ind w:firstLine="420" w:firstLineChars="200"/>
        <w:rPr>
          <w:szCs w:val="21"/>
        </w:rPr>
      </w:pPr>
      <w:r>
        <w:rPr>
          <w:rFonts w:hint="eastAsia"/>
          <w:szCs w:val="21"/>
        </w:rPr>
        <w:t>3.乙方供应的物资运送过程必须做好防污染工作，确保清洁卫生。发现腐烂变质的物资除退回处理外，并责令乙方立即更换补货；乙方补货不及时或其他原因造成甲方延误开餐 1小时以上的，按每小时500元处违约金。</w:t>
      </w:r>
    </w:p>
    <w:p w14:paraId="5419BB15">
      <w:pPr>
        <w:snapToGrid w:val="0"/>
        <w:spacing w:line="360" w:lineRule="exact"/>
        <w:ind w:firstLine="420" w:firstLineChars="200"/>
        <w:rPr>
          <w:szCs w:val="21"/>
        </w:rPr>
      </w:pPr>
      <w:r>
        <w:rPr>
          <w:rFonts w:hint="eastAsia"/>
          <w:szCs w:val="21"/>
        </w:rPr>
        <w:t>4.出现质量问题的，必须在</w:t>
      </w:r>
      <w:r>
        <w:rPr>
          <w:rFonts w:hint="eastAsia"/>
          <w:szCs w:val="21"/>
          <w:u w:val="single"/>
        </w:rPr>
        <w:t xml:space="preserve">         </w:t>
      </w:r>
      <w:r>
        <w:rPr>
          <w:rFonts w:hint="eastAsia"/>
          <w:szCs w:val="21"/>
        </w:rPr>
        <w:t xml:space="preserve"> 个小时内更换有质量问题的产品，乙方应承担甲方在本次交付中的所有损失，并由乙方承担所退换货发生的全部费用。</w:t>
      </w:r>
      <w:r>
        <w:rPr>
          <w:rFonts w:hint="eastAsia"/>
        </w:rPr>
        <w:t>（必须与招投标文件承诺相一致）</w:t>
      </w:r>
    </w:p>
    <w:p w14:paraId="7A2AFDE6">
      <w:pPr>
        <w:snapToGrid w:val="0"/>
        <w:spacing w:line="360" w:lineRule="exact"/>
        <w:ind w:firstLine="420" w:firstLineChars="200"/>
        <w:rPr>
          <w:szCs w:val="21"/>
        </w:rPr>
      </w:pPr>
      <w:r>
        <w:rPr>
          <w:rFonts w:hint="eastAsia"/>
          <w:szCs w:val="21"/>
        </w:rPr>
        <w:t>5.每批次中标人无法按规定时间交货，采购人从其他地方进行临时应急补货的，产生的相关成本及费用由乙方负责。</w:t>
      </w:r>
    </w:p>
    <w:p w14:paraId="5E5B689F">
      <w:pPr>
        <w:snapToGrid w:val="0"/>
        <w:spacing w:line="360" w:lineRule="exact"/>
        <w:ind w:firstLine="420" w:firstLineChars="200"/>
        <w:rPr>
          <w:szCs w:val="21"/>
        </w:rPr>
      </w:pPr>
      <w:r>
        <w:rPr>
          <w:rFonts w:hint="eastAsia"/>
          <w:szCs w:val="21"/>
        </w:rPr>
        <w:t>6.在整个供应周期内，甲方按照《广西监狱罪犯生活物资供货商考核管理办法》，对乙方服务进行考核管理，如《广西监狱罪犯生活物资供货商考核管理办法》与本合同条款相冲突，以本合同条款为准。</w:t>
      </w:r>
    </w:p>
    <w:p w14:paraId="73C99691">
      <w:pPr>
        <w:snapToGrid w:val="0"/>
        <w:spacing w:line="360" w:lineRule="exact"/>
        <w:ind w:firstLine="422" w:firstLineChars="200"/>
        <w:rPr>
          <w:b/>
          <w:bCs/>
          <w:szCs w:val="21"/>
        </w:rPr>
      </w:pPr>
      <w:r>
        <w:rPr>
          <w:rFonts w:hint="eastAsia"/>
          <w:b/>
          <w:bCs/>
          <w:szCs w:val="21"/>
        </w:rPr>
        <w:t xml:space="preserve">十、违约责任 </w:t>
      </w:r>
    </w:p>
    <w:p w14:paraId="17A22DB7">
      <w:pPr>
        <w:snapToGrid w:val="0"/>
        <w:spacing w:line="360" w:lineRule="exact"/>
        <w:ind w:firstLine="420" w:firstLineChars="200"/>
        <w:rPr>
          <w:szCs w:val="21"/>
        </w:rPr>
      </w:pPr>
      <w:r>
        <w:rPr>
          <w:rFonts w:hint="eastAsia"/>
          <w:szCs w:val="21"/>
        </w:rPr>
        <w:t>1.乙方所提供的货物数量短斤缺两或质量不合格的，乙方应向甲方支付当次送货货款总额10%作为违约金，并赔偿甲方其他损失。</w:t>
      </w:r>
    </w:p>
    <w:p w14:paraId="43C094D4">
      <w:pPr>
        <w:snapToGrid w:val="0"/>
        <w:spacing w:line="360" w:lineRule="exact"/>
        <w:ind w:firstLine="420" w:firstLineChars="200"/>
        <w:rPr>
          <w:szCs w:val="21"/>
        </w:rPr>
      </w:pPr>
      <w:r>
        <w:rPr>
          <w:rFonts w:hint="eastAsia"/>
          <w:szCs w:val="21"/>
        </w:rPr>
        <w:t>2.乙方逾期交货的，向甲方支付违约金为该次供货金额的20%。</w:t>
      </w:r>
    </w:p>
    <w:p w14:paraId="4E1A7091">
      <w:pPr>
        <w:snapToGrid w:val="0"/>
        <w:spacing w:line="360" w:lineRule="exact"/>
        <w:ind w:firstLine="420" w:firstLineChars="200"/>
        <w:rPr>
          <w:szCs w:val="21"/>
        </w:rPr>
      </w:pPr>
      <w:r>
        <w:rPr>
          <w:rFonts w:hint="eastAsia"/>
          <w:szCs w:val="21"/>
        </w:rPr>
        <w:t>3.</w:t>
      </w:r>
      <w:r>
        <w:rPr>
          <w:rFonts w:hint="eastAsia"/>
          <w:color w:val="0000FF"/>
          <w:szCs w:val="21"/>
        </w:rPr>
        <w:t>乙方未按本合同和投标文件中规定的服务承诺提供售后服务的，乙方应按当次送货货款金额10%向甲方支付违约金，违约金先从履约保证金中扣除，不足部分从乙方未结货款中扣除。被扣除的履约保证金乙方要在15个工作日内及时补足。</w:t>
      </w:r>
    </w:p>
    <w:p w14:paraId="675D4590">
      <w:pPr>
        <w:snapToGrid w:val="0"/>
        <w:spacing w:line="360" w:lineRule="exact"/>
        <w:ind w:firstLine="420" w:firstLineChars="200"/>
        <w:rPr>
          <w:szCs w:val="21"/>
        </w:rPr>
      </w:pPr>
      <w:r>
        <w:rPr>
          <w:rFonts w:hint="eastAsia"/>
          <w:szCs w:val="21"/>
        </w:rPr>
        <w:t>乙方违反本合同规定造成甲方人员伤害的，按相关法律追究责任。</w:t>
      </w:r>
    </w:p>
    <w:p w14:paraId="00428BD2">
      <w:pPr>
        <w:snapToGrid w:val="0"/>
        <w:spacing w:line="360" w:lineRule="exact"/>
        <w:ind w:firstLine="420" w:firstLineChars="200"/>
        <w:rPr>
          <w:szCs w:val="21"/>
        </w:rPr>
      </w:pPr>
      <w:r>
        <w:rPr>
          <w:rFonts w:hint="eastAsia"/>
          <w:szCs w:val="21"/>
        </w:rPr>
        <w:t>4.甲方未按规定时间转结算货款的或延期付货款的，每超一天，按逾期货款每日万分之一支付相应违约金，但违约金累计不得超过逾期货款额的5%。</w:t>
      </w:r>
    </w:p>
    <w:p w14:paraId="13FA96FD">
      <w:pPr>
        <w:snapToGrid w:val="0"/>
        <w:spacing w:line="360" w:lineRule="exact"/>
        <w:ind w:firstLine="420" w:firstLineChars="200"/>
        <w:rPr>
          <w:szCs w:val="21"/>
        </w:rPr>
      </w:pPr>
      <w:r>
        <w:rPr>
          <w:rFonts w:hint="eastAsia"/>
          <w:szCs w:val="21"/>
        </w:rPr>
        <w:t>5.因天灾或不可抗力无法履行合同的，甲方乙方均无责任。</w:t>
      </w:r>
    </w:p>
    <w:p w14:paraId="0F7F1506">
      <w:pPr>
        <w:snapToGrid w:val="0"/>
        <w:spacing w:line="360" w:lineRule="exact"/>
        <w:ind w:firstLine="420" w:firstLineChars="200"/>
        <w:rPr>
          <w:szCs w:val="21"/>
        </w:rPr>
      </w:pPr>
      <w:r>
        <w:rPr>
          <w:rFonts w:hint="eastAsia"/>
          <w:szCs w:val="21"/>
        </w:rPr>
        <w:t>6.其它违约行为由违约方按货款总额5%支付守约方违约金并赔偿经济损失。</w:t>
      </w:r>
    </w:p>
    <w:p w14:paraId="19563000">
      <w:pPr>
        <w:snapToGrid w:val="0"/>
        <w:spacing w:line="360" w:lineRule="exact"/>
        <w:ind w:firstLine="420" w:firstLineChars="200"/>
        <w:rPr>
          <w:szCs w:val="21"/>
        </w:rPr>
      </w:pPr>
      <w:r>
        <w:rPr>
          <w:rFonts w:hint="eastAsia"/>
          <w:szCs w:val="21"/>
        </w:rPr>
        <w:t>7.乙方提供的货物如侵犯了第三方合法权益而引发的任何纠纷或诉讼，均由乙方负责交涉并承担全部责任。</w:t>
      </w:r>
    </w:p>
    <w:p w14:paraId="1A7C2B1A">
      <w:pPr>
        <w:snapToGrid w:val="0"/>
        <w:spacing w:line="360" w:lineRule="exact"/>
        <w:ind w:firstLine="420" w:firstLineChars="200"/>
        <w:rPr>
          <w:szCs w:val="21"/>
        </w:rPr>
      </w:pPr>
      <w:r>
        <w:rPr>
          <w:rFonts w:hint="eastAsia"/>
          <w:szCs w:val="21"/>
        </w:rPr>
        <w:t>8.因为乙方原因恶意中止履行合同的，乙方应支付甲方由此造成的损失，同时甲方将没收乙方全部履约保证金。</w:t>
      </w:r>
    </w:p>
    <w:p w14:paraId="288E4BD6">
      <w:pPr>
        <w:snapToGrid w:val="0"/>
        <w:spacing w:line="360" w:lineRule="exact"/>
        <w:ind w:firstLine="420" w:firstLineChars="200"/>
        <w:rPr>
          <w:szCs w:val="21"/>
        </w:rPr>
      </w:pPr>
      <w:r>
        <w:rPr>
          <w:rFonts w:hint="eastAsia"/>
          <w:szCs w:val="21"/>
        </w:rPr>
        <w:t>9.其他未尽事宜按照《广西监狱罪犯生活物资供货商考核管理办法》有关规定执行，如《广西监狱罪犯生活物资供货商考核管理办法》与本合同条款相冲突，以本合同条款为准。</w:t>
      </w:r>
    </w:p>
    <w:p w14:paraId="76001009">
      <w:pPr>
        <w:snapToGrid w:val="0"/>
        <w:spacing w:line="360" w:lineRule="exact"/>
        <w:ind w:firstLine="422" w:firstLineChars="200"/>
        <w:rPr>
          <w:b/>
          <w:bCs/>
          <w:szCs w:val="21"/>
        </w:rPr>
      </w:pPr>
      <w:r>
        <w:rPr>
          <w:rFonts w:hint="eastAsia"/>
          <w:b/>
          <w:bCs/>
          <w:szCs w:val="21"/>
        </w:rPr>
        <w:t xml:space="preserve">十一、不可抗力事件处理 </w:t>
      </w:r>
    </w:p>
    <w:p w14:paraId="7B741DA1">
      <w:pPr>
        <w:snapToGrid w:val="0"/>
        <w:spacing w:line="360" w:lineRule="exact"/>
        <w:ind w:firstLine="420" w:firstLineChars="200"/>
        <w:rPr>
          <w:szCs w:val="21"/>
        </w:rPr>
      </w:pPr>
      <w:r>
        <w:rPr>
          <w:rFonts w:hint="eastAsia"/>
          <w:szCs w:val="21"/>
        </w:rPr>
        <w:t xml:space="preserve">1. 在合同有效期内，任何一方因不可抗力事件导致不能履行合同，则合同履行期可延长，其延长期与不可抗力影响期相同。 </w:t>
      </w:r>
    </w:p>
    <w:p w14:paraId="30A1AD23">
      <w:pPr>
        <w:snapToGrid w:val="0"/>
        <w:spacing w:line="360" w:lineRule="exact"/>
        <w:ind w:firstLine="420" w:firstLineChars="200"/>
        <w:rPr>
          <w:szCs w:val="21"/>
        </w:rPr>
      </w:pPr>
      <w:r>
        <w:rPr>
          <w:rFonts w:hint="eastAsia"/>
          <w:szCs w:val="21"/>
        </w:rPr>
        <w:t xml:space="preserve">2. 不可抗力事件发生后，应立即通知对方，并寄送有关权威机构出具的证明。 </w:t>
      </w:r>
    </w:p>
    <w:p w14:paraId="457BF719">
      <w:pPr>
        <w:snapToGrid w:val="0"/>
        <w:spacing w:line="360" w:lineRule="exact"/>
        <w:ind w:firstLine="420" w:firstLineChars="200"/>
        <w:rPr>
          <w:szCs w:val="21"/>
        </w:rPr>
      </w:pPr>
      <w:r>
        <w:rPr>
          <w:rFonts w:hint="eastAsia"/>
          <w:szCs w:val="21"/>
        </w:rPr>
        <w:t xml:space="preserve">3. 不可抗力事件延续一百二十天以上，双方应通过友好协商，确定是否继续履行合同。 </w:t>
      </w:r>
    </w:p>
    <w:p w14:paraId="3FC35CB0">
      <w:pPr>
        <w:snapToGrid w:val="0"/>
        <w:spacing w:line="360" w:lineRule="exact"/>
        <w:ind w:firstLine="422" w:firstLineChars="200"/>
        <w:rPr>
          <w:b/>
          <w:bCs/>
          <w:szCs w:val="21"/>
        </w:rPr>
      </w:pPr>
      <w:r>
        <w:rPr>
          <w:rFonts w:hint="eastAsia"/>
          <w:b/>
          <w:bCs/>
          <w:szCs w:val="21"/>
        </w:rPr>
        <w:t xml:space="preserve">十二、合同争议解决 </w:t>
      </w:r>
    </w:p>
    <w:p w14:paraId="44C7A746">
      <w:pPr>
        <w:snapToGrid w:val="0"/>
        <w:spacing w:line="360" w:lineRule="exact"/>
        <w:ind w:firstLine="420" w:firstLineChars="200"/>
        <w:rPr>
          <w:szCs w:val="21"/>
        </w:rPr>
      </w:pPr>
      <w:r>
        <w:rPr>
          <w:rFonts w:hint="eastAsia"/>
          <w:szCs w:val="21"/>
        </w:rPr>
        <w:t xml:space="preserve">1.因履行本合同引起的或与本合同有关的争议，甲乙双方应首先通过友好协商解决，如果协商不能解决，可向甲方所在地人民法院提起诉讼。 </w:t>
      </w:r>
    </w:p>
    <w:p w14:paraId="3A691261">
      <w:pPr>
        <w:snapToGrid w:val="0"/>
        <w:spacing w:line="360" w:lineRule="exact"/>
        <w:ind w:firstLine="420" w:firstLineChars="200"/>
        <w:rPr>
          <w:szCs w:val="21"/>
        </w:rPr>
      </w:pPr>
      <w:r>
        <w:rPr>
          <w:rFonts w:hint="eastAsia"/>
          <w:szCs w:val="21"/>
        </w:rPr>
        <w:t xml:space="preserve">2.诉讼期间，本合同继续履行。 </w:t>
      </w:r>
    </w:p>
    <w:p w14:paraId="6BF2E6EE">
      <w:pPr>
        <w:snapToGrid w:val="0"/>
        <w:spacing w:line="360" w:lineRule="exact"/>
        <w:ind w:firstLine="422" w:firstLineChars="200"/>
        <w:rPr>
          <w:szCs w:val="21"/>
        </w:rPr>
      </w:pPr>
      <w:r>
        <w:rPr>
          <w:rFonts w:hint="eastAsia"/>
          <w:b/>
          <w:bCs/>
          <w:szCs w:val="21"/>
        </w:rPr>
        <w:t>十三、合同生效及其他</w:t>
      </w:r>
      <w:r>
        <w:rPr>
          <w:rFonts w:hint="eastAsia"/>
          <w:szCs w:val="21"/>
        </w:rPr>
        <w:t xml:space="preserve"> </w:t>
      </w:r>
    </w:p>
    <w:p w14:paraId="6092348A">
      <w:pPr>
        <w:snapToGrid w:val="0"/>
        <w:spacing w:line="360" w:lineRule="exact"/>
        <w:ind w:firstLine="420" w:firstLineChars="200"/>
        <w:rPr>
          <w:szCs w:val="21"/>
        </w:rPr>
      </w:pPr>
      <w:r>
        <w:rPr>
          <w:rFonts w:hint="eastAsia"/>
          <w:szCs w:val="21"/>
        </w:rPr>
        <w:t>1.本合同履行期限为：自合同签订之日起 1年，</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月</w:t>
      </w:r>
      <w:r>
        <w:rPr>
          <w:rFonts w:hint="eastAsia"/>
          <w:szCs w:val="21"/>
          <w:u w:val="single"/>
        </w:rPr>
        <w:t xml:space="preserve">      </w:t>
      </w:r>
      <w:r>
        <w:rPr>
          <w:rFonts w:hint="eastAsia"/>
          <w:szCs w:val="21"/>
        </w:rPr>
        <w:t xml:space="preserve"> 日至</w:t>
      </w:r>
      <w:r>
        <w:rPr>
          <w:rFonts w:hint="eastAsia"/>
          <w:szCs w:val="21"/>
          <w:u w:val="single"/>
        </w:rPr>
        <w:t xml:space="preserve">          </w:t>
      </w:r>
      <w:r>
        <w:rPr>
          <w:rFonts w:hint="eastAsia"/>
          <w:szCs w:val="21"/>
        </w:rPr>
        <w:t xml:space="preserve"> 年</w:t>
      </w:r>
      <w:r>
        <w:rPr>
          <w:rFonts w:hint="eastAsia"/>
          <w:szCs w:val="21"/>
          <w:u w:val="single"/>
        </w:rPr>
        <w:t xml:space="preserve">       </w:t>
      </w:r>
      <w:r>
        <w:rPr>
          <w:rFonts w:hint="eastAsia"/>
          <w:szCs w:val="21"/>
        </w:rPr>
        <w:t>月</w:t>
      </w:r>
      <w:r>
        <w:rPr>
          <w:rFonts w:hint="eastAsia"/>
          <w:szCs w:val="21"/>
          <w:u w:val="single"/>
        </w:rPr>
        <w:t xml:space="preserve">      </w:t>
      </w:r>
      <w:r>
        <w:rPr>
          <w:rFonts w:hint="eastAsia"/>
          <w:szCs w:val="21"/>
        </w:rPr>
        <w:t xml:space="preserve"> 日 ；</w:t>
      </w:r>
    </w:p>
    <w:p w14:paraId="63F68A8A">
      <w:pPr>
        <w:snapToGrid w:val="0"/>
        <w:spacing w:line="360" w:lineRule="exact"/>
        <w:ind w:firstLine="420" w:firstLineChars="200"/>
        <w:rPr>
          <w:szCs w:val="21"/>
        </w:rPr>
      </w:pPr>
      <w:r>
        <w:rPr>
          <w:rFonts w:hint="eastAsia"/>
          <w:szCs w:val="21"/>
        </w:rPr>
        <w:t>合同履行地点为：</w:t>
      </w:r>
      <w:r>
        <w:rPr>
          <w:rFonts w:hint="eastAsia"/>
          <w:szCs w:val="21"/>
          <w:u w:val="single"/>
        </w:rPr>
        <w:t xml:space="preserve">   甲方指定地点    </w:t>
      </w:r>
      <w:r>
        <w:rPr>
          <w:rFonts w:hint="eastAsia"/>
          <w:szCs w:val="21"/>
        </w:rPr>
        <w:t>；</w:t>
      </w:r>
    </w:p>
    <w:p w14:paraId="042DCC5E">
      <w:pPr>
        <w:snapToGrid w:val="0"/>
        <w:spacing w:line="360" w:lineRule="exact"/>
        <w:ind w:firstLine="420" w:firstLineChars="200"/>
        <w:rPr>
          <w:szCs w:val="21"/>
        </w:rPr>
      </w:pPr>
      <w:r>
        <w:rPr>
          <w:rFonts w:hint="eastAsia"/>
          <w:szCs w:val="21"/>
        </w:rPr>
        <w:t>2.合同经双方法定代表人或授权代表签字并加盖单位公章后生效。</w:t>
      </w:r>
    </w:p>
    <w:p w14:paraId="6C05EBC4">
      <w:pPr>
        <w:snapToGrid w:val="0"/>
        <w:spacing w:line="360" w:lineRule="exact"/>
        <w:ind w:firstLine="420" w:firstLineChars="200"/>
        <w:rPr>
          <w:szCs w:val="21"/>
        </w:rPr>
      </w:pPr>
      <w:r>
        <w:rPr>
          <w:rFonts w:hint="eastAsia"/>
          <w:szCs w:val="21"/>
        </w:rPr>
        <w:t xml:space="preserve">3.合同执行中涉及采购资金和采购内容修改或补充的，须经财政部门审批，并签订书面补充协议报财政部门备案，方可作为主合同不可分割的一部分。 </w:t>
      </w:r>
    </w:p>
    <w:p w14:paraId="3A32B231">
      <w:pPr>
        <w:snapToGrid w:val="0"/>
        <w:spacing w:line="360" w:lineRule="exact"/>
        <w:ind w:firstLine="420" w:firstLineChars="200"/>
        <w:rPr>
          <w:szCs w:val="21"/>
        </w:rPr>
      </w:pPr>
      <w:r>
        <w:rPr>
          <w:rFonts w:hint="eastAsia"/>
          <w:szCs w:val="21"/>
        </w:rPr>
        <w:t>4.本合同未尽事宜，遵照《中华人民共和国民法典》有关条文执行。</w:t>
      </w:r>
    </w:p>
    <w:p w14:paraId="45EAE288">
      <w:pPr>
        <w:snapToGrid w:val="0"/>
        <w:spacing w:line="360" w:lineRule="exact"/>
        <w:ind w:firstLine="422" w:firstLineChars="200"/>
        <w:rPr>
          <w:b/>
          <w:bCs/>
          <w:szCs w:val="21"/>
        </w:rPr>
      </w:pPr>
      <w:r>
        <w:rPr>
          <w:rFonts w:hint="eastAsia"/>
          <w:b/>
          <w:bCs/>
          <w:szCs w:val="21"/>
        </w:rPr>
        <w:t xml:space="preserve">十四、合同的变更、终止与转让 </w:t>
      </w:r>
    </w:p>
    <w:p w14:paraId="5F01685A">
      <w:pPr>
        <w:snapToGrid w:val="0"/>
        <w:spacing w:line="360" w:lineRule="exact"/>
        <w:ind w:firstLine="420" w:firstLineChars="200"/>
        <w:rPr>
          <w:szCs w:val="21"/>
        </w:rPr>
      </w:pPr>
      <w:r>
        <w:rPr>
          <w:rFonts w:hint="eastAsia"/>
          <w:szCs w:val="21"/>
        </w:rPr>
        <w:t xml:space="preserve">1.除《中华人民共和国政府采购法》第五十条和本合同约定的情形外，本合同一经签订，甲乙双方不得擅自 变更、中止或终止。 </w:t>
      </w:r>
    </w:p>
    <w:p w14:paraId="540D2294">
      <w:pPr>
        <w:snapToGrid w:val="0"/>
        <w:spacing w:line="360" w:lineRule="exact"/>
        <w:ind w:firstLine="420" w:firstLineChars="200"/>
        <w:rPr>
          <w:szCs w:val="21"/>
        </w:rPr>
      </w:pPr>
      <w:r>
        <w:rPr>
          <w:rFonts w:hint="eastAsia"/>
          <w:szCs w:val="21"/>
        </w:rPr>
        <w:t xml:space="preserve">2.未经甲方书面同意，乙方不得擅自转让（无进口资格的乙方委托进口货物除外）其应履行的合同义务。 </w:t>
      </w:r>
    </w:p>
    <w:p w14:paraId="16F47876">
      <w:pPr>
        <w:snapToGrid w:val="0"/>
        <w:spacing w:line="360" w:lineRule="exact"/>
        <w:ind w:firstLine="420" w:firstLineChars="200"/>
        <w:rPr>
          <w:szCs w:val="21"/>
        </w:rPr>
      </w:pPr>
      <w:r>
        <w:rPr>
          <w:rFonts w:hint="eastAsia"/>
          <w:szCs w:val="21"/>
        </w:rPr>
        <w:t>3.供应期满6个月以后，如上级有重大采购政策调整的，甲方可无条件提前终止合约。</w:t>
      </w:r>
    </w:p>
    <w:p w14:paraId="3BBE0189">
      <w:pPr>
        <w:snapToGrid w:val="0"/>
        <w:spacing w:line="360" w:lineRule="exact"/>
        <w:ind w:firstLine="422" w:firstLineChars="200"/>
        <w:rPr>
          <w:b/>
          <w:bCs/>
          <w:szCs w:val="21"/>
        </w:rPr>
      </w:pPr>
      <w:r>
        <w:rPr>
          <w:rFonts w:hint="eastAsia"/>
          <w:b/>
          <w:bCs/>
          <w:szCs w:val="21"/>
        </w:rPr>
        <w:t>十五、本合同与下列文件一起构成合同文件</w:t>
      </w:r>
    </w:p>
    <w:p w14:paraId="034DC73B">
      <w:pPr>
        <w:snapToGrid w:val="0"/>
        <w:spacing w:line="360" w:lineRule="exact"/>
        <w:ind w:firstLine="420" w:firstLineChars="200"/>
        <w:rPr>
          <w:szCs w:val="21"/>
        </w:rPr>
      </w:pPr>
      <w:r>
        <w:rPr>
          <w:rFonts w:hint="eastAsia"/>
          <w:szCs w:val="21"/>
        </w:rPr>
        <w:t>1.本合同及其补充合同、变更协议；</w:t>
      </w:r>
    </w:p>
    <w:p w14:paraId="59E0C978">
      <w:pPr>
        <w:snapToGrid w:val="0"/>
        <w:spacing w:line="360" w:lineRule="exact"/>
        <w:ind w:firstLine="420" w:firstLineChars="200"/>
        <w:rPr>
          <w:szCs w:val="21"/>
        </w:rPr>
      </w:pPr>
      <w:r>
        <w:rPr>
          <w:rFonts w:hint="eastAsia"/>
          <w:szCs w:val="21"/>
        </w:rPr>
        <w:t>2.中标通知书；</w:t>
      </w:r>
    </w:p>
    <w:p w14:paraId="1F9DF2CA">
      <w:pPr>
        <w:snapToGrid w:val="0"/>
        <w:spacing w:line="360" w:lineRule="exact"/>
        <w:ind w:firstLine="420" w:firstLineChars="200"/>
        <w:rPr>
          <w:szCs w:val="21"/>
        </w:rPr>
      </w:pPr>
      <w:r>
        <w:rPr>
          <w:rFonts w:hint="eastAsia"/>
          <w:szCs w:val="21"/>
        </w:rPr>
        <w:t>3.招标文件（含澄清或者说明文件）；</w:t>
      </w:r>
    </w:p>
    <w:p w14:paraId="0977F2F9">
      <w:pPr>
        <w:snapToGrid w:val="0"/>
        <w:spacing w:line="360" w:lineRule="exact"/>
        <w:ind w:firstLine="420" w:firstLineChars="200"/>
        <w:rPr>
          <w:szCs w:val="21"/>
        </w:rPr>
      </w:pPr>
      <w:r>
        <w:rPr>
          <w:rFonts w:hint="eastAsia"/>
          <w:szCs w:val="21"/>
        </w:rPr>
        <w:t>4.投标文件；</w:t>
      </w:r>
    </w:p>
    <w:p w14:paraId="59B0E7CA">
      <w:pPr>
        <w:snapToGrid w:val="0"/>
        <w:spacing w:line="360" w:lineRule="exact"/>
        <w:ind w:firstLine="420" w:firstLineChars="200"/>
        <w:rPr>
          <w:szCs w:val="21"/>
        </w:rPr>
      </w:pPr>
      <w:r>
        <w:rPr>
          <w:rFonts w:hint="eastAsia"/>
          <w:szCs w:val="21"/>
        </w:rPr>
        <w:t>5.投标文件中的其他相关文件。</w:t>
      </w:r>
    </w:p>
    <w:p w14:paraId="72B90619">
      <w:pPr>
        <w:snapToGrid w:val="0"/>
        <w:spacing w:line="360" w:lineRule="exact"/>
        <w:ind w:firstLine="420" w:firstLineChars="200"/>
        <w:rPr>
          <w:szCs w:val="21"/>
        </w:rPr>
      </w:pPr>
      <w:r>
        <w:rPr>
          <w:rFonts w:hint="eastAsia"/>
          <w:szCs w:val="21"/>
        </w:rPr>
        <w:t>上述合同文件互相补充和解释。如果合同文件之间存在矛盾或者不一致之处，以本合同、上述文件的排列顺序在先者为准。</w:t>
      </w:r>
    </w:p>
    <w:p w14:paraId="3F2BE57E">
      <w:pPr>
        <w:snapToGrid w:val="0"/>
        <w:spacing w:line="360" w:lineRule="exact"/>
        <w:ind w:firstLine="422" w:firstLineChars="200"/>
        <w:rPr>
          <w:b/>
          <w:bCs/>
          <w:szCs w:val="21"/>
        </w:rPr>
      </w:pPr>
      <w:r>
        <w:rPr>
          <w:rFonts w:hint="eastAsia"/>
          <w:b/>
          <w:bCs/>
          <w:szCs w:val="21"/>
        </w:rPr>
        <w:t>十六、其他约定事项</w:t>
      </w:r>
    </w:p>
    <w:p w14:paraId="120FE8B8">
      <w:pPr>
        <w:snapToGrid w:val="0"/>
        <w:spacing w:line="360" w:lineRule="exact"/>
        <w:ind w:firstLine="420" w:firstLineChars="200"/>
        <w:rPr>
          <w:szCs w:val="21"/>
        </w:rPr>
      </w:pPr>
      <w:r>
        <w:rPr>
          <w:rFonts w:hint="eastAsia"/>
          <w:szCs w:val="21"/>
        </w:rPr>
        <w:t>1.本合同所有附件及相关文件均为本合同的有效组成部分，与本合同具有同等法律效力。若合同附件与本合同存在不一致的，则以本合同为准。</w:t>
      </w:r>
    </w:p>
    <w:p w14:paraId="075F9B70">
      <w:pPr>
        <w:snapToGrid w:val="0"/>
        <w:spacing w:line="360" w:lineRule="exact"/>
        <w:ind w:firstLine="420" w:firstLineChars="200"/>
        <w:rPr>
          <w:szCs w:val="21"/>
        </w:rPr>
      </w:pPr>
      <w:r>
        <w:rPr>
          <w:rFonts w:hint="eastAsia"/>
          <w:szCs w:val="21"/>
        </w:rPr>
        <w:t>2.在履行本合同过程中，所有经甲乙双方签署确认的文件（包括会议纪要、补充协议、往来信函、电子邮件等）即成为本合同的有效组成部分。</w:t>
      </w:r>
    </w:p>
    <w:p w14:paraId="79DABAD3">
      <w:pPr>
        <w:snapToGrid w:val="0"/>
        <w:spacing w:line="360" w:lineRule="exact"/>
        <w:ind w:firstLine="420" w:firstLineChars="200"/>
        <w:rPr>
          <w:szCs w:val="21"/>
        </w:rPr>
      </w:pPr>
      <w:r>
        <w:rPr>
          <w:rFonts w:hint="eastAsia"/>
          <w:szCs w:val="21"/>
        </w:rPr>
        <w:t>3.甲乙双方确认，以下为各方真实有效通讯地址：</w:t>
      </w:r>
    </w:p>
    <w:p w14:paraId="573E381F">
      <w:pPr>
        <w:snapToGrid w:val="0"/>
        <w:spacing w:line="360" w:lineRule="exact"/>
        <w:ind w:firstLine="420" w:firstLineChars="200"/>
        <w:rPr>
          <w:szCs w:val="21"/>
        </w:rPr>
      </w:pPr>
      <w:r>
        <w:rPr>
          <w:rFonts w:hint="eastAsia"/>
          <w:szCs w:val="21"/>
        </w:rPr>
        <w:t>甲方：　　　            　    　地址：　　　　　　　　　　　　</w:t>
      </w:r>
    </w:p>
    <w:p w14:paraId="08FBE6B1">
      <w:pPr>
        <w:snapToGrid w:val="0"/>
        <w:spacing w:line="360" w:lineRule="exact"/>
        <w:ind w:firstLine="420" w:firstLineChars="200"/>
        <w:rPr>
          <w:szCs w:val="21"/>
        </w:rPr>
      </w:pPr>
      <w:r>
        <w:rPr>
          <w:rFonts w:hint="eastAsia"/>
          <w:szCs w:val="21"/>
        </w:rPr>
        <w:t>联系人：　　              　　　联系电话：　　　　　　　　　　</w:t>
      </w:r>
    </w:p>
    <w:p w14:paraId="42CDB738">
      <w:pPr>
        <w:snapToGrid w:val="0"/>
        <w:spacing w:line="360" w:lineRule="exact"/>
        <w:ind w:firstLine="420" w:firstLineChars="200"/>
        <w:rPr>
          <w:szCs w:val="21"/>
        </w:rPr>
      </w:pPr>
      <w:r>
        <w:rPr>
          <w:rFonts w:hint="eastAsia"/>
          <w:szCs w:val="21"/>
        </w:rPr>
        <w:t>乙方：　　　　                  地址：　　　　　　　　　　　　</w:t>
      </w:r>
    </w:p>
    <w:p w14:paraId="68FAAB8B">
      <w:pPr>
        <w:snapToGrid w:val="0"/>
        <w:spacing w:line="360" w:lineRule="exact"/>
        <w:ind w:firstLine="420" w:firstLineChars="200"/>
        <w:rPr>
          <w:szCs w:val="21"/>
        </w:rPr>
      </w:pPr>
      <w:r>
        <w:rPr>
          <w:rFonts w:hint="eastAsia"/>
          <w:szCs w:val="21"/>
        </w:rPr>
        <w:t>联系人：　　　               　　联系电话：　　　　　　　　　　　</w:t>
      </w:r>
    </w:p>
    <w:p w14:paraId="7393E948">
      <w:pPr>
        <w:snapToGrid w:val="0"/>
        <w:spacing w:line="360" w:lineRule="exact"/>
        <w:ind w:firstLine="420" w:firstLineChars="200"/>
        <w:rPr>
          <w:szCs w:val="21"/>
        </w:rPr>
      </w:pPr>
      <w:r>
        <w:rPr>
          <w:rFonts w:hint="eastAsia"/>
          <w:szCs w:val="21"/>
        </w:rPr>
        <w:t>甲乙双方因履行本合同或与本合同有关的一切通知都应以书面形式送达对方，被送达方应及时签收。如由于受送达方的原因不能送达或被送达方拒绝签收的，送达方可采用挂号信或者邮政特快专递邮寄送达，邮件寄至本合同记载之地址时，即视为送达；采用即时通信方式进行的通知，如电话、短信、电子邮件、微信等，发出即视为送达。一方地址变更的，应及时书面通知对方，否则上述地址仍为真实有效通讯地址。未书面通知并影响本合同履行或造成损失的，应承担相应的责任。双方地址为相关通知、法律文书等、诉讼文件的送达地址。</w:t>
      </w:r>
    </w:p>
    <w:p w14:paraId="0C695DAE">
      <w:pPr>
        <w:snapToGrid w:val="0"/>
        <w:spacing w:line="360" w:lineRule="exact"/>
        <w:ind w:firstLine="420" w:firstLineChars="200"/>
        <w:rPr>
          <w:szCs w:val="21"/>
        </w:rPr>
      </w:pPr>
      <w:r>
        <w:rPr>
          <w:rFonts w:hint="eastAsia"/>
          <w:szCs w:val="21"/>
        </w:rPr>
        <w:t>双方上述送达地址适用范围包括本合同履行期间各类通知、合同等文件以及就合同发生纠纷时相关文件和法律文书、诉讼文件的送达，同时包括在争议进入民事诉讼程序的一审、二审、再审和执行程序。</w:t>
      </w:r>
    </w:p>
    <w:p w14:paraId="413B8CB1">
      <w:pPr>
        <w:snapToGrid w:val="0"/>
        <w:spacing w:line="360" w:lineRule="exact"/>
        <w:ind w:firstLine="420" w:firstLineChars="200"/>
        <w:rPr>
          <w:szCs w:val="21"/>
        </w:rPr>
      </w:pPr>
      <w:r>
        <w:rPr>
          <w:rFonts w:hint="eastAsia"/>
          <w:szCs w:val="21"/>
        </w:rPr>
        <w:t>4.本合同一式五份，具有同等法律效力。甲、乙双方各执两份，采购代理机构各一份。</w:t>
      </w:r>
    </w:p>
    <w:p w14:paraId="249129C9">
      <w:pPr>
        <w:snapToGrid w:val="0"/>
        <w:spacing w:line="360" w:lineRule="exact"/>
        <w:ind w:firstLine="420" w:firstLineChars="200"/>
        <w:rPr>
          <w:szCs w:val="21"/>
        </w:rPr>
      </w:pPr>
      <w:r>
        <w:rPr>
          <w:rFonts w:hint="eastAsia"/>
          <w:szCs w:val="21"/>
        </w:rPr>
        <w:t>本合同经甲乙双方法定代表人或被授权代表签字并加盖单位公章后生效。</w:t>
      </w:r>
    </w:p>
    <w:p w14:paraId="6FFCC26F">
      <w:pPr>
        <w:snapToGrid w:val="0"/>
        <w:spacing w:line="360" w:lineRule="exact"/>
        <w:ind w:firstLine="420" w:firstLineChars="200"/>
        <w:rPr>
          <w:szCs w:val="21"/>
        </w:rPr>
      </w:pPr>
      <w:r>
        <w:rPr>
          <w:rFonts w:hint="eastAsia"/>
          <w:szCs w:val="21"/>
        </w:rPr>
        <w:t>本条款不因合同的变更、解除和终止而失效。</w:t>
      </w:r>
    </w:p>
    <w:p w14:paraId="4EBC01ED">
      <w:pPr>
        <w:snapToGrid w:val="0"/>
        <w:spacing w:line="360" w:lineRule="exact"/>
        <w:ind w:firstLine="420" w:firstLineChars="200"/>
        <w:rPr>
          <w:szCs w:val="21"/>
        </w:rPr>
      </w:pPr>
    </w:p>
    <w:tbl>
      <w:tblPr>
        <w:tblStyle w:val="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37"/>
        <w:gridCol w:w="4688"/>
      </w:tblGrid>
      <w:tr w14:paraId="2B68B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5" w:hRule="atLeast"/>
        </w:trPr>
        <w:tc>
          <w:tcPr>
            <w:tcW w:w="4437" w:type="dxa"/>
            <w:vAlign w:val="center"/>
          </w:tcPr>
          <w:p w14:paraId="1DA2C6A1">
            <w:pPr>
              <w:snapToGrid w:val="0"/>
              <w:spacing w:line="360" w:lineRule="exact"/>
              <w:rPr>
                <w:szCs w:val="21"/>
              </w:rPr>
            </w:pPr>
            <w:r>
              <w:rPr>
                <w:szCs w:val="21"/>
              </w:rPr>
              <w:t xml:space="preserve">甲方（章）           </w:t>
            </w:r>
          </w:p>
          <w:p w14:paraId="08AAC6B0">
            <w:pPr>
              <w:snapToGrid w:val="0"/>
              <w:spacing w:line="360" w:lineRule="exact"/>
              <w:ind w:firstLine="945" w:firstLineChars="450"/>
              <w:jc w:val="right"/>
              <w:rPr>
                <w:szCs w:val="21"/>
              </w:rPr>
            </w:pPr>
          </w:p>
        </w:tc>
        <w:tc>
          <w:tcPr>
            <w:tcW w:w="4688" w:type="dxa"/>
            <w:vAlign w:val="center"/>
          </w:tcPr>
          <w:p w14:paraId="1A950A42">
            <w:pPr>
              <w:snapToGrid w:val="0"/>
              <w:spacing w:line="360" w:lineRule="exact"/>
              <w:rPr>
                <w:szCs w:val="21"/>
              </w:rPr>
            </w:pPr>
            <w:r>
              <w:rPr>
                <w:szCs w:val="21"/>
              </w:rPr>
              <w:t xml:space="preserve">乙方（章）              </w:t>
            </w:r>
          </w:p>
          <w:p w14:paraId="62B741EB">
            <w:pPr>
              <w:snapToGrid w:val="0"/>
              <w:spacing w:line="360" w:lineRule="exact"/>
              <w:jc w:val="right"/>
              <w:rPr>
                <w:szCs w:val="21"/>
              </w:rPr>
            </w:pPr>
          </w:p>
        </w:tc>
      </w:tr>
      <w:tr w14:paraId="2586F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rPr>
        <w:tc>
          <w:tcPr>
            <w:tcW w:w="4437" w:type="dxa"/>
            <w:vAlign w:val="center"/>
          </w:tcPr>
          <w:p w14:paraId="6BBC0A98">
            <w:pPr>
              <w:snapToGrid w:val="0"/>
              <w:spacing w:line="360" w:lineRule="exact"/>
              <w:rPr>
                <w:szCs w:val="21"/>
              </w:rPr>
            </w:pPr>
            <w:r>
              <w:rPr>
                <w:szCs w:val="21"/>
              </w:rPr>
              <w:t>单位地址：</w:t>
            </w:r>
          </w:p>
        </w:tc>
        <w:tc>
          <w:tcPr>
            <w:tcW w:w="4688" w:type="dxa"/>
            <w:vAlign w:val="center"/>
          </w:tcPr>
          <w:p w14:paraId="27EF61C8">
            <w:pPr>
              <w:snapToGrid w:val="0"/>
              <w:spacing w:line="360" w:lineRule="exact"/>
              <w:rPr>
                <w:szCs w:val="21"/>
              </w:rPr>
            </w:pPr>
            <w:r>
              <w:rPr>
                <w:szCs w:val="21"/>
              </w:rPr>
              <w:t>单位地址：</w:t>
            </w:r>
          </w:p>
        </w:tc>
      </w:tr>
      <w:tr w14:paraId="70EA5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4437" w:type="dxa"/>
            <w:vAlign w:val="center"/>
          </w:tcPr>
          <w:p w14:paraId="452BBDB2">
            <w:pPr>
              <w:snapToGrid w:val="0"/>
              <w:spacing w:line="360" w:lineRule="exact"/>
              <w:rPr>
                <w:szCs w:val="21"/>
              </w:rPr>
            </w:pPr>
            <w:r>
              <w:rPr>
                <w:szCs w:val="21"/>
              </w:rPr>
              <w:t>法定代表人：</w:t>
            </w:r>
          </w:p>
        </w:tc>
        <w:tc>
          <w:tcPr>
            <w:tcW w:w="4688" w:type="dxa"/>
            <w:vAlign w:val="center"/>
          </w:tcPr>
          <w:p w14:paraId="3A191FEB">
            <w:pPr>
              <w:snapToGrid w:val="0"/>
              <w:spacing w:line="360" w:lineRule="exact"/>
              <w:rPr>
                <w:szCs w:val="21"/>
              </w:rPr>
            </w:pPr>
            <w:r>
              <w:rPr>
                <w:szCs w:val="21"/>
              </w:rPr>
              <w:t>法定代表人：</w:t>
            </w:r>
          </w:p>
        </w:tc>
      </w:tr>
      <w:tr w14:paraId="16F4E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4437" w:type="dxa"/>
            <w:vAlign w:val="center"/>
          </w:tcPr>
          <w:p w14:paraId="68B60CE6">
            <w:pPr>
              <w:snapToGrid w:val="0"/>
              <w:spacing w:line="360" w:lineRule="exact"/>
              <w:rPr>
                <w:szCs w:val="21"/>
              </w:rPr>
            </w:pPr>
            <w:r>
              <w:rPr>
                <w:szCs w:val="21"/>
              </w:rPr>
              <w:t>委托代理人：</w:t>
            </w:r>
          </w:p>
        </w:tc>
        <w:tc>
          <w:tcPr>
            <w:tcW w:w="4688" w:type="dxa"/>
            <w:vAlign w:val="center"/>
          </w:tcPr>
          <w:p w14:paraId="2B19C705">
            <w:pPr>
              <w:snapToGrid w:val="0"/>
              <w:spacing w:line="360" w:lineRule="exact"/>
              <w:rPr>
                <w:szCs w:val="21"/>
              </w:rPr>
            </w:pPr>
            <w:r>
              <w:rPr>
                <w:szCs w:val="21"/>
              </w:rPr>
              <w:t>委托代理人</w:t>
            </w:r>
          </w:p>
        </w:tc>
      </w:tr>
      <w:tr w14:paraId="570E3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3" w:hRule="atLeast"/>
        </w:trPr>
        <w:tc>
          <w:tcPr>
            <w:tcW w:w="4437" w:type="dxa"/>
            <w:vAlign w:val="center"/>
          </w:tcPr>
          <w:p w14:paraId="4B6DB8C8">
            <w:pPr>
              <w:snapToGrid w:val="0"/>
              <w:spacing w:line="360" w:lineRule="exact"/>
              <w:rPr>
                <w:szCs w:val="21"/>
              </w:rPr>
            </w:pPr>
            <w:r>
              <w:rPr>
                <w:szCs w:val="21"/>
              </w:rPr>
              <w:t>电话：</w:t>
            </w:r>
          </w:p>
        </w:tc>
        <w:tc>
          <w:tcPr>
            <w:tcW w:w="4688" w:type="dxa"/>
            <w:vAlign w:val="center"/>
          </w:tcPr>
          <w:p w14:paraId="4B56ABEB">
            <w:pPr>
              <w:snapToGrid w:val="0"/>
              <w:spacing w:line="360" w:lineRule="exact"/>
              <w:rPr>
                <w:szCs w:val="21"/>
              </w:rPr>
            </w:pPr>
            <w:r>
              <w:rPr>
                <w:szCs w:val="21"/>
              </w:rPr>
              <w:t>电话：</w:t>
            </w:r>
          </w:p>
        </w:tc>
      </w:tr>
      <w:tr w14:paraId="75FE9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trPr>
        <w:tc>
          <w:tcPr>
            <w:tcW w:w="4437" w:type="dxa"/>
            <w:vAlign w:val="center"/>
          </w:tcPr>
          <w:p w14:paraId="57BB0983">
            <w:pPr>
              <w:snapToGrid w:val="0"/>
              <w:spacing w:line="360" w:lineRule="exact"/>
              <w:rPr>
                <w:szCs w:val="21"/>
              </w:rPr>
            </w:pPr>
            <w:r>
              <w:rPr>
                <w:szCs w:val="21"/>
              </w:rPr>
              <w:t>开户银行：</w:t>
            </w:r>
          </w:p>
        </w:tc>
        <w:tc>
          <w:tcPr>
            <w:tcW w:w="4688" w:type="dxa"/>
            <w:vAlign w:val="center"/>
          </w:tcPr>
          <w:p w14:paraId="3D68BBEF">
            <w:pPr>
              <w:snapToGrid w:val="0"/>
              <w:spacing w:line="360" w:lineRule="exact"/>
              <w:rPr>
                <w:szCs w:val="21"/>
              </w:rPr>
            </w:pPr>
            <w:r>
              <w:rPr>
                <w:szCs w:val="21"/>
              </w:rPr>
              <w:t>开户银行：</w:t>
            </w:r>
          </w:p>
        </w:tc>
      </w:tr>
      <w:tr w14:paraId="6F561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6" w:hRule="atLeast"/>
        </w:trPr>
        <w:tc>
          <w:tcPr>
            <w:tcW w:w="4437" w:type="dxa"/>
            <w:vAlign w:val="center"/>
          </w:tcPr>
          <w:p w14:paraId="42B607CD">
            <w:pPr>
              <w:snapToGrid w:val="0"/>
              <w:spacing w:line="360" w:lineRule="exact"/>
              <w:rPr>
                <w:szCs w:val="21"/>
              </w:rPr>
            </w:pPr>
            <w:r>
              <w:rPr>
                <w:szCs w:val="21"/>
              </w:rPr>
              <w:t>账号：</w:t>
            </w:r>
          </w:p>
        </w:tc>
        <w:tc>
          <w:tcPr>
            <w:tcW w:w="4688" w:type="dxa"/>
            <w:vAlign w:val="center"/>
          </w:tcPr>
          <w:p w14:paraId="5C5621A8">
            <w:pPr>
              <w:snapToGrid w:val="0"/>
              <w:spacing w:line="360" w:lineRule="exact"/>
              <w:rPr>
                <w:szCs w:val="21"/>
              </w:rPr>
            </w:pPr>
            <w:r>
              <w:rPr>
                <w:szCs w:val="21"/>
              </w:rPr>
              <w:t>账号：</w:t>
            </w:r>
          </w:p>
        </w:tc>
      </w:tr>
    </w:tbl>
    <w:p w14:paraId="53B99E58">
      <w:pPr>
        <w:snapToGrid w:val="0"/>
        <w:spacing w:line="360" w:lineRule="exact"/>
        <w:ind w:firstLine="420" w:firstLineChars="200"/>
        <w:rPr>
          <w:szCs w:val="21"/>
        </w:rPr>
      </w:pPr>
    </w:p>
    <w:p w14:paraId="12FC7A00">
      <w:pPr>
        <w:spacing w:before="120" w:line="320" w:lineRule="atLeast"/>
        <w:jc w:val="left"/>
        <w:outlineLvl w:val="1"/>
        <w:rPr>
          <w:szCs w:val="21"/>
        </w:rPr>
      </w:pPr>
      <w:r>
        <w:rPr>
          <w:szCs w:val="21"/>
        </w:rPr>
        <w:br w:type="page"/>
      </w:r>
    </w:p>
    <w:p w14:paraId="7AE11848">
      <w:pPr>
        <w:spacing w:before="120" w:line="320" w:lineRule="atLeast"/>
        <w:jc w:val="left"/>
        <w:outlineLvl w:val="1"/>
        <w:rPr>
          <w:b/>
          <w:bCs/>
          <w:kern w:val="0"/>
          <w:szCs w:val="21"/>
        </w:rPr>
      </w:pPr>
      <w:r>
        <w:rPr>
          <w:rFonts w:hint="eastAsia"/>
          <w:b/>
          <w:bCs/>
          <w:kern w:val="0"/>
          <w:szCs w:val="21"/>
        </w:rPr>
        <w:t>附件1</w:t>
      </w:r>
    </w:p>
    <w:p w14:paraId="286D6A88">
      <w:pPr>
        <w:spacing w:before="120" w:line="320" w:lineRule="atLeast"/>
        <w:jc w:val="center"/>
        <w:outlineLvl w:val="1"/>
        <w:rPr>
          <w:szCs w:val="21"/>
        </w:rPr>
      </w:pPr>
      <w:r>
        <w:rPr>
          <w:rFonts w:hint="eastAsia"/>
          <w:szCs w:val="21"/>
        </w:rPr>
        <w:t>广西监狱罪犯生活物资供货商考核管理办法</w:t>
      </w:r>
    </w:p>
    <w:p w14:paraId="089CBE4C">
      <w:pPr>
        <w:spacing w:before="120" w:line="320" w:lineRule="atLeast"/>
        <w:jc w:val="left"/>
        <w:outlineLvl w:val="1"/>
        <w:rPr>
          <w:szCs w:val="21"/>
        </w:rPr>
      </w:pPr>
    </w:p>
    <w:p w14:paraId="003D29C1">
      <w:pPr>
        <w:spacing w:before="120" w:line="320" w:lineRule="atLeast"/>
        <w:ind w:firstLine="420" w:firstLineChars="200"/>
        <w:jc w:val="left"/>
        <w:outlineLvl w:val="1"/>
        <w:rPr>
          <w:szCs w:val="21"/>
        </w:rPr>
      </w:pPr>
      <w:r>
        <w:rPr>
          <w:rFonts w:hint="eastAsia"/>
          <w:szCs w:val="21"/>
        </w:rPr>
        <w:t>第一条 为加强罪犯生活物资采购的管理工作，确保狱内物资的正常供应，结合广西监狱工作的实际，制定本办法。</w:t>
      </w:r>
    </w:p>
    <w:p w14:paraId="457770CF">
      <w:pPr>
        <w:spacing w:before="120" w:line="320" w:lineRule="atLeast"/>
        <w:ind w:firstLine="420" w:firstLineChars="200"/>
        <w:jc w:val="left"/>
        <w:outlineLvl w:val="1"/>
        <w:rPr>
          <w:szCs w:val="21"/>
        </w:rPr>
      </w:pPr>
      <w:r>
        <w:rPr>
          <w:rFonts w:hint="eastAsia"/>
          <w:szCs w:val="21"/>
        </w:rPr>
        <w:t>第二条 本办法适用的对象是自治区监狱管理局和各监狱组织的罪犯生活物资采购项目评选出的中标（成交）供应商（以下统称供货商）。</w:t>
      </w:r>
    </w:p>
    <w:p w14:paraId="122F88AD">
      <w:pPr>
        <w:spacing w:before="120" w:line="320" w:lineRule="atLeast"/>
        <w:ind w:firstLine="420" w:firstLineChars="200"/>
        <w:jc w:val="left"/>
        <w:outlineLvl w:val="1"/>
        <w:rPr>
          <w:szCs w:val="21"/>
        </w:rPr>
      </w:pPr>
      <w:r>
        <w:rPr>
          <w:rFonts w:hint="eastAsia"/>
          <w:szCs w:val="21"/>
        </w:rPr>
        <w:t>第三条 供货商必须向供货的每个监狱单位分别缴纳履约保证金，收取标准为中标（成交）金额的5%（供货商为中小企业的按2%），货物出现质量问题或供货商出现其他违约行为时，各监狱按本办法从履约保证金中扣除相应金额，供货商应在15个工作日内补足履约保证金。供货合同终止（解除）时剩余履约保证金按双方约定返还。</w:t>
      </w:r>
    </w:p>
    <w:p w14:paraId="449AFDAF">
      <w:pPr>
        <w:spacing w:before="120" w:line="320" w:lineRule="atLeast"/>
        <w:ind w:firstLine="420" w:firstLineChars="200"/>
        <w:jc w:val="left"/>
        <w:outlineLvl w:val="1"/>
        <w:rPr>
          <w:szCs w:val="21"/>
        </w:rPr>
      </w:pPr>
      <w:r>
        <w:rPr>
          <w:rFonts w:hint="eastAsia"/>
          <w:szCs w:val="21"/>
        </w:rPr>
        <w:t>供货商有违反本办法规定，被取消供货商资格或者被直接终止供货合同的，履约保证金不予退还。</w:t>
      </w:r>
    </w:p>
    <w:p w14:paraId="0902FC31">
      <w:pPr>
        <w:spacing w:before="120" w:line="320" w:lineRule="atLeast"/>
        <w:ind w:firstLine="420" w:firstLineChars="200"/>
        <w:jc w:val="left"/>
        <w:outlineLvl w:val="1"/>
        <w:rPr>
          <w:szCs w:val="21"/>
        </w:rPr>
      </w:pPr>
      <w:r>
        <w:rPr>
          <w:rFonts w:hint="eastAsia"/>
          <w:szCs w:val="21"/>
        </w:rPr>
        <w:t>第四条 供货商按招（投）标文件、采购（响应）文件以及双方签订的合同内容要求开展物资配送业务，安排有授权的业务代表运送货物到监狱单位，所有单据双方代表共同签字、盖章生效。</w:t>
      </w:r>
    </w:p>
    <w:p w14:paraId="5291A091">
      <w:pPr>
        <w:spacing w:before="120" w:line="320" w:lineRule="atLeast"/>
        <w:ind w:firstLine="420" w:firstLineChars="200"/>
        <w:jc w:val="left"/>
        <w:outlineLvl w:val="1"/>
        <w:rPr>
          <w:szCs w:val="21"/>
        </w:rPr>
      </w:pPr>
      <w:r>
        <w:rPr>
          <w:rFonts w:hint="eastAsia"/>
          <w:szCs w:val="21"/>
        </w:rPr>
        <w:t>第五条 供货商不得将供货资格转包、分包给第三方，一经发现核实，取消供货资格，同时依法追究供货商的相关责任。</w:t>
      </w:r>
    </w:p>
    <w:p w14:paraId="37C9C06E">
      <w:pPr>
        <w:spacing w:before="120" w:line="320" w:lineRule="atLeast"/>
        <w:ind w:firstLine="420" w:firstLineChars="200"/>
        <w:jc w:val="left"/>
        <w:outlineLvl w:val="1"/>
        <w:rPr>
          <w:szCs w:val="21"/>
        </w:rPr>
      </w:pPr>
      <w:r>
        <w:rPr>
          <w:rFonts w:hint="eastAsia"/>
          <w:szCs w:val="21"/>
        </w:rPr>
        <w:t>第六条 本办法采用扣分制进行，标准分为100分，各监狱按本办法规定对供货商供货过程中的违约等行为进行记分考核，监狱局或各监狱根据扣分情况按规定对供货商进行处理。</w:t>
      </w:r>
    </w:p>
    <w:p w14:paraId="51E80910">
      <w:pPr>
        <w:spacing w:before="120" w:line="320" w:lineRule="atLeast"/>
        <w:ind w:firstLine="420" w:firstLineChars="200"/>
        <w:jc w:val="left"/>
        <w:outlineLvl w:val="1"/>
        <w:rPr>
          <w:szCs w:val="21"/>
        </w:rPr>
      </w:pPr>
      <w:r>
        <w:rPr>
          <w:rFonts w:hint="eastAsia"/>
          <w:szCs w:val="21"/>
        </w:rPr>
        <w:t>第七条 对供货商进行处理的主要方式：</w:t>
      </w:r>
    </w:p>
    <w:p w14:paraId="4DB08121">
      <w:pPr>
        <w:spacing w:before="120" w:line="320" w:lineRule="atLeast"/>
        <w:ind w:firstLine="420" w:firstLineChars="200"/>
        <w:jc w:val="left"/>
        <w:outlineLvl w:val="1"/>
        <w:rPr>
          <w:szCs w:val="21"/>
        </w:rPr>
      </w:pPr>
      <w:r>
        <w:rPr>
          <w:rFonts w:hint="eastAsia"/>
          <w:szCs w:val="21"/>
        </w:rPr>
        <w:t>（一）供货商各项扣分达到100分直接终止所有供货合同；</w:t>
      </w:r>
    </w:p>
    <w:p w14:paraId="0756B26C">
      <w:pPr>
        <w:spacing w:before="120" w:line="320" w:lineRule="atLeast"/>
        <w:ind w:firstLine="420" w:firstLineChars="200"/>
        <w:jc w:val="left"/>
        <w:outlineLvl w:val="1"/>
        <w:rPr>
          <w:szCs w:val="21"/>
        </w:rPr>
      </w:pPr>
      <w:r>
        <w:rPr>
          <w:rFonts w:hint="eastAsia"/>
          <w:szCs w:val="21"/>
        </w:rPr>
        <w:t>（二）供货商单批货物按退货处理的，按合同规定扣履约保证金500-2000元，扣考核分5-20分；</w:t>
      </w:r>
    </w:p>
    <w:p w14:paraId="24078E23">
      <w:pPr>
        <w:spacing w:before="120" w:line="320" w:lineRule="atLeast"/>
        <w:ind w:firstLine="420" w:firstLineChars="200"/>
        <w:jc w:val="left"/>
        <w:outlineLvl w:val="1"/>
        <w:rPr>
          <w:szCs w:val="21"/>
        </w:rPr>
      </w:pPr>
      <w:r>
        <w:rPr>
          <w:rFonts w:hint="eastAsia"/>
          <w:szCs w:val="21"/>
        </w:rPr>
        <w:t>（三）累计退货记录有3-6次（根据需采购的物资品种定）的，直接取消该供货商的供应资格；</w:t>
      </w:r>
    </w:p>
    <w:p w14:paraId="50E49155">
      <w:pPr>
        <w:spacing w:before="120" w:line="320" w:lineRule="atLeast"/>
        <w:ind w:firstLine="420" w:firstLineChars="200"/>
        <w:jc w:val="left"/>
        <w:outlineLvl w:val="1"/>
        <w:rPr>
          <w:szCs w:val="21"/>
        </w:rPr>
      </w:pPr>
      <w:r>
        <w:rPr>
          <w:rFonts w:hint="eastAsia"/>
          <w:szCs w:val="21"/>
        </w:rPr>
        <w:t>（四）按招（投）标文件和采购（响应）文件以及双方签订的合同内容设定的其他规定对供货商进行处理。</w:t>
      </w:r>
    </w:p>
    <w:p w14:paraId="6BA841B1">
      <w:pPr>
        <w:spacing w:before="120" w:line="320" w:lineRule="atLeast"/>
        <w:ind w:firstLine="420" w:firstLineChars="200"/>
        <w:jc w:val="left"/>
        <w:outlineLvl w:val="1"/>
        <w:rPr>
          <w:szCs w:val="21"/>
        </w:rPr>
      </w:pPr>
      <w:r>
        <w:rPr>
          <w:rFonts w:hint="eastAsia"/>
          <w:szCs w:val="21"/>
        </w:rPr>
        <w:t>第八条 供货商考核记分的主要内容。</w:t>
      </w:r>
    </w:p>
    <w:p w14:paraId="30ED1F02">
      <w:pPr>
        <w:spacing w:before="120" w:line="320" w:lineRule="atLeast"/>
        <w:ind w:firstLine="420" w:firstLineChars="200"/>
        <w:jc w:val="left"/>
        <w:outlineLvl w:val="1"/>
        <w:rPr>
          <w:szCs w:val="21"/>
        </w:rPr>
      </w:pPr>
      <w:r>
        <w:rPr>
          <w:rFonts w:hint="eastAsia"/>
          <w:szCs w:val="21"/>
        </w:rPr>
        <w:t>（一）供货商必须按时将货物送达监狱单位指定地点。超过规定时间在24小时内的，考核分扣1-6分；超过规定时间在48小时内的，考核分扣7-12分；超过48小时未能送达的，直接终止供货商在该监狱单位的供货合同。</w:t>
      </w:r>
    </w:p>
    <w:p w14:paraId="13CB655F">
      <w:pPr>
        <w:spacing w:before="120" w:line="320" w:lineRule="atLeast"/>
        <w:ind w:firstLine="420" w:firstLineChars="200"/>
        <w:jc w:val="left"/>
        <w:outlineLvl w:val="1"/>
        <w:rPr>
          <w:szCs w:val="21"/>
        </w:rPr>
      </w:pPr>
      <w:r>
        <w:rPr>
          <w:rFonts w:hint="eastAsia"/>
          <w:szCs w:val="21"/>
        </w:rPr>
        <w:t>（二）供货商的货物到达监狱单位后，要配合监狱单位进行现场验收，验收不合格则进行退货处理，考核分扣20分，按合同规定扣履约保证金。退货后供货商必须在24小时内送合格的货物到监狱单位，否则视为连续2次送货不合格。</w:t>
      </w:r>
    </w:p>
    <w:p w14:paraId="7CFCB896">
      <w:pPr>
        <w:spacing w:before="120" w:line="320" w:lineRule="atLeast"/>
        <w:ind w:firstLine="420" w:firstLineChars="200"/>
        <w:jc w:val="left"/>
        <w:outlineLvl w:val="1"/>
        <w:rPr>
          <w:szCs w:val="21"/>
        </w:rPr>
      </w:pPr>
      <w:r>
        <w:rPr>
          <w:rFonts w:hint="eastAsia"/>
          <w:szCs w:val="21"/>
        </w:rPr>
        <w:t>（三）供货商供应的货物出现违规品、违禁品流入监内，造成不良后果的，直接终止其供货资格，并依法依规追究供货商的责任。</w:t>
      </w:r>
    </w:p>
    <w:p w14:paraId="064252D9">
      <w:pPr>
        <w:spacing w:before="120" w:line="320" w:lineRule="atLeast"/>
        <w:ind w:firstLine="420" w:firstLineChars="200"/>
        <w:jc w:val="left"/>
        <w:outlineLvl w:val="1"/>
        <w:rPr>
          <w:szCs w:val="21"/>
        </w:rPr>
      </w:pPr>
      <w:r>
        <w:rPr>
          <w:rFonts w:hint="eastAsia"/>
          <w:szCs w:val="21"/>
        </w:rPr>
        <w:t>（四）入库的货物出现质量问题，由监狱单位通知供货商到场协商处理。供货商必须12小时内到场处理，超过12小时不到场处理的考核分扣5分，超过24小时不到场处理的视为质量不合格，直接按退货处理。超过48小时不应答的，直接终止供货商在该监狱单位的供货合同。</w:t>
      </w:r>
    </w:p>
    <w:p w14:paraId="39710827">
      <w:pPr>
        <w:spacing w:before="120" w:line="320" w:lineRule="atLeast"/>
        <w:ind w:firstLine="420" w:firstLineChars="200"/>
        <w:jc w:val="left"/>
        <w:outlineLvl w:val="1"/>
        <w:rPr>
          <w:szCs w:val="21"/>
        </w:rPr>
      </w:pPr>
      <w:r>
        <w:rPr>
          <w:rFonts w:hint="eastAsia"/>
          <w:szCs w:val="21"/>
        </w:rPr>
        <w:t>（五）双方对质量问题意见不一致的，由双方共同在该批货物随机抽取3份样品到当地质量监督部门检验，有一份样品不达标即视为该批货物不达标，按退货程序处理，检测费用由供货商负责；样品都合格的视为该批货物合格，则由监狱负责检测费用。</w:t>
      </w:r>
    </w:p>
    <w:p w14:paraId="40529849">
      <w:pPr>
        <w:spacing w:before="120" w:line="320" w:lineRule="atLeast"/>
        <w:ind w:firstLine="420" w:firstLineChars="200"/>
        <w:jc w:val="left"/>
        <w:outlineLvl w:val="1"/>
        <w:rPr>
          <w:szCs w:val="21"/>
        </w:rPr>
      </w:pPr>
      <w:r>
        <w:rPr>
          <w:rFonts w:hint="eastAsia"/>
          <w:szCs w:val="21"/>
        </w:rPr>
        <w:t>（六）供货商必须按包装要求足量向监狱单位送货。</w:t>
      </w:r>
    </w:p>
    <w:p w14:paraId="3BA8F360">
      <w:pPr>
        <w:spacing w:before="120" w:line="320" w:lineRule="atLeast"/>
        <w:ind w:firstLine="420" w:firstLineChars="200"/>
        <w:jc w:val="left"/>
        <w:outlineLvl w:val="1"/>
        <w:rPr>
          <w:szCs w:val="21"/>
        </w:rPr>
      </w:pPr>
      <w:r>
        <w:rPr>
          <w:rFonts w:hint="eastAsia"/>
          <w:szCs w:val="21"/>
        </w:rPr>
        <w:t>1. 供货商供应的货物不得短斤少两，分包装的重量必须达到规定重量，每发现1个分包装的重量出现短缺的扣2分，发现10个以上（含10个）分包装的重量出现短缺的扣20分，该批货物视为不达标，进行退货处理。</w:t>
      </w:r>
    </w:p>
    <w:p w14:paraId="5B8D6EF5">
      <w:pPr>
        <w:spacing w:before="120" w:line="320" w:lineRule="atLeast"/>
        <w:ind w:firstLine="420" w:firstLineChars="200"/>
        <w:jc w:val="left"/>
        <w:outlineLvl w:val="1"/>
        <w:rPr>
          <w:szCs w:val="21"/>
        </w:rPr>
      </w:pPr>
      <w:r>
        <w:rPr>
          <w:rFonts w:hint="eastAsia"/>
          <w:szCs w:val="21"/>
        </w:rPr>
        <w:t>2. 供货商送货的总数应当与监狱单位定货品种、数量一致。</w:t>
      </w:r>
    </w:p>
    <w:p w14:paraId="5BE698F9">
      <w:pPr>
        <w:spacing w:before="120" w:line="320" w:lineRule="atLeast"/>
        <w:ind w:firstLine="420" w:firstLineChars="200"/>
        <w:jc w:val="left"/>
        <w:outlineLvl w:val="1"/>
        <w:rPr>
          <w:szCs w:val="21"/>
        </w:rPr>
      </w:pPr>
      <w:r>
        <w:rPr>
          <w:rFonts w:hint="eastAsia"/>
          <w:szCs w:val="21"/>
        </w:rPr>
        <w:t>3. 供货商供应必须按规定对货物进行分包装，分包装应当满足运输距离、防潮、防震、防腐和防破损的要求，每发现1个分包装不达标扣2分。</w:t>
      </w:r>
    </w:p>
    <w:p w14:paraId="38877ED8">
      <w:pPr>
        <w:spacing w:before="120" w:line="320" w:lineRule="atLeast"/>
        <w:ind w:firstLine="420" w:firstLineChars="200"/>
        <w:jc w:val="left"/>
        <w:outlineLvl w:val="1"/>
        <w:rPr>
          <w:szCs w:val="21"/>
        </w:rPr>
      </w:pPr>
      <w:r>
        <w:rPr>
          <w:rFonts w:hint="eastAsia"/>
          <w:szCs w:val="21"/>
        </w:rPr>
        <w:t>（七）供货商提供的货物造成食品安全事故的，直接取消供货商的供货资格，并追究供货商相关责任。</w:t>
      </w:r>
    </w:p>
    <w:p w14:paraId="4119FE02">
      <w:pPr>
        <w:spacing w:before="120" w:line="320" w:lineRule="atLeast"/>
        <w:ind w:firstLine="420" w:firstLineChars="200"/>
        <w:jc w:val="left"/>
        <w:outlineLvl w:val="1"/>
        <w:rPr>
          <w:szCs w:val="21"/>
        </w:rPr>
      </w:pPr>
      <w:r>
        <w:rPr>
          <w:rFonts w:hint="eastAsia"/>
          <w:szCs w:val="21"/>
        </w:rPr>
        <w:t>（八）因采购物资品种特殊性需要对供货商设定其他考核记分内容的，将增加的考核记分内容列入合同条款作为本办法的附则执行。</w:t>
      </w:r>
    </w:p>
    <w:p w14:paraId="1D326EE4">
      <w:pPr>
        <w:spacing w:before="120" w:line="320" w:lineRule="atLeast"/>
        <w:ind w:firstLine="420" w:firstLineChars="200"/>
        <w:jc w:val="left"/>
        <w:outlineLvl w:val="1"/>
        <w:rPr>
          <w:szCs w:val="21"/>
        </w:rPr>
      </w:pPr>
      <w:r>
        <w:rPr>
          <w:rFonts w:hint="eastAsia"/>
          <w:szCs w:val="21"/>
        </w:rPr>
        <w:t>（九）供货商代表（包括送货人员）进入监管场所必须服从管理，出现与罪犯私自接触、捎带物品和利益交易等违规行为经监狱查证属实的，直接取消其供货资格。</w:t>
      </w:r>
    </w:p>
    <w:p w14:paraId="32D4E457">
      <w:pPr>
        <w:spacing w:before="120" w:line="320" w:lineRule="atLeast"/>
        <w:ind w:firstLine="420" w:firstLineChars="200"/>
        <w:jc w:val="left"/>
        <w:outlineLvl w:val="1"/>
        <w:rPr>
          <w:szCs w:val="21"/>
        </w:rPr>
      </w:pPr>
      <w:r>
        <w:rPr>
          <w:rFonts w:hint="eastAsia"/>
          <w:szCs w:val="21"/>
        </w:rPr>
        <w:t>第九条 对供货商的处理以监狱局或各监狱出具的书面文件（处理单据）为准，被取消供应资格的供货商两年内不得参加广西监狱系统组织的罪犯生活物资集中采购活动。</w:t>
      </w:r>
    </w:p>
    <w:p w14:paraId="2C48AA55">
      <w:pPr>
        <w:spacing w:before="120" w:line="320" w:lineRule="atLeast"/>
        <w:ind w:firstLine="420" w:firstLineChars="200"/>
        <w:jc w:val="left"/>
        <w:outlineLvl w:val="1"/>
        <w:rPr>
          <w:szCs w:val="21"/>
        </w:rPr>
      </w:pPr>
      <w:r>
        <w:rPr>
          <w:rFonts w:hint="eastAsia"/>
          <w:szCs w:val="21"/>
        </w:rPr>
        <w:t>第十条 本办法应当列为罪犯生活物资采购项目相应的招标文件、采购文件和合同的主要条款，具体内容可根据采购物资的需要进行适当调整。</w:t>
      </w:r>
    </w:p>
    <w:p w14:paraId="7ABB58B7">
      <w:pPr>
        <w:spacing w:before="120" w:line="320" w:lineRule="atLeast"/>
        <w:ind w:firstLine="420" w:firstLineChars="200"/>
        <w:jc w:val="left"/>
        <w:outlineLvl w:val="1"/>
        <w:rPr>
          <w:szCs w:val="21"/>
        </w:rPr>
      </w:pPr>
      <w:r>
        <w:rPr>
          <w:rFonts w:hint="eastAsia"/>
          <w:szCs w:val="21"/>
        </w:rPr>
        <w:t>第十一条 本办法由自治区监狱管理局负责解释。各监狱可根据本办法制定本单位的考核管理细则，并报自治区监狱管理局生活卫生处备案。</w:t>
      </w:r>
    </w:p>
    <w:p w14:paraId="00475C85">
      <w:pPr>
        <w:spacing w:before="120" w:line="320" w:lineRule="atLeast"/>
        <w:ind w:firstLine="420" w:firstLineChars="200"/>
        <w:jc w:val="left"/>
        <w:outlineLvl w:val="1"/>
        <w:rPr>
          <w:szCs w:val="21"/>
        </w:rPr>
      </w:pPr>
      <w:r>
        <w:rPr>
          <w:rFonts w:hint="eastAsia"/>
          <w:szCs w:val="21"/>
        </w:rPr>
        <w:t>第十二条 本办法自印发之日起施行。</w:t>
      </w:r>
    </w:p>
    <w:p w14:paraId="4CB50D7E">
      <w:pPr>
        <w:spacing w:before="120" w:line="320" w:lineRule="atLeast"/>
        <w:jc w:val="left"/>
        <w:outlineLvl w:val="1"/>
        <w:rPr>
          <w:szCs w:val="21"/>
        </w:rPr>
      </w:pPr>
    </w:p>
    <w:p w14:paraId="58D376EF">
      <w:pPr>
        <w:spacing w:before="120" w:line="320" w:lineRule="atLeast"/>
        <w:jc w:val="left"/>
        <w:outlineLvl w:val="1"/>
        <w:rPr>
          <w:szCs w:val="21"/>
        </w:rPr>
      </w:pPr>
    </w:p>
    <w:p w14:paraId="4386A716">
      <w:pPr>
        <w:spacing w:before="120" w:line="320" w:lineRule="atLeast"/>
        <w:jc w:val="left"/>
        <w:outlineLvl w:val="1"/>
        <w:rPr>
          <w:szCs w:val="21"/>
        </w:rPr>
      </w:pPr>
    </w:p>
    <w:p w14:paraId="1FC4BEED">
      <w:pPr>
        <w:spacing w:before="120" w:line="320" w:lineRule="atLeast"/>
        <w:jc w:val="left"/>
        <w:outlineLvl w:val="1"/>
        <w:rPr>
          <w:szCs w:val="21"/>
        </w:rPr>
      </w:pPr>
    </w:p>
    <w:p w14:paraId="59DD4BF5">
      <w:pPr>
        <w:spacing w:before="120" w:line="320" w:lineRule="atLeast"/>
        <w:jc w:val="left"/>
        <w:outlineLvl w:val="1"/>
        <w:rPr>
          <w:szCs w:val="21"/>
        </w:rPr>
      </w:pPr>
    </w:p>
    <w:p w14:paraId="19B7E93F">
      <w:pPr>
        <w:spacing w:before="120" w:line="320" w:lineRule="atLeast"/>
        <w:jc w:val="left"/>
        <w:outlineLvl w:val="1"/>
        <w:rPr>
          <w:szCs w:val="21"/>
        </w:rPr>
      </w:pPr>
    </w:p>
    <w:p w14:paraId="3F7BD74D">
      <w:pPr>
        <w:spacing w:before="120" w:line="320" w:lineRule="atLeast"/>
        <w:jc w:val="left"/>
        <w:outlineLvl w:val="1"/>
        <w:rPr>
          <w:szCs w:val="21"/>
        </w:rPr>
      </w:pPr>
    </w:p>
    <w:p w14:paraId="0CFF6E68">
      <w:pPr>
        <w:spacing w:before="120" w:line="320" w:lineRule="atLeast"/>
        <w:jc w:val="left"/>
        <w:outlineLvl w:val="1"/>
        <w:rPr>
          <w:szCs w:val="21"/>
        </w:rPr>
      </w:pPr>
    </w:p>
    <w:p w14:paraId="3E3B3F8F">
      <w:pPr>
        <w:spacing w:before="120" w:line="320" w:lineRule="atLeast"/>
        <w:jc w:val="left"/>
        <w:outlineLvl w:val="1"/>
        <w:rPr>
          <w:szCs w:val="21"/>
        </w:rPr>
      </w:pPr>
    </w:p>
    <w:p w14:paraId="02021823">
      <w:pPr>
        <w:spacing w:before="120" w:line="320" w:lineRule="atLeast"/>
        <w:jc w:val="left"/>
        <w:outlineLvl w:val="1"/>
        <w:rPr>
          <w:szCs w:val="21"/>
        </w:rPr>
      </w:pPr>
    </w:p>
    <w:p w14:paraId="25649942">
      <w:pPr>
        <w:spacing w:before="120" w:line="320" w:lineRule="atLeast"/>
        <w:jc w:val="left"/>
        <w:outlineLvl w:val="1"/>
        <w:rPr>
          <w:szCs w:val="21"/>
        </w:rPr>
      </w:pPr>
    </w:p>
    <w:p w14:paraId="1F5848B4">
      <w:pPr>
        <w:spacing w:before="120" w:line="320" w:lineRule="atLeast"/>
        <w:jc w:val="left"/>
        <w:outlineLvl w:val="1"/>
        <w:rPr>
          <w:szCs w:val="21"/>
        </w:rPr>
      </w:pPr>
    </w:p>
    <w:p w14:paraId="18E9F610">
      <w:pPr>
        <w:spacing w:before="120" w:line="320" w:lineRule="atLeast"/>
        <w:jc w:val="left"/>
        <w:outlineLvl w:val="1"/>
        <w:rPr>
          <w:b/>
          <w:bCs/>
          <w:kern w:val="0"/>
          <w:szCs w:val="21"/>
        </w:rPr>
      </w:pPr>
      <w:bookmarkStart w:id="111" w:name="_Toc25449"/>
      <w:r>
        <w:rPr>
          <w:rFonts w:hint="eastAsia"/>
          <w:b/>
          <w:bCs/>
          <w:kern w:val="0"/>
          <w:szCs w:val="21"/>
        </w:rPr>
        <w:t>附件2：</w:t>
      </w:r>
      <w:bookmarkEnd w:id="111"/>
    </w:p>
    <w:p w14:paraId="62918107">
      <w:pPr>
        <w:pStyle w:val="4"/>
        <w:tabs>
          <w:tab w:val="left" w:pos="312"/>
        </w:tabs>
        <w:jc w:val="center"/>
        <w:rPr>
          <w:b w:val="0"/>
          <w:bCs w:val="0"/>
          <w:sz w:val="21"/>
          <w:szCs w:val="21"/>
        </w:rPr>
      </w:pPr>
      <w:r>
        <w:rPr>
          <w:rFonts w:hint="eastAsia"/>
          <w:b w:val="0"/>
          <w:bCs w:val="0"/>
          <w:sz w:val="21"/>
          <w:szCs w:val="21"/>
        </w:rPr>
        <w:t>广西壮族自治区政府采购项目合同验收书（格式）</w:t>
      </w:r>
    </w:p>
    <w:p w14:paraId="030FD2BF">
      <w:pPr>
        <w:spacing w:line="400" w:lineRule="exact"/>
        <w:ind w:firstLine="420" w:firstLineChars="200"/>
        <w:rPr>
          <w:szCs w:val="21"/>
        </w:rPr>
      </w:pPr>
      <w:r>
        <w:rPr>
          <w:rFonts w:hint="eastAsia"/>
          <w:szCs w:val="21"/>
        </w:rPr>
        <w:t>根据政府采购项目（采购合同编号：</w:t>
      </w:r>
      <w:r>
        <w:rPr>
          <w:rFonts w:hint="eastAsia"/>
          <w:szCs w:val="21"/>
        </w:rPr>
        <w:softHyphen/>
      </w:r>
      <w:r>
        <w:rPr>
          <w:rFonts w:hint="eastAsia"/>
          <w:szCs w:val="21"/>
        </w:rPr>
        <w:t xml:space="preserve"> ）的约定，我单位对（ 项目名称 ） 政府采购项目中标（或者成交）投标人（ 公司名称 ） 提供的货物（或者工程、服务）进行了验收，验收情况如下：</w:t>
      </w:r>
    </w:p>
    <w:tbl>
      <w:tblPr>
        <w:tblStyle w:val="51"/>
        <w:tblW w:w="0" w:type="auto"/>
        <w:jc w:val="center"/>
        <w:tblLayout w:type="fixed"/>
        <w:tblCellMar>
          <w:top w:w="0" w:type="dxa"/>
          <w:left w:w="0" w:type="dxa"/>
          <w:bottom w:w="0" w:type="dxa"/>
          <w:right w:w="0" w:type="dxa"/>
        </w:tblCellMar>
      </w:tblPr>
      <w:tblGrid>
        <w:gridCol w:w="952"/>
        <w:gridCol w:w="1965"/>
        <w:gridCol w:w="1133"/>
        <w:gridCol w:w="217"/>
        <w:gridCol w:w="1515"/>
        <w:gridCol w:w="550"/>
        <w:gridCol w:w="685"/>
        <w:gridCol w:w="1575"/>
      </w:tblGrid>
      <w:tr w14:paraId="7C02ED15">
        <w:tblPrEx>
          <w:tblCellMar>
            <w:top w:w="0" w:type="dxa"/>
            <w:left w:w="0" w:type="dxa"/>
            <w:bottom w:w="0" w:type="dxa"/>
            <w:right w:w="0" w:type="dxa"/>
          </w:tblCellMar>
        </w:tblPrEx>
        <w:trPr>
          <w:trHeight w:val="497" w:hRule="atLeast"/>
          <w:jc w:val="center"/>
        </w:trPr>
        <w:tc>
          <w:tcPr>
            <w:tcW w:w="2917" w:type="dxa"/>
            <w:gridSpan w:val="2"/>
            <w:tcBorders>
              <w:top w:val="single" w:color="auto" w:sz="8" w:space="0"/>
              <w:left w:val="single" w:color="auto" w:sz="8" w:space="0"/>
              <w:bottom w:val="single" w:color="auto" w:sz="8" w:space="0"/>
              <w:right w:val="single" w:color="auto" w:sz="8" w:space="0"/>
            </w:tcBorders>
            <w:vAlign w:val="center"/>
          </w:tcPr>
          <w:p w14:paraId="11149DC4">
            <w:pPr>
              <w:spacing w:line="400" w:lineRule="exact"/>
              <w:ind w:firstLine="420" w:firstLineChars="200"/>
              <w:rPr>
                <w:szCs w:val="21"/>
              </w:rPr>
            </w:pPr>
            <w:r>
              <w:rPr>
                <w:rFonts w:hint="eastAsia"/>
                <w:szCs w:val="21"/>
              </w:rPr>
              <w:t>验收方式：</w:t>
            </w:r>
          </w:p>
        </w:tc>
        <w:tc>
          <w:tcPr>
            <w:tcW w:w="5675" w:type="dxa"/>
            <w:gridSpan w:val="6"/>
            <w:tcBorders>
              <w:top w:val="single" w:color="auto" w:sz="8" w:space="0"/>
              <w:left w:val="nil"/>
              <w:bottom w:val="single" w:color="auto" w:sz="8" w:space="0"/>
              <w:right w:val="single" w:color="auto" w:sz="8" w:space="0"/>
            </w:tcBorders>
            <w:vAlign w:val="center"/>
          </w:tcPr>
          <w:p w14:paraId="5EF51A68">
            <w:pPr>
              <w:spacing w:line="400" w:lineRule="exact"/>
              <w:ind w:firstLine="420" w:firstLineChars="200"/>
              <w:rPr>
                <w:szCs w:val="21"/>
              </w:rPr>
            </w:pPr>
            <w:r>
              <w:rPr>
                <w:rFonts w:hint="eastAsia"/>
                <w:szCs w:val="21"/>
              </w:rPr>
              <w:t>□自行验收 □委托验收</w:t>
            </w:r>
          </w:p>
        </w:tc>
      </w:tr>
      <w:tr w14:paraId="210EEFC7">
        <w:tblPrEx>
          <w:tblCellMar>
            <w:top w:w="0" w:type="dxa"/>
            <w:left w:w="0" w:type="dxa"/>
            <w:bottom w:w="0" w:type="dxa"/>
            <w:right w:w="0" w:type="dxa"/>
          </w:tblCellMar>
        </w:tblPrEx>
        <w:trPr>
          <w:trHeight w:val="622" w:hRule="atLeast"/>
          <w:jc w:val="center"/>
        </w:trPr>
        <w:tc>
          <w:tcPr>
            <w:tcW w:w="952" w:type="dxa"/>
            <w:tcBorders>
              <w:top w:val="nil"/>
              <w:left w:val="single" w:color="auto" w:sz="8" w:space="0"/>
              <w:bottom w:val="single" w:color="auto" w:sz="8" w:space="0"/>
              <w:right w:val="single" w:color="auto" w:sz="8" w:space="0"/>
            </w:tcBorders>
            <w:vAlign w:val="center"/>
          </w:tcPr>
          <w:p w14:paraId="174E2EA6">
            <w:pPr>
              <w:snapToGrid w:val="0"/>
              <w:spacing w:before="100" w:beforeAutospacing="1" w:after="100" w:afterAutospacing="1" w:line="400" w:lineRule="exact"/>
              <w:ind w:firstLine="2"/>
              <w:jc w:val="center"/>
              <w:rPr>
                <w:szCs w:val="21"/>
              </w:rPr>
            </w:pPr>
            <w:r>
              <w:rPr>
                <w:rFonts w:hint="eastAsia"/>
                <w:szCs w:val="21"/>
              </w:rPr>
              <w:t>序号</w:t>
            </w:r>
          </w:p>
        </w:tc>
        <w:tc>
          <w:tcPr>
            <w:tcW w:w="1965" w:type="dxa"/>
            <w:tcBorders>
              <w:top w:val="nil"/>
              <w:left w:val="nil"/>
              <w:bottom w:val="single" w:color="auto" w:sz="8" w:space="0"/>
              <w:right w:val="single" w:color="auto" w:sz="8" w:space="0"/>
            </w:tcBorders>
            <w:vAlign w:val="center"/>
          </w:tcPr>
          <w:p w14:paraId="2D605F10">
            <w:pPr>
              <w:snapToGrid w:val="0"/>
              <w:spacing w:before="100" w:beforeAutospacing="1" w:after="100" w:afterAutospacing="1" w:line="400" w:lineRule="exact"/>
              <w:ind w:firstLine="2"/>
              <w:jc w:val="center"/>
              <w:rPr>
                <w:szCs w:val="21"/>
              </w:rPr>
            </w:pPr>
            <w:r>
              <w:rPr>
                <w:rFonts w:hint="eastAsia"/>
                <w:szCs w:val="21"/>
              </w:rPr>
              <w:t>名 称</w:t>
            </w:r>
          </w:p>
        </w:tc>
        <w:tc>
          <w:tcPr>
            <w:tcW w:w="2865" w:type="dxa"/>
            <w:gridSpan w:val="3"/>
            <w:tcBorders>
              <w:top w:val="nil"/>
              <w:left w:val="nil"/>
              <w:bottom w:val="single" w:color="auto" w:sz="8" w:space="0"/>
              <w:right w:val="single" w:color="auto" w:sz="8" w:space="0"/>
            </w:tcBorders>
            <w:vAlign w:val="center"/>
          </w:tcPr>
          <w:p w14:paraId="652BAA99">
            <w:pPr>
              <w:snapToGrid w:val="0"/>
              <w:spacing w:before="100" w:beforeAutospacing="1" w:after="100" w:afterAutospacing="1" w:line="400" w:lineRule="exact"/>
              <w:ind w:firstLine="2"/>
              <w:jc w:val="center"/>
              <w:rPr>
                <w:szCs w:val="21"/>
              </w:rPr>
            </w:pPr>
            <w:r>
              <w:rPr>
                <w:rFonts w:hint="eastAsia"/>
                <w:szCs w:val="21"/>
              </w:rPr>
              <w:t>货物型号规格、标准及配置等（或者服务内容、标准）</w:t>
            </w:r>
          </w:p>
        </w:tc>
        <w:tc>
          <w:tcPr>
            <w:tcW w:w="1235" w:type="dxa"/>
            <w:gridSpan w:val="2"/>
            <w:tcBorders>
              <w:top w:val="nil"/>
              <w:left w:val="nil"/>
              <w:bottom w:val="single" w:color="auto" w:sz="8" w:space="0"/>
              <w:right w:val="single" w:color="auto" w:sz="8" w:space="0"/>
            </w:tcBorders>
            <w:vAlign w:val="center"/>
          </w:tcPr>
          <w:p w14:paraId="573C9BDA">
            <w:pPr>
              <w:snapToGrid w:val="0"/>
              <w:spacing w:before="100" w:beforeAutospacing="1" w:after="100" w:afterAutospacing="1" w:line="400" w:lineRule="exact"/>
              <w:jc w:val="center"/>
              <w:rPr>
                <w:szCs w:val="21"/>
              </w:rPr>
            </w:pPr>
            <w:r>
              <w:rPr>
                <w:rFonts w:hint="eastAsia"/>
                <w:szCs w:val="21"/>
              </w:rPr>
              <w:t>数量</w:t>
            </w:r>
          </w:p>
        </w:tc>
        <w:tc>
          <w:tcPr>
            <w:tcW w:w="1575" w:type="dxa"/>
            <w:tcBorders>
              <w:top w:val="nil"/>
              <w:left w:val="nil"/>
              <w:bottom w:val="single" w:color="auto" w:sz="8" w:space="0"/>
              <w:right w:val="single" w:color="auto" w:sz="8" w:space="0"/>
            </w:tcBorders>
            <w:vAlign w:val="center"/>
          </w:tcPr>
          <w:p w14:paraId="4B33E617">
            <w:pPr>
              <w:snapToGrid w:val="0"/>
              <w:spacing w:before="100" w:beforeAutospacing="1" w:after="100" w:afterAutospacing="1" w:line="400" w:lineRule="exact"/>
              <w:ind w:firstLine="2"/>
              <w:jc w:val="center"/>
              <w:rPr>
                <w:szCs w:val="21"/>
              </w:rPr>
            </w:pPr>
            <w:r>
              <w:rPr>
                <w:rFonts w:hint="eastAsia"/>
                <w:szCs w:val="21"/>
              </w:rPr>
              <w:t>金 额</w:t>
            </w:r>
          </w:p>
        </w:tc>
      </w:tr>
      <w:tr w14:paraId="22E4037C">
        <w:tblPrEx>
          <w:tblCellMar>
            <w:top w:w="0" w:type="dxa"/>
            <w:left w:w="0" w:type="dxa"/>
            <w:bottom w:w="0" w:type="dxa"/>
            <w:right w:w="0" w:type="dxa"/>
          </w:tblCellMar>
        </w:tblPrEx>
        <w:trPr>
          <w:trHeight w:val="487" w:hRule="atLeast"/>
          <w:jc w:val="center"/>
        </w:trPr>
        <w:tc>
          <w:tcPr>
            <w:tcW w:w="952" w:type="dxa"/>
            <w:tcBorders>
              <w:top w:val="nil"/>
              <w:left w:val="single" w:color="auto" w:sz="8" w:space="0"/>
              <w:bottom w:val="single" w:color="auto" w:sz="8" w:space="0"/>
              <w:right w:val="single" w:color="auto" w:sz="8" w:space="0"/>
            </w:tcBorders>
            <w:vAlign w:val="center"/>
          </w:tcPr>
          <w:p w14:paraId="55115C97">
            <w:pPr>
              <w:spacing w:before="100" w:beforeAutospacing="1" w:after="100" w:afterAutospacing="1" w:line="400" w:lineRule="exact"/>
              <w:jc w:val="center"/>
              <w:rPr>
                <w:szCs w:val="21"/>
              </w:rPr>
            </w:pPr>
          </w:p>
        </w:tc>
        <w:tc>
          <w:tcPr>
            <w:tcW w:w="1965" w:type="dxa"/>
            <w:tcBorders>
              <w:top w:val="nil"/>
              <w:left w:val="nil"/>
              <w:bottom w:val="single" w:color="auto" w:sz="8" w:space="0"/>
              <w:right w:val="single" w:color="auto" w:sz="8" w:space="0"/>
            </w:tcBorders>
            <w:vAlign w:val="center"/>
          </w:tcPr>
          <w:p w14:paraId="1619E8A5">
            <w:pPr>
              <w:spacing w:before="100" w:beforeAutospacing="1" w:after="100" w:afterAutospacing="1" w:line="400" w:lineRule="exact"/>
              <w:jc w:val="center"/>
              <w:rPr>
                <w:szCs w:val="21"/>
              </w:rPr>
            </w:pPr>
          </w:p>
        </w:tc>
        <w:tc>
          <w:tcPr>
            <w:tcW w:w="2865" w:type="dxa"/>
            <w:gridSpan w:val="3"/>
            <w:tcBorders>
              <w:top w:val="nil"/>
              <w:left w:val="nil"/>
              <w:bottom w:val="single" w:color="auto" w:sz="8" w:space="0"/>
              <w:right w:val="single" w:color="auto" w:sz="8" w:space="0"/>
            </w:tcBorders>
            <w:vAlign w:val="center"/>
          </w:tcPr>
          <w:p w14:paraId="7AFEC8F8">
            <w:pPr>
              <w:spacing w:before="100" w:beforeAutospacing="1" w:after="100" w:afterAutospacing="1" w:line="400" w:lineRule="exact"/>
              <w:jc w:val="center"/>
              <w:rPr>
                <w:szCs w:val="21"/>
              </w:rPr>
            </w:pPr>
          </w:p>
        </w:tc>
        <w:tc>
          <w:tcPr>
            <w:tcW w:w="1235" w:type="dxa"/>
            <w:gridSpan w:val="2"/>
            <w:tcBorders>
              <w:top w:val="nil"/>
              <w:left w:val="nil"/>
              <w:bottom w:val="single" w:color="auto" w:sz="8" w:space="0"/>
              <w:right w:val="single" w:color="auto" w:sz="8" w:space="0"/>
            </w:tcBorders>
            <w:vAlign w:val="center"/>
          </w:tcPr>
          <w:p w14:paraId="1B70D9CB">
            <w:pPr>
              <w:spacing w:before="100" w:beforeAutospacing="1" w:after="100" w:afterAutospacing="1" w:line="400" w:lineRule="exact"/>
              <w:jc w:val="center"/>
              <w:rPr>
                <w:szCs w:val="21"/>
              </w:rPr>
            </w:pPr>
          </w:p>
        </w:tc>
        <w:tc>
          <w:tcPr>
            <w:tcW w:w="1575" w:type="dxa"/>
            <w:tcBorders>
              <w:top w:val="nil"/>
              <w:left w:val="nil"/>
              <w:bottom w:val="single" w:color="auto" w:sz="8" w:space="0"/>
              <w:right w:val="single" w:color="auto" w:sz="8" w:space="0"/>
            </w:tcBorders>
            <w:vAlign w:val="center"/>
          </w:tcPr>
          <w:p w14:paraId="535FF26C">
            <w:pPr>
              <w:spacing w:before="100" w:beforeAutospacing="1" w:after="100" w:afterAutospacing="1" w:line="400" w:lineRule="exact"/>
              <w:jc w:val="center"/>
              <w:rPr>
                <w:szCs w:val="21"/>
              </w:rPr>
            </w:pPr>
          </w:p>
        </w:tc>
      </w:tr>
      <w:tr w14:paraId="013496EE">
        <w:trPr>
          <w:trHeight w:val="487" w:hRule="atLeast"/>
          <w:jc w:val="center"/>
        </w:trPr>
        <w:tc>
          <w:tcPr>
            <w:tcW w:w="952" w:type="dxa"/>
            <w:tcBorders>
              <w:top w:val="nil"/>
              <w:left w:val="single" w:color="auto" w:sz="8" w:space="0"/>
              <w:bottom w:val="single" w:color="auto" w:sz="8" w:space="0"/>
              <w:right w:val="single" w:color="auto" w:sz="8" w:space="0"/>
            </w:tcBorders>
            <w:vAlign w:val="center"/>
          </w:tcPr>
          <w:p w14:paraId="20667541">
            <w:pPr>
              <w:spacing w:before="100" w:beforeAutospacing="1" w:after="100" w:afterAutospacing="1" w:line="400" w:lineRule="exact"/>
              <w:jc w:val="center"/>
              <w:rPr>
                <w:szCs w:val="21"/>
              </w:rPr>
            </w:pPr>
          </w:p>
        </w:tc>
        <w:tc>
          <w:tcPr>
            <w:tcW w:w="1965" w:type="dxa"/>
            <w:tcBorders>
              <w:top w:val="nil"/>
              <w:left w:val="nil"/>
              <w:bottom w:val="single" w:color="auto" w:sz="8" w:space="0"/>
              <w:right w:val="single" w:color="auto" w:sz="8" w:space="0"/>
            </w:tcBorders>
            <w:vAlign w:val="center"/>
          </w:tcPr>
          <w:p w14:paraId="15AD03DA">
            <w:pPr>
              <w:spacing w:before="100" w:beforeAutospacing="1" w:after="100" w:afterAutospacing="1" w:line="400" w:lineRule="exact"/>
              <w:jc w:val="center"/>
              <w:rPr>
                <w:szCs w:val="21"/>
              </w:rPr>
            </w:pPr>
          </w:p>
        </w:tc>
        <w:tc>
          <w:tcPr>
            <w:tcW w:w="2865" w:type="dxa"/>
            <w:gridSpan w:val="3"/>
            <w:tcBorders>
              <w:top w:val="nil"/>
              <w:left w:val="nil"/>
              <w:bottom w:val="single" w:color="auto" w:sz="8" w:space="0"/>
              <w:right w:val="single" w:color="auto" w:sz="8" w:space="0"/>
            </w:tcBorders>
            <w:vAlign w:val="center"/>
          </w:tcPr>
          <w:p w14:paraId="29796F61">
            <w:pPr>
              <w:spacing w:before="100" w:beforeAutospacing="1" w:after="100" w:afterAutospacing="1" w:line="400" w:lineRule="exact"/>
              <w:jc w:val="center"/>
              <w:rPr>
                <w:szCs w:val="21"/>
              </w:rPr>
            </w:pPr>
          </w:p>
        </w:tc>
        <w:tc>
          <w:tcPr>
            <w:tcW w:w="1235" w:type="dxa"/>
            <w:gridSpan w:val="2"/>
            <w:tcBorders>
              <w:top w:val="nil"/>
              <w:left w:val="nil"/>
              <w:bottom w:val="single" w:color="auto" w:sz="8" w:space="0"/>
              <w:right w:val="single" w:color="auto" w:sz="8" w:space="0"/>
            </w:tcBorders>
            <w:vAlign w:val="center"/>
          </w:tcPr>
          <w:p w14:paraId="32B2A405">
            <w:pPr>
              <w:spacing w:before="100" w:beforeAutospacing="1" w:after="100" w:afterAutospacing="1" w:line="400" w:lineRule="exact"/>
              <w:jc w:val="center"/>
              <w:rPr>
                <w:szCs w:val="21"/>
              </w:rPr>
            </w:pPr>
          </w:p>
        </w:tc>
        <w:tc>
          <w:tcPr>
            <w:tcW w:w="1575" w:type="dxa"/>
            <w:tcBorders>
              <w:top w:val="nil"/>
              <w:left w:val="nil"/>
              <w:bottom w:val="single" w:color="auto" w:sz="8" w:space="0"/>
              <w:right w:val="single" w:color="auto" w:sz="8" w:space="0"/>
            </w:tcBorders>
            <w:vAlign w:val="center"/>
          </w:tcPr>
          <w:p w14:paraId="0A4B2E1C">
            <w:pPr>
              <w:spacing w:before="100" w:beforeAutospacing="1" w:after="100" w:afterAutospacing="1" w:line="400" w:lineRule="exact"/>
              <w:jc w:val="center"/>
              <w:rPr>
                <w:szCs w:val="21"/>
              </w:rPr>
            </w:pPr>
          </w:p>
        </w:tc>
      </w:tr>
      <w:tr w14:paraId="5C2BC0BF">
        <w:tblPrEx>
          <w:tblCellMar>
            <w:top w:w="0" w:type="dxa"/>
            <w:left w:w="0" w:type="dxa"/>
            <w:bottom w:w="0" w:type="dxa"/>
            <w:right w:w="0" w:type="dxa"/>
          </w:tblCellMar>
        </w:tblPrEx>
        <w:trPr>
          <w:trHeight w:val="487" w:hRule="atLeast"/>
          <w:jc w:val="center"/>
        </w:trPr>
        <w:tc>
          <w:tcPr>
            <w:tcW w:w="952" w:type="dxa"/>
            <w:tcBorders>
              <w:top w:val="nil"/>
              <w:left w:val="single" w:color="auto" w:sz="8" w:space="0"/>
              <w:bottom w:val="single" w:color="auto" w:sz="8" w:space="0"/>
              <w:right w:val="single" w:color="auto" w:sz="8" w:space="0"/>
            </w:tcBorders>
            <w:vAlign w:val="center"/>
          </w:tcPr>
          <w:p w14:paraId="598EE91F">
            <w:pPr>
              <w:spacing w:before="100" w:beforeAutospacing="1" w:after="100" w:afterAutospacing="1" w:line="400" w:lineRule="exact"/>
              <w:jc w:val="center"/>
              <w:rPr>
                <w:szCs w:val="21"/>
              </w:rPr>
            </w:pPr>
          </w:p>
        </w:tc>
        <w:tc>
          <w:tcPr>
            <w:tcW w:w="1965" w:type="dxa"/>
            <w:tcBorders>
              <w:top w:val="nil"/>
              <w:left w:val="nil"/>
              <w:bottom w:val="single" w:color="auto" w:sz="8" w:space="0"/>
              <w:right w:val="single" w:color="auto" w:sz="8" w:space="0"/>
            </w:tcBorders>
            <w:vAlign w:val="center"/>
          </w:tcPr>
          <w:p w14:paraId="5A924119">
            <w:pPr>
              <w:spacing w:before="100" w:beforeAutospacing="1" w:after="100" w:afterAutospacing="1" w:line="400" w:lineRule="exact"/>
              <w:jc w:val="center"/>
              <w:rPr>
                <w:szCs w:val="21"/>
              </w:rPr>
            </w:pPr>
          </w:p>
        </w:tc>
        <w:tc>
          <w:tcPr>
            <w:tcW w:w="2865" w:type="dxa"/>
            <w:gridSpan w:val="3"/>
            <w:tcBorders>
              <w:top w:val="nil"/>
              <w:left w:val="nil"/>
              <w:bottom w:val="single" w:color="auto" w:sz="8" w:space="0"/>
              <w:right w:val="single" w:color="auto" w:sz="8" w:space="0"/>
            </w:tcBorders>
            <w:vAlign w:val="center"/>
          </w:tcPr>
          <w:p w14:paraId="37D84488">
            <w:pPr>
              <w:spacing w:before="100" w:beforeAutospacing="1" w:after="100" w:afterAutospacing="1" w:line="400" w:lineRule="exact"/>
              <w:jc w:val="center"/>
              <w:rPr>
                <w:szCs w:val="21"/>
              </w:rPr>
            </w:pPr>
          </w:p>
        </w:tc>
        <w:tc>
          <w:tcPr>
            <w:tcW w:w="1235" w:type="dxa"/>
            <w:gridSpan w:val="2"/>
            <w:tcBorders>
              <w:top w:val="nil"/>
              <w:left w:val="nil"/>
              <w:bottom w:val="single" w:color="auto" w:sz="8" w:space="0"/>
              <w:right w:val="single" w:color="auto" w:sz="8" w:space="0"/>
            </w:tcBorders>
            <w:vAlign w:val="center"/>
          </w:tcPr>
          <w:p w14:paraId="7EC9F72F">
            <w:pPr>
              <w:spacing w:before="100" w:beforeAutospacing="1" w:after="100" w:afterAutospacing="1" w:line="400" w:lineRule="exact"/>
              <w:jc w:val="center"/>
              <w:rPr>
                <w:szCs w:val="21"/>
              </w:rPr>
            </w:pPr>
          </w:p>
        </w:tc>
        <w:tc>
          <w:tcPr>
            <w:tcW w:w="1575" w:type="dxa"/>
            <w:tcBorders>
              <w:top w:val="nil"/>
              <w:left w:val="nil"/>
              <w:bottom w:val="single" w:color="auto" w:sz="8" w:space="0"/>
              <w:right w:val="single" w:color="auto" w:sz="8" w:space="0"/>
            </w:tcBorders>
            <w:vAlign w:val="center"/>
          </w:tcPr>
          <w:p w14:paraId="251CC7DA">
            <w:pPr>
              <w:spacing w:before="100" w:beforeAutospacing="1" w:after="100" w:afterAutospacing="1" w:line="400" w:lineRule="exact"/>
              <w:jc w:val="center"/>
              <w:rPr>
                <w:szCs w:val="21"/>
              </w:rPr>
            </w:pPr>
          </w:p>
        </w:tc>
      </w:tr>
      <w:tr w14:paraId="164125C6">
        <w:tblPrEx>
          <w:tblCellMar>
            <w:top w:w="0" w:type="dxa"/>
            <w:left w:w="0" w:type="dxa"/>
            <w:bottom w:w="0" w:type="dxa"/>
            <w:right w:w="0" w:type="dxa"/>
          </w:tblCellMar>
        </w:tblPrEx>
        <w:trPr>
          <w:trHeight w:val="487" w:hRule="atLeast"/>
          <w:jc w:val="center"/>
        </w:trPr>
        <w:tc>
          <w:tcPr>
            <w:tcW w:w="5782" w:type="dxa"/>
            <w:gridSpan w:val="5"/>
            <w:tcBorders>
              <w:top w:val="nil"/>
              <w:left w:val="single" w:color="auto" w:sz="8" w:space="0"/>
              <w:bottom w:val="single" w:color="auto" w:sz="8" w:space="0"/>
              <w:right w:val="single" w:color="auto" w:sz="8" w:space="0"/>
            </w:tcBorders>
            <w:vAlign w:val="center"/>
          </w:tcPr>
          <w:p w14:paraId="158E5554">
            <w:pPr>
              <w:snapToGrid w:val="0"/>
              <w:spacing w:before="100" w:beforeAutospacing="1" w:after="100" w:afterAutospacing="1" w:line="400" w:lineRule="exact"/>
              <w:ind w:firstLine="5"/>
              <w:jc w:val="center"/>
              <w:rPr>
                <w:szCs w:val="21"/>
              </w:rPr>
            </w:pPr>
            <w:r>
              <w:rPr>
                <w:rFonts w:hint="eastAsia"/>
                <w:szCs w:val="21"/>
              </w:rPr>
              <w:t>合同金额</w:t>
            </w:r>
          </w:p>
        </w:tc>
        <w:tc>
          <w:tcPr>
            <w:tcW w:w="1235" w:type="dxa"/>
            <w:gridSpan w:val="2"/>
            <w:tcBorders>
              <w:top w:val="nil"/>
              <w:left w:val="nil"/>
              <w:bottom w:val="single" w:color="auto" w:sz="8" w:space="0"/>
              <w:right w:val="single" w:color="auto" w:sz="8" w:space="0"/>
            </w:tcBorders>
            <w:vAlign w:val="center"/>
          </w:tcPr>
          <w:p w14:paraId="106C2740">
            <w:pPr>
              <w:spacing w:before="100" w:beforeAutospacing="1" w:after="100" w:afterAutospacing="1" w:line="400" w:lineRule="exact"/>
              <w:jc w:val="center"/>
              <w:rPr>
                <w:szCs w:val="21"/>
              </w:rPr>
            </w:pPr>
          </w:p>
        </w:tc>
        <w:tc>
          <w:tcPr>
            <w:tcW w:w="1575" w:type="dxa"/>
            <w:tcBorders>
              <w:top w:val="nil"/>
              <w:left w:val="nil"/>
              <w:bottom w:val="single" w:color="auto" w:sz="8" w:space="0"/>
              <w:right w:val="single" w:color="auto" w:sz="8" w:space="0"/>
            </w:tcBorders>
            <w:vAlign w:val="center"/>
          </w:tcPr>
          <w:p w14:paraId="202A6A6A">
            <w:pPr>
              <w:spacing w:before="100" w:beforeAutospacing="1" w:after="100" w:afterAutospacing="1" w:line="400" w:lineRule="exact"/>
              <w:jc w:val="center"/>
              <w:rPr>
                <w:szCs w:val="21"/>
              </w:rPr>
            </w:pPr>
          </w:p>
        </w:tc>
      </w:tr>
      <w:tr w14:paraId="7145899D">
        <w:tblPrEx>
          <w:tblCellMar>
            <w:top w:w="0" w:type="dxa"/>
            <w:left w:w="0" w:type="dxa"/>
            <w:bottom w:w="0" w:type="dxa"/>
            <w:right w:w="0" w:type="dxa"/>
          </w:tblCellMar>
        </w:tblPrEx>
        <w:trPr>
          <w:trHeight w:val="641" w:hRule="atLeast"/>
          <w:jc w:val="center"/>
        </w:trPr>
        <w:tc>
          <w:tcPr>
            <w:tcW w:w="8592" w:type="dxa"/>
            <w:gridSpan w:val="8"/>
            <w:tcBorders>
              <w:top w:val="nil"/>
              <w:left w:val="single" w:color="auto" w:sz="8" w:space="0"/>
              <w:bottom w:val="single" w:color="auto" w:sz="8" w:space="0"/>
              <w:right w:val="single" w:color="auto" w:sz="8" w:space="0"/>
            </w:tcBorders>
            <w:vAlign w:val="center"/>
          </w:tcPr>
          <w:p w14:paraId="5C52D86C">
            <w:pPr>
              <w:snapToGrid w:val="0"/>
              <w:spacing w:before="100" w:beforeAutospacing="1" w:after="100" w:afterAutospacing="1" w:line="400" w:lineRule="exact"/>
              <w:ind w:firstLine="2"/>
              <w:rPr>
                <w:szCs w:val="21"/>
              </w:rPr>
            </w:pPr>
            <w:r>
              <w:rPr>
                <w:rFonts w:hint="eastAsia"/>
                <w:szCs w:val="21"/>
              </w:rPr>
              <w:t>合计大写金额： 亿 仟 佰 拾 万 仟 佰 拾 元</w:t>
            </w:r>
          </w:p>
        </w:tc>
      </w:tr>
      <w:tr w14:paraId="10F232EF">
        <w:tblPrEx>
          <w:tblCellMar>
            <w:top w:w="0" w:type="dxa"/>
            <w:left w:w="0" w:type="dxa"/>
            <w:bottom w:w="0" w:type="dxa"/>
            <w:right w:w="0" w:type="dxa"/>
          </w:tblCellMar>
        </w:tblPrEx>
        <w:trPr>
          <w:trHeight w:val="641" w:hRule="atLeast"/>
          <w:jc w:val="center"/>
        </w:trPr>
        <w:tc>
          <w:tcPr>
            <w:tcW w:w="952" w:type="dxa"/>
            <w:tcBorders>
              <w:top w:val="nil"/>
              <w:left w:val="single" w:color="auto" w:sz="8" w:space="0"/>
              <w:bottom w:val="single" w:color="auto" w:sz="8" w:space="0"/>
              <w:right w:val="single" w:color="auto" w:sz="8" w:space="0"/>
            </w:tcBorders>
            <w:vAlign w:val="center"/>
          </w:tcPr>
          <w:p w14:paraId="13BD38D6">
            <w:pPr>
              <w:snapToGrid w:val="0"/>
              <w:spacing w:before="100" w:beforeAutospacing="1" w:after="100" w:afterAutospacing="1" w:line="400" w:lineRule="exact"/>
              <w:ind w:firstLine="2"/>
              <w:jc w:val="center"/>
              <w:rPr>
                <w:szCs w:val="21"/>
              </w:rPr>
            </w:pPr>
            <w:r>
              <w:rPr>
                <w:rFonts w:hint="eastAsia"/>
                <w:szCs w:val="21"/>
              </w:rPr>
              <w:t>实际供货日期</w:t>
            </w:r>
          </w:p>
        </w:tc>
        <w:tc>
          <w:tcPr>
            <w:tcW w:w="3098" w:type="dxa"/>
            <w:gridSpan w:val="2"/>
            <w:tcBorders>
              <w:top w:val="nil"/>
              <w:left w:val="nil"/>
              <w:bottom w:val="single" w:color="auto" w:sz="8" w:space="0"/>
              <w:right w:val="single" w:color="auto" w:sz="8" w:space="0"/>
            </w:tcBorders>
            <w:vAlign w:val="center"/>
          </w:tcPr>
          <w:p w14:paraId="5D3A1353">
            <w:pPr>
              <w:spacing w:before="100" w:beforeAutospacing="1" w:after="100" w:afterAutospacing="1" w:line="400" w:lineRule="exact"/>
              <w:jc w:val="center"/>
              <w:rPr>
                <w:szCs w:val="21"/>
              </w:rPr>
            </w:pPr>
          </w:p>
        </w:tc>
        <w:tc>
          <w:tcPr>
            <w:tcW w:w="2282" w:type="dxa"/>
            <w:gridSpan w:val="3"/>
            <w:tcBorders>
              <w:top w:val="nil"/>
              <w:left w:val="nil"/>
              <w:bottom w:val="single" w:color="auto" w:sz="8" w:space="0"/>
              <w:right w:val="single" w:color="auto" w:sz="8" w:space="0"/>
            </w:tcBorders>
            <w:vAlign w:val="center"/>
          </w:tcPr>
          <w:p w14:paraId="18045017">
            <w:pPr>
              <w:snapToGrid w:val="0"/>
              <w:spacing w:before="100" w:beforeAutospacing="1" w:after="100" w:afterAutospacing="1" w:line="400" w:lineRule="exact"/>
              <w:ind w:firstLine="46"/>
              <w:jc w:val="center"/>
              <w:rPr>
                <w:szCs w:val="21"/>
              </w:rPr>
            </w:pPr>
            <w:r>
              <w:rPr>
                <w:rFonts w:hint="eastAsia"/>
                <w:szCs w:val="21"/>
              </w:rPr>
              <w:t>合同交货验收日期</w:t>
            </w:r>
          </w:p>
        </w:tc>
        <w:tc>
          <w:tcPr>
            <w:tcW w:w="2260" w:type="dxa"/>
            <w:gridSpan w:val="2"/>
            <w:tcBorders>
              <w:top w:val="nil"/>
              <w:left w:val="nil"/>
              <w:bottom w:val="single" w:color="auto" w:sz="8" w:space="0"/>
              <w:right w:val="single" w:color="auto" w:sz="8" w:space="0"/>
            </w:tcBorders>
            <w:vAlign w:val="center"/>
          </w:tcPr>
          <w:p w14:paraId="78813C46">
            <w:pPr>
              <w:spacing w:before="100" w:beforeAutospacing="1" w:after="100" w:afterAutospacing="1" w:line="400" w:lineRule="exact"/>
              <w:jc w:val="center"/>
              <w:rPr>
                <w:szCs w:val="21"/>
              </w:rPr>
            </w:pPr>
          </w:p>
        </w:tc>
      </w:tr>
      <w:tr w14:paraId="78CFE754">
        <w:trPr>
          <w:trHeight w:val="394" w:hRule="atLeast"/>
          <w:jc w:val="center"/>
        </w:trPr>
        <w:tc>
          <w:tcPr>
            <w:tcW w:w="952" w:type="dxa"/>
            <w:tcBorders>
              <w:top w:val="nil"/>
              <w:left w:val="single" w:color="auto" w:sz="8" w:space="0"/>
              <w:bottom w:val="single" w:color="auto" w:sz="8" w:space="0"/>
              <w:right w:val="single" w:color="auto" w:sz="8" w:space="0"/>
            </w:tcBorders>
            <w:vAlign w:val="center"/>
          </w:tcPr>
          <w:p w14:paraId="3698A4B6">
            <w:pPr>
              <w:spacing w:before="100" w:beforeAutospacing="1" w:after="100" w:afterAutospacing="1" w:line="400" w:lineRule="exact"/>
              <w:jc w:val="center"/>
              <w:rPr>
                <w:szCs w:val="21"/>
              </w:rPr>
            </w:pPr>
          </w:p>
        </w:tc>
        <w:tc>
          <w:tcPr>
            <w:tcW w:w="3098" w:type="dxa"/>
            <w:gridSpan w:val="2"/>
            <w:tcBorders>
              <w:top w:val="nil"/>
              <w:left w:val="nil"/>
              <w:bottom w:val="single" w:color="auto" w:sz="8" w:space="0"/>
              <w:right w:val="single" w:color="auto" w:sz="8" w:space="0"/>
            </w:tcBorders>
            <w:vAlign w:val="center"/>
          </w:tcPr>
          <w:p w14:paraId="18F3A233">
            <w:pPr>
              <w:spacing w:before="100" w:beforeAutospacing="1" w:after="100" w:afterAutospacing="1" w:line="400" w:lineRule="exact"/>
              <w:jc w:val="center"/>
              <w:rPr>
                <w:szCs w:val="21"/>
              </w:rPr>
            </w:pPr>
          </w:p>
        </w:tc>
        <w:tc>
          <w:tcPr>
            <w:tcW w:w="2282" w:type="dxa"/>
            <w:gridSpan w:val="3"/>
            <w:tcBorders>
              <w:top w:val="nil"/>
              <w:left w:val="nil"/>
              <w:bottom w:val="single" w:color="auto" w:sz="8" w:space="0"/>
              <w:right w:val="single" w:color="auto" w:sz="8" w:space="0"/>
            </w:tcBorders>
            <w:vAlign w:val="center"/>
          </w:tcPr>
          <w:p w14:paraId="55A24E53">
            <w:pPr>
              <w:spacing w:before="100" w:beforeAutospacing="1" w:after="100" w:afterAutospacing="1" w:line="400" w:lineRule="exact"/>
              <w:jc w:val="center"/>
              <w:rPr>
                <w:szCs w:val="21"/>
              </w:rPr>
            </w:pPr>
          </w:p>
        </w:tc>
        <w:tc>
          <w:tcPr>
            <w:tcW w:w="2260" w:type="dxa"/>
            <w:gridSpan w:val="2"/>
            <w:tcBorders>
              <w:top w:val="nil"/>
              <w:left w:val="nil"/>
              <w:bottom w:val="single" w:color="auto" w:sz="8" w:space="0"/>
              <w:right w:val="single" w:color="auto" w:sz="8" w:space="0"/>
            </w:tcBorders>
            <w:vAlign w:val="center"/>
          </w:tcPr>
          <w:p w14:paraId="4EA3B126">
            <w:pPr>
              <w:spacing w:before="100" w:beforeAutospacing="1" w:after="100" w:afterAutospacing="1" w:line="400" w:lineRule="exact"/>
              <w:jc w:val="center"/>
              <w:rPr>
                <w:szCs w:val="21"/>
              </w:rPr>
            </w:pPr>
          </w:p>
        </w:tc>
      </w:tr>
      <w:tr w14:paraId="65EF864E">
        <w:trPr>
          <w:trHeight w:val="693" w:hRule="atLeast"/>
          <w:jc w:val="center"/>
        </w:trPr>
        <w:tc>
          <w:tcPr>
            <w:tcW w:w="952"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5AEA6A44">
            <w:pPr>
              <w:snapToGrid w:val="0"/>
              <w:spacing w:before="100" w:beforeAutospacing="1" w:after="100" w:afterAutospacing="1" w:line="400" w:lineRule="exact"/>
              <w:rPr>
                <w:szCs w:val="21"/>
              </w:rPr>
            </w:pPr>
            <w:r>
              <w:rPr>
                <w:rFonts w:hint="eastAsia"/>
                <w:szCs w:val="21"/>
              </w:rPr>
              <w:t>验收具体内容</w:t>
            </w:r>
          </w:p>
        </w:tc>
        <w:tc>
          <w:tcPr>
            <w:tcW w:w="7640" w:type="dxa"/>
            <w:gridSpan w:val="7"/>
            <w:tcBorders>
              <w:top w:val="nil"/>
              <w:left w:val="nil"/>
              <w:bottom w:val="single" w:color="auto" w:sz="8" w:space="0"/>
              <w:right w:val="single" w:color="auto" w:sz="8" w:space="0"/>
            </w:tcBorders>
            <w:tcMar>
              <w:top w:w="0" w:type="dxa"/>
              <w:left w:w="108" w:type="dxa"/>
              <w:bottom w:w="0" w:type="dxa"/>
              <w:right w:w="108" w:type="dxa"/>
            </w:tcMar>
            <w:vAlign w:val="center"/>
          </w:tcPr>
          <w:p w14:paraId="6DFB8A24">
            <w:pPr>
              <w:snapToGrid w:val="0"/>
              <w:spacing w:before="100" w:beforeAutospacing="1" w:after="100" w:afterAutospacing="1" w:line="400" w:lineRule="exact"/>
              <w:rPr>
                <w:szCs w:val="21"/>
              </w:rPr>
            </w:pPr>
            <w:r>
              <w:rPr>
                <w:rFonts w:hint="eastAsia"/>
                <w:szCs w:val="21"/>
              </w:rPr>
              <w:t>（应按采购合同、采购文件、投标文件及验收方案等进行验收；并核对中标或者成交投标人在安装调试等方面是否违反合同约定或者服务规范要求、提供的质量保证证明材料是否齐全、应有的配件及附件是否达到合同约定等。可附件)</w:t>
            </w:r>
          </w:p>
        </w:tc>
      </w:tr>
      <w:tr w14:paraId="078FE128">
        <w:tblPrEx>
          <w:tblCellMar>
            <w:top w:w="0" w:type="dxa"/>
            <w:left w:w="0" w:type="dxa"/>
            <w:bottom w:w="0" w:type="dxa"/>
            <w:right w:w="0" w:type="dxa"/>
          </w:tblCellMar>
        </w:tblPrEx>
        <w:trPr>
          <w:trHeight w:val="1041" w:hRule="atLeast"/>
          <w:jc w:val="center"/>
        </w:trPr>
        <w:tc>
          <w:tcPr>
            <w:tcW w:w="952"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310048A9">
            <w:pPr>
              <w:spacing w:before="100" w:beforeAutospacing="1" w:after="100" w:afterAutospacing="1" w:line="400" w:lineRule="exact"/>
              <w:rPr>
                <w:szCs w:val="21"/>
              </w:rPr>
            </w:pPr>
            <w:r>
              <w:rPr>
                <w:rFonts w:hint="eastAsia"/>
                <w:szCs w:val="21"/>
              </w:rPr>
              <w:t>验收小组意见</w:t>
            </w:r>
          </w:p>
        </w:tc>
        <w:tc>
          <w:tcPr>
            <w:tcW w:w="7640" w:type="dxa"/>
            <w:gridSpan w:val="7"/>
            <w:tcBorders>
              <w:top w:val="nil"/>
              <w:left w:val="nil"/>
              <w:bottom w:val="single" w:color="auto" w:sz="8" w:space="0"/>
              <w:right w:val="single" w:color="auto" w:sz="8" w:space="0"/>
            </w:tcBorders>
            <w:vAlign w:val="center"/>
          </w:tcPr>
          <w:p w14:paraId="72F04B91">
            <w:pPr>
              <w:spacing w:before="100" w:beforeAutospacing="1" w:after="100" w:afterAutospacing="1" w:line="400" w:lineRule="exact"/>
              <w:rPr>
                <w:szCs w:val="21"/>
              </w:rPr>
            </w:pPr>
            <w:r>
              <w:rPr>
                <w:rFonts w:hint="eastAsia"/>
                <w:szCs w:val="21"/>
              </w:rPr>
              <w:t>验收结论性意见：</w:t>
            </w:r>
          </w:p>
        </w:tc>
      </w:tr>
      <w:tr w14:paraId="76FF86D2">
        <w:tblPrEx>
          <w:tblCellMar>
            <w:top w:w="0" w:type="dxa"/>
            <w:left w:w="0" w:type="dxa"/>
            <w:bottom w:w="0" w:type="dxa"/>
            <w:right w:w="0" w:type="dxa"/>
          </w:tblCellMar>
        </w:tblPrEx>
        <w:trPr>
          <w:trHeight w:val="1105" w:hRule="atLeast"/>
          <w:jc w:val="center"/>
        </w:trPr>
        <w:tc>
          <w:tcPr>
            <w:tcW w:w="952" w:type="dxa"/>
            <w:vMerge w:val="continue"/>
            <w:tcBorders>
              <w:top w:val="nil"/>
              <w:left w:val="single" w:color="auto" w:sz="8" w:space="0"/>
              <w:bottom w:val="single" w:color="auto" w:sz="8" w:space="0"/>
              <w:right w:val="single" w:color="auto" w:sz="8" w:space="0"/>
            </w:tcBorders>
            <w:vAlign w:val="center"/>
          </w:tcPr>
          <w:p w14:paraId="35BD692A">
            <w:pPr>
              <w:spacing w:line="400" w:lineRule="exact"/>
              <w:rPr>
                <w:szCs w:val="21"/>
              </w:rPr>
            </w:pPr>
          </w:p>
        </w:tc>
        <w:tc>
          <w:tcPr>
            <w:tcW w:w="7640" w:type="dxa"/>
            <w:gridSpan w:val="7"/>
            <w:tcBorders>
              <w:top w:val="nil"/>
              <w:left w:val="nil"/>
              <w:bottom w:val="single" w:color="auto" w:sz="8" w:space="0"/>
              <w:right w:val="single" w:color="auto" w:sz="8" w:space="0"/>
            </w:tcBorders>
            <w:vAlign w:val="center"/>
          </w:tcPr>
          <w:p w14:paraId="3E783B7C">
            <w:pPr>
              <w:spacing w:before="100" w:beforeAutospacing="1" w:after="100" w:afterAutospacing="1" w:line="400" w:lineRule="exact"/>
              <w:rPr>
                <w:szCs w:val="21"/>
              </w:rPr>
            </w:pPr>
            <w:r>
              <w:rPr>
                <w:rFonts w:hint="eastAsia"/>
                <w:szCs w:val="21"/>
              </w:rPr>
              <w:t>有异议的意见和说明理由：</w:t>
            </w:r>
          </w:p>
          <w:p w14:paraId="258EEBF9">
            <w:pPr>
              <w:spacing w:before="100" w:beforeAutospacing="1" w:after="100" w:afterAutospacing="1" w:line="400" w:lineRule="exact"/>
              <w:rPr>
                <w:szCs w:val="21"/>
              </w:rPr>
            </w:pPr>
            <w:r>
              <w:rPr>
                <w:rFonts w:hint="eastAsia"/>
                <w:szCs w:val="21"/>
              </w:rPr>
              <w:t>签字：</w:t>
            </w:r>
          </w:p>
        </w:tc>
      </w:tr>
      <w:tr w14:paraId="2174CF3B">
        <w:tblPrEx>
          <w:tblCellMar>
            <w:top w:w="0" w:type="dxa"/>
            <w:left w:w="0" w:type="dxa"/>
            <w:bottom w:w="0" w:type="dxa"/>
            <w:right w:w="0" w:type="dxa"/>
          </w:tblCellMar>
        </w:tblPrEx>
        <w:trPr>
          <w:trHeight w:val="507" w:hRule="atLeast"/>
          <w:jc w:val="center"/>
        </w:trPr>
        <w:tc>
          <w:tcPr>
            <w:tcW w:w="8592" w:type="dxa"/>
            <w:gridSpan w:val="8"/>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43E41E8D">
            <w:pPr>
              <w:spacing w:before="100" w:beforeAutospacing="1" w:after="100" w:afterAutospacing="1" w:line="400" w:lineRule="exact"/>
              <w:rPr>
                <w:szCs w:val="21"/>
              </w:rPr>
            </w:pPr>
            <w:r>
              <w:rPr>
                <w:rFonts w:hint="eastAsia"/>
                <w:szCs w:val="21"/>
              </w:rPr>
              <w:t>验收小组成员签字：</w:t>
            </w:r>
          </w:p>
        </w:tc>
      </w:tr>
      <w:tr w14:paraId="7C8790A7">
        <w:tblPrEx>
          <w:tblCellMar>
            <w:top w:w="0" w:type="dxa"/>
            <w:left w:w="0" w:type="dxa"/>
            <w:bottom w:w="0" w:type="dxa"/>
            <w:right w:w="0" w:type="dxa"/>
          </w:tblCellMar>
        </w:tblPrEx>
        <w:trPr>
          <w:trHeight w:val="736" w:hRule="atLeast"/>
          <w:jc w:val="center"/>
        </w:trPr>
        <w:tc>
          <w:tcPr>
            <w:tcW w:w="8592" w:type="dxa"/>
            <w:gridSpan w:val="8"/>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193ED344">
            <w:pPr>
              <w:spacing w:before="100" w:beforeAutospacing="1" w:after="100" w:afterAutospacing="1" w:line="400" w:lineRule="exact"/>
              <w:rPr>
                <w:szCs w:val="21"/>
              </w:rPr>
            </w:pPr>
            <w:r>
              <w:rPr>
                <w:rFonts w:hint="eastAsia"/>
                <w:szCs w:val="21"/>
              </w:rPr>
              <w:t>监督人员或者其他相关人员签字：</w:t>
            </w:r>
          </w:p>
          <w:p w14:paraId="1A3BA076">
            <w:pPr>
              <w:spacing w:before="100" w:beforeAutospacing="1" w:after="100" w:afterAutospacing="1" w:line="400" w:lineRule="exact"/>
              <w:ind w:firstLine="74"/>
              <w:rPr>
                <w:szCs w:val="21"/>
              </w:rPr>
            </w:pPr>
            <w:r>
              <w:rPr>
                <w:rFonts w:hint="eastAsia"/>
                <w:szCs w:val="21"/>
              </w:rPr>
              <w:t>或者受邀机构的意见（盖章）：</w:t>
            </w:r>
          </w:p>
        </w:tc>
      </w:tr>
      <w:tr w14:paraId="1036E5B3">
        <w:tblPrEx>
          <w:tblCellMar>
            <w:top w:w="0" w:type="dxa"/>
            <w:left w:w="0" w:type="dxa"/>
            <w:bottom w:w="0" w:type="dxa"/>
            <w:right w:w="0" w:type="dxa"/>
          </w:tblCellMar>
        </w:tblPrEx>
        <w:trPr>
          <w:trHeight w:val="758" w:hRule="atLeast"/>
          <w:jc w:val="center"/>
        </w:trPr>
        <w:tc>
          <w:tcPr>
            <w:tcW w:w="4267" w:type="dxa"/>
            <w:gridSpan w:val="4"/>
            <w:tcBorders>
              <w:top w:val="nil"/>
              <w:left w:val="single" w:color="auto" w:sz="8" w:space="0"/>
              <w:bottom w:val="single" w:color="auto" w:sz="8" w:space="0"/>
              <w:right w:val="nil"/>
            </w:tcBorders>
            <w:tcMar>
              <w:top w:w="0" w:type="dxa"/>
              <w:left w:w="108" w:type="dxa"/>
              <w:bottom w:w="0" w:type="dxa"/>
              <w:right w:w="108" w:type="dxa"/>
            </w:tcMar>
            <w:vAlign w:val="center"/>
          </w:tcPr>
          <w:p w14:paraId="77C542F0">
            <w:pPr>
              <w:spacing w:before="100" w:beforeAutospacing="1" w:after="100" w:afterAutospacing="1" w:line="400" w:lineRule="exact"/>
              <w:rPr>
                <w:szCs w:val="21"/>
              </w:rPr>
            </w:pPr>
            <w:r>
              <w:rPr>
                <w:rFonts w:hint="eastAsia"/>
                <w:szCs w:val="21"/>
              </w:rPr>
              <w:t>中标或者成交人负责人签字或者盖章：</w:t>
            </w:r>
          </w:p>
          <w:p w14:paraId="65A5DD28">
            <w:pPr>
              <w:spacing w:before="100" w:beforeAutospacing="1" w:after="100" w:afterAutospacing="1" w:line="400" w:lineRule="exact"/>
              <w:rPr>
                <w:szCs w:val="21"/>
              </w:rPr>
            </w:pPr>
            <w:r>
              <w:rPr>
                <w:rFonts w:hint="eastAsia"/>
                <w:szCs w:val="21"/>
              </w:rPr>
              <w:t>联系电话：   年   月   日</w:t>
            </w:r>
          </w:p>
        </w:tc>
        <w:tc>
          <w:tcPr>
            <w:tcW w:w="4325" w:type="dxa"/>
            <w:gridSpan w:val="4"/>
            <w:tcBorders>
              <w:top w:val="nil"/>
              <w:left w:val="nil"/>
              <w:bottom w:val="single" w:color="auto" w:sz="8" w:space="0"/>
              <w:right w:val="single" w:color="auto" w:sz="8" w:space="0"/>
            </w:tcBorders>
            <w:vAlign w:val="center"/>
          </w:tcPr>
          <w:p w14:paraId="27223DFF">
            <w:pPr>
              <w:spacing w:before="100" w:beforeAutospacing="1" w:after="100" w:afterAutospacing="1" w:line="400" w:lineRule="exact"/>
              <w:rPr>
                <w:szCs w:val="21"/>
              </w:rPr>
            </w:pPr>
            <w:r>
              <w:rPr>
                <w:rFonts w:hint="eastAsia"/>
                <w:szCs w:val="21"/>
              </w:rPr>
              <w:t>采购人或者受托机构的意见（盖章）：</w:t>
            </w:r>
          </w:p>
          <w:p w14:paraId="67B119C7">
            <w:pPr>
              <w:spacing w:before="100" w:beforeAutospacing="1" w:after="100" w:afterAutospacing="1" w:line="400" w:lineRule="exact"/>
              <w:rPr>
                <w:szCs w:val="21"/>
              </w:rPr>
            </w:pPr>
            <w:r>
              <w:rPr>
                <w:rFonts w:hint="eastAsia"/>
                <w:szCs w:val="21"/>
              </w:rPr>
              <w:t>联系电话：   年   月  日</w:t>
            </w:r>
          </w:p>
        </w:tc>
      </w:tr>
    </w:tbl>
    <w:p w14:paraId="2516C7EA">
      <w:pPr>
        <w:spacing w:before="120" w:line="320" w:lineRule="atLeast"/>
        <w:jc w:val="left"/>
        <w:outlineLvl w:val="1"/>
        <w:rPr>
          <w:b/>
          <w:bCs/>
          <w:kern w:val="0"/>
          <w:szCs w:val="21"/>
        </w:rPr>
      </w:pPr>
      <w:r>
        <w:rPr>
          <w:rFonts w:hint="eastAsia"/>
          <w:szCs w:val="21"/>
        </w:rPr>
        <w:br w:type="page"/>
      </w:r>
      <w:bookmarkStart w:id="112" w:name="_Toc17162"/>
      <w:r>
        <w:rPr>
          <w:rFonts w:hint="eastAsia"/>
          <w:b/>
          <w:bCs/>
          <w:kern w:val="0"/>
          <w:szCs w:val="21"/>
        </w:rPr>
        <w:t>附件3：</w:t>
      </w:r>
      <w:bookmarkEnd w:id="112"/>
    </w:p>
    <w:p w14:paraId="76002536">
      <w:pPr>
        <w:pStyle w:val="4"/>
        <w:tabs>
          <w:tab w:val="left" w:pos="312"/>
        </w:tabs>
        <w:jc w:val="center"/>
        <w:rPr>
          <w:b w:val="0"/>
          <w:bCs w:val="0"/>
          <w:sz w:val="21"/>
          <w:szCs w:val="21"/>
        </w:rPr>
      </w:pPr>
      <w:r>
        <w:rPr>
          <w:rFonts w:hint="eastAsia"/>
          <w:b w:val="0"/>
          <w:bCs w:val="0"/>
          <w:sz w:val="21"/>
          <w:szCs w:val="21"/>
        </w:rPr>
        <w:t>政府采购项目履约保证金退付意见书（参考）</w:t>
      </w:r>
    </w:p>
    <w:tbl>
      <w:tblPr>
        <w:tblStyle w:val="5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7298"/>
      </w:tblGrid>
      <w:tr w14:paraId="26AE2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trPr>
        <w:tc>
          <w:tcPr>
            <w:tcW w:w="1008" w:type="dxa"/>
            <w:vMerge w:val="restart"/>
            <w:vAlign w:val="center"/>
          </w:tcPr>
          <w:p w14:paraId="7EA07436">
            <w:pPr>
              <w:jc w:val="center"/>
              <w:rPr>
                <w:szCs w:val="21"/>
              </w:rPr>
            </w:pPr>
            <w:r>
              <w:rPr>
                <w:rFonts w:hint="eastAsia"/>
                <w:szCs w:val="21"/>
              </w:rPr>
              <w:t>供</w:t>
            </w:r>
          </w:p>
          <w:p w14:paraId="6C973586">
            <w:pPr>
              <w:jc w:val="center"/>
              <w:rPr>
                <w:szCs w:val="21"/>
              </w:rPr>
            </w:pPr>
            <w:r>
              <w:rPr>
                <w:rFonts w:hint="eastAsia"/>
                <w:szCs w:val="21"/>
              </w:rPr>
              <w:t>应</w:t>
            </w:r>
          </w:p>
          <w:p w14:paraId="7FED43E5">
            <w:pPr>
              <w:jc w:val="center"/>
              <w:rPr>
                <w:szCs w:val="21"/>
              </w:rPr>
            </w:pPr>
            <w:r>
              <w:rPr>
                <w:rFonts w:hint="eastAsia"/>
                <w:szCs w:val="21"/>
              </w:rPr>
              <w:t>商</w:t>
            </w:r>
          </w:p>
          <w:p w14:paraId="4C52AFE3">
            <w:pPr>
              <w:jc w:val="center"/>
              <w:rPr>
                <w:szCs w:val="21"/>
              </w:rPr>
            </w:pPr>
            <w:r>
              <w:rPr>
                <w:rFonts w:hint="eastAsia"/>
                <w:szCs w:val="21"/>
              </w:rPr>
              <w:t>申</w:t>
            </w:r>
          </w:p>
          <w:p w14:paraId="1B326F82">
            <w:pPr>
              <w:jc w:val="center"/>
              <w:rPr>
                <w:szCs w:val="21"/>
              </w:rPr>
            </w:pPr>
            <w:r>
              <w:rPr>
                <w:rFonts w:hint="eastAsia"/>
                <w:szCs w:val="21"/>
              </w:rPr>
              <w:t>请</w:t>
            </w:r>
          </w:p>
        </w:tc>
        <w:tc>
          <w:tcPr>
            <w:tcW w:w="7298" w:type="dxa"/>
            <w:vAlign w:val="center"/>
          </w:tcPr>
          <w:p w14:paraId="78EC921C">
            <w:pPr>
              <w:rPr>
                <w:szCs w:val="21"/>
              </w:rPr>
            </w:pPr>
            <w:r>
              <w:rPr>
                <w:rFonts w:hint="eastAsia"/>
                <w:szCs w:val="21"/>
              </w:rPr>
              <w:t>项目编号：</w:t>
            </w:r>
          </w:p>
        </w:tc>
      </w:tr>
      <w:tr w14:paraId="0BF84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1008" w:type="dxa"/>
            <w:vMerge w:val="continue"/>
            <w:vAlign w:val="center"/>
          </w:tcPr>
          <w:p w14:paraId="02D0DD56">
            <w:pPr>
              <w:rPr>
                <w:szCs w:val="21"/>
              </w:rPr>
            </w:pPr>
          </w:p>
        </w:tc>
        <w:tc>
          <w:tcPr>
            <w:tcW w:w="7298" w:type="dxa"/>
            <w:vAlign w:val="center"/>
          </w:tcPr>
          <w:p w14:paraId="21C7E065">
            <w:pPr>
              <w:rPr>
                <w:szCs w:val="21"/>
              </w:rPr>
            </w:pPr>
            <w:r>
              <w:rPr>
                <w:rFonts w:hint="eastAsia"/>
                <w:szCs w:val="21"/>
              </w:rPr>
              <w:t>项目名称：</w:t>
            </w:r>
          </w:p>
        </w:tc>
      </w:tr>
      <w:tr w14:paraId="4C6C6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008" w:type="dxa"/>
            <w:vMerge w:val="continue"/>
          </w:tcPr>
          <w:p w14:paraId="4EAFDC5C">
            <w:pPr>
              <w:rPr>
                <w:szCs w:val="21"/>
              </w:rPr>
            </w:pPr>
          </w:p>
        </w:tc>
        <w:tc>
          <w:tcPr>
            <w:tcW w:w="7298" w:type="dxa"/>
          </w:tcPr>
          <w:p w14:paraId="4BA5A451">
            <w:pPr>
              <w:rPr>
                <w:szCs w:val="21"/>
              </w:rPr>
            </w:pPr>
            <w:r>
              <w:rPr>
                <w:rFonts w:hint="eastAsia"/>
                <w:szCs w:val="21"/>
              </w:rPr>
              <w:t xml:space="preserve">  </w:t>
            </w:r>
          </w:p>
          <w:p w14:paraId="2C9D8AAC">
            <w:pPr>
              <w:spacing w:line="400" w:lineRule="exact"/>
              <w:ind w:firstLine="420" w:firstLineChars="200"/>
              <w:rPr>
                <w:szCs w:val="21"/>
              </w:rPr>
            </w:pPr>
            <w:r>
              <w:rPr>
                <w:rFonts w:hint="eastAsia"/>
                <w:szCs w:val="21"/>
              </w:rPr>
              <w:t>该项目已于       年     月     日验收并交付使用。根据合同规定，该项目的履约保证金期限于         年      月       日已满，请将履约保证金</w:t>
            </w:r>
          </w:p>
          <w:p w14:paraId="32DDBAC2">
            <w:pPr>
              <w:spacing w:line="400" w:lineRule="exact"/>
              <w:rPr>
                <w:szCs w:val="21"/>
              </w:rPr>
            </w:pPr>
            <w:r>
              <w:rPr>
                <w:rFonts w:hint="eastAsia"/>
                <w:szCs w:val="21"/>
              </w:rPr>
              <w:t xml:space="preserve">                                        （大写）￥          （小写）退付到达以下账户。</w:t>
            </w:r>
          </w:p>
          <w:p w14:paraId="7F5268E2">
            <w:pPr>
              <w:spacing w:line="400" w:lineRule="exact"/>
              <w:ind w:firstLine="705"/>
              <w:rPr>
                <w:szCs w:val="21"/>
              </w:rPr>
            </w:pPr>
            <w:r>
              <w:rPr>
                <w:rFonts w:hint="eastAsia"/>
                <w:szCs w:val="21"/>
              </w:rPr>
              <w:t>单位名称：</w:t>
            </w:r>
          </w:p>
          <w:p w14:paraId="178EA016">
            <w:pPr>
              <w:spacing w:line="400" w:lineRule="exact"/>
              <w:ind w:firstLine="705"/>
              <w:rPr>
                <w:szCs w:val="21"/>
              </w:rPr>
            </w:pPr>
            <w:r>
              <w:rPr>
                <w:rFonts w:hint="eastAsia"/>
                <w:szCs w:val="21"/>
              </w:rPr>
              <w:t>开户银行：</w:t>
            </w:r>
          </w:p>
          <w:p w14:paraId="55A03ABE">
            <w:pPr>
              <w:spacing w:line="400" w:lineRule="exact"/>
              <w:ind w:firstLine="705"/>
              <w:rPr>
                <w:szCs w:val="21"/>
              </w:rPr>
            </w:pPr>
            <w:r>
              <w:rPr>
                <w:rFonts w:hint="eastAsia"/>
                <w:szCs w:val="21"/>
              </w:rPr>
              <w:t>账   号：</w:t>
            </w:r>
          </w:p>
          <w:p w14:paraId="7EFA6130">
            <w:pPr>
              <w:spacing w:line="400" w:lineRule="exact"/>
              <w:rPr>
                <w:szCs w:val="21"/>
              </w:rPr>
            </w:pPr>
            <w:r>
              <w:rPr>
                <w:rFonts w:hint="eastAsia"/>
                <w:szCs w:val="21"/>
              </w:rPr>
              <w:t>联系人及电话：</w:t>
            </w:r>
          </w:p>
          <w:p w14:paraId="666F6A4B">
            <w:pPr>
              <w:spacing w:line="520" w:lineRule="exact"/>
              <w:jc w:val="center"/>
              <w:rPr>
                <w:szCs w:val="21"/>
              </w:rPr>
            </w:pPr>
            <w:r>
              <w:rPr>
                <w:rFonts w:hint="eastAsia"/>
                <w:szCs w:val="21"/>
              </w:rPr>
              <w:t xml:space="preserve">         投标人签章：</w:t>
            </w:r>
          </w:p>
          <w:p w14:paraId="5B4DA2D3">
            <w:pPr>
              <w:spacing w:line="520" w:lineRule="exact"/>
              <w:jc w:val="center"/>
              <w:rPr>
                <w:szCs w:val="21"/>
              </w:rPr>
            </w:pPr>
            <w:r>
              <w:rPr>
                <w:rFonts w:hint="eastAsia"/>
                <w:szCs w:val="21"/>
              </w:rPr>
              <w:t xml:space="preserve">                           年    月     日</w:t>
            </w:r>
          </w:p>
        </w:tc>
      </w:tr>
      <w:tr w14:paraId="11D2D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6" w:hRule="atLeast"/>
        </w:trPr>
        <w:tc>
          <w:tcPr>
            <w:tcW w:w="1008" w:type="dxa"/>
            <w:vAlign w:val="center"/>
          </w:tcPr>
          <w:p w14:paraId="74F2C2EE">
            <w:pPr>
              <w:jc w:val="center"/>
              <w:rPr>
                <w:szCs w:val="21"/>
              </w:rPr>
            </w:pPr>
            <w:r>
              <w:rPr>
                <w:rFonts w:hint="eastAsia"/>
                <w:szCs w:val="21"/>
              </w:rPr>
              <w:t>采</w:t>
            </w:r>
          </w:p>
          <w:p w14:paraId="202D2364">
            <w:pPr>
              <w:jc w:val="center"/>
              <w:rPr>
                <w:szCs w:val="21"/>
              </w:rPr>
            </w:pPr>
            <w:r>
              <w:rPr>
                <w:rFonts w:hint="eastAsia"/>
                <w:szCs w:val="21"/>
              </w:rPr>
              <w:t>购</w:t>
            </w:r>
          </w:p>
          <w:p w14:paraId="7EB381C6">
            <w:pPr>
              <w:jc w:val="center"/>
              <w:rPr>
                <w:szCs w:val="21"/>
              </w:rPr>
            </w:pPr>
            <w:r>
              <w:rPr>
                <w:rFonts w:hint="eastAsia"/>
                <w:szCs w:val="21"/>
              </w:rPr>
              <w:t>人</w:t>
            </w:r>
          </w:p>
          <w:p w14:paraId="47868FF3">
            <w:pPr>
              <w:jc w:val="center"/>
              <w:rPr>
                <w:szCs w:val="21"/>
              </w:rPr>
            </w:pPr>
            <w:r>
              <w:rPr>
                <w:rFonts w:hint="eastAsia"/>
                <w:szCs w:val="21"/>
              </w:rPr>
              <w:t>意</w:t>
            </w:r>
          </w:p>
          <w:p w14:paraId="104D4368">
            <w:pPr>
              <w:jc w:val="center"/>
              <w:rPr>
                <w:szCs w:val="21"/>
              </w:rPr>
            </w:pPr>
            <w:r>
              <w:rPr>
                <w:rFonts w:hint="eastAsia"/>
                <w:szCs w:val="21"/>
              </w:rPr>
              <w:t>见</w:t>
            </w:r>
          </w:p>
        </w:tc>
        <w:tc>
          <w:tcPr>
            <w:tcW w:w="7298" w:type="dxa"/>
          </w:tcPr>
          <w:p w14:paraId="7F1FB65B">
            <w:pPr>
              <w:rPr>
                <w:szCs w:val="21"/>
              </w:rPr>
            </w:pPr>
          </w:p>
          <w:p w14:paraId="7EA3CF7E">
            <w:pPr>
              <w:rPr>
                <w:szCs w:val="21"/>
              </w:rPr>
            </w:pPr>
            <w:r>
              <w:rPr>
                <w:rFonts w:hint="eastAsia"/>
                <w:szCs w:val="21"/>
              </w:rPr>
              <w:t>退付意见：（是否同意退付履约保证金及退付金额）</w:t>
            </w:r>
          </w:p>
          <w:p w14:paraId="6D5C2083">
            <w:pPr>
              <w:rPr>
                <w:szCs w:val="21"/>
              </w:rPr>
            </w:pPr>
          </w:p>
          <w:p w14:paraId="025838A8">
            <w:pPr>
              <w:rPr>
                <w:szCs w:val="21"/>
              </w:rPr>
            </w:pPr>
          </w:p>
          <w:p w14:paraId="0D822A46">
            <w:pPr>
              <w:rPr>
                <w:szCs w:val="21"/>
              </w:rPr>
            </w:pPr>
          </w:p>
          <w:p w14:paraId="559C7D79">
            <w:pPr>
              <w:spacing w:line="520" w:lineRule="exact"/>
              <w:rPr>
                <w:szCs w:val="21"/>
              </w:rPr>
            </w:pPr>
            <w:r>
              <w:rPr>
                <w:rFonts w:hint="eastAsia"/>
                <w:szCs w:val="21"/>
              </w:rPr>
              <w:t>联系人及电话：               采购人签章</w:t>
            </w:r>
          </w:p>
          <w:p w14:paraId="6F8664B8">
            <w:pPr>
              <w:spacing w:line="520" w:lineRule="exact"/>
              <w:jc w:val="center"/>
              <w:rPr>
                <w:szCs w:val="21"/>
              </w:rPr>
            </w:pPr>
            <w:r>
              <w:rPr>
                <w:rFonts w:hint="eastAsia"/>
                <w:szCs w:val="21"/>
              </w:rPr>
              <w:t xml:space="preserve">                                        年    月     日</w:t>
            </w:r>
          </w:p>
        </w:tc>
      </w:tr>
      <w:tr w14:paraId="46C03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trPr>
        <w:tc>
          <w:tcPr>
            <w:tcW w:w="1008" w:type="dxa"/>
            <w:vAlign w:val="center"/>
          </w:tcPr>
          <w:p w14:paraId="60B1E33A">
            <w:pPr>
              <w:jc w:val="center"/>
              <w:rPr>
                <w:szCs w:val="21"/>
              </w:rPr>
            </w:pPr>
            <w:r>
              <w:rPr>
                <w:rFonts w:hint="eastAsia"/>
                <w:szCs w:val="21"/>
              </w:rPr>
              <w:t>备注</w:t>
            </w:r>
          </w:p>
        </w:tc>
        <w:tc>
          <w:tcPr>
            <w:tcW w:w="7298" w:type="dxa"/>
          </w:tcPr>
          <w:p w14:paraId="23672341">
            <w:pPr>
              <w:rPr>
                <w:szCs w:val="21"/>
              </w:rPr>
            </w:pPr>
          </w:p>
        </w:tc>
      </w:tr>
    </w:tbl>
    <w:p w14:paraId="585B2329">
      <w:pPr>
        <w:pStyle w:val="50"/>
        <w:rPr>
          <w:szCs w:val="21"/>
        </w:rPr>
      </w:pPr>
      <w:r>
        <w:rPr>
          <w:rFonts w:hint="eastAsia"/>
          <w:szCs w:val="21"/>
        </w:rPr>
        <w:t>注：投标人凭经采购人审批的退付意见书到保证金收取单位办理履约保证金退付事宜。</w:t>
      </w:r>
    </w:p>
    <w:p w14:paraId="3B60B762">
      <w:pPr>
        <w:spacing w:before="120" w:line="320" w:lineRule="atLeast"/>
        <w:jc w:val="left"/>
        <w:outlineLvl w:val="1"/>
        <w:rPr>
          <w:szCs w:val="21"/>
        </w:rPr>
      </w:pPr>
    </w:p>
    <w:p w14:paraId="0867FC21">
      <w:pPr>
        <w:spacing w:before="120" w:line="320" w:lineRule="atLeast"/>
        <w:jc w:val="left"/>
        <w:outlineLvl w:val="1"/>
        <w:rPr>
          <w:szCs w:val="21"/>
        </w:rPr>
      </w:pPr>
    </w:p>
    <w:p w14:paraId="18402315">
      <w:pPr>
        <w:spacing w:before="120" w:line="320" w:lineRule="atLeast"/>
        <w:jc w:val="left"/>
        <w:outlineLvl w:val="1"/>
        <w:rPr>
          <w:szCs w:val="21"/>
        </w:rPr>
      </w:pPr>
    </w:p>
    <w:p w14:paraId="6F8E8CBB">
      <w:pPr>
        <w:spacing w:before="120" w:line="320" w:lineRule="atLeast"/>
        <w:jc w:val="left"/>
        <w:outlineLvl w:val="1"/>
        <w:rPr>
          <w:szCs w:val="21"/>
        </w:rPr>
      </w:pPr>
    </w:p>
    <w:p w14:paraId="4AB9D34D">
      <w:pPr>
        <w:widowControl/>
        <w:jc w:val="left"/>
        <w:rPr>
          <w:rFonts w:ascii="仿宋" w:hAnsi="仿宋" w:eastAsia="仿宋"/>
          <w:szCs w:val="21"/>
          <w:u w:val="single"/>
        </w:rPr>
      </w:pPr>
    </w:p>
    <w:bookmarkEnd w:id="109"/>
    <w:bookmarkEnd w:id="110"/>
    <w:p w14:paraId="55EC0411">
      <w:pPr>
        <w:widowControl/>
        <w:jc w:val="left"/>
        <w:rPr>
          <w:sz w:val="32"/>
          <w:szCs w:val="32"/>
        </w:rPr>
      </w:pPr>
      <w:bookmarkStart w:id="113" w:name="_Hlk132792198"/>
      <w:bookmarkStart w:id="114" w:name="_Hlk160525326"/>
    </w:p>
    <w:bookmarkEnd w:id="0"/>
    <w:bookmarkEnd w:id="1"/>
    <w:bookmarkEnd w:id="113"/>
    <w:bookmarkEnd w:id="114"/>
    <w:p w14:paraId="5A64EADF">
      <w:pPr>
        <w:pStyle w:val="26"/>
        <w:snapToGrid w:val="0"/>
        <w:spacing w:before="120" w:after="120" w:line="320" w:lineRule="exact"/>
        <w:jc w:val="center"/>
        <w:outlineLvl w:val="0"/>
        <w:rPr>
          <w:rFonts w:ascii="Times New Roman" w:hAnsi="Times New Roman" w:cs="Times New Roman"/>
          <w:sz w:val="32"/>
          <w:szCs w:val="32"/>
        </w:rPr>
      </w:pPr>
      <w:bookmarkStart w:id="115" w:name="_Toc30901"/>
      <w:r>
        <w:rPr>
          <w:rFonts w:ascii="Times New Roman" w:hAnsi="Times New Roman" w:cs="Times New Roman"/>
          <w:sz w:val="32"/>
          <w:szCs w:val="32"/>
        </w:rPr>
        <w:t>第六章  投标文件格式</w:t>
      </w:r>
      <w:bookmarkEnd w:id="115"/>
    </w:p>
    <w:p w14:paraId="6C936006">
      <w:pPr>
        <w:rPr>
          <w:sz w:val="28"/>
          <w:szCs w:val="28"/>
        </w:rPr>
      </w:pPr>
    </w:p>
    <w:p w14:paraId="6CD7BF69">
      <w:pPr>
        <w:rPr>
          <w:sz w:val="28"/>
          <w:szCs w:val="28"/>
        </w:rPr>
      </w:pPr>
    </w:p>
    <w:p w14:paraId="2BD71B74">
      <w:pPr>
        <w:rPr>
          <w:sz w:val="28"/>
          <w:szCs w:val="28"/>
        </w:rPr>
      </w:pPr>
    </w:p>
    <w:p w14:paraId="7644F1CD">
      <w:pPr>
        <w:rPr>
          <w:sz w:val="28"/>
          <w:szCs w:val="28"/>
        </w:rPr>
      </w:pPr>
    </w:p>
    <w:p w14:paraId="4DFD3C4F">
      <w:pPr>
        <w:spacing w:line="500" w:lineRule="exact"/>
        <w:ind w:firstLine="560" w:firstLineChars="200"/>
        <w:rPr>
          <w:sz w:val="28"/>
          <w:szCs w:val="28"/>
        </w:rPr>
      </w:pPr>
      <w:r>
        <w:rPr>
          <w:rFonts w:hint="eastAsia"/>
          <w:sz w:val="28"/>
          <w:szCs w:val="28"/>
        </w:rPr>
        <w:t>注：有签字、盖章要求的应按要求</w:t>
      </w:r>
      <w:bookmarkStart w:id="116" w:name="_Hlk89032274"/>
      <w:r>
        <w:rPr>
          <w:rFonts w:hint="eastAsia"/>
          <w:sz w:val="28"/>
          <w:szCs w:val="28"/>
        </w:rPr>
        <w:t>签字（签章）、盖章（签章）</w:t>
      </w:r>
      <w:bookmarkEnd w:id="116"/>
      <w:r>
        <w:rPr>
          <w:rFonts w:hint="eastAsia"/>
          <w:sz w:val="28"/>
          <w:szCs w:val="28"/>
        </w:rPr>
        <w:t>。</w:t>
      </w:r>
    </w:p>
    <w:p w14:paraId="06FF7FD7">
      <w:pPr>
        <w:snapToGrid w:val="0"/>
        <w:spacing w:before="120" w:beforeLines="50" w:after="50" w:line="440" w:lineRule="exact"/>
        <w:jc w:val="left"/>
        <w:outlineLvl w:val="1"/>
        <w:rPr>
          <w:bCs/>
          <w:sz w:val="24"/>
        </w:rPr>
      </w:pPr>
      <w:r>
        <w:br w:type="page"/>
      </w:r>
      <w:bookmarkStart w:id="117" w:name="_Toc254970557"/>
      <w:bookmarkStart w:id="118" w:name="_Toc254970698"/>
      <w:r>
        <w:rPr>
          <w:rFonts w:hint="eastAsia"/>
          <w:bCs/>
          <w:sz w:val="24"/>
        </w:rPr>
        <w:t>1</w:t>
      </w:r>
      <w:r>
        <w:rPr>
          <w:bCs/>
          <w:sz w:val="24"/>
        </w:rPr>
        <w:t>．投标文件封面参考格式</w:t>
      </w:r>
      <w:r>
        <w:rPr>
          <w:rFonts w:hint="eastAsia"/>
          <w:bCs/>
          <w:sz w:val="24"/>
        </w:rPr>
        <w:t>（资格证明文件）</w:t>
      </w:r>
      <w:r>
        <w:rPr>
          <w:bCs/>
          <w:sz w:val="24"/>
        </w:rPr>
        <w:t xml:space="preserve">： </w:t>
      </w:r>
    </w:p>
    <w:p w14:paraId="12D8061E">
      <w:pPr>
        <w:snapToGrid w:val="0"/>
        <w:spacing w:before="120" w:beforeLines="50" w:after="50" w:line="360" w:lineRule="exact"/>
        <w:rPr>
          <w:sz w:val="24"/>
        </w:rPr>
      </w:pPr>
    </w:p>
    <w:p w14:paraId="046F6A6B">
      <w:pPr>
        <w:snapToGrid w:val="0"/>
        <w:spacing w:before="120" w:beforeLines="50" w:after="50" w:line="360" w:lineRule="exact"/>
        <w:jc w:val="center"/>
        <w:rPr>
          <w:bCs/>
          <w:sz w:val="24"/>
        </w:rPr>
      </w:pPr>
    </w:p>
    <w:p w14:paraId="41524338">
      <w:pPr>
        <w:snapToGrid w:val="0"/>
        <w:spacing w:before="120" w:beforeLines="50" w:after="50" w:line="360" w:lineRule="exact"/>
        <w:jc w:val="center"/>
        <w:rPr>
          <w:b/>
          <w:bCs/>
          <w:sz w:val="44"/>
          <w:szCs w:val="44"/>
        </w:rPr>
      </w:pPr>
      <w:r>
        <w:rPr>
          <w:rFonts w:hint="eastAsia"/>
          <w:b/>
          <w:bCs/>
          <w:sz w:val="44"/>
          <w:szCs w:val="44"/>
        </w:rPr>
        <w:t>电子</w:t>
      </w:r>
      <w:r>
        <w:rPr>
          <w:b/>
          <w:bCs/>
          <w:sz w:val="44"/>
          <w:szCs w:val="44"/>
        </w:rPr>
        <w:t>投标文件</w:t>
      </w:r>
    </w:p>
    <w:p w14:paraId="0BE9859A">
      <w:pPr>
        <w:snapToGrid w:val="0"/>
        <w:spacing w:before="120" w:beforeLines="50" w:after="50" w:line="360" w:lineRule="exact"/>
        <w:jc w:val="center"/>
        <w:rPr>
          <w:b/>
          <w:bCs/>
          <w:sz w:val="44"/>
          <w:szCs w:val="44"/>
        </w:rPr>
      </w:pPr>
    </w:p>
    <w:p w14:paraId="18B718A6">
      <w:pPr>
        <w:snapToGrid w:val="0"/>
        <w:spacing w:before="120" w:beforeLines="50" w:after="50" w:line="360" w:lineRule="exact"/>
        <w:jc w:val="center"/>
        <w:rPr>
          <w:b/>
          <w:bCs/>
          <w:sz w:val="44"/>
          <w:szCs w:val="44"/>
        </w:rPr>
      </w:pPr>
    </w:p>
    <w:p w14:paraId="43395885">
      <w:pPr>
        <w:snapToGrid w:val="0"/>
        <w:spacing w:before="120" w:beforeLines="50" w:after="50" w:line="360" w:lineRule="exact"/>
        <w:jc w:val="center"/>
        <w:rPr>
          <w:b/>
          <w:bCs/>
          <w:sz w:val="44"/>
          <w:szCs w:val="44"/>
        </w:rPr>
      </w:pPr>
      <w:r>
        <w:rPr>
          <w:b/>
          <w:bCs/>
          <w:sz w:val="44"/>
          <w:szCs w:val="44"/>
        </w:rPr>
        <w:t>资格</w:t>
      </w:r>
      <w:r>
        <w:rPr>
          <w:rFonts w:hint="eastAsia"/>
          <w:b/>
          <w:bCs/>
          <w:sz w:val="44"/>
          <w:szCs w:val="44"/>
        </w:rPr>
        <w:t>证明</w:t>
      </w:r>
      <w:r>
        <w:rPr>
          <w:b/>
          <w:bCs/>
          <w:sz w:val="44"/>
          <w:szCs w:val="44"/>
        </w:rPr>
        <w:t>文件</w:t>
      </w:r>
    </w:p>
    <w:p w14:paraId="0A05B359">
      <w:pPr>
        <w:snapToGrid w:val="0"/>
        <w:spacing w:before="120" w:beforeLines="50" w:after="50" w:line="360" w:lineRule="exact"/>
        <w:rPr>
          <w:bCs/>
          <w:sz w:val="24"/>
        </w:rPr>
      </w:pPr>
    </w:p>
    <w:p w14:paraId="17BE0652">
      <w:pPr>
        <w:snapToGrid w:val="0"/>
        <w:spacing w:before="120" w:beforeLines="50" w:after="50" w:line="360" w:lineRule="exact"/>
        <w:rPr>
          <w:bCs/>
          <w:sz w:val="24"/>
        </w:rPr>
      </w:pPr>
    </w:p>
    <w:p w14:paraId="700538F9">
      <w:pPr>
        <w:snapToGrid w:val="0"/>
        <w:spacing w:before="120" w:beforeLines="50" w:after="50" w:line="360" w:lineRule="exact"/>
        <w:rPr>
          <w:bCs/>
          <w:sz w:val="24"/>
        </w:rPr>
      </w:pPr>
    </w:p>
    <w:p w14:paraId="1367A9B6">
      <w:pPr>
        <w:snapToGrid w:val="0"/>
        <w:spacing w:before="120" w:beforeLines="50" w:after="50" w:line="360" w:lineRule="exact"/>
        <w:ind w:firstLine="720" w:firstLineChars="300"/>
        <w:rPr>
          <w:bCs/>
          <w:sz w:val="24"/>
        </w:rPr>
      </w:pPr>
      <w:r>
        <w:rPr>
          <w:bCs/>
          <w:sz w:val="24"/>
        </w:rPr>
        <w:t xml:space="preserve">项目名称： </w:t>
      </w:r>
    </w:p>
    <w:p w14:paraId="0AE66B56">
      <w:pPr>
        <w:snapToGrid w:val="0"/>
        <w:spacing w:before="120" w:beforeLines="50" w:after="50" w:line="360" w:lineRule="exact"/>
        <w:ind w:firstLine="720" w:firstLineChars="300"/>
        <w:rPr>
          <w:bCs/>
          <w:sz w:val="24"/>
        </w:rPr>
      </w:pPr>
      <w:r>
        <w:rPr>
          <w:bCs/>
          <w:sz w:val="24"/>
        </w:rPr>
        <w:t>项目编号：</w:t>
      </w:r>
    </w:p>
    <w:p w14:paraId="44B068E8">
      <w:pPr>
        <w:snapToGrid w:val="0"/>
        <w:spacing w:before="120" w:beforeLines="50" w:after="50" w:line="360" w:lineRule="exact"/>
        <w:ind w:firstLine="720" w:firstLineChars="300"/>
        <w:rPr>
          <w:bCs/>
          <w:sz w:val="24"/>
        </w:rPr>
      </w:pPr>
      <w:r>
        <w:rPr>
          <w:bCs/>
          <w:sz w:val="24"/>
        </w:rPr>
        <w:t>分标号：（若无</w:t>
      </w:r>
      <w:r>
        <w:rPr>
          <w:rFonts w:hint="eastAsia"/>
          <w:bCs/>
          <w:sz w:val="24"/>
        </w:rPr>
        <w:t>留空或写</w:t>
      </w:r>
      <w:r>
        <w:rPr>
          <w:bCs/>
          <w:sz w:val="24"/>
        </w:rPr>
        <w:t>“/”）</w:t>
      </w:r>
    </w:p>
    <w:p w14:paraId="3EB55BA1">
      <w:pPr>
        <w:snapToGrid w:val="0"/>
        <w:spacing w:before="120" w:beforeLines="50" w:after="50" w:line="360" w:lineRule="exact"/>
        <w:ind w:firstLine="720" w:firstLineChars="300"/>
        <w:rPr>
          <w:bCs/>
          <w:sz w:val="24"/>
        </w:rPr>
      </w:pPr>
      <w:r>
        <w:rPr>
          <w:bCs/>
          <w:sz w:val="24"/>
        </w:rPr>
        <w:t>供应商名称：</w:t>
      </w:r>
    </w:p>
    <w:p w14:paraId="4E89170A">
      <w:pPr>
        <w:snapToGrid w:val="0"/>
        <w:spacing w:before="120" w:beforeLines="50" w:after="50" w:line="360" w:lineRule="exact"/>
        <w:ind w:firstLine="720" w:firstLineChars="300"/>
        <w:rPr>
          <w:bCs/>
          <w:sz w:val="24"/>
        </w:rPr>
      </w:pPr>
      <w:r>
        <w:rPr>
          <w:bCs/>
          <w:sz w:val="24"/>
        </w:rPr>
        <w:t>供应商地址：</w:t>
      </w:r>
    </w:p>
    <w:p w14:paraId="7C45B584">
      <w:pPr>
        <w:pStyle w:val="7"/>
        <w:snapToGrid w:val="0"/>
        <w:spacing w:before="50" w:after="50" w:line="360" w:lineRule="exact"/>
        <w:ind w:firstLine="960" w:firstLineChars="400"/>
        <w:rPr>
          <w:bCs/>
          <w:sz w:val="24"/>
          <w:szCs w:val="24"/>
        </w:rPr>
      </w:pPr>
    </w:p>
    <w:p w14:paraId="195195D2">
      <w:pPr>
        <w:snapToGrid w:val="0"/>
        <w:spacing w:before="120" w:beforeLines="50" w:after="50" w:line="360" w:lineRule="exact"/>
        <w:jc w:val="center"/>
        <w:rPr>
          <w:sz w:val="24"/>
        </w:rPr>
      </w:pPr>
      <w:r>
        <w:rPr>
          <w:sz w:val="24"/>
        </w:rPr>
        <w:t xml:space="preserve">                        年  月  日</w:t>
      </w:r>
    </w:p>
    <w:p w14:paraId="69ED5F58">
      <w:pPr>
        <w:snapToGrid w:val="0"/>
        <w:spacing w:before="120" w:beforeLines="50" w:after="50" w:line="360" w:lineRule="exact"/>
        <w:rPr>
          <w:b/>
          <w:bCs/>
          <w:sz w:val="24"/>
        </w:rPr>
      </w:pPr>
      <w:r>
        <w:br w:type="page"/>
      </w:r>
      <w:bookmarkEnd w:id="117"/>
      <w:bookmarkEnd w:id="118"/>
      <w:r>
        <w:rPr>
          <w:b/>
          <w:bCs/>
          <w:sz w:val="24"/>
        </w:rPr>
        <w:t xml:space="preserve"> </w:t>
      </w:r>
    </w:p>
    <w:p w14:paraId="526FACCD">
      <w:pPr>
        <w:snapToGrid w:val="0"/>
        <w:spacing w:before="50" w:after="50" w:line="440" w:lineRule="exact"/>
        <w:ind w:firstLine="138" w:firstLineChars="49"/>
        <w:jc w:val="center"/>
        <w:rPr>
          <w:b/>
          <w:sz w:val="28"/>
          <w:szCs w:val="28"/>
        </w:rPr>
      </w:pPr>
      <w:r>
        <w:rPr>
          <w:b/>
          <w:sz w:val="28"/>
          <w:szCs w:val="28"/>
        </w:rPr>
        <w:t>目录</w:t>
      </w:r>
    </w:p>
    <w:p w14:paraId="21451BA7">
      <w:pPr>
        <w:snapToGrid w:val="0"/>
        <w:spacing w:before="50" w:after="50" w:line="440" w:lineRule="exact"/>
        <w:ind w:firstLine="118" w:firstLineChars="49"/>
        <w:jc w:val="center"/>
        <w:rPr>
          <w:b/>
          <w:sz w:val="24"/>
        </w:rPr>
      </w:pPr>
      <w:r>
        <w:rPr>
          <w:b/>
          <w:sz w:val="24"/>
        </w:rPr>
        <w:t>（应有页码）</w:t>
      </w:r>
    </w:p>
    <w:p w14:paraId="73428DB6">
      <w:pPr>
        <w:snapToGrid w:val="0"/>
        <w:spacing w:before="50" w:after="50" w:line="440" w:lineRule="exact"/>
        <w:rPr>
          <w:b/>
          <w:sz w:val="24"/>
        </w:rPr>
      </w:pPr>
      <w:r>
        <w:rPr>
          <w:b/>
          <w:sz w:val="24"/>
        </w:rPr>
        <w:br w:type="page"/>
      </w:r>
      <w:r>
        <w:rPr>
          <w:b/>
          <w:szCs w:val="21"/>
        </w:rPr>
        <w:t>1．投标声明书格式：</w:t>
      </w:r>
    </w:p>
    <w:p w14:paraId="5B437A39">
      <w:pPr>
        <w:snapToGrid w:val="0"/>
        <w:spacing w:before="50" w:after="50" w:line="440" w:lineRule="exact"/>
        <w:ind w:firstLine="157" w:firstLineChars="49"/>
        <w:jc w:val="left"/>
        <w:rPr>
          <w:b/>
          <w:bCs/>
          <w:sz w:val="32"/>
          <w:szCs w:val="32"/>
        </w:rPr>
      </w:pPr>
    </w:p>
    <w:p w14:paraId="46B4C754">
      <w:pPr>
        <w:snapToGrid w:val="0"/>
        <w:spacing w:before="120" w:beforeLines="50" w:after="50" w:line="360" w:lineRule="exact"/>
        <w:jc w:val="center"/>
        <w:rPr>
          <w:b/>
          <w:szCs w:val="21"/>
        </w:rPr>
      </w:pPr>
      <w:r>
        <w:rPr>
          <w:b/>
          <w:szCs w:val="21"/>
        </w:rPr>
        <w:t>投标声明书</w:t>
      </w:r>
    </w:p>
    <w:p w14:paraId="204FCD91">
      <w:pPr>
        <w:snapToGrid w:val="0"/>
        <w:spacing w:before="120" w:beforeLines="50" w:after="50" w:line="360" w:lineRule="exact"/>
        <w:jc w:val="center"/>
        <w:rPr>
          <w:szCs w:val="21"/>
        </w:rPr>
      </w:pPr>
    </w:p>
    <w:p w14:paraId="308DE44E">
      <w:pPr>
        <w:snapToGrid w:val="0"/>
        <w:spacing w:before="120" w:beforeLines="50" w:after="50" w:line="360" w:lineRule="exact"/>
        <w:rPr>
          <w:szCs w:val="21"/>
        </w:rPr>
      </w:pPr>
      <w:r>
        <w:rPr>
          <w:szCs w:val="21"/>
        </w:rPr>
        <w:t>致：</w:t>
      </w:r>
      <w:r>
        <w:rPr>
          <w:i/>
          <w:iCs/>
          <w:szCs w:val="21"/>
          <w:u w:val="single"/>
        </w:rPr>
        <w:t>（采购</w:t>
      </w:r>
      <w:r>
        <w:rPr>
          <w:rFonts w:hint="eastAsia"/>
          <w:i/>
          <w:iCs/>
          <w:szCs w:val="21"/>
          <w:u w:val="single"/>
        </w:rPr>
        <w:t>人</w:t>
      </w:r>
      <w:r>
        <w:rPr>
          <w:i/>
          <w:iCs/>
          <w:szCs w:val="21"/>
          <w:u w:val="single"/>
        </w:rPr>
        <w:t>名称）</w:t>
      </w:r>
      <w:r>
        <w:rPr>
          <w:szCs w:val="21"/>
        </w:rPr>
        <w:t>：</w:t>
      </w:r>
    </w:p>
    <w:p w14:paraId="4E7C59C1">
      <w:pPr>
        <w:snapToGrid w:val="0"/>
        <w:spacing w:before="120" w:beforeLines="50" w:after="50" w:line="360" w:lineRule="exact"/>
        <w:ind w:firstLine="630" w:firstLineChars="300"/>
        <w:rPr>
          <w:szCs w:val="21"/>
        </w:rPr>
      </w:pPr>
      <w:r>
        <w:rPr>
          <w:i/>
          <w:iCs/>
          <w:szCs w:val="21"/>
          <w:u w:val="single"/>
        </w:rPr>
        <w:t>（供应商名称）</w:t>
      </w:r>
      <w:r>
        <w:rPr>
          <w:szCs w:val="21"/>
        </w:rPr>
        <w:t>系中华人民共和国合法企业，</w:t>
      </w:r>
      <w:r>
        <w:rPr>
          <w:rFonts w:hint="eastAsia"/>
          <w:szCs w:val="21"/>
          <w:u w:val="single"/>
        </w:rPr>
        <w:t xml:space="preserve"> </w:t>
      </w:r>
      <w:r>
        <w:rPr>
          <w:i/>
          <w:iCs/>
          <w:szCs w:val="21"/>
          <w:u w:val="single"/>
        </w:rPr>
        <w:t xml:space="preserve"> </w:t>
      </w:r>
      <w:r>
        <w:rPr>
          <w:rFonts w:hint="eastAsia"/>
          <w:i/>
          <w:iCs/>
          <w:szCs w:val="21"/>
          <w:u w:val="single"/>
        </w:rPr>
        <w:t>（</w:t>
      </w:r>
      <w:r>
        <w:rPr>
          <w:i/>
          <w:iCs/>
          <w:szCs w:val="21"/>
          <w:u w:val="single"/>
        </w:rPr>
        <w:t>经营地址</w:t>
      </w:r>
      <w:r>
        <w:rPr>
          <w:rFonts w:hint="eastAsia"/>
          <w:i/>
          <w:iCs/>
          <w:szCs w:val="21"/>
          <w:u w:val="single"/>
        </w:rPr>
        <w:t xml:space="preserve">） </w:t>
      </w:r>
      <w:r>
        <w:rPr>
          <w:i/>
          <w:iCs/>
          <w:szCs w:val="21"/>
          <w:u w:val="single"/>
        </w:rPr>
        <w:t xml:space="preserve"> </w:t>
      </w:r>
      <w:r>
        <w:rPr>
          <w:szCs w:val="21"/>
          <w:u w:val="single"/>
        </w:rPr>
        <w:t xml:space="preserve"> </w:t>
      </w:r>
      <w:r>
        <w:rPr>
          <w:szCs w:val="21"/>
        </w:rPr>
        <w:t>。</w:t>
      </w:r>
    </w:p>
    <w:p w14:paraId="138C1DA7">
      <w:pPr>
        <w:snapToGrid w:val="0"/>
        <w:spacing w:before="120" w:beforeLines="50" w:after="50" w:line="360" w:lineRule="exact"/>
        <w:ind w:firstLine="645"/>
        <w:rPr>
          <w:szCs w:val="21"/>
        </w:rPr>
      </w:pPr>
      <w:r>
        <w:rPr>
          <w:szCs w:val="21"/>
        </w:rPr>
        <w:t>我</w:t>
      </w:r>
      <w:r>
        <w:rPr>
          <w:i/>
          <w:iCs/>
          <w:szCs w:val="21"/>
          <w:u w:val="single"/>
        </w:rPr>
        <w:t>（姓名）</w:t>
      </w:r>
      <w:r>
        <w:rPr>
          <w:rFonts w:hint="eastAsia"/>
          <w:i/>
          <w:iCs/>
          <w:szCs w:val="21"/>
          <w:u w:val="single"/>
        </w:rPr>
        <w:t xml:space="preserve"> </w:t>
      </w:r>
      <w:r>
        <w:rPr>
          <w:szCs w:val="21"/>
        </w:rPr>
        <w:t>系</w:t>
      </w:r>
      <w:r>
        <w:rPr>
          <w:i/>
          <w:iCs/>
          <w:szCs w:val="21"/>
          <w:u w:val="single"/>
        </w:rPr>
        <w:t>（供应商名称）</w:t>
      </w:r>
      <w:r>
        <w:rPr>
          <w:szCs w:val="21"/>
        </w:rPr>
        <w:t>的法定代表人，我方愿意参加贵方组织的</w:t>
      </w:r>
      <w:r>
        <w:rPr>
          <w:rFonts w:hint="eastAsia"/>
          <w:szCs w:val="21"/>
        </w:rPr>
        <w:t xml:space="preserve"> </w:t>
      </w:r>
      <w:r>
        <w:rPr>
          <w:rFonts w:hint="eastAsia"/>
          <w:i/>
          <w:iCs/>
          <w:szCs w:val="21"/>
          <w:u w:val="single"/>
        </w:rPr>
        <w:t xml:space="preserve">（项目名称） </w:t>
      </w:r>
      <w:r>
        <w:rPr>
          <w:szCs w:val="21"/>
        </w:rPr>
        <w:t>项目的投标，为便于贵方公正、择优地确定中标人及其投标产品和服务，我方就本次投标有关事项郑重声明如下：</w:t>
      </w:r>
    </w:p>
    <w:p w14:paraId="015A4FA9">
      <w:pPr>
        <w:snapToGrid w:val="0"/>
        <w:spacing w:before="120" w:beforeLines="50" w:line="360" w:lineRule="exact"/>
        <w:ind w:firstLine="420" w:firstLineChars="200"/>
        <w:rPr>
          <w:szCs w:val="21"/>
        </w:rPr>
      </w:pPr>
      <w:r>
        <w:rPr>
          <w:szCs w:val="21"/>
        </w:rPr>
        <w:t>（1）我方向贵方提交的所有投标文件、资料都是准确的和真实的。</w:t>
      </w:r>
    </w:p>
    <w:p w14:paraId="00AEBE85">
      <w:pPr>
        <w:snapToGrid w:val="0"/>
        <w:spacing w:before="120" w:beforeLines="50" w:line="360" w:lineRule="exact"/>
        <w:ind w:firstLine="420" w:firstLineChars="200"/>
        <w:rPr>
          <w:szCs w:val="21"/>
        </w:rPr>
      </w:pPr>
      <w:r>
        <w:rPr>
          <w:szCs w:val="21"/>
        </w:rPr>
        <w:t>（2）我方不是采购人的附属机构；也不是为本项目提供整体设计、规范编制或者项目管理、监理、检测等服务的供应商或其附属机构。</w:t>
      </w:r>
    </w:p>
    <w:p w14:paraId="4ACFA9AB">
      <w:pPr>
        <w:snapToGrid w:val="0"/>
        <w:spacing w:before="120" w:beforeLines="50" w:line="360" w:lineRule="exact"/>
        <w:ind w:firstLine="420" w:firstLineChars="200"/>
        <w:rPr>
          <w:szCs w:val="21"/>
        </w:rPr>
      </w:pPr>
      <w:r>
        <w:rPr>
          <w:szCs w:val="21"/>
        </w:rPr>
        <w:t>（3）我方承诺在参加本政府采购项目活动前，没有被纳入政府部门或银行认定的失信名单，我方具有良好的商业信誉。</w:t>
      </w:r>
    </w:p>
    <w:p w14:paraId="1BACD0B0">
      <w:pPr>
        <w:snapToGrid w:val="0"/>
        <w:spacing w:before="120" w:beforeLines="50" w:line="360" w:lineRule="exact"/>
        <w:ind w:firstLine="420" w:firstLineChars="200"/>
        <w:rPr>
          <w:szCs w:val="21"/>
        </w:rPr>
      </w:pPr>
      <w:r>
        <w:rPr>
          <w:szCs w:val="21"/>
        </w:rPr>
        <w:t>（4）我方及本人承诺在参加本政府采购项目活动前三年内，在经营活动中没有重大违法记录。重大违法记录是指供</w:t>
      </w:r>
      <w:r>
        <w:rPr>
          <w:rFonts w:hint="eastAsia"/>
          <w:szCs w:val="21"/>
        </w:rPr>
        <w:t>应商</w:t>
      </w:r>
      <w:r>
        <w:rPr>
          <w:szCs w:val="21"/>
        </w:rPr>
        <w:t>因违法经营受到刑事处罚或者责令停产停业、吊销许可证或者执照、较大数额罚款等行政处罚。如我方提供的声明不实，则自愿承担《政府采购法》有关提供虚假材料的规定给予的处罚。</w:t>
      </w:r>
    </w:p>
    <w:p w14:paraId="4FCEA6B6">
      <w:pPr>
        <w:snapToGrid w:val="0"/>
        <w:spacing w:before="120" w:beforeLines="50" w:line="360" w:lineRule="exact"/>
        <w:ind w:firstLine="420" w:firstLineChars="200"/>
        <w:rPr>
          <w:szCs w:val="21"/>
        </w:rPr>
      </w:pPr>
      <w:r>
        <w:rPr>
          <w:szCs w:val="21"/>
        </w:rPr>
        <w:t>（5）我方承诺具有履行本项目合同所必需的设备和专业技术能力。</w:t>
      </w:r>
    </w:p>
    <w:p w14:paraId="45DE657D">
      <w:pPr>
        <w:snapToGrid w:val="0"/>
        <w:spacing w:before="120" w:beforeLines="50" w:line="360" w:lineRule="exact"/>
        <w:ind w:firstLine="420" w:firstLineChars="200"/>
        <w:rPr>
          <w:szCs w:val="21"/>
        </w:rPr>
      </w:pPr>
      <w:r>
        <w:rPr>
          <w:rFonts w:hint="eastAsia"/>
          <w:szCs w:val="21"/>
        </w:rPr>
        <w:t>（6）我方承诺</w:t>
      </w:r>
      <w:r>
        <w:rPr>
          <w:szCs w:val="21"/>
        </w:rPr>
        <w:t>未被列入失信被执行人、重大税收违法失信主体、政府采购严重违法失信行为记录名单</w:t>
      </w:r>
      <w:r>
        <w:rPr>
          <w:rFonts w:hint="eastAsia"/>
          <w:szCs w:val="21"/>
        </w:rPr>
        <w:t>，如我方提供的声明不实，则接受本次投标作为否决投标的处理，</w:t>
      </w:r>
      <w:r>
        <w:rPr>
          <w:szCs w:val="21"/>
        </w:rPr>
        <w:t>并根据财库〔2016〕125号《财政部关于在政府采购活动中查询及使用信用记录有关问题的通知》规定接受失信联合惩戒。</w:t>
      </w:r>
    </w:p>
    <w:p w14:paraId="7FE85049">
      <w:pPr>
        <w:snapToGrid w:val="0"/>
        <w:spacing w:before="120" w:beforeLines="50" w:line="360" w:lineRule="exact"/>
        <w:ind w:firstLine="420" w:firstLineChars="200"/>
        <w:rPr>
          <w:szCs w:val="21"/>
        </w:rPr>
      </w:pPr>
      <w:r>
        <w:rPr>
          <w:rFonts w:hint="eastAsia"/>
          <w:szCs w:val="21"/>
        </w:rPr>
        <w:t>（7）我方承诺中标后按</w:t>
      </w:r>
      <w:r>
        <w:rPr>
          <w:szCs w:val="21"/>
        </w:rPr>
        <w:t>规定缴纳代理服务费</w:t>
      </w:r>
      <w:r>
        <w:rPr>
          <w:rFonts w:hint="eastAsia"/>
          <w:szCs w:val="21"/>
        </w:rPr>
        <w:t>。如未按时缴纳，</w:t>
      </w:r>
      <w:r>
        <w:rPr>
          <w:szCs w:val="21"/>
        </w:rPr>
        <w:t>贵方可</w:t>
      </w:r>
      <w:r>
        <w:rPr>
          <w:rFonts w:hint="eastAsia"/>
          <w:szCs w:val="21"/>
        </w:rPr>
        <w:t>不退还</w:t>
      </w:r>
      <w:r>
        <w:rPr>
          <w:szCs w:val="21"/>
        </w:rPr>
        <w:t>我</w:t>
      </w:r>
      <w:r>
        <w:rPr>
          <w:rFonts w:hint="eastAsia"/>
          <w:szCs w:val="21"/>
        </w:rPr>
        <w:t>方</w:t>
      </w:r>
      <w:r>
        <w:rPr>
          <w:szCs w:val="21"/>
        </w:rPr>
        <w:t>提交的投标保证金</w:t>
      </w:r>
      <w:r>
        <w:rPr>
          <w:rFonts w:hint="eastAsia"/>
          <w:szCs w:val="21"/>
        </w:rPr>
        <w:t>，并从中</w:t>
      </w:r>
      <w:r>
        <w:rPr>
          <w:szCs w:val="21"/>
        </w:rPr>
        <w:t>扣除</w:t>
      </w:r>
      <w:r>
        <w:rPr>
          <w:rFonts w:hint="eastAsia"/>
          <w:szCs w:val="21"/>
        </w:rPr>
        <w:t>代理服务费。</w:t>
      </w:r>
    </w:p>
    <w:p w14:paraId="0E5D0598">
      <w:pPr>
        <w:snapToGrid w:val="0"/>
        <w:spacing w:before="120" w:beforeLines="50" w:line="360" w:lineRule="exact"/>
        <w:ind w:firstLine="420" w:firstLineChars="200"/>
        <w:rPr>
          <w:szCs w:val="21"/>
        </w:rPr>
      </w:pPr>
      <w:r>
        <w:rPr>
          <w:szCs w:val="21"/>
        </w:rPr>
        <w:t>我方对以上声明负全部法律责任。如有虚假或隐瞒，我方愿意承担一切后果，并不再寻求任何旨在减轻或免除法律责任的辩解。</w:t>
      </w:r>
    </w:p>
    <w:p w14:paraId="21AC627A">
      <w:pPr>
        <w:snapToGrid w:val="0"/>
        <w:spacing w:before="120" w:beforeLines="50" w:line="360" w:lineRule="exact"/>
        <w:ind w:firstLine="420" w:firstLineChars="200"/>
        <w:rPr>
          <w:szCs w:val="21"/>
        </w:rPr>
      </w:pPr>
    </w:p>
    <w:p w14:paraId="6D4A9605">
      <w:pPr>
        <w:snapToGrid w:val="0"/>
        <w:spacing w:before="120" w:beforeLines="50" w:after="50" w:line="360" w:lineRule="exact"/>
        <w:ind w:firstLine="210" w:firstLineChars="100"/>
        <w:jc w:val="center"/>
        <w:rPr>
          <w:szCs w:val="21"/>
          <w:u w:val="single"/>
        </w:rPr>
      </w:pPr>
      <w:bookmarkStart w:id="119" w:name="_Hlk88990289"/>
      <w:r>
        <w:rPr>
          <w:szCs w:val="21"/>
        </w:rPr>
        <w:t>供应商</w:t>
      </w:r>
      <w:r>
        <w:rPr>
          <w:rFonts w:hint="eastAsia"/>
          <w:szCs w:val="21"/>
        </w:rPr>
        <w:t>名称（电子签章）</w:t>
      </w:r>
      <w:bookmarkEnd w:id="119"/>
      <w:r>
        <w:rPr>
          <w:szCs w:val="21"/>
        </w:rPr>
        <w:t>：</w:t>
      </w:r>
      <w:r>
        <w:rPr>
          <w:szCs w:val="21"/>
          <w:u w:val="single"/>
        </w:rPr>
        <w:t xml:space="preserve">  </w:t>
      </w:r>
    </w:p>
    <w:p w14:paraId="616A2464">
      <w:pPr>
        <w:snapToGrid w:val="0"/>
        <w:spacing w:before="120" w:beforeLines="50" w:after="50" w:line="360" w:lineRule="exact"/>
        <w:ind w:firstLine="210" w:firstLineChars="100"/>
        <w:jc w:val="center"/>
        <w:rPr>
          <w:szCs w:val="21"/>
        </w:rPr>
      </w:pPr>
      <w:r>
        <w:rPr>
          <w:rFonts w:hint="eastAsia"/>
          <w:szCs w:val="21"/>
        </w:rPr>
        <w:t>法定代表人或者委托代理人（签字或者电子签名）：</w:t>
      </w:r>
      <w:r>
        <w:rPr>
          <w:szCs w:val="21"/>
          <w:u w:val="single"/>
        </w:rPr>
        <w:t xml:space="preserve">       </w:t>
      </w:r>
      <w:r>
        <w:rPr>
          <w:szCs w:val="21"/>
        </w:rPr>
        <w:t xml:space="preserve">                                          </w:t>
      </w:r>
    </w:p>
    <w:p w14:paraId="400303CB">
      <w:pPr>
        <w:snapToGrid w:val="0"/>
        <w:spacing w:before="120" w:beforeLines="50" w:after="50" w:line="360" w:lineRule="exact"/>
        <w:ind w:firstLine="210" w:firstLineChars="100"/>
        <w:jc w:val="right"/>
        <w:rPr>
          <w:szCs w:val="21"/>
        </w:rPr>
      </w:pPr>
      <w:r>
        <w:rPr>
          <w:szCs w:val="21"/>
        </w:rPr>
        <w:t>年    月    日</w:t>
      </w:r>
    </w:p>
    <w:p w14:paraId="4EB55910">
      <w:pPr>
        <w:snapToGrid w:val="0"/>
        <w:spacing w:before="120" w:beforeLines="50" w:after="50" w:line="360" w:lineRule="exact"/>
        <w:rPr>
          <w:szCs w:val="21"/>
        </w:rPr>
      </w:pPr>
      <w:r>
        <w:rPr>
          <w:szCs w:val="21"/>
        </w:rPr>
        <w:br w:type="page"/>
      </w:r>
      <w:r>
        <w:rPr>
          <w:szCs w:val="21"/>
        </w:rPr>
        <w:t>2．</w:t>
      </w:r>
      <w:r>
        <w:rPr>
          <w:rFonts w:hint="eastAsia"/>
          <w:szCs w:val="21"/>
        </w:rPr>
        <w:t>投标人为法人或者其他组织的，提供营业执照等证明文件（如营业执照或者事业单位法人证书或者执业许可证或者登记证书等），投标人为自然人的，提供身份证复印件；（必须提供，否则按无效投标处理）</w:t>
      </w:r>
      <w:r>
        <w:rPr>
          <w:szCs w:val="21"/>
        </w:rPr>
        <w:t>（加盖</w:t>
      </w:r>
      <w:r>
        <w:rPr>
          <w:rFonts w:hint="eastAsia"/>
          <w:szCs w:val="21"/>
        </w:rPr>
        <w:t>供应商电子签章</w:t>
      </w:r>
      <w:r>
        <w:rPr>
          <w:szCs w:val="21"/>
        </w:rPr>
        <w:t>）。</w:t>
      </w:r>
    </w:p>
    <w:p w14:paraId="1E269E3F">
      <w:pPr>
        <w:snapToGrid w:val="0"/>
        <w:spacing w:before="120" w:beforeLines="50" w:after="50" w:line="440" w:lineRule="exact"/>
        <w:rPr>
          <w:sz w:val="18"/>
          <w:szCs w:val="18"/>
        </w:rPr>
      </w:pPr>
    </w:p>
    <w:p w14:paraId="4A918BC9">
      <w:pPr>
        <w:snapToGrid w:val="0"/>
        <w:spacing w:before="120" w:beforeLines="50" w:after="50" w:line="440" w:lineRule="exact"/>
        <w:rPr>
          <w:b/>
          <w:szCs w:val="21"/>
        </w:rPr>
      </w:pPr>
      <w:r>
        <w:rPr>
          <w:szCs w:val="21"/>
        </w:rPr>
        <w:t>3．</w:t>
      </w:r>
      <w:r>
        <w:rPr>
          <w:rFonts w:hint="eastAsia"/>
          <w:szCs w:val="21"/>
        </w:rPr>
        <w:t>投标人依法缴纳税收的相关材料（2026年1月至2026年6月内连续3个月的依法缴纳税收的证明材料复印件；依法免税的供应商，必须提供符合免税条件的证明材料。从成立之日起到投标文件提交截止时间止不足要求月数的，只需提供从成立之日起的依法缴纳税收相应证明文件）；（必须提供，否则按无效投标处理）</w:t>
      </w:r>
    </w:p>
    <w:p w14:paraId="4CAC8100">
      <w:pPr>
        <w:snapToGrid w:val="0"/>
        <w:spacing w:before="120" w:beforeLines="50" w:after="50" w:line="440" w:lineRule="exact"/>
        <w:rPr>
          <w:szCs w:val="21"/>
        </w:rPr>
      </w:pPr>
    </w:p>
    <w:p w14:paraId="10DDB4D2">
      <w:pPr>
        <w:snapToGrid w:val="0"/>
        <w:spacing w:before="120" w:beforeLines="50" w:after="50" w:line="440" w:lineRule="exact"/>
        <w:rPr>
          <w:szCs w:val="21"/>
        </w:rPr>
      </w:pPr>
      <w:r>
        <w:t>4．</w:t>
      </w:r>
      <w:r>
        <w:rPr>
          <w:rFonts w:hint="eastAsia"/>
          <w:szCs w:val="21"/>
        </w:rPr>
        <w:t>投标人依法缴纳社会保障资金的相关材料[2026年1月至2026年6月连续3个月的依法缴纳社会保障资金的缴费证明材料（如：专用收据、社会保险缴纳清单或者社保部门的证明）复印件；依法不需要缴纳社会保障资金的供应商，必须提供相应文件证明不需要缴纳社会保障资金。从成立之日起到投标文件提交截止时间止不足要求月数的只需提供从成立之日起的依法缴纳社会保障资金的相应证明文件]；（必须提供，否则按无效投标处理）。</w:t>
      </w:r>
    </w:p>
    <w:p w14:paraId="246E8B45">
      <w:pPr>
        <w:snapToGrid w:val="0"/>
        <w:spacing w:before="120" w:beforeLines="50" w:after="50" w:line="440" w:lineRule="exact"/>
        <w:rPr>
          <w:szCs w:val="21"/>
        </w:rPr>
      </w:pPr>
    </w:p>
    <w:p w14:paraId="3FE1ABA3">
      <w:pPr>
        <w:snapToGrid w:val="0"/>
        <w:spacing w:before="120" w:beforeLines="50" w:after="50" w:line="360" w:lineRule="exact"/>
        <w:rPr>
          <w:szCs w:val="21"/>
        </w:rPr>
      </w:pPr>
      <w:r>
        <w:rPr>
          <w:rFonts w:hint="eastAsia"/>
          <w:szCs w:val="21"/>
        </w:rPr>
        <w:t>5.投标人财务状况报告[2025年度财务报表复印件，或者银行出具的资信证明，或者中国人民银行征信中心出具的信用报告（企业投标的提供企业信用报告，自然人投标的提供个人信用报告，投标人属于成立时间在规定年度之后的法人或其他组织，需提供成立之日起至投标截止时间前的月报表或银行出具的资信证明或者中国人民银行征信中心出具的企业信用报告；资信证明应在有效期内，未注明有效期的，银行出具时间至投标截止时间不超过一年]；（必须提供，否则按无效投标处理）</w:t>
      </w:r>
      <w:r>
        <w:rPr>
          <w:szCs w:val="21"/>
        </w:rPr>
        <w:t>（加盖</w:t>
      </w:r>
      <w:r>
        <w:rPr>
          <w:rFonts w:hint="eastAsia"/>
          <w:szCs w:val="21"/>
        </w:rPr>
        <w:t>供应商电子签章</w:t>
      </w:r>
      <w:r>
        <w:rPr>
          <w:szCs w:val="21"/>
        </w:rPr>
        <w:t>）</w:t>
      </w:r>
      <w:r>
        <w:rPr>
          <w:rFonts w:hint="eastAsia"/>
          <w:szCs w:val="21"/>
        </w:rPr>
        <w:t>。</w:t>
      </w:r>
    </w:p>
    <w:p w14:paraId="4F825053">
      <w:pPr>
        <w:snapToGrid w:val="0"/>
        <w:spacing w:before="120" w:beforeLines="50" w:after="50" w:line="360" w:lineRule="exact"/>
        <w:rPr>
          <w:szCs w:val="21"/>
        </w:rPr>
      </w:pPr>
    </w:p>
    <w:p w14:paraId="55505E43">
      <w:pPr>
        <w:snapToGrid w:val="0"/>
        <w:spacing w:before="50" w:after="120" w:afterLines="50" w:line="360" w:lineRule="auto"/>
        <w:jc w:val="left"/>
        <w:rPr>
          <w:szCs w:val="21"/>
        </w:rPr>
      </w:pPr>
    </w:p>
    <w:p w14:paraId="073D0F94">
      <w:pPr>
        <w:snapToGrid w:val="0"/>
        <w:spacing w:before="50" w:after="120" w:afterLines="50" w:line="360" w:lineRule="auto"/>
        <w:jc w:val="left"/>
        <w:rPr>
          <w:szCs w:val="21"/>
        </w:rPr>
      </w:pPr>
    </w:p>
    <w:p w14:paraId="4C8B4F12">
      <w:pPr>
        <w:snapToGrid w:val="0"/>
        <w:spacing w:before="50" w:after="120" w:afterLines="50" w:line="360" w:lineRule="auto"/>
        <w:jc w:val="left"/>
        <w:rPr>
          <w:szCs w:val="21"/>
        </w:rPr>
      </w:pPr>
    </w:p>
    <w:p w14:paraId="1765491F">
      <w:pPr>
        <w:snapToGrid w:val="0"/>
        <w:spacing w:before="50" w:after="120" w:afterLines="50" w:line="360" w:lineRule="auto"/>
        <w:jc w:val="left"/>
        <w:rPr>
          <w:szCs w:val="21"/>
        </w:rPr>
      </w:pPr>
    </w:p>
    <w:p w14:paraId="23B2ED1A">
      <w:pPr>
        <w:snapToGrid w:val="0"/>
        <w:spacing w:before="50" w:after="120" w:afterLines="50" w:line="360" w:lineRule="auto"/>
        <w:jc w:val="left"/>
        <w:rPr>
          <w:szCs w:val="21"/>
        </w:rPr>
      </w:pPr>
    </w:p>
    <w:p w14:paraId="223EB2D3">
      <w:pPr>
        <w:snapToGrid w:val="0"/>
        <w:spacing w:before="50" w:after="120" w:afterLines="50" w:line="360" w:lineRule="auto"/>
        <w:jc w:val="left"/>
        <w:rPr>
          <w:szCs w:val="21"/>
        </w:rPr>
      </w:pPr>
    </w:p>
    <w:p w14:paraId="5A5EFADA">
      <w:pPr>
        <w:snapToGrid w:val="0"/>
        <w:spacing w:before="50" w:after="120" w:afterLines="50" w:line="360" w:lineRule="auto"/>
        <w:jc w:val="left"/>
        <w:rPr>
          <w:szCs w:val="21"/>
        </w:rPr>
      </w:pPr>
    </w:p>
    <w:p w14:paraId="08CA71DD">
      <w:pPr>
        <w:snapToGrid w:val="0"/>
        <w:spacing w:before="50" w:after="120" w:afterLines="50" w:line="360" w:lineRule="auto"/>
        <w:jc w:val="left"/>
        <w:rPr>
          <w:szCs w:val="21"/>
        </w:rPr>
      </w:pPr>
    </w:p>
    <w:p w14:paraId="597ED7A4">
      <w:pPr>
        <w:snapToGrid w:val="0"/>
        <w:spacing w:before="50" w:after="120" w:afterLines="50" w:line="360" w:lineRule="auto"/>
        <w:jc w:val="left"/>
        <w:rPr>
          <w:szCs w:val="21"/>
        </w:rPr>
      </w:pPr>
    </w:p>
    <w:p w14:paraId="72239CCB">
      <w:pPr>
        <w:snapToGrid w:val="0"/>
        <w:spacing w:before="50" w:after="120" w:afterLines="50" w:line="360" w:lineRule="auto"/>
        <w:jc w:val="left"/>
        <w:rPr>
          <w:szCs w:val="21"/>
        </w:rPr>
      </w:pPr>
      <w:r>
        <w:rPr>
          <w:rFonts w:hint="eastAsia"/>
          <w:szCs w:val="21"/>
        </w:rPr>
        <w:t>6</w:t>
      </w:r>
      <w:r>
        <w:rPr>
          <w:szCs w:val="21"/>
        </w:rPr>
        <w:t>．</w:t>
      </w:r>
      <w:r>
        <w:rPr>
          <w:rFonts w:hint="eastAsia"/>
          <w:szCs w:val="21"/>
        </w:rPr>
        <w:t>投标人直接控股股东信息表</w:t>
      </w:r>
    </w:p>
    <w:tbl>
      <w:tblPr>
        <w:tblStyle w:val="51"/>
        <w:tblW w:w="0" w:type="auto"/>
        <w:tblInd w:w="125" w:type="dxa"/>
        <w:tblLayout w:type="fixed"/>
        <w:tblCellMar>
          <w:top w:w="0" w:type="dxa"/>
          <w:left w:w="0" w:type="dxa"/>
          <w:bottom w:w="0" w:type="dxa"/>
          <w:right w:w="0" w:type="dxa"/>
        </w:tblCellMar>
      </w:tblPr>
      <w:tblGrid>
        <w:gridCol w:w="828"/>
        <w:gridCol w:w="2269"/>
        <w:gridCol w:w="1239"/>
        <w:gridCol w:w="3722"/>
        <w:gridCol w:w="1418"/>
      </w:tblGrid>
      <w:tr w14:paraId="27072372">
        <w:tblPrEx>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B431F5D">
            <w:pPr>
              <w:spacing w:line="360" w:lineRule="auto"/>
              <w:jc w:val="center"/>
              <w:rPr>
                <w:szCs w:val="21"/>
              </w:rPr>
            </w:pPr>
            <w:r>
              <w:rPr>
                <w:rFonts w:hint="eastAsia"/>
                <w:szCs w:val="21"/>
              </w:rPr>
              <w:t>序号</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9172A4C">
            <w:pPr>
              <w:spacing w:line="360" w:lineRule="auto"/>
              <w:jc w:val="center"/>
              <w:rPr>
                <w:szCs w:val="21"/>
              </w:rPr>
            </w:pPr>
            <w:r>
              <w:rPr>
                <w:rFonts w:hint="eastAsia"/>
                <w:szCs w:val="21"/>
              </w:rPr>
              <w:t>直接控股股东名称</w:t>
            </w: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8BE7495">
            <w:pPr>
              <w:spacing w:line="360" w:lineRule="auto"/>
              <w:jc w:val="center"/>
              <w:rPr>
                <w:szCs w:val="21"/>
              </w:rPr>
            </w:pPr>
            <w:r>
              <w:rPr>
                <w:rFonts w:hint="eastAsia"/>
                <w:szCs w:val="21"/>
              </w:rPr>
              <w:t>出资比例</w:t>
            </w: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D8B6333">
            <w:pPr>
              <w:spacing w:line="360" w:lineRule="auto"/>
              <w:jc w:val="center"/>
              <w:rPr>
                <w:szCs w:val="21"/>
              </w:rPr>
            </w:pPr>
            <w:r>
              <w:rPr>
                <w:rFonts w:hint="eastAsia"/>
                <w:szCs w:val="21"/>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7698B05">
            <w:pPr>
              <w:spacing w:line="360" w:lineRule="auto"/>
              <w:jc w:val="center"/>
              <w:rPr>
                <w:szCs w:val="21"/>
              </w:rPr>
            </w:pPr>
            <w:r>
              <w:rPr>
                <w:rFonts w:hint="eastAsia"/>
                <w:szCs w:val="21"/>
              </w:rPr>
              <w:t>备注</w:t>
            </w:r>
          </w:p>
        </w:tc>
      </w:tr>
      <w:tr w14:paraId="612DB3B0">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7E7A427">
            <w:pPr>
              <w:spacing w:line="360" w:lineRule="auto"/>
              <w:jc w:val="center"/>
              <w:rPr>
                <w:szCs w:val="21"/>
              </w:rPr>
            </w:pPr>
            <w:r>
              <w:rPr>
                <w:rFonts w:hint="eastAsia"/>
                <w:szCs w:val="21"/>
              </w:rPr>
              <w:t>1</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C9160E7">
            <w:pPr>
              <w:spacing w:line="360" w:lineRule="auto"/>
              <w:jc w:val="center"/>
              <w:rPr>
                <w:szCs w:val="21"/>
              </w:rPr>
            </w:pP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03F7DF9">
            <w:pPr>
              <w:spacing w:line="360" w:lineRule="auto"/>
              <w:jc w:val="center"/>
              <w:rPr>
                <w:szCs w:val="21"/>
              </w:rPr>
            </w:pP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ED07D44">
            <w:pPr>
              <w:spacing w:line="360" w:lineRule="auto"/>
              <w:jc w:val="center"/>
              <w:rPr>
                <w:szCs w:val="21"/>
              </w:rPr>
            </w:pP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F62824D">
            <w:pPr>
              <w:spacing w:line="360" w:lineRule="auto"/>
              <w:jc w:val="center"/>
              <w:rPr>
                <w:szCs w:val="21"/>
              </w:rPr>
            </w:pPr>
          </w:p>
        </w:tc>
      </w:tr>
      <w:tr w14:paraId="5A3E7E88">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1536079">
            <w:pPr>
              <w:spacing w:line="360" w:lineRule="auto"/>
              <w:jc w:val="center"/>
              <w:rPr>
                <w:szCs w:val="21"/>
              </w:rPr>
            </w:pPr>
            <w:r>
              <w:rPr>
                <w:rFonts w:hint="eastAsia"/>
                <w:szCs w:val="21"/>
              </w:rPr>
              <w:t>2</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6A8CD42">
            <w:pPr>
              <w:spacing w:line="360" w:lineRule="auto"/>
              <w:jc w:val="center"/>
              <w:rPr>
                <w:szCs w:val="21"/>
              </w:rPr>
            </w:pP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4D74BDE">
            <w:pPr>
              <w:spacing w:line="360" w:lineRule="auto"/>
              <w:jc w:val="center"/>
              <w:rPr>
                <w:szCs w:val="21"/>
              </w:rPr>
            </w:pP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2867D43">
            <w:pPr>
              <w:spacing w:line="360" w:lineRule="auto"/>
              <w:jc w:val="center"/>
              <w:rPr>
                <w:szCs w:val="21"/>
              </w:rPr>
            </w:pP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7C801F52">
            <w:pPr>
              <w:spacing w:line="360" w:lineRule="auto"/>
              <w:jc w:val="center"/>
              <w:rPr>
                <w:szCs w:val="21"/>
              </w:rPr>
            </w:pPr>
          </w:p>
        </w:tc>
      </w:tr>
      <w:tr w14:paraId="46D6CE6C">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A890DFC">
            <w:pPr>
              <w:spacing w:line="360" w:lineRule="auto"/>
              <w:jc w:val="center"/>
              <w:rPr>
                <w:szCs w:val="21"/>
              </w:rPr>
            </w:pPr>
            <w:r>
              <w:rPr>
                <w:rFonts w:hint="eastAsia"/>
                <w:szCs w:val="21"/>
              </w:rPr>
              <w:t>3</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66EA4992">
            <w:pPr>
              <w:spacing w:line="360" w:lineRule="auto"/>
              <w:jc w:val="center"/>
              <w:rPr>
                <w:szCs w:val="21"/>
              </w:rPr>
            </w:pP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45155BC0">
            <w:pPr>
              <w:spacing w:line="360" w:lineRule="auto"/>
              <w:jc w:val="center"/>
              <w:rPr>
                <w:szCs w:val="21"/>
              </w:rPr>
            </w:pP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5F6DBC4D">
            <w:pPr>
              <w:spacing w:line="360" w:lineRule="auto"/>
              <w:jc w:val="center"/>
              <w:rPr>
                <w:szCs w:val="21"/>
              </w:rPr>
            </w:pP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FDDB0DD">
            <w:pPr>
              <w:spacing w:line="360" w:lineRule="auto"/>
              <w:jc w:val="center"/>
              <w:rPr>
                <w:szCs w:val="21"/>
              </w:rPr>
            </w:pPr>
          </w:p>
        </w:tc>
      </w:tr>
      <w:tr w14:paraId="633C3E64">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39B9F1A8">
            <w:pPr>
              <w:spacing w:line="360" w:lineRule="auto"/>
              <w:jc w:val="center"/>
              <w:rPr>
                <w:szCs w:val="21"/>
              </w:rPr>
            </w:pPr>
            <w:r>
              <w:rPr>
                <w:rFonts w:hint="eastAsia"/>
                <w:szCs w:val="21"/>
              </w:rPr>
              <w:t>……</w:t>
            </w:r>
          </w:p>
        </w:tc>
        <w:tc>
          <w:tcPr>
            <w:tcW w:w="226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D788D81">
            <w:pPr>
              <w:spacing w:line="360" w:lineRule="auto"/>
              <w:jc w:val="center"/>
              <w:rPr>
                <w:szCs w:val="21"/>
              </w:rPr>
            </w:pPr>
          </w:p>
        </w:tc>
        <w:tc>
          <w:tcPr>
            <w:tcW w:w="1239"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04D94EAE">
            <w:pPr>
              <w:spacing w:line="360" w:lineRule="auto"/>
              <w:jc w:val="center"/>
              <w:rPr>
                <w:szCs w:val="21"/>
              </w:rPr>
            </w:pPr>
          </w:p>
        </w:tc>
        <w:tc>
          <w:tcPr>
            <w:tcW w:w="3722"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1FAC2142">
            <w:pPr>
              <w:spacing w:line="360" w:lineRule="auto"/>
              <w:jc w:val="center"/>
              <w:rPr>
                <w:szCs w:val="21"/>
              </w:rPr>
            </w:pPr>
          </w:p>
        </w:tc>
        <w:tc>
          <w:tcPr>
            <w:tcW w:w="1418" w:type="dxa"/>
            <w:tcBorders>
              <w:top w:val="single" w:color="auto" w:sz="4" w:space="0"/>
              <w:left w:val="single" w:color="auto" w:sz="4" w:space="0"/>
              <w:bottom w:val="single" w:color="auto" w:sz="4" w:space="0"/>
              <w:right w:val="single" w:color="auto" w:sz="4" w:space="0"/>
            </w:tcBorders>
            <w:tcMar>
              <w:top w:w="120" w:type="dxa"/>
              <w:left w:w="120" w:type="dxa"/>
              <w:bottom w:w="120" w:type="dxa"/>
              <w:right w:w="120" w:type="dxa"/>
            </w:tcMar>
            <w:vAlign w:val="center"/>
          </w:tcPr>
          <w:p w14:paraId="2984B5B9">
            <w:pPr>
              <w:spacing w:line="360" w:lineRule="auto"/>
              <w:jc w:val="center"/>
              <w:rPr>
                <w:szCs w:val="21"/>
              </w:rPr>
            </w:pPr>
          </w:p>
        </w:tc>
      </w:tr>
    </w:tbl>
    <w:p w14:paraId="19326769">
      <w:pPr>
        <w:snapToGrid w:val="0"/>
        <w:spacing w:line="360" w:lineRule="auto"/>
        <w:jc w:val="left"/>
        <w:rPr>
          <w:szCs w:val="21"/>
        </w:rPr>
      </w:pPr>
    </w:p>
    <w:p w14:paraId="3DB5DBE5">
      <w:pPr>
        <w:snapToGrid w:val="0"/>
        <w:spacing w:line="360" w:lineRule="auto"/>
        <w:jc w:val="left"/>
        <w:rPr>
          <w:szCs w:val="21"/>
        </w:rPr>
      </w:pPr>
      <w:r>
        <w:rPr>
          <w:rFonts w:hint="eastAsia"/>
          <w:szCs w:val="21"/>
        </w:rPr>
        <w:t>注：</w:t>
      </w:r>
    </w:p>
    <w:p w14:paraId="04C1B53D">
      <w:pPr>
        <w:snapToGrid w:val="0"/>
        <w:spacing w:line="360" w:lineRule="auto"/>
        <w:jc w:val="left"/>
        <w:rPr>
          <w:szCs w:val="21"/>
        </w:rPr>
      </w:pPr>
      <w:r>
        <w:rPr>
          <w:rFonts w:hint="eastAsia"/>
          <w:szCs w:val="21"/>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16529EDC">
      <w:pPr>
        <w:snapToGrid w:val="0"/>
        <w:spacing w:line="360" w:lineRule="auto"/>
        <w:jc w:val="left"/>
        <w:rPr>
          <w:szCs w:val="21"/>
        </w:rPr>
      </w:pPr>
      <w:r>
        <w:rPr>
          <w:rFonts w:hint="eastAsia"/>
          <w:szCs w:val="21"/>
        </w:rPr>
        <w:t>2.本表所指的控股关系仅限于直接控股关系，不包括间接的控股关系。公司实际控制人与公司之间的关系不属于本表所指的直接控股关系。</w:t>
      </w:r>
    </w:p>
    <w:p w14:paraId="7AA50C26">
      <w:pPr>
        <w:snapToGrid w:val="0"/>
        <w:spacing w:line="360" w:lineRule="auto"/>
        <w:jc w:val="left"/>
        <w:rPr>
          <w:szCs w:val="21"/>
        </w:rPr>
      </w:pPr>
      <w:r>
        <w:rPr>
          <w:rFonts w:hint="eastAsia"/>
          <w:szCs w:val="21"/>
        </w:rPr>
        <w:t>3.供应商不存在直接控股股东的，则填“无”。</w:t>
      </w:r>
    </w:p>
    <w:p w14:paraId="28D010C8">
      <w:pPr>
        <w:snapToGrid w:val="0"/>
        <w:spacing w:line="360" w:lineRule="auto"/>
        <w:jc w:val="left"/>
        <w:rPr>
          <w:szCs w:val="21"/>
        </w:rPr>
      </w:pPr>
    </w:p>
    <w:p w14:paraId="51208F9D">
      <w:pPr>
        <w:snapToGrid w:val="0"/>
        <w:spacing w:line="360" w:lineRule="auto"/>
        <w:jc w:val="left"/>
        <w:rPr>
          <w:szCs w:val="21"/>
        </w:rPr>
      </w:pPr>
    </w:p>
    <w:p w14:paraId="69325466">
      <w:pPr>
        <w:snapToGrid w:val="0"/>
        <w:spacing w:line="360" w:lineRule="auto"/>
        <w:jc w:val="left"/>
        <w:rPr>
          <w:szCs w:val="21"/>
        </w:rPr>
      </w:pPr>
    </w:p>
    <w:p w14:paraId="4ADCA924">
      <w:pPr>
        <w:snapToGrid w:val="0"/>
        <w:spacing w:line="360" w:lineRule="auto"/>
        <w:jc w:val="left"/>
        <w:rPr>
          <w:szCs w:val="21"/>
        </w:rPr>
      </w:pPr>
    </w:p>
    <w:p w14:paraId="0E51ACFD">
      <w:pPr>
        <w:snapToGrid w:val="0"/>
        <w:spacing w:line="360" w:lineRule="auto"/>
        <w:jc w:val="left"/>
        <w:rPr>
          <w:szCs w:val="21"/>
        </w:rPr>
      </w:pPr>
    </w:p>
    <w:p w14:paraId="6E661064">
      <w:pPr>
        <w:snapToGrid w:val="0"/>
        <w:spacing w:line="360" w:lineRule="auto"/>
        <w:ind w:firstLine="4410" w:firstLineChars="2100"/>
        <w:rPr>
          <w:szCs w:val="21"/>
        </w:rPr>
      </w:pPr>
      <w:r>
        <w:rPr>
          <w:rFonts w:hint="eastAsia"/>
          <w:szCs w:val="21"/>
        </w:rPr>
        <w:t>供应商名称(电子签章)：</w:t>
      </w:r>
    </w:p>
    <w:p w14:paraId="5C8FCC28">
      <w:pPr>
        <w:snapToGrid w:val="0"/>
        <w:spacing w:line="360" w:lineRule="auto"/>
        <w:ind w:firstLine="4410" w:firstLineChars="2100"/>
        <w:rPr>
          <w:szCs w:val="21"/>
        </w:rPr>
      </w:pPr>
      <w:r>
        <w:rPr>
          <w:rFonts w:hint="eastAsia"/>
          <w:szCs w:val="21"/>
        </w:rPr>
        <w:t>法定代表人或者委托代理人（签字或者电子签名）：</w:t>
      </w:r>
    </w:p>
    <w:p w14:paraId="1397EFE1">
      <w:pPr>
        <w:snapToGrid w:val="0"/>
        <w:spacing w:line="360" w:lineRule="auto"/>
        <w:ind w:firstLine="4515" w:firstLineChars="2150"/>
        <w:rPr>
          <w:szCs w:val="21"/>
        </w:rPr>
      </w:pPr>
      <w:r>
        <w:rPr>
          <w:rFonts w:hint="eastAsia"/>
          <w:szCs w:val="21"/>
        </w:rPr>
        <w:t>日期：  年  月   日</w:t>
      </w:r>
    </w:p>
    <w:p w14:paraId="46DA39F1">
      <w:pPr>
        <w:snapToGrid w:val="0"/>
        <w:spacing w:line="360" w:lineRule="auto"/>
        <w:jc w:val="left"/>
        <w:rPr>
          <w:szCs w:val="21"/>
        </w:rPr>
      </w:pPr>
      <w:r>
        <w:rPr>
          <w:szCs w:val="21"/>
        </w:rPr>
        <w:br w:type="page"/>
      </w:r>
      <w:r>
        <w:rPr>
          <w:rFonts w:hint="eastAsia"/>
          <w:szCs w:val="21"/>
        </w:rPr>
        <w:t>7.投标人直接管理关系信息表</w:t>
      </w:r>
    </w:p>
    <w:tbl>
      <w:tblPr>
        <w:tblStyle w:val="51"/>
        <w:tblW w:w="0" w:type="auto"/>
        <w:tblInd w:w="125" w:type="dxa"/>
        <w:shd w:val="clear" w:color="auto" w:fill="FBFBFB"/>
        <w:tblLayout w:type="fixed"/>
        <w:tblCellMar>
          <w:top w:w="0" w:type="dxa"/>
          <w:left w:w="0" w:type="dxa"/>
          <w:bottom w:w="0" w:type="dxa"/>
          <w:right w:w="0" w:type="dxa"/>
        </w:tblCellMar>
      </w:tblPr>
      <w:tblGrid>
        <w:gridCol w:w="1005"/>
        <w:gridCol w:w="2659"/>
        <w:gridCol w:w="3924"/>
        <w:gridCol w:w="2064"/>
      </w:tblGrid>
      <w:tr w14:paraId="5CB50C41">
        <w:tblPrEx>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3CEDBD06">
            <w:pPr>
              <w:spacing w:line="360" w:lineRule="auto"/>
              <w:jc w:val="center"/>
              <w:rPr>
                <w:szCs w:val="21"/>
              </w:rPr>
            </w:pPr>
            <w:r>
              <w:rPr>
                <w:rFonts w:hint="eastAsia"/>
                <w:szCs w:val="21"/>
              </w:rPr>
              <w:t>序号</w:t>
            </w:r>
          </w:p>
        </w:tc>
        <w:tc>
          <w:tcPr>
            <w:tcW w:w="2659"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07796D4B">
            <w:pPr>
              <w:spacing w:line="360" w:lineRule="auto"/>
              <w:jc w:val="center"/>
              <w:rPr>
                <w:szCs w:val="21"/>
              </w:rPr>
            </w:pPr>
            <w:r>
              <w:rPr>
                <w:rFonts w:hint="eastAsia"/>
                <w:szCs w:val="21"/>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58628F1E">
            <w:pPr>
              <w:spacing w:line="360" w:lineRule="auto"/>
              <w:jc w:val="center"/>
              <w:rPr>
                <w:szCs w:val="21"/>
              </w:rPr>
            </w:pPr>
            <w:r>
              <w:rPr>
                <w:rFonts w:hint="eastAsia"/>
                <w:szCs w:val="21"/>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58194691">
            <w:pPr>
              <w:spacing w:line="360" w:lineRule="auto"/>
              <w:jc w:val="center"/>
              <w:rPr>
                <w:szCs w:val="21"/>
              </w:rPr>
            </w:pPr>
            <w:r>
              <w:rPr>
                <w:rFonts w:hint="eastAsia"/>
                <w:szCs w:val="21"/>
              </w:rPr>
              <w:t>备注</w:t>
            </w:r>
          </w:p>
        </w:tc>
      </w:tr>
      <w:tr w14:paraId="1C6E331F">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28A402D0">
            <w:pPr>
              <w:spacing w:line="360" w:lineRule="auto"/>
              <w:jc w:val="center"/>
              <w:rPr>
                <w:szCs w:val="21"/>
              </w:rPr>
            </w:pPr>
            <w:r>
              <w:rPr>
                <w:rFonts w:hint="eastAsia"/>
                <w:szCs w:val="21"/>
              </w:rPr>
              <w:t>1</w:t>
            </w:r>
          </w:p>
        </w:tc>
        <w:tc>
          <w:tcPr>
            <w:tcW w:w="2659"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370CC04D">
            <w:pPr>
              <w:spacing w:line="360" w:lineRule="auto"/>
              <w:jc w:val="center"/>
              <w:rPr>
                <w:szCs w:val="21"/>
              </w:rPr>
            </w:pPr>
          </w:p>
        </w:tc>
        <w:tc>
          <w:tcPr>
            <w:tcW w:w="3924"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7F3A2289">
            <w:pPr>
              <w:spacing w:line="360" w:lineRule="auto"/>
              <w:jc w:val="center"/>
              <w:rPr>
                <w:szCs w:val="21"/>
              </w:rPr>
            </w:pPr>
          </w:p>
        </w:tc>
        <w:tc>
          <w:tcPr>
            <w:tcW w:w="2064"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744BD66E">
            <w:pPr>
              <w:spacing w:line="360" w:lineRule="auto"/>
              <w:jc w:val="center"/>
              <w:rPr>
                <w:szCs w:val="21"/>
              </w:rPr>
            </w:pPr>
          </w:p>
        </w:tc>
      </w:tr>
      <w:tr w14:paraId="45BEEC0D">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4AABFB29">
            <w:pPr>
              <w:spacing w:line="360" w:lineRule="auto"/>
              <w:jc w:val="center"/>
              <w:rPr>
                <w:szCs w:val="21"/>
              </w:rPr>
            </w:pPr>
            <w:r>
              <w:rPr>
                <w:rFonts w:hint="eastAsia"/>
                <w:szCs w:val="21"/>
              </w:rPr>
              <w:t>2</w:t>
            </w:r>
          </w:p>
        </w:tc>
        <w:tc>
          <w:tcPr>
            <w:tcW w:w="2659"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42CF3800">
            <w:pPr>
              <w:spacing w:line="360" w:lineRule="auto"/>
              <w:jc w:val="center"/>
              <w:rPr>
                <w:szCs w:val="21"/>
              </w:rPr>
            </w:pPr>
          </w:p>
        </w:tc>
        <w:tc>
          <w:tcPr>
            <w:tcW w:w="3924"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22A42541">
            <w:pPr>
              <w:spacing w:line="360" w:lineRule="auto"/>
              <w:jc w:val="center"/>
              <w:rPr>
                <w:szCs w:val="21"/>
              </w:rPr>
            </w:pPr>
          </w:p>
        </w:tc>
        <w:tc>
          <w:tcPr>
            <w:tcW w:w="2064"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0E35EC82">
            <w:pPr>
              <w:spacing w:line="360" w:lineRule="auto"/>
              <w:jc w:val="center"/>
              <w:rPr>
                <w:szCs w:val="21"/>
              </w:rPr>
            </w:pPr>
          </w:p>
        </w:tc>
      </w:tr>
      <w:tr w14:paraId="7505E1C6">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48728ABC">
            <w:pPr>
              <w:spacing w:line="360" w:lineRule="auto"/>
              <w:jc w:val="center"/>
              <w:rPr>
                <w:szCs w:val="21"/>
              </w:rPr>
            </w:pPr>
            <w:r>
              <w:rPr>
                <w:rFonts w:hint="eastAsia"/>
                <w:szCs w:val="21"/>
              </w:rPr>
              <w:t>3</w:t>
            </w:r>
          </w:p>
        </w:tc>
        <w:tc>
          <w:tcPr>
            <w:tcW w:w="2659"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6D412A3B">
            <w:pPr>
              <w:spacing w:line="360" w:lineRule="auto"/>
              <w:jc w:val="center"/>
              <w:rPr>
                <w:szCs w:val="21"/>
              </w:rPr>
            </w:pPr>
          </w:p>
        </w:tc>
        <w:tc>
          <w:tcPr>
            <w:tcW w:w="3924"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77FE14C3">
            <w:pPr>
              <w:spacing w:line="360" w:lineRule="auto"/>
              <w:jc w:val="center"/>
              <w:rPr>
                <w:szCs w:val="21"/>
              </w:rPr>
            </w:pPr>
          </w:p>
        </w:tc>
        <w:tc>
          <w:tcPr>
            <w:tcW w:w="2064"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696F7C71">
            <w:pPr>
              <w:spacing w:line="360" w:lineRule="auto"/>
              <w:jc w:val="center"/>
              <w:rPr>
                <w:szCs w:val="21"/>
              </w:rPr>
            </w:pPr>
          </w:p>
        </w:tc>
      </w:tr>
      <w:tr w14:paraId="2CA57A4A">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7DB36A41">
            <w:pPr>
              <w:spacing w:line="360" w:lineRule="auto"/>
              <w:jc w:val="center"/>
              <w:rPr>
                <w:szCs w:val="21"/>
              </w:rPr>
            </w:pPr>
            <w:r>
              <w:rPr>
                <w:rFonts w:hint="eastAsia"/>
                <w:szCs w:val="21"/>
              </w:rPr>
              <w:t>……</w:t>
            </w:r>
          </w:p>
        </w:tc>
        <w:tc>
          <w:tcPr>
            <w:tcW w:w="2659"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67002D3B">
            <w:pPr>
              <w:spacing w:line="360" w:lineRule="auto"/>
              <w:jc w:val="center"/>
              <w:rPr>
                <w:szCs w:val="21"/>
              </w:rPr>
            </w:pPr>
          </w:p>
        </w:tc>
        <w:tc>
          <w:tcPr>
            <w:tcW w:w="3924"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0CD426C0">
            <w:pPr>
              <w:spacing w:line="360" w:lineRule="auto"/>
              <w:jc w:val="center"/>
              <w:rPr>
                <w:szCs w:val="21"/>
              </w:rPr>
            </w:pPr>
          </w:p>
        </w:tc>
        <w:tc>
          <w:tcPr>
            <w:tcW w:w="2064" w:type="dxa"/>
            <w:tcBorders>
              <w:top w:val="single" w:color="auto" w:sz="4" w:space="0"/>
              <w:left w:val="single" w:color="auto" w:sz="4" w:space="0"/>
              <w:bottom w:val="single" w:color="auto" w:sz="4" w:space="0"/>
              <w:right w:val="single" w:color="auto" w:sz="4" w:space="0"/>
            </w:tcBorders>
            <w:shd w:val="clear" w:color="auto" w:fill="FFFFFF"/>
            <w:tcMar>
              <w:top w:w="120" w:type="dxa"/>
              <w:left w:w="120" w:type="dxa"/>
              <w:bottom w:w="120" w:type="dxa"/>
              <w:right w:w="120" w:type="dxa"/>
            </w:tcMar>
            <w:vAlign w:val="center"/>
          </w:tcPr>
          <w:p w14:paraId="41DF3FF5">
            <w:pPr>
              <w:spacing w:line="360" w:lineRule="auto"/>
              <w:jc w:val="center"/>
              <w:rPr>
                <w:szCs w:val="21"/>
              </w:rPr>
            </w:pPr>
          </w:p>
        </w:tc>
      </w:tr>
    </w:tbl>
    <w:p w14:paraId="63512C04">
      <w:pPr>
        <w:snapToGrid w:val="0"/>
        <w:spacing w:line="360" w:lineRule="auto"/>
        <w:jc w:val="left"/>
        <w:rPr>
          <w:szCs w:val="21"/>
        </w:rPr>
      </w:pPr>
      <w:r>
        <w:rPr>
          <w:rFonts w:hint="eastAsia"/>
          <w:szCs w:val="21"/>
        </w:rPr>
        <w:t>注：</w:t>
      </w:r>
    </w:p>
    <w:p w14:paraId="3C128C11">
      <w:pPr>
        <w:snapToGrid w:val="0"/>
        <w:spacing w:line="360" w:lineRule="auto"/>
        <w:ind w:firstLine="420" w:firstLineChars="200"/>
        <w:jc w:val="left"/>
        <w:rPr>
          <w:szCs w:val="21"/>
        </w:rPr>
      </w:pPr>
      <w:r>
        <w:rPr>
          <w:rFonts w:hint="eastAsia"/>
          <w:szCs w:val="21"/>
        </w:rPr>
        <w:t>1.管理关系：是指不具有出资持股关系的其他单位之间存在的管理与被管理关系，如一些上下级关系的事业单位和团体组织。</w:t>
      </w:r>
    </w:p>
    <w:p w14:paraId="2E943042">
      <w:pPr>
        <w:snapToGrid w:val="0"/>
        <w:spacing w:line="360" w:lineRule="auto"/>
        <w:ind w:firstLine="420" w:firstLineChars="200"/>
        <w:jc w:val="left"/>
        <w:rPr>
          <w:szCs w:val="21"/>
        </w:rPr>
      </w:pPr>
      <w:r>
        <w:rPr>
          <w:rFonts w:hint="eastAsia"/>
          <w:szCs w:val="21"/>
        </w:rPr>
        <w:t>2.本表所指的管理关系仅限于直接管理关系，不包括间接的管理关系。</w:t>
      </w:r>
    </w:p>
    <w:p w14:paraId="060C23C7">
      <w:pPr>
        <w:snapToGrid w:val="0"/>
        <w:spacing w:line="360" w:lineRule="auto"/>
        <w:ind w:firstLine="420" w:firstLineChars="200"/>
        <w:jc w:val="left"/>
        <w:rPr>
          <w:szCs w:val="21"/>
        </w:rPr>
      </w:pPr>
      <w:r>
        <w:rPr>
          <w:rFonts w:hint="eastAsia"/>
          <w:szCs w:val="21"/>
        </w:rPr>
        <w:t>3.供应商不存在直接管理关系的，则填“无”。</w:t>
      </w:r>
    </w:p>
    <w:p w14:paraId="1AC54DEE">
      <w:pPr>
        <w:snapToGrid w:val="0"/>
        <w:spacing w:line="360" w:lineRule="auto"/>
        <w:jc w:val="left"/>
        <w:rPr>
          <w:szCs w:val="21"/>
        </w:rPr>
      </w:pPr>
    </w:p>
    <w:p w14:paraId="1E4B65A0">
      <w:pPr>
        <w:snapToGrid w:val="0"/>
        <w:spacing w:line="360" w:lineRule="auto"/>
        <w:jc w:val="left"/>
        <w:rPr>
          <w:szCs w:val="21"/>
        </w:rPr>
      </w:pPr>
    </w:p>
    <w:p w14:paraId="4D866D83">
      <w:pPr>
        <w:snapToGrid w:val="0"/>
        <w:spacing w:line="360" w:lineRule="auto"/>
        <w:jc w:val="left"/>
        <w:rPr>
          <w:szCs w:val="21"/>
        </w:rPr>
      </w:pPr>
    </w:p>
    <w:p w14:paraId="392411E2">
      <w:pPr>
        <w:snapToGrid w:val="0"/>
        <w:spacing w:line="360" w:lineRule="auto"/>
        <w:jc w:val="left"/>
        <w:rPr>
          <w:szCs w:val="21"/>
        </w:rPr>
      </w:pPr>
    </w:p>
    <w:p w14:paraId="37CED608">
      <w:pPr>
        <w:snapToGrid w:val="0"/>
        <w:spacing w:line="360" w:lineRule="auto"/>
        <w:jc w:val="left"/>
        <w:rPr>
          <w:szCs w:val="21"/>
        </w:rPr>
      </w:pPr>
    </w:p>
    <w:p w14:paraId="14F5BCF6">
      <w:pPr>
        <w:snapToGrid w:val="0"/>
        <w:spacing w:line="360" w:lineRule="auto"/>
        <w:jc w:val="left"/>
        <w:rPr>
          <w:szCs w:val="21"/>
        </w:rPr>
      </w:pPr>
    </w:p>
    <w:p w14:paraId="325EEADB">
      <w:pPr>
        <w:snapToGrid w:val="0"/>
        <w:spacing w:line="360" w:lineRule="auto"/>
        <w:jc w:val="left"/>
        <w:rPr>
          <w:szCs w:val="21"/>
        </w:rPr>
      </w:pPr>
    </w:p>
    <w:p w14:paraId="7E64A3F4">
      <w:pPr>
        <w:snapToGrid w:val="0"/>
        <w:spacing w:line="360" w:lineRule="auto"/>
        <w:jc w:val="left"/>
        <w:rPr>
          <w:szCs w:val="21"/>
        </w:rPr>
      </w:pPr>
    </w:p>
    <w:p w14:paraId="75F2C405">
      <w:pPr>
        <w:snapToGrid w:val="0"/>
        <w:spacing w:line="360" w:lineRule="auto"/>
        <w:ind w:firstLine="4410" w:firstLineChars="2100"/>
        <w:rPr>
          <w:szCs w:val="21"/>
        </w:rPr>
      </w:pPr>
      <w:r>
        <w:rPr>
          <w:rFonts w:hint="eastAsia"/>
          <w:szCs w:val="21"/>
        </w:rPr>
        <w:t>供应商名称(电子签章)：</w:t>
      </w:r>
    </w:p>
    <w:p w14:paraId="7D56E1BC">
      <w:pPr>
        <w:snapToGrid w:val="0"/>
        <w:spacing w:line="360" w:lineRule="auto"/>
        <w:ind w:firstLine="4410" w:firstLineChars="2100"/>
        <w:rPr>
          <w:szCs w:val="21"/>
        </w:rPr>
      </w:pPr>
      <w:r>
        <w:rPr>
          <w:rFonts w:hint="eastAsia"/>
          <w:szCs w:val="21"/>
        </w:rPr>
        <w:t>法定代表人或者委托代理人（签字或者电子签名）：</w:t>
      </w:r>
    </w:p>
    <w:p w14:paraId="091ED51F">
      <w:pPr>
        <w:snapToGrid w:val="0"/>
        <w:spacing w:line="360" w:lineRule="auto"/>
        <w:ind w:firstLine="4515" w:firstLineChars="2150"/>
        <w:rPr>
          <w:szCs w:val="21"/>
        </w:rPr>
      </w:pPr>
      <w:r>
        <w:rPr>
          <w:rFonts w:hint="eastAsia"/>
          <w:szCs w:val="21"/>
        </w:rPr>
        <w:t>日期：  年  月   日</w:t>
      </w:r>
    </w:p>
    <w:p w14:paraId="7EE2C86B">
      <w:pPr>
        <w:snapToGrid w:val="0"/>
        <w:spacing w:before="50" w:after="120" w:afterLines="50" w:line="440" w:lineRule="exact"/>
        <w:jc w:val="left"/>
        <w:rPr>
          <w:b/>
          <w:szCs w:val="21"/>
        </w:rPr>
      </w:pPr>
    </w:p>
    <w:p w14:paraId="5D2FBFFC">
      <w:pPr>
        <w:snapToGrid w:val="0"/>
        <w:spacing w:before="50" w:after="120" w:afterLines="50" w:line="440" w:lineRule="exact"/>
        <w:jc w:val="left"/>
        <w:rPr>
          <w:b/>
          <w:szCs w:val="21"/>
        </w:rPr>
      </w:pPr>
      <w:r>
        <w:rPr>
          <w:b/>
          <w:szCs w:val="21"/>
        </w:rPr>
        <w:br w:type="page"/>
      </w:r>
    </w:p>
    <w:p w14:paraId="0BE4FDFE">
      <w:pPr>
        <w:snapToGrid w:val="0"/>
        <w:spacing w:before="50" w:after="120" w:afterLines="50" w:line="440" w:lineRule="exact"/>
        <w:jc w:val="left"/>
        <w:rPr>
          <w:szCs w:val="21"/>
        </w:rPr>
      </w:pPr>
    </w:p>
    <w:p w14:paraId="6AF0ABC6">
      <w:pPr>
        <w:snapToGrid w:val="0"/>
        <w:spacing w:before="50" w:after="120" w:afterLines="50" w:line="440" w:lineRule="exact"/>
        <w:jc w:val="left"/>
        <w:rPr>
          <w:b/>
          <w:szCs w:val="21"/>
        </w:rPr>
      </w:pPr>
      <w:bookmarkStart w:id="120" w:name="_Hlk132879806"/>
      <w:r>
        <w:rPr>
          <w:rFonts w:hint="eastAsia"/>
          <w:szCs w:val="21"/>
        </w:rPr>
        <w:t>8</w:t>
      </w:r>
      <w:r>
        <w:rPr>
          <w:szCs w:val="21"/>
        </w:rPr>
        <w:t>．</w:t>
      </w:r>
      <w:r>
        <w:rPr>
          <w:rFonts w:hint="eastAsia"/>
        </w:rPr>
        <w:t>落实政府采购政策需满足的资格要求</w:t>
      </w:r>
      <w:r>
        <w:t>（</w:t>
      </w:r>
      <w:r>
        <w:rPr>
          <w:szCs w:val="21"/>
        </w:rPr>
        <w:t>按“评审方法及标准” “资格审查表”规定提供</w:t>
      </w:r>
      <w:r>
        <w:t>）。</w:t>
      </w:r>
      <w:r>
        <w:rPr>
          <w:rFonts w:hint="eastAsia"/>
          <w:b/>
          <w:szCs w:val="21"/>
        </w:rPr>
        <w:t>（如招标文件有要求时提供）</w:t>
      </w:r>
    </w:p>
    <w:bookmarkEnd w:id="120"/>
    <w:p w14:paraId="2DFAB51B">
      <w:pPr>
        <w:snapToGrid w:val="0"/>
        <w:spacing w:before="50" w:after="120" w:afterLines="50" w:line="360" w:lineRule="auto"/>
        <w:jc w:val="left"/>
        <w:rPr>
          <w:szCs w:val="21"/>
        </w:rPr>
        <w:sectPr>
          <w:pgSz w:w="11906" w:h="16838"/>
          <w:pgMar w:top="1418" w:right="1133" w:bottom="1246" w:left="1418" w:header="851" w:footer="992" w:gutter="0"/>
          <w:cols w:space="720" w:num="1"/>
          <w:docGrid w:linePitch="312" w:charSpace="0"/>
        </w:sectPr>
      </w:pPr>
    </w:p>
    <w:p w14:paraId="06028F20">
      <w:pPr>
        <w:rPr>
          <w:szCs w:val="21"/>
        </w:rPr>
      </w:pPr>
      <w:bookmarkStart w:id="121" w:name="_Hlk132879836"/>
      <w:r>
        <w:rPr>
          <w:rFonts w:hint="eastAsia"/>
          <w:szCs w:val="21"/>
        </w:rPr>
        <w:t>8</w:t>
      </w:r>
      <w:r>
        <w:rPr>
          <w:szCs w:val="21"/>
        </w:rPr>
        <w:t>.1</w:t>
      </w:r>
      <w:r>
        <w:rPr>
          <w:rFonts w:hint="eastAsia"/>
          <w:bCs/>
          <w:szCs w:val="21"/>
        </w:rPr>
        <w:t>中小企业声明函</w:t>
      </w:r>
      <w:r>
        <w:rPr>
          <w:szCs w:val="21"/>
        </w:rPr>
        <w:t>。</w:t>
      </w:r>
    </w:p>
    <w:p w14:paraId="2B396896">
      <w:pPr>
        <w:spacing w:line="360" w:lineRule="auto"/>
        <w:ind w:firstLine="3584" w:firstLineChars="1700"/>
        <w:rPr>
          <w:b/>
          <w:szCs w:val="21"/>
        </w:rPr>
      </w:pPr>
    </w:p>
    <w:p w14:paraId="546E118A">
      <w:pPr>
        <w:spacing w:line="360" w:lineRule="auto"/>
        <w:ind w:firstLine="3584" w:firstLineChars="1700"/>
        <w:rPr>
          <w:b/>
          <w:szCs w:val="21"/>
        </w:rPr>
      </w:pPr>
      <w:r>
        <w:rPr>
          <w:rFonts w:hint="eastAsia"/>
          <w:b/>
          <w:szCs w:val="21"/>
        </w:rPr>
        <w:t>中小企业声明函（服务）</w:t>
      </w:r>
    </w:p>
    <w:p w14:paraId="1DA3CD2D">
      <w:pPr>
        <w:spacing w:line="360" w:lineRule="auto"/>
        <w:ind w:firstLine="420"/>
        <w:rPr>
          <w:bCs/>
          <w:szCs w:val="21"/>
        </w:rPr>
      </w:pPr>
      <w:r>
        <w:rPr>
          <w:rFonts w:hint="eastAsia"/>
          <w:bCs/>
          <w:szCs w:val="21"/>
        </w:rPr>
        <w:t>本公司（联合体）郑重声明，根据《政府采购促进中小企业发展管理办法》（财库﹝2020﹞46 号）的规定，本公司（联合体）参加</w:t>
      </w:r>
      <w:r>
        <w:rPr>
          <w:rFonts w:hint="eastAsia"/>
          <w:bCs/>
          <w:szCs w:val="21"/>
          <w:u w:val="single"/>
        </w:rPr>
        <w:t>（单位名称）</w:t>
      </w:r>
      <w:r>
        <w:rPr>
          <w:rFonts w:hint="eastAsia"/>
          <w:bCs/>
          <w:szCs w:val="21"/>
        </w:rPr>
        <w:t>的</w:t>
      </w:r>
      <w:r>
        <w:rPr>
          <w:rFonts w:hint="eastAsia"/>
          <w:bCs/>
          <w:szCs w:val="21"/>
          <w:u w:val="single"/>
        </w:rPr>
        <w:t>（项目名称）</w:t>
      </w:r>
      <w:r>
        <w:rPr>
          <w:rFonts w:hint="eastAsia"/>
          <w:bCs/>
          <w:szCs w:val="21"/>
        </w:rPr>
        <w:t>采购活动，服务全部由符合政策要求的中小企业承接。相关企业（含联合体中的中小企业、签订分包意向协议的中小企业） 的具体情况如下：</w:t>
      </w:r>
    </w:p>
    <w:p w14:paraId="3002FC5C">
      <w:pPr>
        <w:spacing w:line="360" w:lineRule="auto"/>
        <w:ind w:firstLine="420"/>
        <w:rPr>
          <w:bCs/>
          <w:szCs w:val="21"/>
        </w:rPr>
      </w:pPr>
      <w:r>
        <w:rPr>
          <w:bCs/>
          <w:szCs w:val="21"/>
        </w:rPr>
        <w:t>1.</w:t>
      </w:r>
      <w:r>
        <w:rPr>
          <w:rFonts w:hint="eastAsia"/>
          <w:bCs/>
          <w:szCs w:val="21"/>
          <w:u w:val="single"/>
        </w:rPr>
        <w:t>（标的名称）</w:t>
      </w:r>
      <w:r>
        <w:rPr>
          <w:rFonts w:hint="eastAsia"/>
          <w:bCs/>
          <w:szCs w:val="21"/>
        </w:rPr>
        <w:t>，属于</w:t>
      </w:r>
      <w:r>
        <w:rPr>
          <w:rFonts w:hint="eastAsia"/>
          <w:bCs/>
          <w:szCs w:val="21"/>
          <w:u w:val="single"/>
        </w:rPr>
        <w:t>（招标文件中明确的所属行业）</w:t>
      </w:r>
      <w:r>
        <w:rPr>
          <w:rFonts w:hint="eastAsia"/>
          <w:bCs/>
          <w:szCs w:val="21"/>
        </w:rPr>
        <w:t>行业；承接企业为</w:t>
      </w:r>
      <w:r>
        <w:rPr>
          <w:rFonts w:hint="eastAsia"/>
          <w:bCs/>
          <w:szCs w:val="21"/>
          <w:u w:val="single"/>
        </w:rPr>
        <w:t>（企业名称）</w:t>
      </w:r>
      <w:r>
        <w:rPr>
          <w:rFonts w:hint="eastAsia"/>
          <w:bCs/>
          <w:szCs w:val="21"/>
        </w:rPr>
        <w:t>，从业人员</w:t>
      </w:r>
      <w:r>
        <w:rPr>
          <w:bCs/>
          <w:szCs w:val="21"/>
          <w:u w:val="single"/>
        </w:rPr>
        <w:t xml:space="preserve">    </w:t>
      </w:r>
      <w:r>
        <w:rPr>
          <w:rFonts w:hint="eastAsia"/>
          <w:bCs/>
          <w:szCs w:val="21"/>
        </w:rPr>
        <w:t>人，营业收入为</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万元，资产总额为</w:t>
      </w:r>
      <w:r>
        <w:rPr>
          <w:rFonts w:hint="eastAsia"/>
          <w:bCs/>
          <w:szCs w:val="21"/>
          <w:u w:val="single"/>
        </w:rPr>
        <w:t xml:space="preserve">    </w:t>
      </w:r>
      <w:r>
        <w:rPr>
          <w:rFonts w:hint="eastAsia"/>
          <w:bCs/>
          <w:szCs w:val="21"/>
        </w:rPr>
        <w:t>万元，属于</w:t>
      </w:r>
      <w:r>
        <w:rPr>
          <w:rFonts w:hint="eastAsia"/>
          <w:bCs/>
          <w:szCs w:val="21"/>
          <w:u w:val="single"/>
        </w:rPr>
        <w:t>（中型企业、小型企业、微型企业）</w:t>
      </w:r>
      <w:r>
        <w:rPr>
          <w:rFonts w:hint="eastAsia"/>
          <w:bCs/>
          <w:szCs w:val="21"/>
        </w:rPr>
        <w:t>；</w:t>
      </w:r>
    </w:p>
    <w:p w14:paraId="7D98140F">
      <w:pPr>
        <w:spacing w:line="360" w:lineRule="auto"/>
        <w:ind w:firstLine="420"/>
        <w:rPr>
          <w:bCs/>
          <w:szCs w:val="21"/>
        </w:rPr>
      </w:pPr>
      <w:r>
        <w:rPr>
          <w:bCs/>
          <w:szCs w:val="21"/>
        </w:rPr>
        <w:t>2.</w:t>
      </w:r>
      <w:r>
        <w:rPr>
          <w:rFonts w:hint="eastAsia"/>
          <w:bCs/>
          <w:szCs w:val="21"/>
          <w:u w:val="single"/>
        </w:rPr>
        <w:t>（标的名称）</w:t>
      </w:r>
      <w:r>
        <w:rPr>
          <w:rFonts w:hint="eastAsia"/>
          <w:bCs/>
          <w:szCs w:val="21"/>
        </w:rPr>
        <w:t>，属于</w:t>
      </w:r>
      <w:r>
        <w:rPr>
          <w:rFonts w:hint="eastAsia"/>
          <w:bCs/>
          <w:szCs w:val="21"/>
          <w:u w:val="single"/>
        </w:rPr>
        <w:t>（招标文件中明确的所属行业）</w:t>
      </w:r>
      <w:r>
        <w:rPr>
          <w:rFonts w:hint="eastAsia"/>
          <w:bCs/>
          <w:szCs w:val="21"/>
        </w:rPr>
        <w:t>行业；承接企业为</w:t>
      </w:r>
      <w:r>
        <w:rPr>
          <w:rFonts w:hint="eastAsia"/>
          <w:bCs/>
          <w:szCs w:val="21"/>
          <w:u w:val="single"/>
        </w:rPr>
        <w:t>（企业名称）</w:t>
      </w:r>
      <w:r>
        <w:rPr>
          <w:rFonts w:hint="eastAsia"/>
          <w:bCs/>
          <w:szCs w:val="21"/>
        </w:rPr>
        <w:t>，从业人员</w:t>
      </w:r>
      <w:r>
        <w:rPr>
          <w:rFonts w:hint="eastAsia"/>
          <w:bCs/>
          <w:szCs w:val="21"/>
          <w:u w:val="single"/>
        </w:rPr>
        <w:t xml:space="preserve">       </w:t>
      </w:r>
      <w:r>
        <w:rPr>
          <w:rFonts w:hint="eastAsia"/>
          <w:bCs/>
          <w:szCs w:val="21"/>
        </w:rPr>
        <w:t>人，营业收入为</w:t>
      </w:r>
      <w:r>
        <w:rPr>
          <w:rFonts w:hint="eastAsia"/>
          <w:bCs/>
          <w:szCs w:val="21"/>
          <w:u w:val="single"/>
        </w:rPr>
        <w:t xml:space="preserve">     </w:t>
      </w:r>
      <w:r>
        <w:rPr>
          <w:rFonts w:hint="eastAsia"/>
          <w:bCs/>
          <w:szCs w:val="21"/>
        </w:rPr>
        <w:t>万元，资产总额为</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万元，属于</w:t>
      </w:r>
      <w:r>
        <w:rPr>
          <w:rFonts w:hint="eastAsia"/>
          <w:bCs/>
          <w:szCs w:val="21"/>
          <w:u w:val="single"/>
        </w:rPr>
        <w:t>（中型企业、小型企业、微型企业）</w:t>
      </w:r>
      <w:r>
        <w:rPr>
          <w:rFonts w:hint="eastAsia"/>
          <w:bCs/>
          <w:szCs w:val="21"/>
        </w:rPr>
        <w:t>；</w:t>
      </w:r>
    </w:p>
    <w:p w14:paraId="4E467DF5">
      <w:pPr>
        <w:spacing w:line="360" w:lineRule="auto"/>
        <w:ind w:firstLine="420"/>
        <w:rPr>
          <w:bCs/>
          <w:szCs w:val="21"/>
        </w:rPr>
      </w:pPr>
      <w:r>
        <w:rPr>
          <w:rFonts w:hint="eastAsia"/>
          <w:bCs/>
          <w:szCs w:val="21"/>
        </w:rPr>
        <w:t>……</w:t>
      </w:r>
    </w:p>
    <w:p w14:paraId="015AF93F">
      <w:pPr>
        <w:spacing w:line="360" w:lineRule="auto"/>
        <w:ind w:firstLine="420"/>
        <w:rPr>
          <w:bCs/>
          <w:szCs w:val="21"/>
        </w:rPr>
      </w:pPr>
      <w:r>
        <w:rPr>
          <w:rFonts w:hint="eastAsia"/>
          <w:bCs/>
          <w:szCs w:val="21"/>
        </w:rPr>
        <w:t>以上企业，不属于大企业的分支机构，不存在控股股东为大企业的情形，也不存在与大企业的负责人为同一人的情形。</w:t>
      </w:r>
    </w:p>
    <w:p w14:paraId="1A18A62E">
      <w:pPr>
        <w:spacing w:line="360" w:lineRule="auto"/>
        <w:ind w:firstLine="420"/>
        <w:rPr>
          <w:bCs/>
          <w:szCs w:val="21"/>
        </w:rPr>
      </w:pPr>
      <w:r>
        <w:rPr>
          <w:rFonts w:hint="eastAsia"/>
          <w:bCs/>
          <w:szCs w:val="21"/>
        </w:rPr>
        <w:t>本企业对上述声明内容的真实性负责。如有虚假，将依法承担相应责任。</w:t>
      </w:r>
    </w:p>
    <w:p w14:paraId="3EABE058">
      <w:pPr>
        <w:spacing w:line="360" w:lineRule="auto"/>
        <w:ind w:firstLine="3150" w:firstLineChars="1500"/>
        <w:rPr>
          <w:bCs/>
          <w:szCs w:val="21"/>
        </w:rPr>
      </w:pPr>
    </w:p>
    <w:p w14:paraId="62CA66B2">
      <w:pPr>
        <w:spacing w:line="360" w:lineRule="auto"/>
        <w:ind w:firstLine="3150" w:firstLineChars="1500"/>
        <w:rPr>
          <w:bCs/>
          <w:szCs w:val="21"/>
        </w:rPr>
      </w:pPr>
      <w:r>
        <w:rPr>
          <w:rFonts w:hint="eastAsia"/>
          <w:bCs/>
          <w:szCs w:val="21"/>
        </w:rPr>
        <w:t xml:space="preserve">企业名称（电子签章）： </w:t>
      </w:r>
    </w:p>
    <w:p w14:paraId="09D2B134">
      <w:pPr>
        <w:spacing w:line="360" w:lineRule="auto"/>
        <w:ind w:firstLine="3150" w:firstLineChars="1500"/>
        <w:rPr>
          <w:bCs/>
          <w:szCs w:val="21"/>
        </w:rPr>
      </w:pPr>
      <w:r>
        <w:rPr>
          <w:rFonts w:hint="eastAsia"/>
          <w:szCs w:val="21"/>
        </w:rPr>
        <w:t>法定代表人或者委托代理人（签字或者电子签名）：</w:t>
      </w:r>
      <w:r>
        <w:rPr>
          <w:bCs/>
          <w:szCs w:val="21"/>
        </w:rPr>
        <w:t xml:space="preserve"> </w:t>
      </w:r>
    </w:p>
    <w:p w14:paraId="72E4D900">
      <w:pPr>
        <w:spacing w:line="360" w:lineRule="auto"/>
        <w:ind w:firstLine="3150" w:firstLineChars="1500"/>
        <w:rPr>
          <w:bCs/>
          <w:szCs w:val="21"/>
        </w:rPr>
      </w:pPr>
      <w:r>
        <w:rPr>
          <w:rFonts w:hint="eastAsia"/>
          <w:bCs/>
          <w:szCs w:val="21"/>
        </w:rPr>
        <w:t>日期：</w:t>
      </w:r>
    </w:p>
    <w:p w14:paraId="5065CF48">
      <w:pPr>
        <w:spacing w:line="360" w:lineRule="auto"/>
        <w:jc w:val="left"/>
        <w:rPr>
          <w:bCs/>
          <w:szCs w:val="21"/>
        </w:rPr>
      </w:pPr>
      <w:r>
        <w:rPr>
          <w:rFonts w:hint="eastAsia"/>
          <w:bCs/>
          <w:szCs w:val="21"/>
        </w:rPr>
        <w:t>注：</w:t>
      </w:r>
    </w:p>
    <w:p w14:paraId="6CCDE7C7">
      <w:pPr>
        <w:spacing w:line="360" w:lineRule="auto"/>
        <w:jc w:val="left"/>
        <w:rPr>
          <w:bCs/>
          <w:szCs w:val="21"/>
        </w:rPr>
      </w:pPr>
      <w:r>
        <w:rPr>
          <w:rFonts w:hint="eastAsia"/>
          <w:bCs/>
          <w:szCs w:val="21"/>
        </w:rPr>
        <w:t>（1）标的名称按照第二章采购需求一览表中的名称填写，</w:t>
      </w:r>
      <w:r>
        <w:rPr>
          <w:szCs w:val="21"/>
        </w:rPr>
        <w:t>所属行业标明“/”的</w:t>
      </w:r>
      <w:r>
        <w:rPr>
          <w:rFonts w:hint="eastAsia"/>
          <w:bCs/>
          <w:szCs w:val="21"/>
        </w:rPr>
        <w:t>，无需在上表填写。</w:t>
      </w:r>
    </w:p>
    <w:p w14:paraId="3241A957">
      <w:pPr>
        <w:spacing w:line="360" w:lineRule="auto"/>
        <w:jc w:val="left"/>
        <w:rPr>
          <w:bCs/>
          <w:szCs w:val="21"/>
        </w:rPr>
      </w:pPr>
      <w:r>
        <w:rPr>
          <w:rFonts w:hint="eastAsia"/>
          <w:bCs/>
          <w:szCs w:val="21"/>
        </w:rPr>
        <w:t>（</w:t>
      </w:r>
      <w:r>
        <w:rPr>
          <w:bCs/>
          <w:szCs w:val="21"/>
        </w:rPr>
        <w:t>2</w:t>
      </w:r>
      <w:r>
        <w:rPr>
          <w:rFonts w:hint="eastAsia"/>
          <w:bCs/>
          <w:szCs w:val="21"/>
        </w:rPr>
        <w:t>）如供应商为联合体或分包的，声明函中“项目名称”应填写联合体中小微企业承担的具体内容或者小微企业具体分包内容。</w:t>
      </w:r>
    </w:p>
    <w:p w14:paraId="1C0A45C0">
      <w:pPr>
        <w:spacing w:line="360" w:lineRule="auto"/>
        <w:jc w:val="left"/>
        <w:rPr>
          <w:bCs/>
          <w:szCs w:val="21"/>
        </w:rPr>
      </w:pPr>
      <w:r>
        <w:rPr>
          <w:rFonts w:hint="eastAsia"/>
          <w:bCs/>
          <w:szCs w:val="21"/>
        </w:rPr>
        <w:t>（</w:t>
      </w:r>
      <w:r>
        <w:rPr>
          <w:bCs/>
          <w:szCs w:val="21"/>
        </w:rPr>
        <w:t>3</w:t>
      </w:r>
      <w:r>
        <w:rPr>
          <w:rFonts w:hint="eastAsia"/>
          <w:bCs/>
          <w:szCs w:val="21"/>
        </w:rPr>
        <w:t>）从业人员、营业收入、资产总额填报上一年度数据，无上一年度数据的新成立企业参照国务院批准的中小企业划分标准，根据企业自身情况如实判断。</w:t>
      </w:r>
    </w:p>
    <w:p w14:paraId="512293BE">
      <w:pPr>
        <w:spacing w:line="360" w:lineRule="auto"/>
        <w:jc w:val="left"/>
        <w:rPr>
          <w:bCs/>
          <w:szCs w:val="21"/>
        </w:rPr>
      </w:pPr>
      <w:r>
        <w:rPr>
          <w:rFonts w:hint="eastAsia"/>
          <w:bCs/>
          <w:szCs w:val="21"/>
        </w:rPr>
        <w:t>（</w:t>
      </w:r>
      <w:r>
        <w:rPr>
          <w:bCs/>
          <w:szCs w:val="21"/>
        </w:rPr>
        <w:t>4</w:t>
      </w:r>
      <w:r>
        <w:rPr>
          <w:rFonts w:hint="eastAsia"/>
          <w:bCs/>
          <w:szCs w:val="21"/>
        </w:rPr>
        <w:t>）根据工业和信息化部对“从业人员”定义的答复，《民法典》、《公司法》等法律规定，分公司不具有法人资格，其民事责任由总公司承担。企业划型时，应将分公司的从业人员、营业收入、资产总额等指标数据纳入合并计算。</w:t>
      </w:r>
    </w:p>
    <w:p w14:paraId="368AB452">
      <w:pPr>
        <w:spacing w:line="360" w:lineRule="auto"/>
        <w:jc w:val="left"/>
        <w:rPr>
          <w:bCs/>
          <w:szCs w:val="21"/>
        </w:rPr>
      </w:pPr>
      <w:r>
        <w:rPr>
          <w:rFonts w:hint="eastAsia"/>
          <w:bCs/>
          <w:szCs w:val="21"/>
        </w:rPr>
        <w:t>（5）根据国家统计局《劳动工资统计报表制度》，从业人员数是指本单位工作，并取得工资或其他形式劳动报酬的人员数，是在岗职工、劳务派遣人员及其他从业人员之和。</w:t>
      </w:r>
    </w:p>
    <w:p w14:paraId="02346E88">
      <w:pPr>
        <w:spacing w:line="360" w:lineRule="auto"/>
        <w:jc w:val="left"/>
        <w:rPr>
          <w:bCs/>
          <w:szCs w:val="21"/>
        </w:rPr>
      </w:pPr>
      <w:r>
        <w:rPr>
          <w:rFonts w:hint="eastAsia"/>
          <w:bCs/>
          <w:szCs w:val="21"/>
        </w:rPr>
        <w:t>（</w:t>
      </w:r>
      <w:r>
        <w:rPr>
          <w:bCs/>
          <w:szCs w:val="21"/>
        </w:rPr>
        <w:t>6</w:t>
      </w:r>
      <w:r>
        <w:rPr>
          <w:rFonts w:hint="eastAsia"/>
          <w:bCs/>
          <w:szCs w:val="21"/>
        </w:rPr>
        <w:t>）本声明函由供应商填写，供应商应按中小企业划分标准《关于印发中小企业划型标准规定的通知》（工信部联企业〔2011〕300号</w:t>
      </w:r>
      <w:r>
        <w:rPr>
          <w:rFonts w:hint="eastAsia"/>
          <w:szCs w:val="21"/>
        </w:rPr>
        <w:t>以及《金融业企业划型标准规定》（银发〔2015〕309号）</w:t>
      </w:r>
      <w:r>
        <w:rPr>
          <w:rFonts w:hint="eastAsia"/>
          <w:bCs/>
          <w:szCs w:val="21"/>
        </w:rPr>
        <w:t>）判断是否为中小企业。</w:t>
      </w:r>
    </w:p>
    <w:p w14:paraId="3081087C">
      <w:pPr>
        <w:spacing w:line="360" w:lineRule="auto"/>
        <w:jc w:val="left"/>
        <w:rPr>
          <w:bCs/>
          <w:szCs w:val="21"/>
        </w:rPr>
      </w:pPr>
      <w:r>
        <w:rPr>
          <w:rFonts w:hint="eastAsia"/>
          <w:bCs/>
          <w:szCs w:val="21"/>
        </w:rPr>
        <w:t>（</w:t>
      </w:r>
      <w:r>
        <w:rPr>
          <w:bCs/>
          <w:szCs w:val="21"/>
        </w:rPr>
        <w:t>7</w:t>
      </w:r>
      <w:r>
        <w:rPr>
          <w:rFonts w:hint="eastAsia"/>
          <w:bCs/>
          <w:szCs w:val="21"/>
        </w:rPr>
        <w:t>）供应商对《中小企业声明函》的真实性负责，如有虚假则需承担不利后果。依法享受中小企业优惠政策的，采购人或采购代理机构在公告成交结果时，同时公告其《中小企业声明函》，接受社会监督。</w:t>
      </w:r>
    </w:p>
    <w:p w14:paraId="612F55EA">
      <w:pPr>
        <w:spacing w:line="360" w:lineRule="auto"/>
        <w:jc w:val="left"/>
        <w:rPr>
          <w:bCs/>
          <w:szCs w:val="21"/>
        </w:rPr>
      </w:pPr>
      <w:r>
        <w:rPr>
          <w:rFonts w:hint="eastAsia"/>
          <w:bCs/>
          <w:szCs w:val="21"/>
        </w:rPr>
        <w:t>（</w:t>
      </w:r>
      <w:r>
        <w:rPr>
          <w:bCs/>
          <w:szCs w:val="21"/>
        </w:rPr>
        <w:t>8</w:t>
      </w:r>
      <w:r>
        <w:rPr>
          <w:rFonts w:hint="eastAsia"/>
          <w:bCs/>
          <w:szCs w:val="21"/>
        </w:rPr>
        <w:t>）上述企业属于大企业的分支机构或控股股东为大企业或与大企业的负责人为同一人的，不得享受价格扣除优惠政策。接受分包的小微企业与分包企业之间存在直接控股、管理关系的，不得享受价格扣除优惠政策。</w:t>
      </w:r>
    </w:p>
    <w:p w14:paraId="6FFFCCD1">
      <w:pPr>
        <w:snapToGrid w:val="0"/>
        <w:spacing w:before="50" w:after="120" w:afterLines="50"/>
        <w:jc w:val="left"/>
        <w:rPr>
          <w:szCs w:val="21"/>
        </w:rPr>
      </w:pPr>
    </w:p>
    <w:p w14:paraId="436173D3">
      <w:pPr>
        <w:snapToGrid w:val="0"/>
        <w:spacing w:before="50" w:after="120" w:afterLines="50"/>
        <w:jc w:val="left"/>
        <w:rPr>
          <w:szCs w:val="21"/>
        </w:rPr>
      </w:pPr>
      <w:r>
        <w:rPr>
          <w:rFonts w:hint="eastAsia"/>
          <w:szCs w:val="21"/>
        </w:rPr>
        <w:t>8</w:t>
      </w:r>
      <w:r>
        <w:rPr>
          <w:szCs w:val="21"/>
        </w:rPr>
        <w:t>.2监狱企业须提供最新一期《XX省监狱企业产品目录》或其他监狱企业证明材料。（非监狱企业无需提供）</w:t>
      </w:r>
    </w:p>
    <w:p w14:paraId="0CA52FE9">
      <w:pPr>
        <w:snapToGrid w:val="0"/>
        <w:spacing w:before="50" w:after="120" w:afterLines="50"/>
        <w:jc w:val="left"/>
        <w:rPr>
          <w:szCs w:val="21"/>
        </w:rPr>
      </w:pPr>
    </w:p>
    <w:p w14:paraId="382BB159">
      <w:pPr>
        <w:widowControl/>
        <w:jc w:val="left"/>
        <w:rPr>
          <w:szCs w:val="21"/>
        </w:rPr>
      </w:pPr>
      <w:r>
        <w:rPr>
          <w:rFonts w:hint="eastAsia"/>
          <w:szCs w:val="21"/>
        </w:rPr>
        <w:t>8</w:t>
      </w:r>
      <w:r>
        <w:rPr>
          <w:szCs w:val="21"/>
        </w:rPr>
        <w:t>.3</w:t>
      </w:r>
      <w:r>
        <w:t>残疾人福利性单位须提供《残疾人福利性单位声明函》，格式如下。</w:t>
      </w:r>
      <w:r>
        <w:rPr>
          <w:szCs w:val="21"/>
        </w:rPr>
        <w:t>（非残疾人福利性单位无需提供）</w:t>
      </w:r>
    </w:p>
    <w:p w14:paraId="7F3F638B">
      <w:pPr>
        <w:spacing w:line="360" w:lineRule="auto"/>
        <w:jc w:val="center"/>
        <w:rPr>
          <w:b/>
          <w:szCs w:val="21"/>
        </w:rPr>
      </w:pPr>
    </w:p>
    <w:p w14:paraId="3DDABEE3">
      <w:pPr>
        <w:spacing w:line="360" w:lineRule="auto"/>
        <w:jc w:val="center"/>
        <w:rPr>
          <w:b/>
          <w:szCs w:val="21"/>
        </w:rPr>
      </w:pPr>
      <w:r>
        <w:rPr>
          <w:b/>
          <w:szCs w:val="21"/>
        </w:rPr>
        <w:t>残疾人福利性单位声明函</w:t>
      </w:r>
    </w:p>
    <w:p w14:paraId="0BD9D9D1">
      <w:pPr>
        <w:spacing w:line="360" w:lineRule="auto"/>
        <w:ind w:firstLine="420"/>
        <w:jc w:val="left"/>
        <w:rPr>
          <w:szCs w:val="21"/>
        </w:rPr>
      </w:pPr>
      <w:r>
        <w:rPr>
          <w:szCs w:val="21"/>
        </w:rPr>
        <w:t>本单位郑重声明，根据《财政部 民政部 中国残疾人联合会关于促进残疾人就业政府采购政策的通知》（财库〔2017〕141号）的规定，本单位为符合条件的残疾人福利性单位，且本单位参加</w:t>
      </w:r>
      <w:r>
        <w:rPr>
          <w:szCs w:val="21"/>
          <w:u w:val="single"/>
        </w:rPr>
        <w:t xml:space="preserve">        </w:t>
      </w:r>
      <w:r>
        <w:rPr>
          <w:szCs w:val="21"/>
        </w:rPr>
        <w:t>单位的</w:t>
      </w:r>
      <w:r>
        <w:rPr>
          <w:szCs w:val="21"/>
          <w:u w:val="single"/>
        </w:rPr>
        <w:t xml:space="preserve">           </w:t>
      </w:r>
      <w:r>
        <w:rPr>
          <w:szCs w:val="21"/>
        </w:rPr>
        <w:t>项目采购活动提供本单位制造的货物（由本单位承担工程/提供服务），或者提供其他残疾人福利性单位制造的货物（不包括使用非残疾人福利性单位注册商标的货物）。</w:t>
      </w:r>
    </w:p>
    <w:p w14:paraId="3F85E81D">
      <w:pPr>
        <w:spacing w:line="360" w:lineRule="auto"/>
        <w:ind w:firstLine="420"/>
        <w:rPr>
          <w:szCs w:val="21"/>
        </w:rPr>
      </w:pPr>
      <w:r>
        <w:rPr>
          <w:szCs w:val="21"/>
        </w:rPr>
        <w:t>本单位对上述声明的真实性负责。如有虚假，将依法承担相应责任。</w:t>
      </w:r>
    </w:p>
    <w:p w14:paraId="0F267B6D">
      <w:pPr>
        <w:spacing w:line="360" w:lineRule="auto"/>
        <w:ind w:firstLine="420"/>
        <w:jc w:val="right"/>
        <w:rPr>
          <w:spacing w:val="6"/>
          <w:szCs w:val="21"/>
        </w:rPr>
      </w:pPr>
      <w:r>
        <w:rPr>
          <w:spacing w:val="6"/>
          <w:sz w:val="30"/>
          <w:szCs w:val="30"/>
        </w:rPr>
        <w:t xml:space="preserve"> </w:t>
      </w:r>
      <w:r>
        <w:rPr>
          <w:spacing w:val="6"/>
          <w:szCs w:val="21"/>
        </w:rPr>
        <w:t xml:space="preserve"> </w:t>
      </w:r>
      <w:r>
        <w:rPr>
          <w:rFonts w:hint="eastAsia"/>
          <w:spacing w:val="6"/>
          <w:szCs w:val="21"/>
        </w:rPr>
        <w:t xml:space="preserve">                                            </w:t>
      </w:r>
      <w:r>
        <w:rPr>
          <w:spacing w:val="6"/>
          <w:szCs w:val="21"/>
        </w:rPr>
        <w:t>单位名称</w:t>
      </w:r>
      <w:r>
        <w:rPr>
          <w:rFonts w:hint="eastAsia"/>
          <w:szCs w:val="21"/>
        </w:rPr>
        <w:t>(电子签章</w:t>
      </w:r>
      <w:r>
        <w:rPr>
          <w:szCs w:val="21"/>
        </w:rPr>
        <w:t>)</w:t>
      </w:r>
      <w:r>
        <w:rPr>
          <w:spacing w:val="6"/>
          <w:szCs w:val="21"/>
        </w:rPr>
        <w:t>：</w:t>
      </w:r>
    </w:p>
    <w:p w14:paraId="5259C4BC">
      <w:pPr>
        <w:spacing w:line="360" w:lineRule="auto"/>
        <w:ind w:firstLine="420"/>
        <w:jc w:val="right"/>
        <w:rPr>
          <w:spacing w:val="6"/>
          <w:szCs w:val="21"/>
        </w:rPr>
      </w:pPr>
      <w:r>
        <w:rPr>
          <w:rFonts w:hint="eastAsia"/>
          <w:szCs w:val="21"/>
        </w:rPr>
        <w:t>法定代表人或者委托代理人（签字或者电子签名）：</w:t>
      </w:r>
      <w:r>
        <w:rPr>
          <w:spacing w:val="6"/>
          <w:szCs w:val="21"/>
        </w:rPr>
        <w:t xml:space="preserve">          </w:t>
      </w:r>
    </w:p>
    <w:p w14:paraId="58DD4CB8">
      <w:pPr>
        <w:spacing w:line="360" w:lineRule="auto"/>
        <w:ind w:firstLine="420"/>
        <w:jc w:val="right"/>
        <w:rPr>
          <w:spacing w:val="6"/>
          <w:szCs w:val="21"/>
        </w:rPr>
      </w:pPr>
      <w:r>
        <w:rPr>
          <w:spacing w:val="6"/>
          <w:szCs w:val="21"/>
        </w:rPr>
        <w:t xml:space="preserve"> </w:t>
      </w:r>
      <w:r>
        <w:rPr>
          <w:rFonts w:hint="eastAsia"/>
          <w:spacing w:val="6"/>
          <w:szCs w:val="21"/>
        </w:rPr>
        <w:t xml:space="preserve">                                                      </w:t>
      </w:r>
      <w:r>
        <w:rPr>
          <w:spacing w:val="6"/>
          <w:szCs w:val="21"/>
        </w:rPr>
        <w:t>日  期：</w:t>
      </w:r>
    </w:p>
    <w:p w14:paraId="3CD50250">
      <w:pPr>
        <w:spacing w:line="360" w:lineRule="auto"/>
        <w:rPr>
          <w:szCs w:val="21"/>
        </w:rPr>
      </w:pPr>
    </w:p>
    <w:p w14:paraId="52C69E3D">
      <w:pPr>
        <w:widowControl/>
        <w:jc w:val="left"/>
        <w:rPr>
          <w:szCs w:val="21"/>
        </w:rPr>
      </w:pPr>
      <w:r>
        <w:rPr>
          <w:szCs w:val="21"/>
        </w:rPr>
        <w:br w:type="page"/>
      </w:r>
      <w:r>
        <w:rPr>
          <w:rFonts w:hint="eastAsia"/>
          <w:szCs w:val="21"/>
        </w:rPr>
        <w:t>8</w:t>
      </w:r>
      <w:r>
        <w:rPr>
          <w:szCs w:val="21"/>
        </w:rPr>
        <w:t>.4</w:t>
      </w:r>
      <w:r>
        <w:rPr>
          <w:rFonts w:hint="eastAsia"/>
          <w:szCs w:val="21"/>
        </w:rPr>
        <w:t>供应商如选择以合同分包形式参与投标，按以下格式提供分包意向协议书。</w:t>
      </w:r>
      <w:r>
        <w:rPr>
          <w:rFonts w:hint="eastAsia"/>
          <w:kern w:val="0"/>
          <w:szCs w:val="21"/>
        </w:rPr>
        <w:t>【备注：允许分包时增加】</w:t>
      </w:r>
      <w:r>
        <w:rPr>
          <w:szCs w:val="21"/>
        </w:rPr>
        <w:t xml:space="preserve"> </w:t>
      </w:r>
    </w:p>
    <w:p w14:paraId="28B16892">
      <w:pPr>
        <w:widowControl/>
        <w:jc w:val="left"/>
        <w:rPr>
          <w:szCs w:val="21"/>
        </w:rPr>
      </w:pPr>
    </w:p>
    <w:p w14:paraId="39057DC9">
      <w:pPr>
        <w:pStyle w:val="7"/>
        <w:overflowPunct w:val="0"/>
        <w:ind w:firstLine="0"/>
        <w:jc w:val="center"/>
        <w:rPr>
          <w:rFonts w:ascii="宋体" w:hAnsi="宋体"/>
          <w:b/>
          <w:bCs/>
          <w:sz w:val="32"/>
          <w:szCs w:val="32"/>
        </w:rPr>
      </w:pPr>
      <w:r>
        <w:rPr>
          <w:rFonts w:hint="eastAsia" w:ascii="宋体" w:hAnsi="宋体"/>
          <w:b/>
          <w:bCs/>
          <w:sz w:val="32"/>
          <w:szCs w:val="32"/>
        </w:rPr>
        <w:t>分包意向协议书</w:t>
      </w:r>
    </w:p>
    <w:p w14:paraId="22B74C35">
      <w:pPr>
        <w:pStyle w:val="7"/>
        <w:overflowPunct w:val="0"/>
        <w:ind w:firstLine="0"/>
        <w:jc w:val="center"/>
        <w:rPr>
          <w:szCs w:val="21"/>
        </w:rPr>
      </w:pPr>
    </w:p>
    <w:p w14:paraId="6CF34BF7">
      <w:pPr>
        <w:pStyle w:val="7"/>
        <w:overflowPunct w:val="0"/>
        <w:ind w:firstLine="0"/>
        <w:jc w:val="center"/>
        <w:rPr>
          <w:rFonts w:ascii="宋体" w:hAnsi="宋体"/>
          <w:b/>
          <w:bCs/>
          <w:sz w:val="32"/>
          <w:szCs w:val="32"/>
        </w:rPr>
      </w:pPr>
    </w:p>
    <w:p w14:paraId="4CB64435">
      <w:pPr>
        <w:pStyle w:val="7"/>
        <w:overflowPunct w:val="0"/>
        <w:jc w:val="left"/>
        <w:rPr>
          <w:b/>
          <w:bCs/>
          <w:szCs w:val="21"/>
        </w:rPr>
      </w:pPr>
    </w:p>
    <w:p w14:paraId="07637A4D">
      <w:pPr>
        <w:pStyle w:val="7"/>
        <w:overflowPunct w:val="0"/>
        <w:jc w:val="left"/>
        <w:rPr>
          <w:b/>
          <w:bCs/>
          <w:szCs w:val="21"/>
        </w:rPr>
      </w:pPr>
    </w:p>
    <w:p w14:paraId="0E5795AC">
      <w:pPr>
        <w:pStyle w:val="7"/>
        <w:overflowPunct w:val="0"/>
        <w:spacing w:line="276" w:lineRule="auto"/>
        <w:ind w:firstLine="367" w:firstLineChars="175"/>
        <w:rPr>
          <w:szCs w:val="21"/>
        </w:rPr>
      </w:pPr>
      <w:r>
        <w:rPr>
          <w:rFonts w:hint="eastAsia"/>
          <w:szCs w:val="21"/>
          <w:u w:val="single"/>
        </w:rPr>
        <w:t>（甲公司全称）、（乙公司全称）、（……公司全称）</w:t>
      </w:r>
      <w:r>
        <w:rPr>
          <w:rFonts w:hint="eastAsia"/>
          <w:szCs w:val="21"/>
        </w:rPr>
        <w:t>自愿达成分包意向，参加</w:t>
      </w:r>
      <w:r>
        <w:rPr>
          <w:rFonts w:hint="eastAsia"/>
          <w:szCs w:val="21"/>
          <w:u w:val="single"/>
        </w:rPr>
        <w:t>（项目名称）</w:t>
      </w:r>
      <w:r>
        <w:rPr>
          <w:rFonts w:hint="eastAsia"/>
          <w:szCs w:val="21"/>
        </w:rPr>
        <w:t>的采购项目投标活动。经各方充分协商一致，就项目的响应和合同实施阶段的有关事务协商一致订立意向如下：</w:t>
      </w:r>
    </w:p>
    <w:p w14:paraId="511595B7">
      <w:pPr>
        <w:pStyle w:val="7"/>
        <w:overflowPunct w:val="0"/>
        <w:spacing w:line="276" w:lineRule="auto"/>
        <w:ind w:firstLine="367" w:firstLineChars="175"/>
        <w:rPr>
          <w:szCs w:val="21"/>
        </w:rPr>
      </w:pPr>
      <w:r>
        <w:rPr>
          <w:szCs w:val="21"/>
        </w:rPr>
        <w:t>一、分包意向各方关系</w:t>
      </w:r>
    </w:p>
    <w:p w14:paraId="441D6A18">
      <w:pPr>
        <w:pStyle w:val="7"/>
        <w:overflowPunct w:val="0"/>
        <w:spacing w:line="276" w:lineRule="auto"/>
        <w:ind w:firstLine="367" w:firstLineChars="175"/>
        <w:rPr>
          <w:szCs w:val="21"/>
        </w:rPr>
      </w:pPr>
      <w:r>
        <w:rPr>
          <w:szCs w:val="21"/>
          <w:u w:val="single"/>
        </w:rPr>
        <w:t>（甲公司全称）</w:t>
      </w:r>
      <w:r>
        <w:rPr>
          <w:szCs w:val="21"/>
        </w:rPr>
        <w:t>为投标方、</w:t>
      </w:r>
      <w:r>
        <w:rPr>
          <w:szCs w:val="21"/>
          <w:u w:val="single"/>
        </w:rPr>
        <w:t>（乙公司全称）、（……公司全称）</w:t>
      </w:r>
      <w:r>
        <w:rPr>
          <w:szCs w:val="21"/>
        </w:rPr>
        <w:t>为分包意向供应商，</w:t>
      </w:r>
      <w:r>
        <w:rPr>
          <w:szCs w:val="21"/>
          <w:u w:val="single"/>
        </w:rPr>
        <w:t>（甲公司全称）</w:t>
      </w:r>
      <w:r>
        <w:rPr>
          <w:szCs w:val="21"/>
        </w:rPr>
        <w:t>以投标供应商的身份参加本项目的响应。若中标，</w:t>
      </w:r>
      <w:r>
        <w:rPr>
          <w:szCs w:val="21"/>
          <w:u w:val="single"/>
        </w:rPr>
        <w:t>（甲公司全称）</w:t>
      </w:r>
      <w:r>
        <w:rPr>
          <w:szCs w:val="21"/>
        </w:rPr>
        <w:t>与采购人签订政府采购合同。承接分包意向的各供应商与</w:t>
      </w:r>
      <w:r>
        <w:rPr>
          <w:szCs w:val="21"/>
          <w:u w:val="single"/>
        </w:rPr>
        <w:t>（甲公司全称）</w:t>
      </w:r>
      <w:r>
        <w:rPr>
          <w:szCs w:val="21"/>
        </w:rPr>
        <w:t>签订分包合同。</w:t>
      </w:r>
      <w:r>
        <w:rPr>
          <w:szCs w:val="21"/>
          <w:u w:val="single"/>
        </w:rPr>
        <w:t>（甲公司全称）</w:t>
      </w:r>
      <w:r>
        <w:rPr>
          <w:szCs w:val="21"/>
        </w:rPr>
        <w:t>就采购项目和分包项目向采购人负责，分包供应商就分包项目承担责任</w:t>
      </w:r>
      <w:r>
        <w:rPr>
          <w:rFonts w:hint="eastAsia"/>
          <w:szCs w:val="21"/>
        </w:rPr>
        <w:t>。</w:t>
      </w:r>
    </w:p>
    <w:p w14:paraId="377BE1AD">
      <w:pPr>
        <w:pStyle w:val="7"/>
        <w:overflowPunct w:val="0"/>
        <w:spacing w:line="276" w:lineRule="auto"/>
        <w:ind w:firstLine="367" w:firstLineChars="175"/>
        <w:rPr>
          <w:szCs w:val="21"/>
        </w:rPr>
      </w:pPr>
      <w:r>
        <w:rPr>
          <w:szCs w:val="21"/>
        </w:rPr>
        <w:t>二、有关事项约定如下：</w:t>
      </w:r>
    </w:p>
    <w:p w14:paraId="268D8437">
      <w:pPr>
        <w:pStyle w:val="7"/>
        <w:overflowPunct w:val="0"/>
        <w:spacing w:line="276" w:lineRule="auto"/>
        <w:ind w:firstLine="367" w:firstLineChars="175"/>
        <w:rPr>
          <w:szCs w:val="21"/>
        </w:rPr>
      </w:pPr>
      <w:r>
        <w:rPr>
          <w:szCs w:val="21"/>
        </w:rPr>
        <w:t>1.如中标，分包</w:t>
      </w:r>
      <w:r>
        <w:rPr>
          <w:rFonts w:hint="eastAsia"/>
          <w:szCs w:val="21"/>
        </w:rPr>
        <w:t>意向</w:t>
      </w:r>
      <w:r>
        <w:rPr>
          <w:szCs w:val="21"/>
        </w:rPr>
        <w:t>供应商分别与</w:t>
      </w:r>
      <w:r>
        <w:rPr>
          <w:szCs w:val="21"/>
          <w:u w:val="single"/>
        </w:rPr>
        <w:t>（甲公司全称）</w:t>
      </w:r>
      <w:r>
        <w:rPr>
          <w:szCs w:val="21"/>
        </w:rPr>
        <w:t>签订合同，并就中标项目分包部分向采购人负责连带的和各自的法律责任；</w:t>
      </w:r>
    </w:p>
    <w:p w14:paraId="1E15E7B5">
      <w:pPr>
        <w:pStyle w:val="7"/>
        <w:overflowPunct w:val="0"/>
        <w:spacing w:line="276" w:lineRule="auto"/>
        <w:ind w:firstLine="367" w:firstLineChars="175"/>
        <w:rPr>
          <w:szCs w:val="21"/>
        </w:rPr>
      </w:pPr>
      <w:r>
        <w:rPr>
          <w:rFonts w:hint="eastAsia"/>
          <w:szCs w:val="21"/>
        </w:rPr>
        <w:t>2</w:t>
      </w:r>
      <w:r>
        <w:rPr>
          <w:szCs w:val="21"/>
        </w:rPr>
        <w:t>.</w:t>
      </w:r>
      <w:r>
        <w:rPr>
          <w:rFonts w:hint="eastAsia"/>
          <w:szCs w:val="21"/>
        </w:rPr>
        <w:t>如因违约过失责任而导致采购人经济损失或被索赔时，（甲公司全称）同意无条件优先清偿采购人的一切债务和经济赔偿。</w:t>
      </w:r>
    </w:p>
    <w:p w14:paraId="4966C74C">
      <w:pPr>
        <w:pStyle w:val="7"/>
        <w:overflowPunct w:val="0"/>
        <w:spacing w:line="276" w:lineRule="auto"/>
        <w:ind w:firstLine="367" w:firstLineChars="175"/>
        <w:rPr>
          <w:szCs w:val="21"/>
        </w:rPr>
      </w:pPr>
      <w:r>
        <w:rPr>
          <w:rFonts w:hint="eastAsia"/>
          <w:szCs w:val="21"/>
        </w:rPr>
        <w:t>3</w:t>
      </w:r>
      <w:r>
        <w:rPr>
          <w:szCs w:val="21"/>
        </w:rPr>
        <w:t>.</w:t>
      </w:r>
      <w:r>
        <w:rPr>
          <w:rFonts w:hint="eastAsia"/>
          <w:szCs w:val="21"/>
        </w:rPr>
        <w:t>如中标，分包意向供应商不得以任何理由提出终止本意向协议。</w:t>
      </w:r>
    </w:p>
    <w:p w14:paraId="06F87F76">
      <w:pPr>
        <w:pStyle w:val="7"/>
        <w:overflowPunct w:val="0"/>
        <w:spacing w:line="276" w:lineRule="auto"/>
        <w:ind w:firstLine="367" w:firstLineChars="175"/>
        <w:rPr>
          <w:szCs w:val="21"/>
        </w:rPr>
      </w:pPr>
      <w:r>
        <w:rPr>
          <w:rFonts w:hint="eastAsia"/>
          <w:szCs w:val="21"/>
        </w:rPr>
        <w:t>三</w:t>
      </w:r>
      <w:r>
        <w:rPr>
          <w:szCs w:val="21"/>
        </w:rPr>
        <w:t>、</w:t>
      </w:r>
      <w:r>
        <w:rPr>
          <w:rFonts w:hint="eastAsia"/>
          <w:szCs w:val="21"/>
        </w:rPr>
        <w:t>合同份额声明</w:t>
      </w:r>
      <w:r>
        <w:rPr>
          <w:szCs w:val="21"/>
        </w:rPr>
        <w:t>：</w:t>
      </w:r>
      <w:r>
        <w:rPr>
          <w:rFonts w:hint="eastAsia"/>
        </w:rPr>
        <w:t>【招标文件第二章采购需求一览表中</w:t>
      </w:r>
      <w:r>
        <w:rPr>
          <w:szCs w:val="21"/>
        </w:rPr>
        <w:t>所属行业标明“/”的</w:t>
      </w:r>
      <w:r>
        <w:rPr>
          <w:rFonts w:hint="eastAsia"/>
          <w:szCs w:val="21"/>
        </w:rPr>
        <w:t>采购</w:t>
      </w:r>
      <w:r>
        <w:rPr>
          <w:szCs w:val="21"/>
        </w:rPr>
        <w:t>标的</w:t>
      </w:r>
      <w:r>
        <w:rPr>
          <w:rFonts w:hint="eastAsia"/>
          <w:szCs w:val="21"/>
        </w:rPr>
        <w:t>合同金额及比例不参与计算</w:t>
      </w:r>
      <w:r>
        <w:rPr>
          <w:rFonts w:hint="eastAsia"/>
        </w:rPr>
        <w:t>】</w:t>
      </w:r>
    </w:p>
    <w:p w14:paraId="063E84F9">
      <w:pPr>
        <w:pStyle w:val="7"/>
        <w:overflowPunct w:val="0"/>
        <w:spacing w:line="276" w:lineRule="auto"/>
        <w:ind w:firstLine="367" w:firstLineChars="175"/>
        <w:rPr>
          <w:szCs w:val="21"/>
        </w:rPr>
      </w:pPr>
      <w:r>
        <w:rPr>
          <w:rFonts w:hint="eastAsia"/>
          <w:szCs w:val="21"/>
        </w:rPr>
        <w:t>1.中型或小型企业或微型企业承接的金额占合同总金额的</w:t>
      </w:r>
      <w:r>
        <w:rPr>
          <w:szCs w:val="21"/>
          <w:u w:val="single"/>
        </w:rPr>
        <w:t xml:space="preserve">              </w:t>
      </w:r>
      <w:r>
        <w:rPr>
          <w:szCs w:val="21"/>
        </w:rPr>
        <w:t xml:space="preserve"> %</w:t>
      </w:r>
      <w:r>
        <w:rPr>
          <w:rFonts w:hint="eastAsia"/>
          <w:szCs w:val="21"/>
        </w:rPr>
        <w:t>；</w:t>
      </w:r>
      <w:r>
        <w:rPr>
          <w:szCs w:val="21"/>
        </w:rPr>
        <w:t xml:space="preserve"> </w:t>
      </w:r>
    </w:p>
    <w:p w14:paraId="277FF34A">
      <w:pPr>
        <w:pStyle w:val="7"/>
        <w:overflowPunct w:val="0"/>
        <w:spacing w:line="276" w:lineRule="auto"/>
        <w:ind w:firstLine="472" w:firstLineChars="225"/>
        <w:rPr>
          <w:szCs w:val="21"/>
        </w:rPr>
      </w:pPr>
      <w:r>
        <w:rPr>
          <w:rFonts w:hint="eastAsia"/>
          <w:szCs w:val="21"/>
        </w:rPr>
        <w:t>小型企业或微型企业承接的金额占合同总金额的</w:t>
      </w:r>
      <w:r>
        <w:rPr>
          <w:szCs w:val="21"/>
          <w:u w:val="single"/>
        </w:rPr>
        <w:t xml:space="preserve">              </w:t>
      </w:r>
      <w:r>
        <w:rPr>
          <w:szCs w:val="21"/>
        </w:rPr>
        <w:t xml:space="preserve"> %</w:t>
      </w:r>
      <w:r>
        <w:rPr>
          <w:rFonts w:hint="eastAsia"/>
          <w:szCs w:val="21"/>
        </w:rPr>
        <w:t>。</w:t>
      </w:r>
    </w:p>
    <w:p w14:paraId="72A52583">
      <w:pPr>
        <w:pStyle w:val="7"/>
        <w:overflowPunct w:val="0"/>
        <w:spacing w:line="276" w:lineRule="auto"/>
        <w:ind w:firstLine="367" w:firstLineChars="175"/>
        <w:rPr>
          <w:szCs w:val="21"/>
          <w:u w:val="single"/>
        </w:rPr>
      </w:pPr>
      <w:r>
        <w:rPr>
          <w:rFonts w:hint="eastAsia"/>
          <w:szCs w:val="21"/>
        </w:rPr>
        <w:t>2</w:t>
      </w:r>
      <w:r>
        <w:rPr>
          <w:szCs w:val="21"/>
        </w:rPr>
        <w:t>.</w:t>
      </w:r>
      <w:r>
        <w:rPr>
          <w:rFonts w:hint="eastAsia"/>
          <w:szCs w:val="21"/>
        </w:rPr>
        <w:t xml:space="preserve"> 若我方在本采购活动中已享受扶持中小企业发展的政策，我方承诺在合同履行阶段不改变小型企业和微型企业承担本合同的金额及比例。合同履行阶段的分包商与《中小企业声明函》中列明的分包商一致。</w:t>
      </w:r>
    </w:p>
    <w:p w14:paraId="449D054E">
      <w:pPr>
        <w:pStyle w:val="7"/>
        <w:overflowPunct w:val="0"/>
        <w:spacing w:line="276" w:lineRule="auto"/>
        <w:ind w:firstLine="367" w:firstLineChars="175"/>
        <w:rPr>
          <w:szCs w:val="21"/>
        </w:rPr>
      </w:pPr>
      <w:r>
        <w:rPr>
          <w:rFonts w:hint="eastAsia"/>
          <w:szCs w:val="21"/>
        </w:rPr>
        <w:t>四、本意向协议自签署之日起生效。</w:t>
      </w:r>
    </w:p>
    <w:p w14:paraId="56E15EC5">
      <w:pPr>
        <w:pStyle w:val="7"/>
        <w:overflowPunct w:val="0"/>
        <w:spacing w:line="276" w:lineRule="auto"/>
        <w:ind w:firstLine="367" w:firstLineChars="175"/>
        <w:rPr>
          <w:szCs w:val="21"/>
        </w:rPr>
      </w:pPr>
    </w:p>
    <w:p w14:paraId="1EFD98D0">
      <w:pPr>
        <w:widowControl/>
        <w:jc w:val="left"/>
        <w:rPr>
          <w:szCs w:val="21"/>
        </w:rPr>
      </w:pPr>
      <w:r>
        <w:rPr>
          <w:szCs w:val="21"/>
        </w:rPr>
        <w:br w:type="page"/>
      </w:r>
      <w:r>
        <w:rPr>
          <w:rFonts w:hint="eastAsia"/>
          <w:szCs w:val="21"/>
        </w:rPr>
        <w:t>8</w:t>
      </w:r>
      <w:r>
        <w:rPr>
          <w:szCs w:val="21"/>
        </w:rPr>
        <w:t>.5</w:t>
      </w:r>
      <w:r>
        <w:rPr>
          <w:rFonts w:hint="eastAsia"/>
          <w:szCs w:val="21"/>
        </w:rPr>
        <w:t>供应商如选择以联合体形式参与投标，按以下格式提供联合体协议书。</w:t>
      </w:r>
      <w:r>
        <w:rPr>
          <w:rFonts w:hint="eastAsia"/>
          <w:kern w:val="0"/>
          <w:szCs w:val="21"/>
        </w:rPr>
        <w:t>【备注：允许联合体时增加】</w:t>
      </w:r>
      <w:r>
        <w:rPr>
          <w:szCs w:val="21"/>
        </w:rPr>
        <w:t xml:space="preserve"> </w:t>
      </w:r>
    </w:p>
    <w:p w14:paraId="01DC36F6">
      <w:pPr>
        <w:pStyle w:val="7"/>
        <w:overflowPunct w:val="0"/>
        <w:ind w:firstLine="0"/>
        <w:jc w:val="center"/>
        <w:rPr>
          <w:rFonts w:ascii="宋体" w:hAnsi="宋体"/>
          <w:b/>
          <w:bCs/>
          <w:sz w:val="32"/>
          <w:szCs w:val="32"/>
        </w:rPr>
      </w:pPr>
    </w:p>
    <w:p w14:paraId="78353535">
      <w:pPr>
        <w:pStyle w:val="7"/>
        <w:overflowPunct w:val="0"/>
        <w:ind w:firstLine="0"/>
        <w:jc w:val="center"/>
        <w:rPr>
          <w:rFonts w:ascii="宋体" w:hAnsi="宋体"/>
          <w:b/>
          <w:bCs/>
          <w:sz w:val="32"/>
          <w:szCs w:val="32"/>
        </w:rPr>
      </w:pPr>
      <w:r>
        <w:rPr>
          <w:rFonts w:hint="eastAsia" w:ascii="宋体" w:hAnsi="宋体"/>
          <w:b/>
          <w:bCs/>
          <w:sz w:val="32"/>
          <w:szCs w:val="32"/>
        </w:rPr>
        <w:t>联合体协议书</w:t>
      </w:r>
    </w:p>
    <w:p w14:paraId="2C473B27">
      <w:pPr>
        <w:pStyle w:val="7"/>
        <w:overflowPunct w:val="0"/>
        <w:ind w:firstLine="0"/>
        <w:jc w:val="center"/>
        <w:rPr>
          <w:szCs w:val="21"/>
        </w:rPr>
      </w:pPr>
    </w:p>
    <w:p w14:paraId="43B50C2D">
      <w:pPr>
        <w:pStyle w:val="7"/>
        <w:overflowPunct w:val="0"/>
        <w:ind w:firstLine="0"/>
        <w:rPr>
          <w:rFonts w:ascii="宋体" w:hAnsi="宋体"/>
          <w:sz w:val="24"/>
        </w:rPr>
      </w:pPr>
    </w:p>
    <w:p w14:paraId="13A0FF5B">
      <w:pPr>
        <w:pStyle w:val="7"/>
        <w:overflowPunct w:val="0"/>
        <w:ind w:firstLine="0"/>
        <w:rPr>
          <w:rFonts w:ascii="宋体" w:hAnsi="宋体"/>
          <w:sz w:val="24"/>
          <w:u w:val="single"/>
        </w:rPr>
      </w:pPr>
    </w:p>
    <w:p w14:paraId="2270F3D8">
      <w:pPr>
        <w:pStyle w:val="7"/>
        <w:overflowPunct w:val="0"/>
        <w:rPr>
          <w:szCs w:val="21"/>
        </w:rPr>
      </w:pPr>
      <w:r>
        <w:rPr>
          <w:szCs w:val="21"/>
          <w:u w:val="single"/>
        </w:rPr>
        <w:t xml:space="preserve"> </w:t>
      </w:r>
      <w:r>
        <w:rPr>
          <w:szCs w:val="21"/>
          <w:u w:val="single"/>
        </w:rPr>
        <w:tab/>
      </w:r>
      <w:r>
        <w:rPr>
          <w:rFonts w:hint="eastAsia"/>
          <w:szCs w:val="21"/>
          <w:u w:val="single"/>
        </w:rPr>
        <w:t>（所有成员单位名称）</w:t>
      </w:r>
      <w:r>
        <w:rPr>
          <w:rFonts w:hint="eastAsia"/>
          <w:szCs w:val="21"/>
        </w:rPr>
        <w:t>自愿组成</w:t>
      </w:r>
      <w:r>
        <w:rPr>
          <w:szCs w:val="21"/>
        </w:rPr>
        <w:t xml:space="preserve"> </w:t>
      </w:r>
      <w:r>
        <w:rPr>
          <w:szCs w:val="21"/>
          <w:u w:val="single"/>
        </w:rPr>
        <w:t xml:space="preserve">       </w:t>
      </w:r>
      <w:r>
        <w:rPr>
          <w:rFonts w:hint="eastAsia"/>
          <w:szCs w:val="21"/>
          <w:u w:val="single"/>
        </w:rPr>
        <w:t>（联合体名称）</w:t>
      </w:r>
      <w:r>
        <w:rPr>
          <w:rFonts w:hint="eastAsia"/>
          <w:szCs w:val="21"/>
        </w:rPr>
        <w:t>联合体，共同参加</w:t>
      </w:r>
      <w:r>
        <w:rPr>
          <w:szCs w:val="21"/>
        </w:rPr>
        <w:t xml:space="preserve"> </w:t>
      </w:r>
      <w:r>
        <w:rPr>
          <w:szCs w:val="21"/>
          <w:u w:val="single"/>
        </w:rPr>
        <w:tab/>
      </w:r>
      <w:r>
        <w:rPr>
          <w:rFonts w:hint="eastAsia"/>
          <w:szCs w:val="21"/>
          <w:u w:val="single"/>
        </w:rPr>
        <w:t>（项目名称）</w:t>
      </w:r>
      <w:r>
        <w:rPr>
          <w:rFonts w:hint="eastAsia"/>
          <w:szCs w:val="21"/>
        </w:rPr>
        <w:t>采购招标项目投标。现就联合体投标事宜订立如下协议。</w:t>
      </w:r>
    </w:p>
    <w:p w14:paraId="62475845">
      <w:pPr>
        <w:pStyle w:val="7"/>
        <w:overflowPunct w:val="0"/>
        <w:rPr>
          <w:szCs w:val="21"/>
        </w:rPr>
      </w:pPr>
    </w:p>
    <w:p w14:paraId="66122EBF">
      <w:pPr>
        <w:pStyle w:val="7"/>
        <w:overflowPunct w:val="0"/>
        <w:ind w:firstLine="367" w:firstLineChars="175"/>
        <w:rPr>
          <w:szCs w:val="21"/>
        </w:rPr>
      </w:pPr>
      <w:r>
        <w:rPr>
          <w:szCs w:val="21"/>
        </w:rPr>
        <w:t xml:space="preserve">1. </w:t>
      </w:r>
      <w:r>
        <w:rPr>
          <w:szCs w:val="21"/>
          <w:u w:val="single"/>
        </w:rPr>
        <w:t xml:space="preserve">  </w:t>
      </w:r>
      <w:r>
        <w:rPr>
          <w:szCs w:val="21"/>
          <w:u w:val="single"/>
        </w:rPr>
        <w:tab/>
      </w:r>
      <w:r>
        <w:rPr>
          <w:rFonts w:hint="eastAsia"/>
          <w:szCs w:val="21"/>
          <w:u w:val="single"/>
        </w:rPr>
        <w:t>（某成员单位名称）</w:t>
      </w:r>
      <w:r>
        <w:rPr>
          <w:rFonts w:hint="eastAsia"/>
          <w:szCs w:val="21"/>
        </w:rPr>
        <w:t>为</w:t>
      </w:r>
      <w:r>
        <w:rPr>
          <w:szCs w:val="21"/>
          <w:u w:val="single"/>
        </w:rPr>
        <w:t xml:space="preserve"> </w:t>
      </w:r>
      <w:r>
        <w:rPr>
          <w:szCs w:val="21"/>
          <w:u w:val="single"/>
        </w:rPr>
        <w:tab/>
      </w:r>
      <w:r>
        <w:rPr>
          <w:rFonts w:hint="eastAsia"/>
          <w:szCs w:val="21"/>
          <w:u w:val="single"/>
        </w:rPr>
        <w:t>（联合体名称）</w:t>
      </w:r>
      <w:r>
        <w:rPr>
          <w:rFonts w:hint="eastAsia"/>
          <w:szCs w:val="21"/>
        </w:rPr>
        <w:t>牵头人。</w:t>
      </w:r>
    </w:p>
    <w:p w14:paraId="629853DD">
      <w:pPr>
        <w:pStyle w:val="7"/>
        <w:overflowPunct w:val="0"/>
        <w:ind w:firstLine="367" w:firstLineChars="175"/>
        <w:rPr>
          <w:szCs w:val="21"/>
        </w:rPr>
      </w:pPr>
      <w:r>
        <w:rPr>
          <w:szCs w:val="21"/>
        </w:rPr>
        <w:t>2.</w:t>
      </w:r>
      <w:r>
        <w:rPr>
          <w:rFonts w:hint="eastAsia"/>
          <w:szCs w:val="21"/>
        </w:rPr>
        <w:t>联合体各成员授权牵头人代表联合体参加投标活动，签署文件及对文件的盖章，提交和接收相关的资料、信息及指示，进行合同谈判活动，负责合同实施阶段的组织和协调工作，以及处理与本招标项</w:t>
      </w:r>
      <w:r>
        <w:rPr>
          <w:szCs w:val="21"/>
        </w:rPr>
        <w:t xml:space="preserve"> </w:t>
      </w:r>
      <w:r>
        <w:rPr>
          <w:rFonts w:hint="eastAsia"/>
          <w:szCs w:val="21"/>
        </w:rPr>
        <w:t>目有关的一切事宜。</w:t>
      </w:r>
    </w:p>
    <w:p w14:paraId="08D63681">
      <w:pPr>
        <w:pStyle w:val="7"/>
        <w:overflowPunct w:val="0"/>
        <w:ind w:firstLine="367" w:firstLineChars="175"/>
        <w:rPr>
          <w:szCs w:val="21"/>
        </w:rPr>
      </w:pPr>
      <w:r>
        <w:rPr>
          <w:szCs w:val="21"/>
        </w:rPr>
        <w:t>3.</w:t>
      </w:r>
      <w:r>
        <w:rPr>
          <w:rFonts w:hint="eastAsia"/>
          <w:szCs w:val="21"/>
        </w:rPr>
        <w:t>联合体牵头人在本项目中签署和盖章的一切文件和处理的一切事宜，联合体各成员均予以承认。联合体各成员将严格按照招标文件、投标文件和合同的要求全面履行义务，并向采购人承担连带责任。</w:t>
      </w:r>
    </w:p>
    <w:p w14:paraId="1CF5B7F3">
      <w:pPr>
        <w:pStyle w:val="7"/>
        <w:overflowPunct w:val="0"/>
        <w:ind w:firstLine="367" w:firstLineChars="175"/>
        <w:rPr>
          <w:szCs w:val="21"/>
        </w:rPr>
      </w:pPr>
      <w:r>
        <w:rPr>
          <w:szCs w:val="21"/>
        </w:rPr>
        <w:t>4.</w:t>
      </w:r>
      <w:r>
        <w:rPr>
          <w:rFonts w:hint="eastAsia"/>
          <w:szCs w:val="21"/>
        </w:rPr>
        <w:t>联合体各成员单位内部的职责分工如下：</w:t>
      </w:r>
      <w:r>
        <w:rPr>
          <w:szCs w:val="21"/>
        </w:rPr>
        <w:t xml:space="preserve"> </w:t>
      </w:r>
      <w:r>
        <w:rPr>
          <w:szCs w:val="21"/>
        </w:rPr>
        <w:tab/>
      </w:r>
      <w:r>
        <w:rPr>
          <w:rFonts w:hint="eastAsia"/>
          <w:szCs w:val="21"/>
        </w:rPr>
        <w:t>。</w:t>
      </w:r>
    </w:p>
    <w:p w14:paraId="199EAAE3">
      <w:pPr>
        <w:pStyle w:val="7"/>
        <w:overflowPunct w:val="0"/>
        <w:ind w:firstLine="367" w:firstLineChars="175"/>
      </w:pPr>
      <w:r>
        <w:rPr>
          <w:rFonts w:hint="eastAsia"/>
          <w:szCs w:val="21"/>
        </w:rPr>
        <w:t>5.本联合体中，联合体各方</w:t>
      </w:r>
      <w:r>
        <w:rPr>
          <w:rFonts w:hint="eastAsia"/>
          <w:szCs w:val="21"/>
          <w:u w:val="single"/>
        </w:rPr>
        <w:t>为中型企业或小型企业或微型企业合计</w:t>
      </w:r>
      <w:r>
        <w:rPr>
          <w:rFonts w:hint="eastAsia"/>
          <w:szCs w:val="21"/>
        </w:rPr>
        <w:t>金额占合同总金额的</w:t>
      </w:r>
      <w:r>
        <w:rPr>
          <w:szCs w:val="21"/>
          <w:u w:val="single"/>
        </w:rPr>
        <w:t xml:space="preserve">               %</w:t>
      </w:r>
      <w:r>
        <w:rPr>
          <w:rFonts w:hint="eastAsia"/>
          <w:szCs w:val="21"/>
        </w:rPr>
        <w:t>；联合体各方</w:t>
      </w:r>
      <w:r>
        <w:rPr>
          <w:rFonts w:hint="eastAsia"/>
          <w:szCs w:val="21"/>
          <w:u w:val="single"/>
        </w:rPr>
        <w:t>为小型企业或微型企业合计</w:t>
      </w:r>
      <w:r>
        <w:rPr>
          <w:rFonts w:hint="eastAsia"/>
          <w:szCs w:val="21"/>
        </w:rPr>
        <w:t>金额占合同总金额的</w:t>
      </w:r>
      <w:r>
        <w:rPr>
          <w:szCs w:val="21"/>
          <w:u w:val="single"/>
        </w:rPr>
        <w:t xml:space="preserve">               %</w:t>
      </w:r>
      <w:r>
        <w:rPr>
          <w:rFonts w:hint="eastAsia"/>
          <w:szCs w:val="21"/>
          <w:u w:val="single"/>
        </w:rPr>
        <w:t>。</w:t>
      </w:r>
      <w:r>
        <w:rPr>
          <w:rFonts w:hint="eastAsia"/>
        </w:rPr>
        <w:t>【招标文件第二章采购需求一览表中</w:t>
      </w:r>
      <w:r>
        <w:rPr>
          <w:szCs w:val="21"/>
        </w:rPr>
        <w:t>所属行业标明“/”的</w:t>
      </w:r>
      <w:r>
        <w:rPr>
          <w:rFonts w:hint="eastAsia"/>
          <w:szCs w:val="21"/>
        </w:rPr>
        <w:t>采购</w:t>
      </w:r>
      <w:r>
        <w:rPr>
          <w:szCs w:val="21"/>
        </w:rPr>
        <w:t>标的</w:t>
      </w:r>
      <w:r>
        <w:rPr>
          <w:rFonts w:hint="eastAsia"/>
          <w:szCs w:val="21"/>
        </w:rPr>
        <w:t>的合同金额及比例不参与计算</w:t>
      </w:r>
      <w:r>
        <w:rPr>
          <w:rFonts w:hint="eastAsia"/>
        </w:rPr>
        <w:t>】</w:t>
      </w:r>
    </w:p>
    <w:p w14:paraId="770E967C">
      <w:pPr>
        <w:pStyle w:val="7"/>
        <w:overflowPunct w:val="0"/>
        <w:ind w:firstLine="367" w:firstLineChars="175"/>
        <w:rPr>
          <w:szCs w:val="21"/>
        </w:rPr>
      </w:pPr>
      <w:r>
        <w:rPr>
          <w:szCs w:val="21"/>
        </w:rPr>
        <w:t>6.</w:t>
      </w:r>
      <w:r>
        <w:rPr>
          <w:rFonts w:hint="eastAsia"/>
          <w:szCs w:val="21"/>
        </w:rPr>
        <w:t>本协议书自所有成员单位法定代表人或者其委托代理人签字或者盖公章之日起生效，合同履行完毕后自动失效。</w:t>
      </w:r>
    </w:p>
    <w:p w14:paraId="05B012F4">
      <w:pPr>
        <w:pStyle w:val="7"/>
        <w:overflowPunct w:val="0"/>
        <w:ind w:firstLine="367" w:firstLineChars="175"/>
        <w:rPr>
          <w:szCs w:val="21"/>
        </w:rPr>
      </w:pPr>
      <w:r>
        <w:rPr>
          <w:szCs w:val="21"/>
        </w:rPr>
        <w:t>7.</w:t>
      </w:r>
      <w:r>
        <w:rPr>
          <w:rFonts w:hint="eastAsia"/>
          <w:szCs w:val="21"/>
        </w:rPr>
        <w:t>本协议书一式</w:t>
      </w:r>
      <w:r>
        <w:rPr>
          <w:szCs w:val="21"/>
          <w:u w:val="single"/>
        </w:rPr>
        <w:t xml:space="preserve"> </w:t>
      </w:r>
      <w:r>
        <w:rPr>
          <w:szCs w:val="21"/>
          <w:u w:val="single"/>
        </w:rPr>
        <w:tab/>
      </w:r>
      <w:r>
        <w:rPr>
          <w:rFonts w:hint="eastAsia"/>
          <w:szCs w:val="21"/>
          <w:u w:val="single"/>
        </w:rPr>
        <w:t>份</w:t>
      </w:r>
      <w:r>
        <w:rPr>
          <w:rFonts w:hint="eastAsia"/>
          <w:szCs w:val="21"/>
        </w:rPr>
        <w:t>，联合体成员和采购人各执一份。</w:t>
      </w:r>
    </w:p>
    <w:p w14:paraId="4ED3D083">
      <w:pPr>
        <w:pStyle w:val="7"/>
        <w:overflowPunct w:val="0"/>
        <w:ind w:firstLine="0"/>
        <w:rPr>
          <w:szCs w:val="21"/>
        </w:rPr>
      </w:pPr>
    </w:p>
    <w:p w14:paraId="2EF3226F">
      <w:pPr>
        <w:pStyle w:val="7"/>
        <w:overflowPunct w:val="0"/>
        <w:ind w:firstLine="367" w:firstLineChars="175"/>
        <w:rPr>
          <w:szCs w:val="21"/>
        </w:rPr>
      </w:pPr>
      <w:r>
        <w:rPr>
          <w:rFonts w:hint="eastAsia"/>
          <w:szCs w:val="21"/>
        </w:rPr>
        <w:t>注：本协议书由法定代表人签字的，应附法定代表人身份</w:t>
      </w:r>
    </w:p>
    <w:p w14:paraId="407CC4EE">
      <w:pPr>
        <w:pStyle w:val="7"/>
        <w:overflowPunct w:val="0"/>
        <w:ind w:firstLine="367" w:firstLineChars="175"/>
        <w:rPr>
          <w:szCs w:val="21"/>
        </w:rPr>
      </w:pPr>
      <w:r>
        <w:rPr>
          <w:rFonts w:hint="eastAsia"/>
          <w:szCs w:val="21"/>
        </w:rPr>
        <w:t>证明；由委托代理人签字的，应附授权委托书。</w:t>
      </w:r>
    </w:p>
    <w:p w14:paraId="0D9BB8AE">
      <w:pPr>
        <w:pStyle w:val="7"/>
        <w:overflowPunct w:val="0"/>
        <w:ind w:firstLine="367" w:firstLineChars="175"/>
        <w:rPr>
          <w:szCs w:val="21"/>
        </w:rPr>
      </w:pPr>
    </w:p>
    <w:p w14:paraId="2A089300">
      <w:pPr>
        <w:pStyle w:val="7"/>
        <w:overflowPunct w:val="0"/>
        <w:ind w:firstLine="367" w:firstLineChars="175"/>
        <w:rPr>
          <w:szCs w:val="21"/>
        </w:rPr>
      </w:pPr>
      <w:r>
        <w:rPr>
          <w:rFonts w:hint="eastAsia"/>
          <w:szCs w:val="21"/>
        </w:rPr>
        <w:t>联合体牵头人名称（盖公章或电子签章）：</w:t>
      </w:r>
    </w:p>
    <w:p w14:paraId="25FC2BC9">
      <w:pPr>
        <w:pStyle w:val="7"/>
        <w:overflowPunct w:val="0"/>
        <w:ind w:firstLine="367" w:firstLineChars="175"/>
        <w:rPr>
          <w:szCs w:val="21"/>
        </w:rPr>
      </w:pPr>
    </w:p>
    <w:p w14:paraId="56288E1E">
      <w:pPr>
        <w:pStyle w:val="7"/>
        <w:overflowPunct w:val="0"/>
        <w:ind w:firstLine="367" w:firstLineChars="175"/>
        <w:rPr>
          <w:szCs w:val="21"/>
        </w:rPr>
      </w:pPr>
      <w:r>
        <w:rPr>
          <w:rFonts w:hint="eastAsia"/>
          <w:szCs w:val="21"/>
        </w:rPr>
        <w:t>法定代表人或者其委托代理人：</w:t>
      </w:r>
      <w:r>
        <w:rPr>
          <w:szCs w:val="21"/>
        </w:rPr>
        <w:t xml:space="preserve"> </w:t>
      </w:r>
      <w:r>
        <w:rPr>
          <w:szCs w:val="21"/>
        </w:rPr>
        <w:tab/>
      </w:r>
      <w:r>
        <w:rPr>
          <w:rFonts w:hint="eastAsia"/>
          <w:szCs w:val="21"/>
        </w:rPr>
        <w:t>（签字或签章）</w:t>
      </w:r>
    </w:p>
    <w:p w14:paraId="6CE0F567">
      <w:pPr>
        <w:pStyle w:val="7"/>
        <w:overflowPunct w:val="0"/>
        <w:ind w:firstLine="367" w:firstLineChars="175"/>
        <w:rPr>
          <w:szCs w:val="21"/>
        </w:rPr>
      </w:pPr>
    </w:p>
    <w:p w14:paraId="0D336ED3">
      <w:pPr>
        <w:pStyle w:val="7"/>
        <w:overflowPunct w:val="0"/>
        <w:ind w:firstLine="367" w:firstLineChars="175"/>
        <w:rPr>
          <w:szCs w:val="21"/>
        </w:rPr>
      </w:pPr>
      <w:r>
        <w:rPr>
          <w:rFonts w:hint="eastAsia"/>
          <w:szCs w:val="21"/>
        </w:rPr>
        <w:t>联合体成员名称（盖公章或电子签章）：</w:t>
      </w:r>
    </w:p>
    <w:p w14:paraId="092F589E">
      <w:pPr>
        <w:pStyle w:val="7"/>
        <w:overflowPunct w:val="0"/>
        <w:ind w:firstLine="367" w:firstLineChars="175"/>
        <w:rPr>
          <w:szCs w:val="21"/>
        </w:rPr>
      </w:pPr>
    </w:p>
    <w:p w14:paraId="78674F35">
      <w:pPr>
        <w:pStyle w:val="7"/>
        <w:overflowPunct w:val="0"/>
        <w:ind w:firstLine="367" w:firstLineChars="175"/>
        <w:rPr>
          <w:szCs w:val="21"/>
        </w:rPr>
      </w:pPr>
      <w:r>
        <w:rPr>
          <w:rFonts w:hint="eastAsia"/>
          <w:szCs w:val="21"/>
        </w:rPr>
        <w:t>法定代表人或者其委托代理人：</w:t>
      </w:r>
      <w:r>
        <w:rPr>
          <w:szCs w:val="21"/>
        </w:rPr>
        <w:t xml:space="preserve"> </w:t>
      </w:r>
      <w:r>
        <w:rPr>
          <w:szCs w:val="21"/>
        </w:rPr>
        <w:tab/>
      </w:r>
      <w:r>
        <w:rPr>
          <w:rFonts w:hint="eastAsia"/>
          <w:szCs w:val="21"/>
        </w:rPr>
        <w:t>（签字或签章）</w:t>
      </w:r>
    </w:p>
    <w:p w14:paraId="2E568BBB">
      <w:pPr>
        <w:pStyle w:val="7"/>
        <w:overflowPunct w:val="0"/>
        <w:ind w:firstLine="367" w:firstLineChars="175"/>
        <w:rPr>
          <w:szCs w:val="21"/>
        </w:rPr>
      </w:pPr>
    </w:p>
    <w:p w14:paraId="493B58EE">
      <w:pPr>
        <w:pStyle w:val="7"/>
        <w:overflowPunct w:val="0"/>
        <w:ind w:firstLine="367" w:firstLineChars="175"/>
        <w:rPr>
          <w:szCs w:val="21"/>
        </w:rPr>
      </w:pPr>
      <w:r>
        <w:rPr>
          <w:rFonts w:hint="eastAsia"/>
          <w:szCs w:val="21"/>
        </w:rPr>
        <w:t>联合体成员名称（盖公章或电子签章）：</w:t>
      </w:r>
    </w:p>
    <w:p w14:paraId="04CF6DB1">
      <w:pPr>
        <w:pStyle w:val="7"/>
        <w:overflowPunct w:val="0"/>
        <w:ind w:firstLine="367" w:firstLineChars="175"/>
        <w:rPr>
          <w:szCs w:val="21"/>
        </w:rPr>
      </w:pPr>
    </w:p>
    <w:p w14:paraId="24AFE0DD">
      <w:pPr>
        <w:pStyle w:val="7"/>
        <w:overflowPunct w:val="0"/>
        <w:ind w:firstLine="367" w:firstLineChars="175"/>
        <w:rPr>
          <w:szCs w:val="21"/>
        </w:rPr>
      </w:pPr>
      <w:r>
        <w:rPr>
          <w:rFonts w:hint="eastAsia"/>
          <w:szCs w:val="21"/>
        </w:rPr>
        <w:t>法定代表人或者其委托代理人：</w:t>
      </w:r>
      <w:r>
        <w:rPr>
          <w:szCs w:val="21"/>
        </w:rPr>
        <w:t xml:space="preserve"> </w:t>
      </w:r>
      <w:r>
        <w:rPr>
          <w:szCs w:val="21"/>
        </w:rPr>
        <w:tab/>
      </w:r>
      <w:r>
        <w:rPr>
          <w:rFonts w:hint="eastAsia"/>
          <w:szCs w:val="21"/>
        </w:rPr>
        <w:t>（签字或签章）</w:t>
      </w:r>
    </w:p>
    <w:p w14:paraId="0A5255A8">
      <w:pPr>
        <w:pStyle w:val="7"/>
        <w:overflowPunct w:val="0"/>
        <w:ind w:firstLine="367" w:firstLineChars="175"/>
        <w:rPr>
          <w:szCs w:val="21"/>
        </w:rPr>
      </w:pPr>
    </w:p>
    <w:p w14:paraId="13ACB991">
      <w:pPr>
        <w:pStyle w:val="7"/>
        <w:overflowPunct w:val="0"/>
        <w:ind w:firstLine="367" w:firstLineChars="175"/>
        <w:rPr>
          <w:szCs w:val="21"/>
        </w:rPr>
      </w:pPr>
      <w:r>
        <w:rPr>
          <w:szCs w:val="21"/>
        </w:rPr>
        <w:t>……</w:t>
      </w:r>
    </w:p>
    <w:p w14:paraId="6457B79B">
      <w:pPr>
        <w:pStyle w:val="7"/>
        <w:overflowPunct w:val="0"/>
        <w:ind w:firstLine="367" w:firstLineChars="175"/>
        <w:rPr>
          <w:szCs w:val="21"/>
        </w:rPr>
      </w:pPr>
    </w:p>
    <w:p w14:paraId="142B9D89">
      <w:pPr>
        <w:pStyle w:val="7"/>
        <w:overflowPunct w:val="0"/>
        <w:ind w:firstLine="367" w:firstLineChars="175"/>
        <w:rPr>
          <w:szCs w:val="21"/>
        </w:rPr>
      </w:pPr>
      <w:r>
        <w:rPr>
          <w:szCs w:val="21"/>
        </w:rPr>
        <w:t xml:space="preserve"> </w:t>
      </w:r>
      <w:r>
        <w:rPr>
          <w:szCs w:val="21"/>
        </w:rPr>
        <w:tab/>
      </w:r>
      <w:r>
        <w:rPr>
          <w:rFonts w:hint="eastAsia"/>
          <w:szCs w:val="21"/>
        </w:rPr>
        <w:t>年</w:t>
      </w:r>
      <w:r>
        <w:rPr>
          <w:szCs w:val="21"/>
        </w:rPr>
        <w:t xml:space="preserve"> </w:t>
      </w:r>
      <w:r>
        <w:rPr>
          <w:szCs w:val="21"/>
        </w:rPr>
        <w:tab/>
      </w:r>
      <w:r>
        <w:rPr>
          <w:rFonts w:hint="eastAsia"/>
          <w:szCs w:val="21"/>
        </w:rPr>
        <w:t>月</w:t>
      </w:r>
      <w:r>
        <w:rPr>
          <w:szCs w:val="21"/>
        </w:rPr>
        <w:t xml:space="preserve"> </w:t>
      </w:r>
      <w:r>
        <w:rPr>
          <w:szCs w:val="21"/>
        </w:rPr>
        <w:tab/>
      </w:r>
      <w:r>
        <w:rPr>
          <w:rFonts w:hint="eastAsia"/>
          <w:szCs w:val="21"/>
        </w:rPr>
        <w:t>日</w:t>
      </w:r>
    </w:p>
    <w:p w14:paraId="68475DA5">
      <w:pPr>
        <w:widowControl/>
        <w:jc w:val="left"/>
        <w:rPr>
          <w:b/>
          <w:szCs w:val="21"/>
        </w:rPr>
      </w:pPr>
      <w:r>
        <w:rPr>
          <w:b/>
          <w:szCs w:val="21"/>
        </w:rPr>
        <w:br w:type="page"/>
      </w:r>
      <w:bookmarkEnd w:id="121"/>
      <w:r>
        <w:rPr>
          <w:rFonts w:hint="eastAsia"/>
          <w:szCs w:val="21"/>
        </w:rPr>
        <w:t>9</w:t>
      </w:r>
      <w:r>
        <w:rPr>
          <w:szCs w:val="21"/>
        </w:rPr>
        <w:t>．</w:t>
      </w:r>
      <w:r>
        <w:t>满足供应商特定资格条件的其他证明材料</w:t>
      </w:r>
      <w:r>
        <w:rPr>
          <w:szCs w:val="21"/>
        </w:rPr>
        <w:t>加盖供应商</w:t>
      </w:r>
      <w:r>
        <w:rPr>
          <w:rFonts w:hint="eastAsia"/>
          <w:szCs w:val="21"/>
        </w:rPr>
        <w:t>电子签章</w:t>
      </w:r>
      <w:r>
        <w:t>（</w:t>
      </w:r>
      <w:r>
        <w:rPr>
          <w:szCs w:val="21"/>
        </w:rPr>
        <w:t>按“评审方法及标准” “资格审查表”“</w:t>
      </w:r>
      <w:r>
        <w:rPr>
          <w:szCs w:val="21"/>
          <w:lang w:val="zh-CN"/>
        </w:rPr>
        <w:t xml:space="preserve"> 供应商应符合的</w:t>
      </w:r>
      <w:r>
        <w:rPr>
          <w:szCs w:val="21"/>
        </w:rPr>
        <w:t>特定资格条件”规定提供</w:t>
      </w:r>
      <w:r>
        <w:t>）。</w:t>
      </w:r>
      <w:r>
        <w:rPr>
          <w:rFonts w:hint="eastAsia"/>
          <w:b/>
          <w:szCs w:val="21"/>
        </w:rPr>
        <w:t>（如招标文件有要求时提供）</w:t>
      </w:r>
    </w:p>
    <w:p w14:paraId="14E06AB8">
      <w:pPr>
        <w:snapToGrid w:val="0"/>
        <w:spacing w:before="50" w:after="120" w:afterLines="50" w:line="360" w:lineRule="auto"/>
        <w:jc w:val="left"/>
        <w:rPr>
          <w:szCs w:val="21"/>
        </w:rPr>
      </w:pPr>
    </w:p>
    <w:p w14:paraId="006ADE47">
      <w:pPr>
        <w:snapToGrid w:val="0"/>
        <w:spacing w:before="50" w:after="120" w:afterLines="50" w:line="360" w:lineRule="auto"/>
        <w:jc w:val="left"/>
        <w:rPr>
          <w:szCs w:val="21"/>
        </w:rPr>
      </w:pPr>
    </w:p>
    <w:p w14:paraId="1EDDFD92">
      <w:pPr>
        <w:snapToGrid w:val="0"/>
        <w:spacing w:before="50" w:after="120" w:afterLines="50" w:line="360" w:lineRule="auto"/>
        <w:jc w:val="left"/>
        <w:rPr>
          <w:szCs w:val="21"/>
        </w:rPr>
      </w:pPr>
    </w:p>
    <w:p w14:paraId="45559139">
      <w:pPr>
        <w:snapToGrid w:val="0"/>
        <w:spacing w:before="50" w:after="120" w:afterLines="50" w:line="360" w:lineRule="auto"/>
        <w:jc w:val="left"/>
        <w:rPr>
          <w:szCs w:val="21"/>
        </w:rPr>
      </w:pPr>
    </w:p>
    <w:p w14:paraId="7EB10C1C">
      <w:pPr>
        <w:snapToGrid w:val="0"/>
        <w:spacing w:before="50" w:after="120" w:afterLines="50" w:line="360" w:lineRule="auto"/>
        <w:jc w:val="left"/>
        <w:rPr>
          <w:szCs w:val="21"/>
        </w:rPr>
      </w:pPr>
    </w:p>
    <w:p w14:paraId="692A92F1">
      <w:pPr>
        <w:snapToGrid w:val="0"/>
        <w:spacing w:before="50" w:after="120" w:afterLines="50" w:line="360" w:lineRule="auto"/>
        <w:jc w:val="left"/>
        <w:rPr>
          <w:szCs w:val="21"/>
        </w:rPr>
      </w:pPr>
    </w:p>
    <w:p w14:paraId="215422A9">
      <w:pPr>
        <w:snapToGrid w:val="0"/>
        <w:spacing w:before="50" w:after="120" w:afterLines="50" w:line="360" w:lineRule="auto"/>
        <w:jc w:val="left"/>
        <w:rPr>
          <w:szCs w:val="21"/>
        </w:rPr>
      </w:pPr>
    </w:p>
    <w:p w14:paraId="33C27195">
      <w:pPr>
        <w:snapToGrid w:val="0"/>
        <w:spacing w:before="50" w:after="120" w:afterLines="50" w:line="360" w:lineRule="auto"/>
        <w:jc w:val="left"/>
        <w:rPr>
          <w:szCs w:val="21"/>
        </w:rPr>
      </w:pPr>
    </w:p>
    <w:p w14:paraId="458C1FD8">
      <w:pPr>
        <w:snapToGrid w:val="0"/>
        <w:spacing w:before="50" w:after="120" w:afterLines="50" w:line="360" w:lineRule="auto"/>
        <w:jc w:val="left"/>
        <w:rPr>
          <w:szCs w:val="21"/>
        </w:rPr>
        <w:sectPr>
          <w:pgSz w:w="11906" w:h="16838"/>
          <w:pgMar w:top="1418" w:right="1133" w:bottom="1246" w:left="1418" w:header="851" w:footer="992" w:gutter="0"/>
          <w:cols w:space="720" w:num="1"/>
          <w:docGrid w:linePitch="312" w:charSpace="0"/>
        </w:sectPr>
      </w:pPr>
      <w:r>
        <w:rPr>
          <w:rFonts w:hint="eastAsia"/>
          <w:szCs w:val="21"/>
        </w:rPr>
        <w:t>10.</w:t>
      </w:r>
      <w:r>
        <w:rPr>
          <w:rFonts w:hint="eastAsia" w:ascii="宋体" w:hAnsi="宋体" w:cs="宋体"/>
          <w:bCs/>
        </w:rPr>
        <w:t>投标人参加政府采购活动前3年内在经营活动中没有重大违法记录的书面声明。（格式自拟，必须提供，否则作无效投标处理）</w:t>
      </w:r>
    </w:p>
    <w:p w14:paraId="2BAE7C95">
      <w:pPr>
        <w:snapToGrid w:val="0"/>
        <w:spacing w:before="50" w:after="120" w:afterLines="50" w:line="440" w:lineRule="exact"/>
        <w:jc w:val="left"/>
        <w:rPr>
          <w:b/>
          <w:szCs w:val="21"/>
        </w:rPr>
      </w:pPr>
      <w:r>
        <w:rPr>
          <w:rFonts w:hint="eastAsia"/>
          <w:szCs w:val="21"/>
        </w:rPr>
        <w:t>11</w:t>
      </w:r>
      <w:r>
        <w:rPr>
          <w:szCs w:val="21"/>
        </w:rPr>
        <w:t>．投标保证金缴纳证明</w:t>
      </w:r>
      <w:r>
        <w:rPr>
          <w:rFonts w:hint="eastAsia"/>
          <w:szCs w:val="21"/>
        </w:rPr>
        <w:t>。</w:t>
      </w:r>
      <w:r>
        <w:rPr>
          <w:rFonts w:hint="eastAsia"/>
          <w:b/>
          <w:szCs w:val="21"/>
        </w:rPr>
        <w:t>（如招标文件有要求时提供）</w:t>
      </w:r>
    </w:p>
    <w:p w14:paraId="5FEE352C">
      <w:pPr>
        <w:snapToGrid w:val="0"/>
        <w:spacing w:before="50" w:after="120" w:afterLines="50" w:line="440" w:lineRule="exact"/>
        <w:jc w:val="left"/>
      </w:pPr>
      <w:r>
        <w:rPr>
          <w:rFonts w:hint="eastAsia"/>
        </w:rPr>
        <w:t>（1）以转账、电汇形式缴纳的，提供转账、电汇凭证扫描件或复印件（网银可提供截图）</w:t>
      </w:r>
      <w:r>
        <w:t>加盖</w:t>
      </w:r>
      <w:r>
        <w:rPr>
          <w:rFonts w:hint="eastAsia"/>
        </w:rPr>
        <w:t>供应商电子签章；</w:t>
      </w:r>
    </w:p>
    <w:p w14:paraId="507AB90B">
      <w:pPr>
        <w:snapToGrid w:val="0"/>
        <w:spacing w:before="50" w:after="120" w:afterLines="50" w:line="440" w:lineRule="exact"/>
        <w:jc w:val="left"/>
        <w:rPr>
          <w:szCs w:val="21"/>
        </w:rPr>
      </w:pPr>
      <w:r>
        <w:rPr>
          <w:rFonts w:hint="eastAsia"/>
        </w:rPr>
        <w:t>（2）以支票、汇票、本票或金融机构、担保机构出具的保函等非现金形式缴纳的，提供原件扫描件或复印件并加盖供应商电子签章。投标保函参考如下格式开具：</w:t>
      </w:r>
    </w:p>
    <w:p w14:paraId="0F19AF98">
      <w:pPr>
        <w:spacing w:line="360" w:lineRule="auto"/>
        <w:jc w:val="center"/>
        <w:rPr>
          <w:b/>
          <w:bCs/>
          <w:sz w:val="28"/>
          <w:szCs w:val="36"/>
        </w:rPr>
      </w:pPr>
    </w:p>
    <w:p w14:paraId="67721077">
      <w:pPr>
        <w:spacing w:line="360" w:lineRule="auto"/>
        <w:jc w:val="center"/>
        <w:rPr>
          <w:b/>
          <w:bCs/>
          <w:sz w:val="28"/>
          <w:szCs w:val="36"/>
        </w:rPr>
      </w:pPr>
      <w:r>
        <w:rPr>
          <w:rFonts w:hint="eastAsia"/>
          <w:b/>
          <w:bCs/>
          <w:sz w:val="28"/>
          <w:szCs w:val="36"/>
        </w:rPr>
        <w:t>投标保函格式</w:t>
      </w:r>
    </w:p>
    <w:p w14:paraId="1DEE928E">
      <w:pPr>
        <w:snapToGrid w:val="0"/>
        <w:spacing w:before="50" w:after="120" w:afterLines="50"/>
        <w:jc w:val="left"/>
      </w:pPr>
      <w:r>
        <w:rPr>
          <w:rFonts w:hint="eastAsia"/>
        </w:rPr>
        <w:t xml:space="preserve">编号：           </w:t>
      </w:r>
    </w:p>
    <w:p w14:paraId="64790596">
      <w:pPr>
        <w:snapToGrid w:val="0"/>
        <w:spacing w:before="50" w:after="120" w:afterLines="50"/>
        <w:jc w:val="left"/>
      </w:pPr>
      <w:r>
        <w:rPr>
          <w:rFonts w:hint="eastAsia"/>
        </w:rPr>
        <w:t>申请人：</w:t>
      </w:r>
    </w:p>
    <w:p w14:paraId="11D82795">
      <w:pPr>
        <w:snapToGrid w:val="0"/>
        <w:spacing w:before="50" w:after="120" w:afterLines="50"/>
        <w:jc w:val="left"/>
      </w:pPr>
      <w:r>
        <w:rPr>
          <w:rFonts w:hint="eastAsia"/>
        </w:rPr>
        <w:t>地址：</w:t>
      </w:r>
    </w:p>
    <w:p w14:paraId="2C733BAC">
      <w:pPr>
        <w:snapToGrid w:val="0"/>
        <w:spacing w:before="50" w:after="120" w:afterLines="50"/>
        <w:jc w:val="left"/>
      </w:pPr>
      <w:r>
        <w:rPr>
          <w:rFonts w:hint="eastAsia"/>
        </w:rPr>
        <w:t xml:space="preserve">受益人：广西机电设备招标有限公司 </w:t>
      </w:r>
    </w:p>
    <w:p w14:paraId="5BC50655">
      <w:pPr>
        <w:snapToGrid w:val="0"/>
        <w:spacing w:before="50" w:after="120" w:afterLines="50"/>
        <w:jc w:val="left"/>
      </w:pPr>
      <w:r>
        <w:rPr>
          <w:rFonts w:hint="eastAsia"/>
        </w:rPr>
        <w:t>地址：</w:t>
      </w:r>
    </w:p>
    <w:p w14:paraId="3090C458">
      <w:pPr>
        <w:snapToGrid w:val="0"/>
        <w:spacing w:before="50" w:after="120" w:afterLines="50"/>
        <w:jc w:val="left"/>
      </w:pPr>
      <w:r>
        <w:rPr>
          <w:rFonts w:hint="eastAsia"/>
        </w:rPr>
        <w:t>开立人：</w:t>
      </w:r>
    </w:p>
    <w:p w14:paraId="3CC9392A">
      <w:pPr>
        <w:snapToGrid w:val="0"/>
        <w:spacing w:before="50" w:after="120" w:afterLines="50"/>
        <w:jc w:val="left"/>
      </w:pPr>
      <w:r>
        <w:rPr>
          <w:rFonts w:hint="eastAsia"/>
        </w:rPr>
        <w:t>地址：</w:t>
      </w:r>
    </w:p>
    <w:p w14:paraId="0EA2C7E5">
      <w:pPr>
        <w:snapToGrid w:val="0"/>
        <w:spacing w:before="50" w:after="120" w:afterLines="50" w:line="440" w:lineRule="exact"/>
        <w:jc w:val="left"/>
      </w:pPr>
    </w:p>
    <w:p w14:paraId="15DB422F">
      <w:pPr>
        <w:snapToGrid w:val="0"/>
        <w:spacing w:before="50" w:after="120" w:afterLines="50" w:line="276" w:lineRule="auto"/>
        <w:jc w:val="left"/>
      </w:pPr>
      <w:r>
        <w:rPr>
          <w:rFonts w:hint="eastAsia"/>
        </w:rPr>
        <w:t>致：广西机电设备招标有限公司</w:t>
      </w:r>
    </w:p>
    <w:p w14:paraId="1786BC13">
      <w:pPr>
        <w:snapToGrid w:val="0"/>
        <w:spacing w:before="50" w:after="120" w:afterLines="50" w:line="276" w:lineRule="auto"/>
        <w:ind w:firstLine="420" w:firstLineChars="200"/>
        <w:jc w:val="left"/>
      </w:pPr>
      <w:r>
        <w:rPr>
          <w:rFonts w:hint="eastAsia"/>
        </w:rPr>
        <w:t>我方（即“开立人”）已获得通知，本保函申请人（即“供应商”）已响应贵方于</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 xml:space="preserve"> 日就 </w:t>
      </w:r>
      <w:r>
        <w:rPr>
          <w:rFonts w:hint="eastAsia"/>
          <w:u w:val="single"/>
        </w:rPr>
        <w:t xml:space="preserve">                                          </w:t>
      </w:r>
      <w:r>
        <w:rPr>
          <w:rFonts w:hint="eastAsia"/>
        </w:rPr>
        <w:t>（以下简称“本项目”）发出的招标文件，并已向采购代理机构（即“受益人”）提交了投标文件。</w:t>
      </w:r>
    </w:p>
    <w:p w14:paraId="26E9E4D1">
      <w:pPr>
        <w:snapToGrid w:val="0"/>
        <w:spacing w:before="50" w:after="120" w:afterLines="50" w:line="276" w:lineRule="auto"/>
        <w:ind w:firstLine="420" w:firstLineChars="200"/>
        <w:jc w:val="left"/>
      </w:pPr>
      <w:r>
        <w:rPr>
          <w:rFonts w:hint="eastAsia"/>
        </w:rPr>
        <w:t>一、我方理解根据招标条件，投标人必须提交一份投标保函（以下简称“本保函”），以担保供应商诚信履行其在采购活动中承担的义务。鉴此，应申请人要求，我方在此同意向贵方出具此投标保函，本保函担保金额为人民币（大写）</w:t>
      </w:r>
      <w:r>
        <w:rPr>
          <w:rFonts w:hint="eastAsia"/>
          <w:u w:val="single"/>
        </w:rPr>
        <w:t xml:space="preserve">                            </w:t>
      </w:r>
      <w:r>
        <w:rPr>
          <w:rFonts w:hint="eastAsia"/>
        </w:rPr>
        <w:t>元（¥</w:t>
      </w:r>
      <w:r>
        <w:rPr>
          <w:rFonts w:hint="eastAsia"/>
          <w:u w:val="single"/>
        </w:rPr>
        <w:t xml:space="preserve">                         </w:t>
      </w:r>
      <w:r>
        <w:rPr>
          <w:rFonts w:hint="eastAsia"/>
        </w:rPr>
        <w:t>）。</w:t>
      </w:r>
    </w:p>
    <w:p w14:paraId="75FBFD70">
      <w:pPr>
        <w:snapToGrid w:val="0"/>
        <w:spacing w:before="50" w:after="120" w:afterLines="50" w:line="276" w:lineRule="auto"/>
        <w:ind w:firstLine="420" w:firstLineChars="200"/>
        <w:jc w:val="left"/>
      </w:pPr>
      <w:r>
        <w:rPr>
          <w:rFonts w:hint="eastAsia"/>
        </w:rPr>
        <w:t xml:space="preserve">二、我方在供应商发生以下情形时承担保证担保责任： </w:t>
      </w:r>
    </w:p>
    <w:p w14:paraId="5F36B7E2">
      <w:pPr>
        <w:snapToGrid w:val="0"/>
        <w:spacing w:before="50" w:after="120" w:afterLines="50" w:line="276" w:lineRule="auto"/>
        <w:ind w:firstLine="420" w:firstLineChars="200"/>
        <w:jc w:val="left"/>
      </w:pPr>
      <w:r>
        <w:rPr>
          <w:rFonts w:hint="eastAsia"/>
        </w:rPr>
        <w:t xml:space="preserve">（1）投标人在开标后和投标有效期满之前撤销投标文件的； </w:t>
      </w:r>
    </w:p>
    <w:p w14:paraId="51393F3A">
      <w:pPr>
        <w:snapToGrid w:val="0"/>
        <w:spacing w:before="50" w:after="120" w:afterLines="50" w:line="276" w:lineRule="auto"/>
        <w:ind w:firstLine="420" w:firstLineChars="200"/>
        <w:jc w:val="left"/>
      </w:pPr>
      <w:r>
        <w:rPr>
          <w:rFonts w:hint="eastAsia"/>
        </w:rPr>
        <w:t xml:space="preserve">（2）投标人在收到中标通知书后，不能或拒绝按招标文件规定的时间内与采购人签订合同； </w:t>
      </w:r>
    </w:p>
    <w:p w14:paraId="1C3B8404">
      <w:pPr>
        <w:snapToGrid w:val="0"/>
        <w:spacing w:before="50" w:after="120" w:afterLines="50" w:line="276" w:lineRule="auto"/>
        <w:ind w:firstLine="420" w:firstLineChars="200"/>
        <w:jc w:val="left"/>
      </w:pPr>
      <w:r>
        <w:rPr>
          <w:rFonts w:hint="eastAsia"/>
        </w:rPr>
        <w:t>（3）投标人在与采购人签订合同后，未在规定的时间内提交符合招标文件要求的履约担保；</w:t>
      </w:r>
    </w:p>
    <w:p w14:paraId="32444F2B">
      <w:pPr>
        <w:snapToGrid w:val="0"/>
        <w:spacing w:before="50" w:after="120" w:afterLines="50" w:line="276" w:lineRule="auto"/>
        <w:ind w:firstLine="420" w:firstLineChars="200"/>
        <w:jc w:val="left"/>
      </w:pPr>
      <w:r>
        <w:rPr>
          <w:rFonts w:hint="eastAsia"/>
        </w:rPr>
        <w:t>（4）投标人在中标通知书发出之日起5个工作日内，未缴纳本项目代理服务费的；</w:t>
      </w:r>
    </w:p>
    <w:p w14:paraId="019DE391">
      <w:pPr>
        <w:snapToGrid w:val="0"/>
        <w:spacing w:before="50" w:after="120" w:afterLines="50" w:line="276" w:lineRule="auto"/>
        <w:ind w:firstLine="420" w:firstLineChars="200"/>
        <w:jc w:val="left"/>
      </w:pPr>
      <w:r>
        <w:rPr>
          <w:rFonts w:hint="eastAsia"/>
        </w:rPr>
        <w:t>（5）投标人违反招标文件规定的其他情形。</w:t>
      </w:r>
    </w:p>
    <w:p w14:paraId="212FD4F8">
      <w:pPr>
        <w:snapToGrid w:val="0"/>
        <w:spacing w:before="50" w:after="120" w:afterLines="50" w:line="276" w:lineRule="auto"/>
        <w:ind w:firstLine="210" w:firstLineChars="100"/>
        <w:jc w:val="left"/>
      </w:pPr>
      <w:r>
        <w:rPr>
          <w:rFonts w:hint="eastAsia"/>
        </w:rPr>
        <w:t xml:space="preserve">    三、本保函为不可撤销、不可转让的见索即付独立保函。本保函有效期自开立之日起至投标有效期届满之日后的</w:t>
      </w:r>
      <w:r>
        <w:rPr>
          <w:rFonts w:hint="eastAsia"/>
          <w:u w:val="single"/>
        </w:rPr>
        <w:t xml:space="preserve">  28  </w:t>
      </w:r>
      <w:r>
        <w:rPr>
          <w:rFonts w:hint="eastAsia"/>
        </w:rPr>
        <w:t>日。投标有效期延长的，本保函有效期相应顺延。</w:t>
      </w:r>
    </w:p>
    <w:p w14:paraId="4309F6C7">
      <w:pPr>
        <w:snapToGrid w:val="0"/>
        <w:spacing w:before="50" w:after="120" w:afterLines="50" w:line="276" w:lineRule="auto"/>
        <w:ind w:firstLine="420" w:firstLineChars="200"/>
        <w:jc w:val="left"/>
      </w:pPr>
      <w:r>
        <w:rPr>
          <w:rFonts w:hint="eastAsia"/>
        </w:rPr>
        <w:t>四、我方承诺，在收到受益人发来的书面付款通知后的</w:t>
      </w:r>
      <w:r>
        <w:rPr>
          <w:rFonts w:hint="eastAsia"/>
          <w:u w:val="single"/>
        </w:rPr>
        <w:t xml:space="preserve">   5    </w:t>
      </w:r>
      <w:r>
        <w:rPr>
          <w:rFonts w:hint="eastAsia"/>
        </w:rPr>
        <w:t>日内无条件支付，前述书面付款通知即为付款要求之单据，且应满足以下要求：</w:t>
      </w:r>
    </w:p>
    <w:p w14:paraId="704CF69C">
      <w:pPr>
        <w:snapToGrid w:val="0"/>
        <w:spacing w:before="50" w:after="120" w:afterLines="50" w:line="276" w:lineRule="auto"/>
        <w:ind w:firstLine="420" w:firstLineChars="200"/>
        <w:jc w:val="left"/>
      </w:pPr>
      <w:r>
        <w:rPr>
          <w:rFonts w:hint="eastAsia"/>
        </w:rPr>
        <w:t>（1）付款通知到达的日期在本保函的有效期内；</w:t>
      </w:r>
    </w:p>
    <w:p w14:paraId="539DBDC0">
      <w:pPr>
        <w:snapToGrid w:val="0"/>
        <w:spacing w:before="50" w:after="120" w:afterLines="50" w:line="276" w:lineRule="auto"/>
        <w:ind w:firstLine="420" w:firstLineChars="200"/>
        <w:jc w:val="left"/>
      </w:pPr>
      <w:r>
        <w:rPr>
          <w:rFonts w:hint="eastAsia"/>
        </w:rPr>
        <w:t>（2）载明要求支付的金额；</w:t>
      </w:r>
    </w:p>
    <w:p w14:paraId="65854AFC">
      <w:pPr>
        <w:snapToGrid w:val="0"/>
        <w:spacing w:before="50" w:after="120" w:afterLines="50" w:line="276" w:lineRule="auto"/>
        <w:ind w:firstLine="420" w:firstLineChars="200"/>
        <w:jc w:val="left"/>
      </w:pPr>
      <w:r>
        <w:rPr>
          <w:rFonts w:hint="eastAsia"/>
        </w:rPr>
        <w:t>（3）载明申请人违反采购文件规定的义务内容和具体条款；</w:t>
      </w:r>
    </w:p>
    <w:p w14:paraId="459A9664">
      <w:pPr>
        <w:snapToGrid w:val="0"/>
        <w:spacing w:before="50" w:after="120" w:afterLines="50" w:line="276" w:lineRule="auto"/>
        <w:ind w:firstLine="420" w:firstLineChars="200"/>
        <w:jc w:val="left"/>
      </w:pPr>
      <w:r>
        <w:rPr>
          <w:rFonts w:hint="eastAsia"/>
        </w:rPr>
        <w:t>（4）声明不存在采购文件规定或我国法律规定免除申请人或我方支付责任的情形；</w:t>
      </w:r>
    </w:p>
    <w:p w14:paraId="568842EF">
      <w:pPr>
        <w:snapToGrid w:val="0"/>
        <w:spacing w:before="50" w:after="120" w:afterLines="50" w:line="276" w:lineRule="auto"/>
        <w:ind w:firstLine="420" w:firstLineChars="200"/>
        <w:jc w:val="left"/>
      </w:pPr>
      <w:r>
        <w:rPr>
          <w:rFonts w:hint="eastAsia"/>
        </w:rPr>
        <w:t>（5）书面付款通知应在本保函有效期内到达的地址是：</w:t>
      </w:r>
      <w:r>
        <w:rPr>
          <w:rFonts w:hint="eastAsia"/>
          <w:u w:val="single"/>
        </w:rPr>
        <w:t xml:space="preserve">                                     </w:t>
      </w:r>
      <w:r>
        <w:rPr>
          <w:rFonts w:hint="eastAsia"/>
        </w:rPr>
        <w:t>。</w:t>
      </w:r>
    </w:p>
    <w:p w14:paraId="447CA50A">
      <w:pPr>
        <w:snapToGrid w:val="0"/>
        <w:spacing w:before="50" w:after="120" w:afterLines="50" w:line="276" w:lineRule="auto"/>
        <w:jc w:val="left"/>
      </w:pPr>
      <w:r>
        <w:rPr>
          <w:rFonts w:hint="eastAsia"/>
        </w:rPr>
        <w:t xml:space="preserve">        受益人发出的书面付款通知应由其为鉴明受益人法定代表人（负责人）或授权代理人签字并加盖公章。</w:t>
      </w:r>
    </w:p>
    <w:p w14:paraId="7CD43EC8">
      <w:pPr>
        <w:snapToGrid w:val="0"/>
        <w:spacing w:before="50" w:after="120" w:afterLines="50" w:line="276" w:lineRule="auto"/>
        <w:ind w:firstLine="420" w:firstLineChars="200"/>
        <w:jc w:val="left"/>
      </w:pPr>
      <w:r>
        <w:rPr>
          <w:rFonts w:hint="eastAsia"/>
        </w:rPr>
        <w:t xml:space="preserve">五、本保函项下的权利不得转让，不得设定担保。贵方未经我方书面同意转让本保函或其项下任何权利，对我方不发生法律效力。 </w:t>
      </w:r>
    </w:p>
    <w:p w14:paraId="757969CD">
      <w:pPr>
        <w:snapToGrid w:val="0"/>
        <w:spacing w:before="50" w:after="120" w:afterLines="50" w:line="276" w:lineRule="auto"/>
        <w:ind w:firstLine="420" w:firstLineChars="200"/>
        <w:jc w:val="left"/>
      </w:pPr>
      <w:r>
        <w:rPr>
          <w:rFonts w:hint="eastAsia"/>
        </w:rPr>
        <w:t xml:space="preserve">六、本保函项下的基础交易不成立、不生效、无效、被撤销、被解除，不影响本保函的独立有效。 </w:t>
      </w:r>
    </w:p>
    <w:p w14:paraId="4DDCD415">
      <w:pPr>
        <w:snapToGrid w:val="0"/>
        <w:spacing w:before="50" w:after="120" w:afterLines="50" w:line="276" w:lineRule="auto"/>
        <w:ind w:firstLine="420" w:firstLineChars="200"/>
        <w:jc w:val="left"/>
      </w:pPr>
      <w:r>
        <w:rPr>
          <w:rFonts w:hint="eastAsia"/>
        </w:rPr>
        <w:t xml:space="preserve">七、受益人应在本保函到期后的七日内将本保函正本退回我方注销，但是不论受益人是否按此要求将本保函正本退回我方，我方在本保函项下的义务和责任均在保函有效期到期后自动消灭。 </w:t>
      </w:r>
    </w:p>
    <w:p w14:paraId="2BC11826">
      <w:pPr>
        <w:snapToGrid w:val="0"/>
        <w:spacing w:before="50" w:after="120" w:afterLines="50" w:line="276" w:lineRule="auto"/>
        <w:ind w:firstLine="420" w:firstLineChars="200"/>
        <w:jc w:val="left"/>
      </w:pPr>
      <w:r>
        <w:rPr>
          <w:rFonts w:hint="eastAsia"/>
        </w:rPr>
        <w:t xml:space="preserve">八、本保函适用的法律为中华人民共和国法律，争议裁判管辖地为中华人民共和国。 </w:t>
      </w:r>
    </w:p>
    <w:p w14:paraId="29C84093">
      <w:pPr>
        <w:snapToGrid w:val="0"/>
        <w:spacing w:before="50" w:after="120" w:afterLines="50" w:line="276" w:lineRule="auto"/>
        <w:ind w:firstLine="420" w:firstLineChars="200"/>
        <w:jc w:val="left"/>
      </w:pPr>
      <w:r>
        <w:rPr>
          <w:rFonts w:hint="eastAsia"/>
        </w:rPr>
        <w:t xml:space="preserve">九、本保函自我方法定代表人或授权代表签字并加盖公章之日起生效。 </w:t>
      </w:r>
    </w:p>
    <w:p w14:paraId="026207EB">
      <w:pPr>
        <w:snapToGrid w:val="0"/>
        <w:spacing w:before="50" w:after="120" w:afterLines="50" w:line="276" w:lineRule="auto"/>
        <w:jc w:val="left"/>
      </w:pPr>
    </w:p>
    <w:p w14:paraId="05D684E9">
      <w:pPr>
        <w:snapToGrid w:val="0"/>
        <w:spacing w:before="50" w:after="120" w:afterLines="50" w:line="276" w:lineRule="auto"/>
        <w:jc w:val="left"/>
      </w:pPr>
      <w:r>
        <w:rPr>
          <w:rFonts w:hint="eastAsia"/>
        </w:rPr>
        <w:t xml:space="preserve">开 立 人：                                                  （公章） </w:t>
      </w:r>
    </w:p>
    <w:p w14:paraId="11B59D84">
      <w:pPr>
        <w:snapToGrid w:val="0"/>
        <w:spacing w:before="50" w:after="120" w:afterLines="50" w:line="276" w:lineRule="auto"/>
        <w:jc w:val="left"/>
      </w:pPr>
      <w:r>
        <w:rPr>
          <w:rFonts w:hint="eastAsia"/>
        </w:rPr>
        <w:t xml:space="preserve">法定代表人（或授权代表） ：               （签字） </w:t>
      </w:r>
    </w:p>
    <w:p w14:paraId="7F688444">
      <w:pPr>
        <w:snapToGrid w:val="0"/>
        <w:spacing w:before="50" w:after="120" w:afterLines="50" w:line="276" w:lineRule="auto"/>
        <w:jc w:val="left"/>
      </w:pPr>
      <w:r>
        <w:rPr>
          <w:rFonts w:hint="eastAsia"/>
        </w:rPr>
        <w:t xml:space="preserve">地    址：                                       </w:t>
      </w:r>
    </w:p>
    <w:p w14:paraId="67A725EA">
      <w:pPr>
        <w:snapToGrid w:val="0"/>
        <w:spacing w:before="50" w:after="120" w:afterLines="50" w:line="276" w:lineRule="auto"/>
        <w:jc w:val="left"/>
      </w:pPr>
      <w:r>
        <w:rPr>
          <w:rFonts w:hint="eastAsia"/>
        </w:rPr>
        <w:t xml:space="preserve">邮政编码：                 </w:t>
      </w:r>
    </w:p>
    <w:p w14:paraId="12667853">
      <w:pPr>
        <w:snapToGrid w:val="0"/>
        <w:spacing w:before="50" w:after="120" w:afterLines="50" w:line="276" w:lineRule="auto"/>
        <w:jc w:val="left"/>
      </w:pPr>
      <w:r>
        <w:rPr>
          <w:rFonts w:hint="eastAsia"/>
        </w:rPr>
        <w:t xml:space="preserve">电    话：                 </w:t>
      </w:r>
    </w:p>
    <w:p w14:paraId="0022B45D">
      <w:pPr>
        <w:snapToGrid w:val="0"/>
        <w:spacing w:before="50" w:after="120" w:afterLines="50" w:line="276" w:lineRule="auto"/>
        <w:jc w:val="left"/>
      </w:pPr>
      <w:r>
        <w:rPr>
          <w:rFonts w:hint="eastAsia"/>
        </w:rPr>
        <w:t xml:space="preserve">传    真：                 </w:t>
      </w:r>
    </w:p>
    <w:p w14:paraId="4E6E0DB4">
      <w:pPr>
        <w:snapToGrid w:val="0"/>
        <w:spacing w:before="50" w:after="120" w:afterLines="50" w:line="276" w:lineRule="auto"/>
        <w:jc w:val="left"/>
      </w:pPr>
      <w:r>
        <w:rPr>
          <w:rFonts w:hint="eastAsia"/>
        </w:rPr>
        <w:t>开立时间：      年       月        日</w:t>
      </w:r>
    </w:p>
    <w:p w14:paraId="6F109BE3">
      <w:pPr>
        <w:snapToGrid w:val="0"/>
        <w:spacing w:before="50" w:after="120" w:afterLines="50"/>
        <w:jc w:val="left"/>
        <w:rPr>
          <w:szCs w:val="21"/>
        </w:rPr>
      </w:pPr>
      <w:r>
        <w:rPr>
          <w:szCs w:val="21"/>
        </w:rPr>
        <w:br w:type="page"/>
      </w:r>
      <w:r>
        <w:rPr>
          <w:rFonts w:hint="eastAsia"/>
          <w:szCs w:val="21"/>
        </w:rPr>
        <w:t>12</w:t>
      </w:r>
      <w:r>
        <w:rPr>
          <w:szCs w:val="21"/>
        </w:rPr>
        <w:t>．供应商认为应当要提交的</w:t>
      </w:r>
      <w:r>
        <w:rPr>
          <w:rFonts w:hint="eastAsia"/>
          <w:szCs w:val="21"/>
        </w:rPr>
        <w:t>其他</w:t>
      </w:r>
      <w:r>
        <w:rPr>
          <w:szCs w:val="21"/>
        </w:rPr>
        <w:t>资格证明材料。</w:t>
      </w:r>
      <w:r>
        <w:rPr>
          <w:bCs/>
          <w:sz w:val="24"/>
        </w:rPr>
        <w:t xml:space="preserve"> </w:t>
      </w:r>
    </w:p>
    <w:p w14:paraId="6B395876">
      <w:pPr>
        <w:spacing w:line="276" w:lineRule="auto"/>
        <w:rPr>
          <w:bCs/>
          <w:sz w:val="24"/>
        </w:rPr>
      </w:pPr>
    </w:p>
    <w:p w14:paraId="12039098">
      <w:pPr>
        <w:snapToGrid w:val="0"/>
        <w:spacing w:before="120" w:beforeLines="50" w:after="50" w:line="440" w:lineRule="exact"/>
        <w:jc w:val="left"/>
        <w:outlineLvl w:val="1"/>
        <w:rPr>
          <w:bCs/>
          <w:sz w:val="24"/>
        </w:rPr>
      </w:pPr>
      <w:r>
        <w:rPr>
          <w:szCs w:val="21"/>
        </w:rPr>
        <w:br w:type="page"/>
      </w:r>
      <w:r>
        <w:rPr>
          <w:rFonts w:hint="eastAsia"/>
          <w:bCs/>
          <w:sz w:val="24"/>
        </w:rPr>
        <w:t>2</w:t>
      </w:r>
      <w:r>
        <w:rPr>
          <w:bCs/>
          <w:sz w:val="24"/>
        </w:rPr>
        <w:t>．投标文件封面参考格式</w:t>
      </w:r>
      <w:r>
        <w:rPr>
          <w:rFonts w:hint="eastAsia"/>
          <w:bCs/>
          <w:sz w:val="24"/>
        </w:rPr>
        <w:t>（商务技术文件）</w:t>
      </w:r>
      <w:r>
        <w:rPr>
          <w:bCs/>
          <w:sz w:val="24"/>
        </w:rPr>
        <w:t>：</w:t>
      </w:r>
    </w:p>
    <w:p w14:paraId="2DCED616">
      <w:pPr>
        <w:snapToGrid w:val="0"/>
        <w:spacing w:before="120" w:beforeLines="50" w:after="50" w:line="360" w:lineRule="exact"/>
        <w:rPr>
          <w:sz w:val="24"/>
        </w:rPr>
      </w:pPr>
    </w:p>
    <w:p w14:paraId="72F7CCAD">
      <w:pPr>
        <w:snapToGrid w:val="0"/>
        <w:spacing w:before="120" w:beforeLines="50" w:after="50" w:line="360" w:lineRule="exact"/>
        <w:jc w:val="center"/>
        <w:rPr>
          <w:bCs/>
          <w:sz w:val="24"/>
        </w:rPr>
      </w:pPr>
    </w:p>
    <w:p w14:paraId="2773FC04">
      <w:pPr>
        <w:snapToGrid w:val="0"/>
        <w:spacing w:before="120" w:beforeLines="50" w:after="50" w:line="360" w:lineRule="exact"/>
        <w:jc w:val="center"/>
        <w:rPr>
          <w:b/>
          <w:bCs/>
          <w:sz w:val="44"/>
          <w:szCs w:val="44"/>
        </w:rPr>
      </w:pPr>
      <w:r>
        <w:rPr>
          <w:rFonts w:hint="eastAsia"/>
          <w:b/>
          <w:bCs/>
          <w:sz w:val="44"/>
          <w:szCs w:val="44"/>
        </w:rPr>
        <w:t>电子</w:t>
      </w:r>
      <w:r>
        <w:rPr>
          <w:b/>
          <w:bCs/>
          <w:sz w:val="44"/>
          <w:szCs w:val="44"/>
        </w:rPr>
        <w:t>投标文件</w:t>
      </w:r>
    </w:p>
    <w:p w14:paraId="2797DFF9">
      <w:pPr>
        <w:snapToGrid w:val="0"/>
        <w:spacing w:before="120" w:beforeLines="50" w:after="50" w:line="360" w:lineRule="exact"/>
        <w:jc w:val="center"/>
        <w:rPr>
          <w:b/>
          <w:bCs/>
          <w:sz w:val="44"/>
          <w:szCs w:val="44"/>
        </w:rPr>
      </w:pPr>
    </w:p>
    <w:p w14:paraId="087827FB">
      <w:pPr>
        <w:snapToGrid w:val="0"/>
        <w:spacing w:before="120" w:beforeLines="50" w:after="50" w:line="360" w:lineRule="exact"/>
        <w:jc w:val="center"/>
        <w:rPr>
          <w:b/>
          <w:bCs/>
          <w:sz w:val="44"/>
          <w:szCs w:val="44"/>
        </w:rPr>
      </w:pPr>
    </w:p>
    <w:p w14:paraId="04A27778">
      <w:pPr>
        <w:snapToGrid w:val="0"/>
        <w:spacing w:before="120" w:beforeLines="50" w:after="50" w:line="360" w:lineRule="exact"/>
        <w:jc w:val="center"/>
        <w:rPr>
          <w:b/>
          <w:bCs/>
          <w:sz w:val="44"/>
          <w:szCs w:val="44"/>
        </w:rPr>
      </w:pPr>
      <w:r>
        <w:rPr>
          <w:b/>
          <w:bCs/>
          <w:sz w:val="44"/>
          <w:szCs w:val="44"/>
        </w:rPr>
        <w:t>商务技术文件</w:t>
      </w:r>
    </w:p>
    <w:p w14:paraId="67CDDB4E">
      <w:pPr>
        <w:snapToGrid w:val="0"/>
        <w:spacing w:before="120" w:beforeLines="50" w:after="50" w:line="360" w:lineRule="exact"/>
        <w:rPr>
          <w:bCs/>
          <w:sz w:val="24"/>
        </w:rPr>
      </w:pPr>
    </w:p>
    <w:p w14:paraId="5F633FB0">
      <w:pPr>
        <w:snapToGrid w:val="0"/>
        <w:spacing w:before="120" w:beforeLines="50" w:after="50" w:line="360" w:lineRule="exact"/>
        <w:rPr>
          <w:bCs/>
          <w:sz w:val="24"/>
        </w:rPr>
      </w:pPr>
    </w:p>
    <w:p w14:paraId="7D8F228B">
      <w:pPr>
        <w:snapToGrid w:val="0"/>
        <w:spacing w:before="120" w:beforeLines="50" w:after="50" w:line="360" w:lineRule="exact"/>
        <w:rPr>
          <w:bCs/>
          <w:sz w:val="24"/>
        </w:rPr>
      </w:pPr>
    </w:p>
    <w:p w14:paraId="772D2601">
      <w:pPr>
        <w:snapToGrid w:val="0"/>
        <w:spacing w:before="120" w:beforeLines="50" w:after="50" w:line="360" w:lineRule="exact"/>
        <w:ind w:firstLine="720" w:firstLineChars="300"/>
        <w:rPr>
          <w:bCs/>
          <w:sz w:val="24"/>
        </w:rPr>
      </w:pPr>
      <w:r>
        <w:rPr>
          <w:bCs/>
          <w:sz w:val="24"/>
        </w:rPr>
        <w:t xml:space="preserve">项目名称： </w:t>
      </w:r>
    </w:p>
    <w:p w14:paraId="1A17E9C7">
      <w:pPr>
        <w:snapToGrid w:val="0"/>
        <w:spacing w:before="120" w:beforeLines="50" w:after="50" w:line="360" w:lineRule="exact"/>
        <w:ind w:firstLine="720" w:firstLineChars="300"/>
        <w:rPr>
          <w:bCs/>
          <w:sz w:val="24"/>
        </w:rPr>
      </w:pPr>
      <w:r>
        <w:rPr>
          <w:bCs/>
          <w:sz w:val="24"/>
        </w:rPr>
        <w:t>项目编号：</w:t>
      </w:r>
    </w:p>
    <w:p w14:paraId="2270430C">
      <w:pPr>
        <w:snapToGrid w:val="0"/>
        <w:spacing w:before="120" w:beforeLines="50" w:after="50" w:line="360" w:lineRule="exact"/>
        <w:ind w:firstLine="720" w:firstLineChars="300"/>
        <w:rPr>
          <w:bCs/>
          <w:sz w:val="24"/>
        </w:rPr>
      </w:pPr>
      <w:r>
        <w:rPr>
          <w:bCs/>
          <w:sz w:val="24"/>
        </w:rPr>
        <w:t>分标号：（若无</w:t>
      </w:r>
      <w:r>
        <w:rPr>
          <w:rFonts w:hint="eastAsia"/>
          <w:bCs/>
          <w:sz w:val="24"/>
        </w:rPr>
        <w:t>留空或写</w:t>
      </w:r>
      <w:r>
        <w:rPr>
          <w:bCs/>
          <w:sz w:val="24"/>
        </w:rPr>
        <w:t>“/”）</w:t>
      </w:r>
    </w:p>
    <w:p w14:paraId="47C8EF56">
      <w:pPr>
        <w:snapToGrid w:val="0"/>
        <w:spacing w:before="120" w:beforeLines="50" w:after="50" w:line="360" w:lineRule="exact"/>
        <w:ind w:firstLine="720" w:firstLineChars="300"/>
        <w:rPr>
          <w:bCs/>
          <w:sz w:val="24"/>
        </w:rPr>
      </w:pPr>
      <w:r>
        <w:rPr>
          <w:bCs/>
          <w:sz w:val="24"/>
        </w:rPr>
        <w:t>供应商名称：</w:t>
      </w:r>
    </w:p>
    <w:p w14:paraId="02929721">
      <w:pPr>
        <w:snapToGrid w:val="0"/>
        <w:spacing w:before="120" w:beforeLines="50" w:after="50" w:line="360" w:lineRule="exact"/>
        <w:ind w:firstLine="720" w:firstLineChars="300"/>
        <w:rPr>
          <w:bCs/>
          <w:sz w:val="24"/>
        </w:rPr>
      </w:pPr>
      <w:r>
        <w:rPr>
          <w:bCs/>
          <w:sz w:val="24"/>
        </w:rPr>
        <w:t>供应商地址：</w:t>
      </w:r>
    </w:p>
    <w:p w14:paraId="4CBC7B25">
      <w:pPr>
        <w:pStyle w:val="7"/>
        <w:snapToGrid w:val="0"/>
        <w:spacing w:before="50" w:after="50" w:line="360" w:lineRule="exact"/>
        <w:ind w:firstLine="960" w:firstLineChars="400"/>
        <w:rPr>
          <w:bCs/>
          <w:sz w:val="24"/>
          <w:szCs w:val="24"/>
        </w:rPr>
      </w:pPr>
    </w:p>
    <w:p w14:paraId="75CD1015">
      <w:pPr>
        <w:snapToGrid w:val="0"/>
        <w:spacing w:before="120" w:beforeLines="50" w:after="50" w:line="360" w:lineRule="exact"/>
        <w:jc w:val="center"/>
        <w:rPr>
          <w:sz w:val="24"/>
        </w:rPr>
      </w:pPr>
      <w:r>
        <w:rPr>
          <w:sz w:val="24"/>
        </w:rPr>
        <w:t xml:space="preserve">                        年  月  日</w:t>
      </w:r>
    </w:p>
    <w:p w14:paraId="56EEFE12">
      <w:pPr>
        <w:snapToGrid w:val="0"/>
        <w:spacing w:before="50" w:after="50" w:line="440" w:lineRule="exact"/>
        <w:ind w:firstLine="102" w:firstLineChars="49"/>
        <w:jc w:val="center"/>
        <w:rPr>
          <w:b/>
          <w:sz w:val="28"/>
          <w:szCs w:val="28"/>
        </w:rPr>
      </w:pPr>
      <w:r>
        <w:br w:type="page"/>
      </w:r>
      <w:r>
        <w:rPr>
          <w:b/>
          <w:sz w:val="28"/>
          <w:szCs w:val="28"/>
        </w:rPr>
        <w:t>目录</w:t>
      </w:r>
    </w:p>
    <w:p w14:paraId="2995EFE7">
      <w:pPr>
        <w:snapToGrid w:val="0"/>
        <w:spacing w:before="50" w:after="50" w:line="440" w:lineRule="exact"/>
        <w:ind w:firstLine="118" w:firstLineChars="49"/>
        <w:jc w:val="center"/>
        <w:rPr>
          <w:b/>
          <w:sz w:val="24"/>
        </w:rPr>
      </w:pPr>
      <w:r>
        <w:rPr>
          <w:b/>
          <w:sz w:val="24"/>
        </w:rPr>
        <w:t>（应有页码）</w:t>
      </w:r>
    </w:p>
    <w:p w14:paraId="782131F4">
      <w:pPr>
        <w:jc w:val="center"/>
      </w:pPr>
      <w:r>
        <w:br w:type="page"/>
      </w:r>
    </w:p>
    <w:p w14:paraId="2C8650F5">
      <w:pPr>
        <w:snapToGrid w:val="0"/>
        <w:spacing w:before="120" w:beforeLines="50" w:after="50" w:line="440" w:lineRule="exact"/>
        <w:jc w:val="center"/>
        <w:outlineLvl w:val="1"/>
        <w:rPr>
          <w:bCs/>
          <w:sz w:val="24"/>
        </w:rPr>
      </w:pPr>
      <w:bookmarkStart w:id="122" w:name="_Toc462320613"/>
      <w:bookmarkStart w:id="123" w:name="_Toc462223472"/>
      <w:bookmarkStart w:id="124" w:name="_Toc455309222"/>
      <w:r>
        <w:rPr>
          <w:bCs/>
          <w:sz w:val="24"/>
        </w:rPr>
        <w:t>第一部分 商务</w:t>
      </w:r>
      <w:r>
        <w:rPr>
          <w:rFonts w:hint="eastAsia"/>
          <w:bCs/>
          <w:sz w:val="24"/>
        </w:rPr>
        <w:t>技术</w:t>
      </w:r>
      <w:r>
        <w:rPr>
          <w:bCs/>
          <w:sz w:val="24"/>
        </w:rPr>
        <w:t>文件</w:t>
      </w:r>
    </w:p>
    <w:p w14:paraId="37DC8F76">
      <w:pPr>
        <w:jc w:val="center"/>
        <w:rPr>
          <w:bCs/>
          <w:sz w:val="24"/>
        </w:rPr>
      </w:pPr>
      <w:r>
        <w:t>（本商务</w:t>
      </w:r>
      <w:r>
        <w:rPr>
          <w:rFonts w:hint="eastAsia"/>
        </w:rPr>
        <w:t>技术</w:t>
      </w:r>
      <w:r>
        <w:t>文件供应商可自行编写，也可参照下述提纲编写）</w:t>
      </w:r>
    </w:p>
    <w:p w14:paraId="23786E25">
      <w:pPr>
        <w:rPr>
          <w:szCs w:val="21"/>
        </w:rPr>
      </w:pPr>
    </w:p>
    <w:p w14:paraId="5E2657D5">
      <w:pPr>
        <w:rPr>
          <w:b/>
          <w:szCs w:val="21"/>
        </w:rPr>
      </w:pPr>
      <w:r>
        <w:rPr>
          <w:szCs w:val="21"/>
        </w:rPr>
        <w:t>1．法定代表人身份证明</w:t>
      </w:r>
      <w:r>
        <w:rPr>
          <w:rFonts w:hint="eastAsia"/>
          <w:b/>
          <w:szCs w:val="21"/>
        </w:rPr>
        <w:t>（无授权</w:t>
      </w:r>
      <w:r>
        <w:rPr>
          <w:b/>
          <w:szCs w:val="21"/>
        </w:rPr>
        <w:t>代表</w:t>
      </w:r>
      <w:r>
        <w:rPr>
          <w:rFonts w:hint="eastAsia"/>
          <w:b/>
          <w:szCs w:val="21"/>
        </w:rPr>
        <w:t>时提供）</w:t>
      </w:r>
      <w:r>
        <w:rPr>
          <w:b/>
          <w:szCs w:val="21"/>
        </w:rPr>
        <w:t>：</w:t>
      </w:r>
    </w:p>
    <w:p w14:paraId="000470C8">
      <w:pPr>
        <w:jc w:val="center"/>
      </w:pPr>
    </w:p>
    <w:bookmarkEnd w:id="122"/>
    <w:bookmarkEnd w:id="123"/>
    <w:bookmarkEnd w:id="124"/>
    <w:p w14:paraId="4567596F">
      <w:pPr>
        <w:snapToGrid w:val="0"/>
        <w:spacing w:before="120" w:beforeLines="50" w:after="50" w:line="440" w:lineRule="exact"/>
        <w:jc w:val="center"/>
        <w:rPr>
          <w:b/>
          <w:szCs w:val="21"/>
        </w:rPr>
      </w:pPr>
      <w:r>
        <w:rPr>
          <w:b/>
          <w:szCs w:val="21"/>
        </w:rPr>
        <w:t>法定代表人身份证明</w:t>
      </w:r>
    </w:p>
    <w:p w14:paraId="28DEDAAF">
      <w:pPr>
        <w:spacing w:line="360" w:lineRule="auto"/>
      </w:pPr>
    </w:p>
    <w:p w14:paraId="0878275F">
      <w:pPr>
        <w:spacing w:line="540" w:lineRule="exact"/>
        <w:rPr>
          <w:szCs w:val="21"/>
        </w:rPr>
      </w:pPr>
      <w:r>
        <w:rPr>
          <w:szCs w:val="21"/>
        </w:rPr>
        <w:t>供应商名称：</w:t>
      </w:r>
      <w:r>
        <w:rPr>
          <w:szCs w:val="21"/>
          <w:u w:val="single"/>
        </w:rPr>
        <w:t xml:space="preserve">                                         </w:t>
      </w:r>
    </w:p>
    <w:p w14:paraId="048B190B">
      <w:pPr>
        <w:spacing w:line="540" w:lineRule="exact"/>
        <w:rPr>
          <w:szCs w:val="21"/>
        </w:rPr>
      </w:pPr>
      <w:r>
        <w:rPr>
          <w:szCs w:val="21"/>
        </w:rPr>
        <w:t>单位性质：</w:t>
      </w:r>
      <w:r>
        <w:rPr>
          <w:szCs w:val="21"/>
          <w:u w:val="single"/>
        </w:rPr>
        <w:t xml:space="preserve">                                           </w:t>
      </w:r>
    </w:p>
    <w:p w14:paraId="674C70F1">
      <w:pPr>
        <w:spacing w:line="540" w:lineRule="exact"/>
        <w:rPr>
          <w:szCs w:val="21"/>
        </w:rPr>
      </w:pPr>
      <w:r>
        <w:rPr>
          <w:szCs w:val="21"/>
        </w:rPr>
        <w:t>地址：</w:t>
      </w:r>
      <w:r>
        <w:rPr>
          <w:szCs w:val="21"/>
          <w:u w:val="single"/>
        </w:rPr>
        <w:t xml:space="preserve">                                               </w:t>
      </w:r>
    </w:p>
    <w:p w14:paraId="7A95C55C">
      <w:pPr>
        <w:spacing w:line="540" w:lineRule="exact"/>
        <w:rPr>
          <w:szCs w:val="21"/>
          <w:u w:val="single"/>
        </w:rPr>
      </w:pPr>
      <w:r>
        <w:rPr>
          <w:szCs w:val="21"/>
        </w:rPr>
        <w:t>成立时间：</w:t>
      </w:r>
      <w:r>
        <w:rPr>
          <w:szCs w:val="21"/>
          <w:u w:val="single"/>
        </w:rPr>
        <w:t xml:space="preserve">          年        月        日</w:t>
      </w:r>
    </w:p>
    <w:p w14:paraId="5EC14545">
      <w:pPr>
        <w:spacing w:line="540" w:lineRule="exact"/>
        <w:rPr>
          <w:szCs w:val="21"/>
        </w:rPr>
      </w:pPr>
      <w:r>
        <w:rPr>
          <w:szCs w:val="21"/>
        </w:rPr>
        <w:t>经营期限：</w:t>
      </w:r>
      <w:r>
        <w:rPr>
          <w:szCs w:val="21"/>
          <w:u w:val="single"/>
        </w:rPr>
        <w:t xml:space="preserve">                                           </w:t>
      </w:r>
    </w:p>
    <w:p w14:paraId="378B42CE">
      <w:pPr>
        <w:spacing w:line="540" w:lineRule="exact"/>
        <w:rPr>
          <w:szCs w:val="21"/>
        </w:rPr>
      </w:pPr>
      <w:r>
        <w:rPr>
          <w:szCs w:val="21"/>
        </w:rPr>
        <w:t>姓名：</w:t>
      </w:r>
      <w:r>
        <w:rPr>
          <w:szCs w:val="21"/>
          <w:u w:val="single"/>
        </w:rPr>
        <w:t xml:space="preserve">                   </w:t>
      </w:r>
      <w:r>
        <w:rPr>
          <w:szCs w:val="21"/>
        </w:rPr>
        <w:t>；性别：</w:t>
      </w:r>
      <w:r>
        <w:rPr>
          <w:szCs w:val="21"/>
          <w:u w:val="single"/>
        </w:rPr>
        <w:t xml:space="preserve">              </w:t>
      </w:r>
      <w:r>
        <w:rPr>
          <w:szCs w:val="21"/>
        </w:rPr>
        <w:t xml:space="preserve">        </w:t>
      </w:r>
    </w:p>
    <w:p w14:paraId="748EB166">
      <w:pPr>
        <w:spacing w:line="540" w:lineRule="exact"/>
        <w:rPr>
          <w:szCs w:val="21"/>
        </w:rPr>
      </w:pPr>
      <w:r>
        <w:rPr>
          <w:szCs w:val="21"/>
        </w:rPr>
        <w:t>年龄：</w:t>
      </w:r>
      <w:r>
        <w:rPr>
          <w:szCs w:val="21"/>
          <w:u w:val="single"/>
        </w:rPr>
        <w:t xml:space="preserve">         </w:t>
      </w:r>
      <w:r>
        <w:rPr>
          <w:szCs w:val="21"/>
        </w:rPr>
        <w:t>；职务：</w:t>
      </w:r>
      <w:r>
        <w:rPr>
          <w:szCs w:val="21"/>
          <w:u w:val="single"/>
        </w:rPr>
        <w:t xml:space="preserve">              </w:t>
      </w:r>
      <w:r>
        <w:rPr>
          <w:szCs w:val="21"/>
        </w:rPr>
        <w:t>；身份证：</w:t>
      </w:r>
      <w:r>
        <w:rPr>
          <w:szCs w:val="21"/>
          <w:u w:val="single"/>
        </w:rPr>
        <w:t xml:space="preserve">                                      </w:t>
      </w:r>
    </w:p>
    <w:p w14:paraId="21388AB8">
      <w:pPr>
        <w:spacing w:line="540" w:lineRule="exact"/>
        <w:rPr>
          <w:szCs w:val="21"/>
        </w:rPr>
      </w:pPr>
      <w:r>
        <w:rPr>
          <w:szCs w:val="21"/>
        </w:rPr>
        <w:t>系</w:t>
      </w:r>
      <w:r>
        <w:rPr>
          <w:szCs w:val="21"/>
          <w:u w:val="single"/>
        </w:rPr>
        <w:t xml:space="preserve">                                      （ 供应商名称）</w:t>
      </w:r>
      <w:r>
        <w:rPr>
          <w:szCs w:val="21"/>
        </w:rPr>
        <w:t>的法定代表人。</w:t>
      </w:r>
    </w:p>
    <w:p w14:paraId="112E87A5">
      <w:pPr>
        <w:spacing w:line="540" w:lineRule="exact"/>
        <w:rPr>
          <w:szCs w:val="21"/>
        </w:rPr>
      </w:pPr>
    </w:p>
    <w:p w14:paraId="41166D67">
      <w:pPr>
        <w:spacing w:line="540" w:lineRule="exact"/>
        <w:ind w:firstLine="420" w:firstLineChars="200"/>
        <w:rPr>
          <w:szCs w:val="21"/>
        </w:rPr>
      </w:pPr>
      <w:r>
        <w:rPr>
          <w:szCs w:val="21"/>
        </w:rPr>
        <w:t>特此证明。</w:t>
      </w:r>
    </w:p>
    <w:p w14:paraId="146FE58F">
      <w:pPr>
        <w:spacing w:line="360" w:lineRule="auto"/>
        <w:ind w:firstLine="4830" w:firstLineChars="2300"/>
        <w:rPr>
          <w:szCs w:val="21"/>
        </w:rPr>
      </w:pPr>
    </w:p>
    <w:p w14:paraId="23C649F6">
      <w:pPr>
        <w:spacing w:line="360" w:lineRule="auto"/>
        <w:ind w:firstLine="4830" w:firstLineChars="2300"/>
        <w:rPr>
          <w:szCs w:val="21"/>
        </w:rPr>
      </w:pPr>
    </w:p>
    <w:p w14:paraId="09101FE3">
      <w:pPr>
        <w:spacing w:line="360" w:lineRule="auto"/>
        <w:ind w:firstLine="4830" w:firstLineChars="2300"/>
        <w:rPr>
          <w:szCs w:val="21"/>
          <w:u w:val="single"/>
        </w:rPr>
      </w:pPr>
      <w:r>
        <w:rPr>
          <w:szCs w:val="21"/>
        </w:rPr>
        <w:t>供应商</w:t>
      </w:r>
      <w:r>
        <w:rPr>
          <w:rFonts w:hint="eastAsia"/>
          <w:szCs w:val="21"/>
        </w:rPr>
        <w:t>名称(电子签章</w:t>
      </w:r>
      <w:r>
        <w:rPr>
          <w:szCs w:val="21"/>
        </w:rPr>
        <w:t>)：</w:t>
      </w:r>
      <w:r>
        <w:rPr>
          <w:szCs w:val="21"/>
          <w:u w:val="single"/>
        </w:rPr>
        <w:t xml:space="preserve">      </w:t>
      </w:r>
    </w:p>
    <w:p w14:paraId="4AA3FFD0">
      <w:pPr>
        <w:spacing w:line="360" w:lineRule="auto"/>
        <w:ind w:firstLine="3570" w:firstLineChars="1700"/>
        <w:rPr>
          <w:szCs w:val="21"/>
        </w:rPr>
      </w:pPr>
      <w:r>
        <w:rPr>
          <w:rFonts w:hint="eastAsia"/>
          <w:szCs w:val="21"/>
        </w:rPr>
        <w:t>法定代表人或者委托代理人（签字或者电子签名）：</w:t>
      </w:r>
      <w:r>
        <w:rPr>
          <w:szCs w:val="21"/>
          <w:u w:val="single"/>
        </w:rPr>
        <w:t xml:space="preserve">          </w:t>
      </w:r>
    </w:p>
    <w:p w14:paraId="109998D2">
      <w:pPr>
        <w:spacing w:line="360" w:lineRule="auto"/>
        <w:jc w:val="right"/>
        <w:rPr>
          <w:szCs w:val="21"/>
        </w:rPr>
      </w:pPr>
      <w:r>
        <w:rPr>
          <w:szCs w:val="21"/>
        </w:rPr>
        <w:t xml:space="preserve">                                                                                              年       月       日 </w:t>
      </w:r>
    </w:p>
    <w:p w14:paraId="6F8863FD">
      <w:pPr>
        <w:spacing w:line="360" w:lineRule="auto"/>
        <w:ind w:firstLine="420" w:firstLineChars="200"/>
        <w:rPr>
          <w:szCs w:val="21"/>
        </w:rPr>
      </w:pPr>
    </w:p>
    <w:p w14:paraId="5E70C77C">
      <w:pPr>
        <w:spacing w:line="360" w:lineRule="auto"/>
        <w:rPr>
          <w:szCs w:val="21"/>
        </w:rPr>
      </w:pPr>
      <w:r>
        <w:rPr>
          <w:szCs w:val="21"/>
        </w:rPr>
        <w:t>附件：法定代表人身份证复印件</w:t>
      </w:r>
    </w:p>
    <w:p w14:paraId="27A1D383">
      <w:pPr>
        <w:spacing w:line="360" w:lineRule="auto"/>
        <w:rPr>
          <w:szCs w:val="21"/>
        </w:rPr>
      </w:pPr>
    </w:p>
    <w:p w14:paraId="063C1EE9">
      <w:pPr>
        <w:snapToGrid w:val="0"/>
        <w:spacing w:before="120" w:beforeLines="50" w:after="50" w:line="360" w:lineRule="exact"/>
        <w:rPr>
          <w:b/>
          <w:szCs w:val="21"/>
        </w:rPr>
      </w:pPr>
      <w:r>
        <w:rPr>
          <w:b/>
          <w:szCs w:val="21"/>
        </w:rPr>
        <w:br w:type="page"/>
      </w:r>
      <w:r>
        <w:rPr>
          <w:rFonts w:hint="eastAsia"/>
          <w:b/>
          <w:szCs w:val="21"/>
        </w:rPr>
        <w:t>2</w:t>
      </w:r>
      <w:r>
        <w:rPr>
          <w:b/>
          <w:szCs w:val="21"/>
        </w:rPr>
        <w:t>．</w:t>
      </w:r>
      <w:r>
        <w:rPr>
          <w:rFonts w:hint="eastAsia"/>
          <w:b/>
          <w:szCs w:val="21"/>
        </w:rPr>
        <w:t>授权</w:t>
      </w:r>
      <w:r>
        <w:rPr>
          <w:b/>
          <w:szCs w:val="21"/>
        </w:rPr>
        <w:t>委托书</w:t>
      </w:r>
      <w:r>
        <w:rPr>
          <w:rFonts w:hint="eastAsia"/>
          <w:b/>
          <w:szCs w:val="21"/>
        </w:rPr>
        <w:t>（有授权</w:t>
      </w:r>
      <w:r>
        <w:rPr>
          <w:b/>
          <w:szCs w:val="21"/>
        </w:rPr>
        <w:t>代表</w:t>
      </w:r>
      <w:r>
        <w:rPr>
          <w:rFonts w:hint="eastAsia"/>
          <w:b/>
          <w:szCs w:val="21"/>
        </w:rPr>
        <w:t>时提供）</w:t>
      </w:r>
      <w:r>
        <w:rPr>
          <w:b/>
          <w:szCs w:val="21"/>
        </w:rPr>
        <w:t>：</w:t>
      </w:r>
    </w:p>
    <w:p w14:paraId="4B7A8DB6">
      <w:pPr>
        <w:snapToGrid w:val="0"/>
        <w:spacing w:before="120" w:beforeLines="50" w:after="50" w:line="360" w:lineRule="exact"/>
        <w:rPr>
          <w:b/>
          <w:szCs w:val="21"/>
        </w:rPr>
      </w:pPr>
    </w:p>
    <w:p w14:paraId="379B5A61">
      <w:pPr>
        <w:snapToGrid w:val="0"/>
        <w:spacing w:before="120" w:beforeLines="50" w:after="50" w:line="440" w:lineRule="exact"/>
        <w:jc w:val="center"/>
        <w:rPr>
          <w:b/>
          <w:szCs w:val="21"/>
        </w:rPr>
      </w:pPr>
      <w:r>
        <w:rPr>
          <w:b/>
          <w:szCs w:val="21"/>
        </w:rPr>
        <w:t>法定代表人授权委托书</w:t>
      </w:r>
    </w:p>
    <w:p w14:paraId="5DE71E38">
      <w:pPr>
        <w:snapToGrid w:val="0"/>
        <w:spacing w:before="120" w:beforeLines="50" w:after="50" w:line="440" w:lineRule="exact"/>
        <w:rPr>
          <w:b/>
          <w:bCs/>
          <w:szCs w:val="21"/>
        </w:rPr>
      </w:pPr>
      <w:r>
        <w:rPr>
          <w:bCs/>
          <w:szCs w:val="21"/>
        </w:rPr>
        <w:t>致：</w:t>
      </w:r>
      <w:r>
        <w:rPr>
          <w:i/>
          <w:iCs/>
          <w:szCs w:val="21"/>
          <w:u w:val="single"/>
        </w:rPr>
        <w:t>（采购</w:t>
      </w:r>
      <w:r>
        <w:rPr>
          <w:rFonts w:hint="eastAsia"/>
          <w:i/>
          <w:iCs/>
          <w:szCs w:val="21"/>
          <w:u w:val="single"/>
        </w:rPr>
        <w:t>人</w:t>
      </w:r>
      <w:r>
        <w:rPr>
          <w:i/>
          <w:iCs/>
          <w:szCs w:val="21"/>
          <w:u w:val="single"/>
        </w:rPr>
        <w:t>名称）</w:t>
      </w:r>
      <w:r>
        <w:rPr>
          <w:szCs w:val="21"/>
        </w:rPr>
        <w:t>：</w:t>
      </w:r>
    </w:p>
    <w:p w14:paraId="067F222A">
      <w:pPr>
        <w:snapToGrid w:val="0"/>
        <w:spacing w:before="120" w:beforeLines="50" w:after="50" w:line="440" w:lineRule="exact"/>
        <w:ind w:firstLine="420" w:firstLineChars="200"/>
        <w:rPr>
          <w:szCs w:val="21"/>
        </w:rPr>
      </w:pPr>
      <w:r>
        <w:rPr>
          <w:szCs w:val="21"/>
        </w:rPr>
        <w:t>我__</w:t>
      </w:r>
      <w:r>
        <w:rPr>
          <w:i/>
          <w:iCs/>
          <w:szCs w:val="21"/>
          <w:u w:val="single"/>
        </w:rPr>
        <w:t>（</w:t>
      </w:r>
      <w:r>
        <w:rPr>
          <w:rFonts w:hint="eastAsia"/>
          <w:i/>
          <w:iCs/>
          <w:szCs w:val="21"/>
          <w:u w:val="single"/>
        </w:rPr>
        <w:t>法定代表人姓名</w:t>
      </w:r>
      <w:r>
        <w:rPr>
          <w:i/>
          <w:iCs/>
          <w:szCs w:val="21"/>
          <w:u w:val="single"/>
        </w:rPr>
        <w:t>）</w:t>
      </w:r>
      <w:r>
        <w:rPr>
          <w:szCs w:val="21"/>
        </w:rPr>
        <w:t>_系_</w:t>
      </w:r>
      <w:r>
        <w:rPr>
          <w:i/>
          <w:iCs/>
          <w:szCs w:val="21"/>
          <w:u w:val="single"/>
        </w:rPr>
        <w:t>（供应商名称）</w:t>
      </w:r>
      <w:r>
        <w:rPr>
          <w:szCs w:val="21"/>
        </w:rPr>
        <w:t xml:space="preserve">_的法定代表人，现授权委托本单位在职职工 </w:t>
      </w:r>
      <w:r>
        <w:rPr>
          <w:szCs w:val="21"/>
          <w:u w:val="single"/>
        </w:rPr>
        <w:t xml:space="preserve">        </w:t>
      </w:r>
      <w:r>
        <w:rPr>
          <w:szCs w:val="21"/>
        </w:rPr>
        <w:t>（姓名）以我方的名义参加</w:t>
      </w:r>
      <w:r>
        <w:rPr>
          <w:szCs w:val="21"/>
          <w:u w:val="single"/>
        </w:rPr>
        <w:t xml:space="preserve"> </w:t>
      </w:r>
      <w:r>
        <w:rPr>
          <w:rFonts w:hint="eastAsia"/>
          <w:i/>
          <w:iCs/>
          <w:szCs w:val="21"/>
          <w:u w:val="single"/>
        </w:rPr>
        <w:t>（项目名称）</w:t>
      </w:r>
      <w:r>
        <w:rPr>
          <w:szCs w:val="21"/>
          <w:u w:val="single"/>
        </w:rPr>
        <w:t xml:space="preserve"> </w:t>
      </w:r>
      <w:r>
        <w:rPr>
          <w:szCs w:val="21"/>
        </w:rPr>
        <w:t>项目的投标活动，并代表我方全权办理针对上述项目的投标、开标、评审、签约等具体事务和签署相关文件。</w:t>
      </w:r>
    </w:p>
    <w:p w14:paraId="564E543D">
      <w:pPr>
        <w:snapToGrid w:val="0"/>
        <w:spacing w:before="120" w:beforeLines="50" w:after="50" w:line="440" w:lineRule="exact"/>
        <w:rPr>
          <w:szCs w:val="21"/>
        </w:rPr>
      </w:pPr>
      <w:r>
        <w:rPr>
          <w:szCs w:val="21"/>
        </w:rPr>
        <w:t xml:space="preserve">    我方对被授权人的签名事项负全部责任。</w:t>
      </w:r>
    </w:p>
    <w:p w14:paraId="16027DBB">
      <w:pPr>
        <w:snapToGrid w:val="0"/>
        <w:spacing w:before="120" w:beforeLines="50" w:after="50" w:line="440" w:lineRule="exact"/>
        <w:ind w:firstLine="480"/>
        <w:rPr>
          <w:szCs w:val="21"/>
        </w:rPr>
      </w:pPr>
      <w:r>
        <w:rPr>
          <w:szCs w:val="21"/>
        </w:rPr>
        <w:t>在撤销授权的书面通知以前，本授权书一直有效。被授权人在授权书有效期内签署的所有文件不因授权的撤销而失效。</w:t>
      </w:r>
    </w:p>
    <w:p w14:paraId="789E330A">
      <w:pPr>
        <w:snapToGrid w:val="0"/>
        <w:spacing w:before="120" w:beforeLines="50" w:after="50" w:line="440" w:lineRule="exact"/>
        <w:ind w:firstLine="480"/>
        <w:rPr>
          <w:szCs w:val="21"/>
        </w:rPr>
      </w:pPr>
      <w:r>
        <w:rPr>
          <w:szCs w:val="21"/>
        </w:rPr>
        <w:t>被授权人无转委托权，特此委托。</w:t>
      </w:r>
    </w:p>
    <w:p w14:paraId="68190B1B">
      <w:pPr>
        <w:snapToGrid w:val="0"/>
        <w:spacing w:before="120" w:beforeLines="50" w:after="50" w:line="440" w:lineRule="exact"/>
        <w:rPr>
          <w:szCs w:val="21"/>
          <w:u w:val="single"/>
        </w:rPr>
      </w:pPr>
      <w:r>
        <w:rPr>
          <w:szCs w:val="21"/>
        </w:rPr>
        <w:t>被授权人签字或</w:t>
      </w:r>
      <w:r>
        <w:rPr>
          <w:rFonts w:hint="eastAsia"/>
          <w:szCs w:val="21"/>
        </w:rPr>
        <w:t>签章</w:t>
      </w:r>
      <w:r>
        <w:rPr>
          <w:szCs w:val="21"/>
        </w:rPr>
        <w:t>：</w:t>
      </w:r>
      <w:r>
        <w:rPr>
          <w:szCs w:val="21"/>
          <w:u w:val="single"/>
        </w:rPr>
        <w:t xml:space="preserve">          </w:t>
      </w:r>
      <w:r>
        <w:rPr>
          <w:szCs w:val="21"/>
        </w:rPr>
        <w:t xml:space="preserve">                     法定代表人签字或</w:t>
      </w:r>
      <w:r>
        <w:rPr>
          <w:rFonts w:hint="eastAsia"/>
          <w:szCs w:val="21"/>
        </w:rPr>
        <w:t>签章</w:t>
      </w:r>
      <w:r>
        <w:rPr>
          <w:szCs w:val="21"/>
        </w:rPr>
        <w:t>：</w:t>
      </w:r>
      <w:r>
        <w:rPr>
          <w:szCs w:val="21"/>
          <w:u w:val="single"/>
        </w:rPr>
        <w:t xml:space="preserve">          </w:t>
      </w:r>
    </w:p>
    <w:p w14:paraId="23CBEA0B">
      <w:pPr>
        <w:snapToGrid w:val="0"/>
        <w:spacing w:before="120" w:beforeLines="50" w:after="50" w:line="440" w:lineRule="exact"/>
        <w:rPr>
          <w:szCs w:val="21"/>
        </w:rPr>
      </w:pPr>
      <w:r>
        <w:rPr>
          <w:szCs w:val="21"/>
        </w:rPr>
        <w:t>职务：</w:t>
      </w:r>
      <w:r>
        <w:rPr>
          <w:szCs w:val="21"/>
          <w:u w:val="single"/>
        </w:rPr>
        <w:t xml:space="preserve">           </w:t>
      </w:r>
      <w:r>
        <w:rPr>
          <w:szCs w:val="21"/>
        </w:rPr>
        <w:t xml:space="preserve">                                  职务：</w:t>
      </w:r>
      <w:r>
        <w:rPr>
          <w:szCs w:val="21"/>
          <w:u w:val="single"/>
        </w:rPr>
        <w:t xml:space="preserve">           </w:t>
      </w:r>
    </w:p>
    <w:p w14:paraId="60DE7CAA">
      <w:pPr>
        <w:snapToGrid w:val="0"/>
        <w:spacing w:before="120" w:beforeLines="50" w:after="50" w:line="440" w:lineRule="exact"/>
        <w:rPr>
          <w:szCs w:val="21"/>
        </w:rPr>
      </w:pPr>
      <w:r>
        <w:rPr>
          <w:szCs w:val="21"/>
        </w:rPr>
        <w:t>被授权人身份证号码：</w:t>
      </w:r>
      <w:r>
        <w:rPr>
          <w:szCs w:val="21"/>
          <w:u w:val="single"/>
        </w:rPr>
        <w:t xml:space="preserve">                   </w:t>
      </w:r>
      <w:r>
        <w:rPr>
          <w:szCs w:val="21"/>
        </w:rPr>
        <w:t xml:space="preserve">            授权人身份证号码：</w:t>
      </w:r>
      <w:r>
        <w:rPr>
          <w:szCs w:val="21"/>
          <w:u w:val="single"/>
        </w:rPr>
        <w:t xml:space="preserve">                 </w:t>
      </w:r>
    </w:p>
    <w:p w14:paraId="52616956">
      <w:pPr>
        <w:snapToGrid w:val="0"/>
        <w:spacing w:before="120" w:beforeLines="50" w:after="50" w:line="440" w:lineRule="exact"/>
        <w:rPr>
          <w:szCs w:val="21"/>
        </w:rPr>
      </w:pPr>
      <w:bookmarkStart w:id="125" w:name="_Hlk132880052"/>
      <w:r>
        <w:rPr>
          <w:rFonts w:hint="eastAsia"/>
          <w:szCs w:val="21"/>
        </w:rPr>
        <w:t>被授权人手机号码及邮箱：</w:t>
      </w:r>
      <w:bookmarkEnd w:id="125"/>
      <w:r>
        <w:rPr>
          <w:szCs w:val="21"/>
        </w:rPr>
        <w:t xml:space="preserve">                                 </w:t>
      </w:r>
    </w:p>
    <w:p w14:paraId="7E12F170">
      <w:pPr>
        <w:snapToGrid w:val="0"/>
        <w:spacing w:before="120" w:beforeLines="50" w:after="50" w:line="440" w:lineRule="exact"/>
        <w:ind w:firstLine="5250" w:firstLineChars="2500"/>
        <w:rPr>
          <w:szCs w:val="21"/>
        </w:rPr>
      </w:pPr>
    </w:p>
    <w:p w14:paraId="37C556CA">
      <w:pPr>
        <w:snapToGrid w:val="0"/>
        <w:spacing w:before="120" w:beforeLines="50" w:after="50" w:line="440" w:lineRule="exact"/>
        <w:ind w:firstLine="5250" w:firstLineChars="2500"/>
        <w:rPr>
          <w:szCs w:val="21"/>
          <w:u w:val="single"/>
        </w:rPr>
      </w:pPr>
      <w:r>
        <w:rPr>
          <w:szCs w:val="21"/>
        </w:rPr>
        <w:t>供应商</w:t>
      </w:r>
      <w:r>
        <w:rPr>
          <w:rFonts w:hint="eastAsia"/>
          <w:szCs w:val="21"/>
        </w:rPr>
        <w:t>名称(电子签章</w:t>
      </w:r>
      <w:r>
        <w:rPr>
          <w:szCs w:val="21"/>
        </w:rPr>
        <w:t>)：</w:t>
      </w:r>
      <w:r>
        <w:rPr>
          <w:szCs w:val="21"/>
          <w:u w:val="single"/>
        </w:rPr>
        <w:t xml:space="preserve">      </w:t>
      </w:r>
    </w:p>
    <w:p w14:paraId="289F5C06">
      <w:pPr>
        <w:snapToGrid w:val="0"/>
        <w:spacing w:before="120" w:beforeLines="50" w:after="50" w:line="440" w:lineRule="exact"/>
        <w:jc w:val="right"/>
        <w:rPr>
          <w:szCs w:val="21"/>
        </w:rPr>
      </w:pPr>
      <w:r>
        <w:rPr>
          <w:rFonts w:hint="eastAsia"/>
          <w:szCs w:val="21"/>
        </w:rPr>
        <w:t>法定代表人或者委托代理人（签字或者电子签名）：</w:t>
      </w:r>
      <w:r>
        <w:rPr>
          <w:szCs w:val="21"/>
          <w:u w:val="single"/>
        </w:rPr>
        <w:t xml:space="preserve">          </w:t>
      </w:r>
    </w:p>
    <w:p w14:paraId="049A2774">
      <w:pPr>
        <w:snapToGrid w:val="0"/>
        <w:spacing w:before="120" w:beforeLines="50" w:after="50" w:line="440" w:lineRule="exact"/>
        <w:jc w:val="center"/>
        <w:rPr>
          <w:szCs w:val="21"/>
        </w:rPr>
      </w:pPr>
      <w:r>
        <w:rPr>
          <w:szCs w:val="21"/>
        </w:rPr>
        <w:t xml:space="preserve">                                        年    月    日</w:t>
      </w:r>
    </w:p>
    <w:p w14:paraId="28E83561">
      <w:pPr>
        <w:spacing w:line="360" w:lineRule="auto"/>
        <w:rPr>
          <w:szCs w:val="21"/>
        </w:rPr>
      </w:pPr>
    </w:p>
    <w:p w14:paraId="6F549277">
      <w:pPr>
        <w:spacing w:line="360" w:lineRule="auto"/>
        <w:rPr>
          <w:szCs w:val="21"/>
        </w:rPr>
      </w:pPr>
    </w:p>
    <w:p w14:paraId="1A83E355">
      <w:pPr>
        <w:spacing w:line="360" w:lineRule="auto"/>
        <w:rPr>
          <w:szCs w:val="21"/>
        </w:rPr>
      </w:pPr>
      <w:r>
        <w:rPr>
          <w:szCs w:val="21"/>
        </w:rPr>
        <w:t>附件：法定代表人身份证复印件及授权代表身份证复印件</w:t>
      </w:r>
    </w:p>
    <w:p w14:paraId="50B4F058">
      <w:pPr>
        <w:jc w:val="center"/>
        <w:rPr>
          <w:bCs/>
          <w:sz w:val="24"/>
        </w:rPr>
      </w:pPr>
      <w:r>
        <w:br w:type="page"/>
      </w:r>
    </w:p>
    <w:p w14:paraId="48755036">
      <w:pPr>
        <w:snapToGrid w:val="0"/>
        <w:spacing w:before="50" w:after="120" w:afterLines="50" w:line="440" w:lineRule="exact"/>
        <w:jc w:val="left"/>
        <w:rPr>
          <w:szCs w:val="21"/>
        </w:rPr>
      </w:pPr>
    </w:p>
    <w:p w14:paraId="57930534">
      <w:pPr>
        <w:snapToGrid w:val="0"/>
        <w:spacing w:before="50" w:after="120" w:afterLines="50" w:line="440" w:lineRule="exact"/>
        <w:jc w:val="left"/>
        <w:rPr>
          <w:szCs w:val="21"/>
        </w:rPr>
      </w:pPr>
      <w:r>
        <w:rPr>
          <w:rFonts w:hint="eastAsia"/>
          <w:szCs w:val="21"/>
        </w:rPr>
        <w:t>3</w:t>
      </w:r>
      <w:r>
        <w:rPr>
          <w:szCs w:val="21"/>
        </w:rPr>
        <w:t>．</w:t>
      </w:r>
      <w:r>
        <w:rPr>
          <w:rFonts w:hint="eastAsia"/>
          <w:szCs w:val="21"/>
        </w:rPr>
        <w:t>对</w:t>
      </w:r>
      <w:r>
        <w:rPr>
          <w:szCs w:val="21"/>
        </w:rPr>
        <w:t>本项目第</w:t>
      </w:r>
      <w:r>
        <w:rPr>
          <w:rFonts w:hint="eastAsia"/>
          <w:szCs w:val="21"/>
        </w:rPr>
        <w:t>二</w:t>
      </w:r>
      <w:r>
        <w:rPr>
          <w:szCs w:val="21"/>
        </w:rPr>
        <w:t>章</w:t>
      </w:r>
      <w:r>
        <w:rPr>
          <w:rFonts w:hint="eastAsia"/>
          <w:szCs w:val="21"/>
        </w:rPr>
        <w:t>《</w:t>
      </w:r>
      <w:r>
        <w:rPr>
          <w:szCs w:val="21"/>
        </w:rPr>
        <w:t>采购需求</w:t>
      </w:r>
      <w:r>
        <w:rPr>
          <w:rFonts w:hint="eastAsia"/>
          <w:szCs w:val="21"/>
        </w:rPr>
        <w:t>》“</w:t>
      </w:r>
      <w:r>
        <w:rPr>
          <w:szCs w:val="21"/>
        </w:rPr>
        <w:t>商务要求</w:t>
      </w:r>
      <w:r>
        <w:rPr>
          <w:rFonts w:hint="eastAsia"/>
          <w:szCs w:val="21"/>
        </w:rPr>
        <w:t>”</w:t>
      </w:r>
      <w:r>
        <w:rPr>
          <w:szCs w:val="21"/>
        </w:rPr>
        <w:t>的</w:t>
      </w:r>
      <w:r>
        <w:rPr>
          <w:rFonts w:hint="eastAsia"/>
          <w:szCs w:val="21"/>
        </w:rPr>
        <w:t>响应表</w:t>
      </w:r>
      <w:r>
        <w:rPr>
          <w:szCs w:val="21"/>
        </w:rPr>
        <w:t>：</w:t>
      </w:r>
    </w:p>
    <w:tbl>
      <w:tblPr>
        <w:tblStyle w:val="51"/>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6"/>
        <w:gridCol w:w="2110"/>
        <w:gridCol w:w="4890"/>
        <w:gridCol w:w="1082"/>
      </w:tblGrid>
      <w:tr w14:paraId="3C054B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746" w:type="dxa"/>
            <w:tcBorders>
              <w:top w:val="single" w:color="auto" w:sz="4" w:space="0"/>
              <w:left w:val="single" w:color="auto" w:sz="4" w:space="0"/>
              <w:bottom w:val="single" w:color="auto" w:sz="4" w:space="0"/>
              <w:right w:val="single" w:color="auto" w:sz="4" w:space="0"/>
            </w:tcBorders>
            <w:vAlign w:val="center"/>
          </w:tcPr>
          <w:p w14:paraId="3E3B70B6">
            <w:pPr>
              <w:snapToGrid w:val="0"/>
              <w:spacing w:before="120" w:beforeLines="50"/>
              <w:jc w:val="center"/>
              <w:rPr>
                <w:szCs w:val="21"/>
              </w:rPr>
            </w:pPr>
            <w:r>
              <w:rPr>
                <w:szCs w:val="21"/>
              </w:rPr>
              <w:t>序号</w:t>
            </w:r>
          </w:p>
        </w:tc>
        <w:tc>
          <w:tcPr>
            <w:tcW w:w="2110" w:type="dxa"/>
            <w:tcBorders>
              <w:top w:val="single" w:color="auto" w:sz="4" w:space="0"/>
              <w:left w:val="single" w:color="auto" w:sz="4" w:space="0"/>
              <w:bottom w:val="single" w:color="auto" w:sz="4" w:space="0"/>
              <w:right w:val="single" w:color="auto" w:sz="4" w:space="0"/>
            </w:tcBorders>
            <w:vAlign w:val="center"/>
          </w:tcPr>
          <w:p w14:paraId="095FC146">
            <w:pPr>
              <w:snapToGrid w:val="0"/>
              <w:spacing w:before="120" w:beforeLines="50"/>
              <w:jc w:val="center"/>
              <w:rPr>
                <w:szCs w:val="21"/>
              </w:rPr>
            </w:pPr>
            <w:r>
              <w:rPr>
                <w:szCs w:val="21"/>
              </w:rPr>
              <w:t>招标文件的商务要求</w:t>
            </w:r>
          </w:p>
        </w:tc>
        <w:tc>
          <w:tcPr>
            <w:tcW w:w="4890" w:type="dxa"/>
            <w:tcBorders>
              <w:top w:val="single" w:color="auto" w:sz="4" w:space="0"/>
              <w:left w:val="single" w:color="auto" w:sz="4" w:space="0"/>
              <w:bottom w:val="single" w:color="auto" w:sz="4" w:space="0"/>
              <w:right w:val="single" w:color="auto" w:sz="4" w:space="0"/>
            </w:tcBorders>
            <w:vAlign w:val="center"/>
          </w:tcPr>
          <w:p w14:paraId="39865506">
            <w:pPr>
              <w:snapToGrid w:val="0"/>
              <w:spacing w:before="120" w:beforeLines="50"/>
              <w:jc w:val="center"/>
              <w:rPr>
                <w:szCs w:val="21"/>
              </w:rPr>
            </w:pPr>
            <w:r>
              <w:rPr>
                <w:szCs w:val="21"/>
              </w:rPr>
              <w:t>投标文件响应内容</w:t>
            </w:r>
          </w:p>
        </w:tc>
        <w:tc>
          <w:tcPr>
            <w:tcW w:w="1082" w:type="dxa"/>
            <w:tcBorders>
              <w:top w:val="single" w:color="auto" w:sz="4" w:space="0"/>
              <w:left w:val="single" w:color="auto" w:sz="4" w:space="0"/>
              <w:bottom w:val="single" w:color="auto" w:sz="4" w:space="0"/>
              <w:right w:val="single" w:color="auto" w:sz="4" w:space="0"/>
            </w:tcBorders>
            <w:vAlign w:val="center"/>
          </w:tcPr>
          <w:p w14:paraId="7178A2AA">
            <w:pPr>
              <w:snapToGrid w:val="0"/>
              <w:spacing w:before="120" w:beforeLines="50"/>
              <w:jc w:val="center"/>
              <w:rPr>
                <w:szCs w:val="21"/>
              </w:rPr>
            </w:pPr>
            <w:r>
              <w:t>偏离</w:t>
            </w:r>
            <w:r>
              <w:rPr>
                <w:szCs w:val="21"/>
              </w:rPr>
              <w:t>说明</w:t>
            </w:r>
          </w:p>
        </w:tc>
      </w:tr>
      <w:tr w14:paraId="7AD055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3233C465">
            <w:pPr>
              <w:snapToGrid w:val="0"/>
              <w:spacing w:before="120" w:beforeLines="50"/>
              <w:jc w:val="center"/>
              <w:rPr>
                <w:szCs w:val="21"/>
              </w:rPr>
            </w:pPr>
          </w:p>
        </w:tc>
        <w:tc>
          <w:tcPr>
            <w:tcW w:w="2110" w:type="dxa"/>
            <w:tcBorders>
              <w:top w:val="single" w:color="auto" w:sz="4" w:space="0"/>
              <w:left w:val="single" w:color="auto" w:sz="4" w:space="0"/>
              <w:bottom w:val="single" w:color="auto" w:sz="4" w:space="0"/>
              <w:right w:val="single" w:color="auto" w:sz="4" w:space="0"/>
            </w:tcBorders>
            <w:vAlign w:val="center"/>
          </w:tcPr>
          <w:p w14:paraId="07022D2A">
            <w:pPr>
              <w:snapToGrid w:val="0"/>
              <w:spacing w:before="120" w:beforeLines="50"/>
              <w:jc w:val="center"/>
              <w:rPr>
                <w:szCs w:val="21"/>
              </w:rPr>
            </w:pPr>
          </w:p>
        </w:tc>
        <w:tc>
          <w:tcPr>
            <w:tcW w:w="4890" w:type="dxa"/>
            <w:tcBorders>
              <w:top w:val="single" w:color="auto" w:sz="4" w:space="0"/>
              <w:left w:val="single" w:color="auto" w:sz="4" w:space="0"/>
              <w:bottom w:val="single" w:color="auto" w:sz="4" w:space="0"/>
              <w:right w:val="single" w:color="auto" w:sz="4" w:space="0"/>
            </w:tcBorders>
            <w:vAlign w:val="center"/>
          </w:tcPr>
          <w:p w14:paraId="798B48E5">
            <w:pPr>
              <w:snapToGrid w:val="0"/>
              <w:spacing w:before="120" w:beforeLines="50"/>
              <w:jc w:val="center"/>
              <w:rPr>
                <w:szCs w:val="21"/>
              </w:rPr>
            </w:pPr>
          </w:p>
        </w:tc>
        <w:tc>
          <w:tcPr>
            <w:tcW w:w="1082" w:type="dxa"/>
            <w:tcBorders>
              <w:top w:val="single" w:color="auto" w:sz="4" w:space="0"/>
              <w:left w:val="single" w:color="auto" w:sz="4" w:space="0"/>
              <w:bottom w:val="single" w:color="auto" w:sz="4" w:space="0"/>
              <w:right w:val="single" w:color="auto" w:sz="4" w:space="0"/>
            </w:tcBorders>
            <w:vAlign w:val="center"/>
          </w:tcPr>
          <w:p w14:paraId="6F787293">
            <w:pPr>
              <w:snapToGrid w:val="0"/>
              <w:spacing w:before="120" w:beforeLines="50"/>
              <w:jc w:val="center"/>
              <w:rPr>
                <w:szCs w:val="21"/>
              </w:rPr>
            </w:pPr>
          </w:p>
        </w:tc>
      </w:tr>
      <w:tr w14:paraId="483ECC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255ECA33">
            <w:pPr>
              <w:snapToGrid w:val="0"/>
              <w:spacing w:before="120" w:beforeLines="50"/>
              <w:jc w:val="center"/>
              <w:rPr>
                <w:szCs w:val="21"/>
              </w:rPr>
            </w:pPr>
          </w:p>
        </w:tc>
        <w:tc>
          <w:tcPr>
            <w:tcW w:w="2110" w:type="dxa"/>
            <w:tcBorders>
              <w:top w:val="single" w:color="auto" w:sz="4" w:space="0"/>
              <w:left w:val="single" w:color="auto" w:sz="4" w:space="0"/>
              <w:bottom w:val="single" w:color="auto" w:sz="4" w:space="0"/>
              <w:right w:val="single" w:color="auto" w:sz="4" w:space="0"/>
            </w:tcBorders>
            <w:vAlign w:val="center"/>
          </w:tcPr>
          <w:p w14:paraId="407FE011">
            <w:pPr>
              <w:spacing w:line="360" w:lineRule="exact"/>
              <w:jc w:val="center"/>
              <w:rPr>
                <w:szCs w:val="21"/>
              </w:rPr>
            </w:pPr>
          </w:p>
        </w:tc>
        <w:tc>
          <w:tcPr>
            <w:tcW w:w="4890" w:type="dxa"/>
            <w:tcBorders>
              <w:top w:val="single" w:color="auto" w:sz="4" w:space="0"/>
              <w:left w:val="single" w:color="auto" w:sz="4" w:space="0"/>
              <w:bottom w:val="single" w:color="auto" w:sz="4" w:space="0"/>
              <w:right w:val="single" w:color="auto" w:sz="4" w:space="0"/>
            </w:tcBorders>
            <w:vAlign w:val="center"/>
          </w:tcPr>
          <w:p w14:paraId="04C3C857">
            <w:pPr>
              <w:snapToGrid w:val="0"/>
              <w:spacing w:before="120" w:beforeLines="50"/>
              <w:jc w:val="center"/>
              <w:rPr>
                <w:szCs w:val="21"/>
              </w:rPr>
            </w:pPr>
          </w:p>
        </w:tc>
        <w:tc>
          <w:tcPr>
            <w:tcW w:w="1082" w:type="dxa"/>
            <w:tcBorders>
              <w:top w:val="single" w:color="auto" w:sz="4" w:space="0"/>
              <w:left w:val="single" w:color="auto" w:sz="4" w:space="0"/>
              <w:bottom w:val="single" w:color="auto" w:sz="4" w:space="0"/>
              <w:right w:val="single" w:color="auto" w:sz="4" w:space="0"/>
            </w:tcBorders>
            <w:vAlign w:val="center"/>
          </w:tcPr>
          <w:p w14:paraId="65E9751D">
            <w:pPr>
              <w:snapToGrid w:val="0"/>
              <w:spacing w:before="120" w:beforeLines="50"/>
              <w:jc w:val="center"/>
              <w:rPr>
                <w:szCs w:val="21"/>
              </w:rPr>
            </w:pPr>
          </w:p>
        </w:tc>
      </w:tr>
      <w:tr w14:paraId="650098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2C3CEFF7">
            <w:pPr>
              <w:snapToGrid w:val="0"/>
              <w:spacing w:before="120" w:beforeLines="50"/>
              <w:jc w:val="center"/>
              <w:rPr>
                <w:szCs w:val="21"/>
              </w:rPr>
            </w:pPr>
          </w:p>
        </w:tc>
        <w:tc>
          <w:tcPr>
            <w:tcW w:w="2110" w:type="dxa"/>
            <w:tcBorders>
              <w:top w:val="single" w:color="auto" w:sz="4" w:space="0"/>
              <w:left w:val="single" w:color="auto" w:sz="4" w:space="0"/>
              <w:bottom w:val="single" w:color="auto" w:sz="4" w:space="0"/>
              <w:right w:val="single" w:color="auto" w:sz="4" w:space="0"/>
            </w:tcBorders>
            <w:vAlign w:val="center"/>
          </w:tcPr>
          <w:p w14:paraId="38CEA867">
            <w:pPr>
              <w:spacing w:line="360" w:lineRule="exact"/>
              <w:jc w:val="center"/>
              <w:rPr>
                <w:szCs w:val="21"/>
              </w:rPr>
            </w:pPr>
            <w:r>
              <w:rPr>
                <w:szCs w:val="21"/>
              </w:rPr>
              <w:t>……</w:t>
            </w:r>
          </w:p>
        </w:tc>
        <w:tc>
          <w:tcPr>
            <w:tcW w:w="4890" w:type="dxa"/>
            <w:tcBorders>
              <w:top w:val="single" w:color="auto" w:sz="4" w:space="0"/>
              <w:left w:val="single" w:color="auto" w:sz="4" w:space="0"/>
              <w:bottom w:val="single" w:color="auto" w:sz="4" w:space="0"/>
              <w:right w:val="single" w:color="auto" w:sz="4" w:space="0"/>
            </w:tcBorders>
            <w:vAlign w:val="center"/>
          </w:tcPr>
          <w:p w14:paraId="6B1F50CE">
            <w:pPr>
              <w:snapToGrid w:val="0"/>
              <w:spacing w:before="120" w:beforeLines="50"/>
              <w:jc w:val="center"/>
              <w:rPr>
                <w:szCs w:val="21"/>
              </w:rPr>
            </w:pPr>
          </w:p>
        </w:tc>
        <w:tc>
          <w:tcPr>
            <w:tcW w:w="1082" w:type="dxa"/>
            <w:tcBorders>
              <w:top w:val="single" w:color="auto" w:sz="4" w:space="0"/>
              <w:left w:val="single" w:color="auto" w:sz="4" w:space="0"/>
              <w:bottom w:val="single" w:color="auto" w:sz="4" w:space="0"/>
              <w:right w:val="single" w:color="auto" w:sz="4" w:space="0"/>
            </w:tcBorders>
            <w:vAlign w:val="center"/>
          </w:tcPr>
          <w:p w14:paraId="2B6BE36D">
            <w:pPr>
              <w:snapToGrid w:val="0"/>
              <w:spacing w:before="120" w:beforeLines="50"/>
              <w:jc w:val="center"/>
              <w:rPr>
                <w:szCs w:val="21"/>
              </w:rPr>
            </w:pPr>
          </w:p>
        </w:tc>
      </w:tr>
    </w:tbl>
    <w:p w14:paraId="62E180AC">
      <w:pPr>
        <w:pStyle w:val="26"/>
        <w:tabs>
          <w:tab w:val="left" w:pos="2127"/>
        </w:tabs>
        <w:spacing w:line="340" w:lineRule="exact"/>
        <w:ind w:firstLine="420" w:firstLineChars="200"/>
        <w:jc w:val="left"/>
        <w:rPr>
          <w:rFonts w:ascii="Times New Roman" w:hAnsi="Times New Roman" w:cs="Times New Roman"/>
        </w:rPr>
      </w:pPr>
      <w:bookmarkStart w:id="126" w:name="_Hlk48144603"/>
      <w:bookmarkStart w:id="127" w:name="_Hlk88990584"/>
      <w:r>
        <w:rPr>
          <w:rFonts w:ascii="Times New Roman" w:hAnsi="Times New Roman" w:cs="Times New Roman"/>
        </w:rPr>
        <w:t>注：</w:t>
      </w:r>
      <w:bookmarkStart w:id="128" w:name="_Hlk19049081"/>
      <w:r>
        <w:rPr>
          <w:rFonts w:ascii="Times New Roman" w:hAnsi="Times New Roman" w:cs="Times New Roman"/>
        </w:rPr>
        <w:t>（1）本表应对招标文件</w:t>
      </w:r>
      <w:r>
        <w:t>第</w:t>
      </w:r>
      <w:r>
        <w:rPr>
          <w:rFonts w:hint="eastAsia"/>
        </w:rPr>
        <w:t>二</w:t>
      </w:r>
      <w:r>
        <w:t>章</w:t>
      </w:r>
      <w:r>
        <w:rPr>
          <w:rFonts w:hint="eastAsia"/>
        </w:rPr>
        <w:t>《采购需求》</w:t>
      </w:r>
      <w:r>
        <w:rPr>
          <w:rFonts w:ascii="Times New Roman" w:hAnsi="Times New Roman" w:cs="Times New Roman"/>
        </w:rPr>
        <w:t>中所列商务要求进行响应，并根据响应情况在“偏离说明”栏填写正偏离或负偏离及原因，完全符合的填写</w:t>
      </w:r>
      <w:r>
        <w:rPr>
          <w:rFonts w:hint="eastAsia" w:ascii="Times New Roman" w:hAnsi="Times New Roman" w:cs="Times New Roman"/>
        </w:rPr>
        <w:t>“</w:t>
      </w:r>
      <w:r>
        <w:rPr>
          <w:rFonts w:ascii="Times New Roman" w:hAnsi="Times New Roman" w:cs="Times New Roman"/>
        </w:rPr>
        <w:t>无偏离</w:t>
      </w:r>
      <w:r>
        <w:rPr>
          <w:rFonts w:hint="eastAsia" w:ascii="Times New Roman" w:hAnsi="Times New Roman" w:cs="Times New Roman"/>
        </w:rPr>
        <w:t>”</w:t>
      </w:r>
      <w:r>
        <w:rPr>
          <w:rFonts w:ascii="Times New Roman" w:hAnsi="Times New Roman" w:cs="Times New Roman"/>
        </w:rPr>
        <w:t>。</w:t>
      </w:r>
    </w:p>
    <w:p w14:paraId="0012275F">
      <w:pPr>
        <w:pStyle w:val="26"/>
        <w:tabs>
          <w:tab w:val="left" w:pos="2127"/>
        </w:tabs>
        <w:spacing w:line="340" w:lineRule="exact"/>
        <w:ind w:firstLine="420" w:firstLineChars="200"/>
        <w:jc w:val="left"/>
        <w:rPr>
          <w:rFonts w:ascii="Times New Roman" w:hAnsi="Times New Roman" w:cs="Times New Roman"/>
        </w:rPr>
      </w:pPr>
      <w:r>
        <w:rPr>
          <w:rFonts w:hint="eastAsia" w:ascii="Times New Roman" w:hAnsi="Times New Roman" w:cs="Times New Roman"/>
        </w:rPr>
        <w:t>（2）</w:t>
      </w:r>
      <w:r>
        <w:t>第</w:t>
      </w:r>
      <w:r>
        <w:rPr>
          <w:rFonts w:hint="eastAsia"/>
        </w:rPr>
        <w:t>二</w:t>
      </w:r>
      <w:r>
        <w:t>章</w:t>
      </w:r>
      <w:r>
        <w:rPr>
          <w:rFonts w:hint="eastAsia"/>
        </w:rPr>
        <w:t>《采购需求》</w:t>
      </w:r>
      <w:r>
        <w:rPr>
          <w:rFonts w:hint="eastAsia" w:ascii="Times New Roman" w:hAnsi="Times New Roman" w:cs="Times New Roman"/>
        </w:rPr>
        <w:t>中的总体要求无需响应。</w:t>
      </w:r>
    </w:p>
    <w:p w14:paraId="537D15AB">
      <w:pPr>
        <w:ind w:firstLine="420" w:firstLineChars="200"/>
      </w:pPr>
      <w:r>
        <w:rPr>
          <w:rFonts w:hint="eastAsia"/>
        </w:rPr>
        <w:t>（</w:t>
      </w:r>
      <w:r>
        <w:t>3</w:t>
      </w:r>
      <w:r>
        <w:rPr>
          <w:rFonts w:hint="eastAsia"/>
        </w:rPr>
        <w:t>）偏离认定说明详见评审方法及标准。</w:t>
      </w:r>
    </w:p>
    <w:bookmarkEnd w:id="128"/>
    <w:p w14:paraId="00B516C5">
      <w:pPr>
        <w:pStyle w:val="26"/>
        <w:tabs>
          <w:tab w:val="left" w:pos="2127"/>
        </w:tabs>
        <w:spacing w:line="340" w:lineRule="exact"/>
        <w:ind w:firstLine="420" w:firstLineChars="200"/>
        <w:jc w:val="left"/>
        <w:rPr>
          <w:rFonts w:ascii="Times New Roman" w:hAnsi="Times New Roman" w:cs="Times New Roman"/>
        </w:rPr>
      </w:pPr>
      <w:r>
        <w:rPr>
          <w:rFonts w:ascii="Times New Roman" w:hAnsi="Times New Roman" w:cs="Times New Roman"/>
        </w:rPr>
        <w:t>（4）本表可扩展。</w:t>
      </w:r>
    </w:p>
    <w:bookmarkEnd w:id="126"/>
    <w:p w14:paraId="3E3735EB">
      <w:pPr>
        <w:snapToGrid w:val="0"/>
        <w:spacing w:before="50" w:after="120" w:afterLines="50" w:line="440" w:lineRule="exact"/>
        <w:jc w:val="left"/>
        <w:rPr>
          <w:spacing w:val="20"/>
          <w:szCs w:val="21"/>
          <w:u w:val="single"/>
        </w:rPr>
      </w:pPr>
      <w:r>
        <w:rPr>
          <w:szCs w:val="21"/>
        </w:rPr>
        <w:t>供应商</w:t>
      </w:r>
      <w:r>
        <w:rPr>
          <w:rFonts w:hint="eastAsia"/>
          <w:szCs w:val="21"/>
        </w:rPr>
        <w:t>名称(电子签章</w:t>
      </w:r>
      <w:r>
        <w:rPr>
          <w:szCs w:val="21"/>
        </w:rPr>
        <w:t>)</w:t>
      </w:r>
      <w:r>
        <w:rPr>
          <w:spacing w:val="20"/>
          <w:szCs w:val="21"/>
        </w:rPr>
        <w:t>：</w:t>
      </w:r>
      <w:r>
        <w:rPr>
          <w:spacing w:val="20"/>
          <w:szCs w:val="21"/>
          <w:u w:val="single"/>
        </w:rPr>
        <w:t xml:space="preserve">     </w:t>
      </w:r>
    </w:p>
    <w:p w14:paraId="671C549B">
      <w:pPr>
        <w:snapToGrid w:val="0"/>
        <w:spacing w:before="50" w:after="120" w:afterLines="50" w:line="440" w:lineRule="exact"/>
        <w:jc w:val="left"/>
        <w:rPr>
          <w:spacing w:val="20"/>
          <w:szCs w:val="21"/>
        </w:rPr>
      </w:pPr>
      <w:r>
        <w:rPr>
          <w:rFonts w:hint="eastAsia"/>
          <w:szCs w:val="21"/>
        </w:rPr>
        <w:t>法定代表人或者委托代理人（签字或者电子签名）：</w:t>
      </w:r>
      <w:r>
        <w:rPr>
          <w:spacing w:val="20"/>
          <w:szCs w:val="21"/>
          <w:u w:val="single"/>
        </w:rPr>
        <w:t xml:space="preserve">       </w:t>
      </w:r>
      <w:r>
        <w:rPr>
          <w:spacing w:val="20"/>
          <w:szCs w:val="21"/>
        </w:rPr>
        <w:t xml:space="preserve">  </w:t>
      </w:r>
    </w:p>
    <w:p w14:paraId="44E6BA9D">
      <w:pPr>
        <w:snapToGrid w:val="0"/>
        <w:spacing w:before="50" w:after="120" w:afterLines="50" w:line="440" w:lineRule="exact"/>
        <w:jc w:val="left"/>
        <w:rPr>
          <w:spacing w:val="20"/>
          <w:szCs w:val="21"/>
          <w:u w:val="single"/>
        </w:rPr>
      </w:pPr>
      <w:r>
        <w:rPr>
          <w:spacing w:val="20"/>
          <w:szCs w:val="21"/>
        </w:rPr>
        <w:t xml:space="preserve">           日  期：</w:t>
      </w:r>
      <w:r>
        <w:rPr>
          <w:spacing w:val="20"/>
          <w:szCs w:val="21"/>
          <w:u w:val="single"/>
        </w:rPr>
        <w:t xml:space="preserve">        </w:t>
      </w:r>
    </w:p>
    <w:bookmarkEnd w:id="127"/>
    <w:p w14:paraId="6291FFFC">
      <w:pPr>
        <w:snapToGrid w:val="0"/>
        <w:spacing w:before="50" w:after="120" w:afterLines="50" w:line="440" w:lineRule="exact"/>
        <w:jc w:val="left"/>
        <w:rPr>
          <w:strike/>
          <w:szCs w:val="21"/>
        </w:rPr>
      </w:pPr>
    </w:p>
    <w:p w14:paraId="1616566B">
      <w:pPr>
        <w:snapToGrid w:val="0"/>
        <w:spacing w:before="50" w:after="120" w:afterLines="50" w:line="440" w:lineRule="exact"/>
        <w:jc w:val="left"/>
        <w:rPr>
          <w:szCs w:val="21"/>
        </w:rPr>
      </w:pPr>
    </w:p>
    <w:p w14:paraId="71FE019D">
      <w:pPr>
        <w:rPr>
          <w:szCs w:val="21"/>
        </w:rPr>
      </w:pPr>
      <w:r>
        <w:rPr>
          <w:rFonts w:hint="eastAsia"/>
          <w:szCs w:val="21"/>
        </w:rPr>
        <w:br w:type="page"/>
      </w:r>
    </w:p>
    <w:p w14:paraId="3890CD76">
      <w:pPr>
        <w:rPr>
          <w:szCs w:val="21"/>
        </w:rPr>
      </w:pPr>
      <w:r>
        <w:rPr>
          <w:rFonts w:hint="eastAsia"/>
          <w:szCs w:val="21"/>
        </w:rPr>
        <w:t>4</w:t>
      </w:r>
      <w:r>
        <w:rPr>
          <w:szCs w:val="21"/>
        </w:rPr>
        <w:t>．</w:t>
      </w:r>
      <w:r>
        <w:rPr>
          <w:rFonts w:hint="eastAsia"/>
          <w:szCs w:val="21"/>
        </w:rPr>
        <w:t>对</w:t>
      </w:r>
      <w:r>
        <w:rPr>
          <w:szCs w:val="21"/>
        </w:rPr>
        <w:t>本项目第</w:t>
      </w:r>
      <w:r>
        <w:rPr>
          <w:rFonts w:hint="eastAsia"/>
          <w:szCs w:val="21"/>
        </w:rPr>
        <w:t>二</w:t>
      </w:r>
      <w:r>
        <w:rPr>
          <w:szCs w:val="21"/>
        </w:rPr>
        <w:t>章</w:t>
      </w:r>
      <w:r>
        <w:rPr>
          <w:rFonts w:hint="eastAsia"/>
          <w:szCs w:val="21"/>
        </w:rPr>
        <w:t>《</w:t>
      </w:r>
      <w:r>
        <w:rPr>
          <w:szCs w:val="21"/>
        </w:rPr>
        <w:t>采购需求</w:t>
      </w:r>
      <w:r>
        <w:rPr>
          <w:rFonts w:hint="eastAsia"/>
          <w:szCs w:val="21"/>
        </w:rPr>
        <w:t>》技术</w:t>
      </w:r>
      <w:r>
        <w:rPr>
          <w:szCs w:val="21"/>
        </w:rPr>
        <w:t>要求的</w:t>
      </w:r>
      <w:r>
        <w:rPr>
          <w:rFonts w:hint="eastAsia"/>
          <w:szCs w:val="21"/>
        </w:rPr>
        <w:t>响应表</w:t>
      </w:r>
    </w:p>
    <w:tbl>
      <w:tblPr>
        <w:tblStyle w:val="51"/>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6"/>
        <w:gridCol w:w="3595"/>
        <w:gridCol w:w="3405"/>
        <w:gridCol w:w="1082"/>
      </w:tblGrid>
      <w:tr w14:paraId="4EC37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8" w:hRule="atLeast"/>
          <w:jc w:val="center"/>
        </w:trPr>
        <w:tc>
          <w:tcPr>
            <w:tcW w:w="746" w:type="dxa"/>
            <w:tcBorders>
              <w:top w:val="single" w:color="auto" w:sz="4" w:space="0"/>
              <w:left w:val="single" w:color="auto" w:sz="4" w:space="0"/>
              <w:bottom w:val="single" w:color="auto" w:sz="4" w:space="0"/>
              <w:right w:val="single" w:color="auto" w:sz="4" w:space="0"/>
            </w:tcBorders>
            <w:vAlign w:val="center"/>
          </w:tcPr>
          <w:p w14:paraId="2626F139">
            <w:pPr>
              <w:snapToGrid w:val="0"/>
              <w:spacing w:before="120" w:beforeLines="50"/>
              <w:jc w:val="center"/>
              <w:rPr>
                <w:szCs w:val="21"/>
              </w:rPr>
            </w:pPr>
            <w:r>
              <w:rPr>
                <w:szCs w:val="21"/>
              </w:rPr>
              <w:t>序号</w:t>
            </w:r>
          </w:p>
        </w:tc>
        <w:tc>
          <w:tcPr>
            <w:tcW w:w="3595" w:type="dxa"/>
            <w:tcBorders>
              <w:top w:val="single" w:color="auto" w:sz="4" w:space="0"/>
              <w:left w:val="single" w:color="auto" w:sz="4" w:space="0"/>
              <w:bottom w:val="single" w:color="auto" w:sz="4" w:space="0"/>
              <w:right w:val="single" w:color="auto" w:sz="4" w:space="0"/>
            </w:tcBorders>
            <w:vAlign w:val="center"/>
          </w:tcPr>
          <w:p w14:paraId="3F00EAE1">
            <w:pPr>
              <w:snapToGrid w:val="0"/>
              <w:spacing w:before="120" w:beforeLines="50"/>
              <w:jc w:val="center"/>
              <w:rPr>
                <w:szCs w:val="21"/>
              </w:rPr>
            </w:pPr>
            <w:r>
              <w:rPr>
                <w:szCs w:val="21"/>
              </w:rPr>
              <w:t>招标文件要求（注明章节及条款号）</w:t>
            </w:r>
          </w:p>
        </w:tc>
        <w:tc>
          <w:tcPr>
            <w:tcW w:w="3405" w:type="dxa"/>
            <w:tcBorders>
              <w:top w:val="single" w:color="auto" w:sz="4" w:space="0"/>
              <w:left w:val="single" w:color="auto" w:sz="4" w:space="0"/>
              <w:bottom w:val="single" w:color="auto" w:sz="4" w:space="0"/>
              <w:right w:val="single" w:color="auto" w:sz="4" w:space="0"/>
            </w:tcBorders>
            <w:vAlign w:val="center"/>
          </w:tcPr>
          <w:p w14:paraId="213F850B">
            <w:pPr>
              <w:snapToGrid w:val="0"/>
              <w:spacing w:before="120" w:beforeLines="50"/>
              <w:jc w:val="center"/>
              <w:rPr>
                <w:szCs w:val="21"/>
              </w:rPr>
            </w:pPr>
            <w:r>
              <w:rPr>
                <w:szCs w:val="21"/>
              </w:rPr>
              <w:t>投标文件响应内容</w:t>
            </w:r>
          </w:p>
        </w:tc>
        <w:tc>
          <w:tcPr>
            <w:tcW w:w="1082" w:type="dxa"/>
            <w:tcBorders>
              <w:top w:val="single" w:color="auto" w:sz="4" w:space="0"/>
              <w:left w:val="single" w:color="auto" w:sz="4" w:space="0"/>
              <w:bottom w:val="single" w:color="auto" w:sz="4" w:space="0"/>
              <w:right w:val="single" w:color="auto" w:sz="4" w:space="0"/>
            </w:tcBorders>
            <w:vAlign w:val="center"/>
          </w:tcPr>
          <w:p w14:paraId="1CDFBF87">
            <w:pPr>
              <w:snapToGrid w:val="0"/>
              <w:spacing w:before="120" w:beforeLines="50"/>
              <w:jc w:val="center"/>
              <w:rPr>
                <w:szCs w:val="21"/>
              </w:rPr>
            </w:pPr>
            <w:r>
              <w:t>偏离</w:t>
            </w:r>
            <w:r>
              <w:rPr>
                <w:szCs w:val="21"/>
              </w:rPr>
              <w:t>说明</w:t>
            </w:r>
          </w:p>
        </w:tc>
      </w:tr>
      <w:tr w14:paraId="4ED0E9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3ADDF628">
            <w:pPr>
              <w:snapToGrid w:val="0"/>
              <w:spacing w:before="120" w:beforeLines="50"/>
              <w:jc w:val="center"/>
              <w:rPr>
                <w:szCs w:val="21"/>
              </w:rPr>
            </w:pPr>
          </w:p>
        </w:tc>
        <w:tc>
          <w:tcPr>
            <w:tcW w:w="3595" w:type="dxa"/>
            <w:tcBorders>
              <w:top w:val="single" w:color="auto" w:sz="4" w:space="0"/>
              <w:left w:val="single" w:color="auto" w:sz="4" w:space="0"/>
              <w:bottom w:val="single" w:color="auto" w:sz="4" w:space="0"/>
              <w:right w:val="single" w:color="auto" w:sz="4" w:space="0"/>
            </w:tcBorders>
            <w:vAlign w:val="center"/>
          </w:tcPr>
          <w:p w14:paraId="703920F0">
            <w:pPr>
              <w:snapToGrid w:val="0"/>
              <w:spacing w:before="120" w:beforeLines="50"/>
              <w:jc w:val="center"/>
              <w:rPr>
                <w:szCs w:val="21"/>
              </w:rPr>
            </w:pPr>
          </w:p>
        </w:tc>
        <w:tc>
          <w:tcPr>
            <w:tcW w:w="3405" w:type="dxa"/>
            <w:tcBorders>
              <w:top w:val="single" w:color="auto" w:sz="4" w:space="0"/>
              <w:left w:val="single" w:color="auto" w:sz="4" w:space="0"/>
              <w:bottom w:val="single" w:color="auto" w:sz="4" w:space="0"/>
              <w:right w:val="single" w:color="auto" w:sz="4" w:space="0"/>
            </w:tcBorders>
            <w:vAlign w:val="center"/>
          </w:tcPr>
          <w:p w14:paraId="5AB1912B">
            <w:pPr>
              <w:snapToGrid w:val="0"/>
              <w:spacing w:before="120" w:beforeLines="50"/>
              <w:jc w:val="center"/>
              <w:rPr>
                <w:szCs w:val="21"/>
              </w:rPr>
            </w:pPr>
          </w:p>
        </w:tc>
        <w:tc>
          <w:tcPr>
            <w:tcW w:w="1082" w:type="dxa"/>
            <w:tcBorders>
              <w:top w:val="single" w:color="auto" w:sz="4" w:space="0"/>
              <w:left w:val="single" w:color="auto" w:sz="4" w:space="0"/>
              <w:bottom w:val="single" w:color="auto" w:sz="4" w:space="0"/>
              <w:right w:val="single" w:color="auto" w:sz="4" w:space="0"/>
            </w:tcBorders>
            <w:vAlign w:val="center"/>
          </w:tcPr>
          <w:p w14:paraId="691B13BB">
            <w:pPr>
              <w:snapToGrid w:val="0"/>
              <w:spacing w:before="120" w:beforeLines="50"/>
              <w:jc w:val="center"/>
              <w:rPr>
                <w:szCs w:val="21"/>
              </w:rPr>
            </w:pPr>
          </w:p>
        </w:tc>
      </w:tr>
      <w:tr w14:paraId="782743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3F994FB9">
            <w:pPr>
              <w:snapToGrid w:val="0"/>
              <w:spacing w:before="120" w:beforeLines="50"/>
              <w:jc w:val="center"/>
              <w:rPr>
                <w:szCs w:val="21"/>
              </w:rPr>
            </w:pPr>
          </w:p>
        </w:tc>
        <w:tc>
          <w:tcPr>
            <w:tcW w:w="3595" w:type="dxa"/>
            <w:tcBorders>
              <w:top w:val="single" w:color="auto" w:sz="4" w:space="0"/>
              <w:left w:val="single" w:color="auto" w:sz="4" w:space="0"/>
              <w:bottom w:val="single" w:color="auto" w:sz="4" w:space="0"/>
              <w:right w:val="single" w:color="auto" w:sz="4" w:space="0"/>
            </w:tcBorders>
            <w:vAlign w:val="center"/>
          </w:tcPr>
          <w:p w14:paraId="77944FB5">
            <w:pPr>
              <w:snapToGrid w:val="0"/>
              <w:spacing w:before="120" w:beforeLines="50"/>
              <w:jc w:val="center"/>
              <w:rPr>
                <w:szCs w:val="21"/>
              </w:rPr>
            </w:pPr>
          </w:p>
        </w:tc>
        <w:tc>
          <w:tcPr>
            <w:tcW w:w="3405" w:type="dxa"/>
            <w:tcBorders>
              <w:top w:val="single" w:color="auto" w:sz="4" w:space="0"/>
              <w:left w:val="single" w:color="auto" w:sz="4" w:space="0"/>
              <w:bottom w:val="single" w:color="auto" w:sz="4" w:space="0"/>
              <w:right w:val="single" w:color="auto" w:sz="4" w:space="0"/>
            </w:tcBorders>
            <w:vAlign w:val="center"/>
          </w:tcPr>
          <w:p w14:paraId="0FC2DB5A">
            <w:pPr>
              <w:snapToGrid w:val="0"/>
              <w:spacing w:before="120" w:beforeLines="50"/>
              <w:jc w:val="center"/>
              <w:rPr>
                <w:szCs w:val="21"/>
              </w:rPr>
            </w:pPr>
          </w:p>
        </w:tc>
        <w:tc>
          <w:tcPr>
            <w:tcW w:w="1082" w:type="dxa"/>
            <w:tcBorders>
              <w:top w:val="single" w:color="auto" w:sz="4" w:space="0"/>
              <w:left w:val="single" w:color="auto" w:sz="4" w:space="0"/>
              <w:bottom w:val="single" w:color="auto" w:sz="4" w:space="0"/>
              <w:right w:val="single" w:color="auto" w:sz="4" w:space="0"/>
            </w:tcBorders>
            <w:vAlign w:val="center"/>
          </w:tcPr>
          <w:p w14:paraId="4165C444">
            <w:pPr>
              <w:snapToGrid w:val="0"/>
              <w:spacing w:before="120" w:beforeLines="50"/>
              <w:jc w:val="center"/>
              <w:rPr>
                <w:szCs w:val="21"/>
              </w:rPr>
            </w:pPr>
          </w:p>
        </w:tc>
      </w:tr>
      <w:tr w14:paraId="50C1CE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156342FD">
            <w:pPr>
              <w:snapToGrid w:val="0"/>
              <w:spacing w:before="120" w:beforeLines="50"/>
              <w:jc w:val="center"/>
              <w:rPr>
                <w:szCs w:val="21"/>
              </w:rPr>
            </w:pPr>
            <w:r>
              <w:rPr>
                <w:szCs w:val="21"/>
              </w:rPr>
              <w:t>……</w:t>
            </w:r>
          </w:p>
        </w:tc>
        <w:tc>
          <w:tcPr>
            <w:tcW w:w="3595" w:type="dxa"/>
            <w:tcBorders>
              <w:top w:val="single" w:color="auto" w:sz="4" w:space="0"/>
              <w:left w:val="single" w:color="auto" w:sz="4" w:space="0"/>
              <w:bottom w:val="single" w:color="auto" w:sz="4" w:space="0"/>
              <w:right w:val="single" w:color="auto" w:sz="4" w:space="0"/>
            </w:tcBorders>
            <w:vAlign w:val="center"/>
          </w:tcPr>
          <w:p w14:paraId="1C0DA553">
            <w:pPr>
              <w:snapToGrid w:val="0"/>
              <w:spacing w:before="120" w:beforeLines="50"/>
              <w:jc w:val="center"/>
              <w:rPr>
                <w:szCs w:val="21"/>
              </w:rPr>
            </w:pPr>
          </w:p>
        </w:tc>
        <w:tc>
          <w:tcPr>
            <w:tcW w:w="3405" w:type="dxa"/>
            <w:tcBorders>
              <w:top w:val="single" w:color="auto" w:sz="4" w:space="0"/>
              <w:left w:val="single" w:color="auto" w:sz="4" w:space="0"/>
              <w:bottom w:val="single" w:color="auto" w:sz="4" w:space="0"/>
              <w:right w:val="single" w:color="auto" w:sz="4" w:space="0"/>
            </w:tcBorders>
            <w:vAlign w:val="center"/>
          </w:tcPr>
          <w:p w14:paraId="528C2A95">
            <w:pPr>
              <w:snapToGrid w:val="0"/>
              <w:spacing w:before="120" w:beforeLines="50"/>
              <w:jc w:val="center"/>
              <w:rPr>
                <w:szCs w:val="21"/>
              </w:rPr>
            </w:pPr>
          </w:p>
        </w:tc>
        <w:tc>
          <w:tcPr>
            <w:tcW w:w="1082" w:type="dxa"/>
            <w:tcBorders>
              <w:top w:val="single" w:color="auto" w:sz="4" w:space="0"/>
              <w:left w:val="single" w:color="auto" w:sz="4" w:space="0"/>
              <w:bottom w:val="single" w:color="auto" w:sz="4" w:space="0"/>
              <w:right w:val="single" w:color="auto" w:sz="4" w:space="0"/>
            </w:tcBorders>
            <w:vAlign w:val="center"/>
          </w:tcPr>
          <w:p w14:paraId="664A7044">
            <w:pPr>
              <w:snapToGrid w:val="0"/>
              <w:spacing w:before="120" w:beforeLines="50"/>
              <w:jc w:val="center"/>
              <w:rPr>
                <w:szCs w:val="21"/>
              </w:rPr>
            </w:pPr>
          </w:p>
        </w:tc>
      </w:tr>
      <w:tr w14:paraId="5C3F58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vAlign w:val="center"/>
          </w:tcPr>
          <w:p w14:paraId="36123628">
            <w:pPr>
              <w:snapToGrid w:val="0"/>
              <w:spacing w:before="120" w:beforeLines="50"/>
              <w:jc w:val="center"/>
              <w:rPr>
                <w:szCs w:val="21"/>
              </w:rPr>
            </w:pPr>
            <w:r>
              <w:rPr>
                <w:szCs w:val="21"/>
              </w:rPr>
              <w:t>……</w:t>
            </w:r>
          </w:p>
        </w:tc>
        <w:tc>
          <w:tcPr>
            <w:tcW w:w="3595" w:type="dxa"/>
            <w:tcBorders>
              <w:top w:val="single" w:color="auto" w:sz="4" w:space="0"/>
              <w:left w:val="single" w:color="auto" w:sz="4" w:space="0"/>
              <w:bottom w:val="single" w:color="auto" w:sz="4" w:space="0"/>
              <w:right w:val="single" w:color="auto" w:sz="4" w:space="0"/>
            </w:tcBorders>
            <w:vAlign w:val="center"/>
          </w:tcPr>
          <w:p w14:paraId="73B46C41">
            <w:pPr>
              <w:snapToGrid w:val="0"/>
              <w:spacing w:before="120" w:beforeLines="50"/>
              <w:jc w:val="center"/>
              <w:rPr>
                <w:szCs w:val="21"/>
              </w:rPr>
            </w:pPr>
          </w:p>
        </w:tc>
        <w:tc>
          <w:tcPr>
            <w:tcW w:w="3405" w:type="dxa"/>
            <w:tcBorders>
              <w:top w:val="single" w:color="auto" w:sz="4" w:space="0"/>
              <w:left w:val="single" w:color="auto" w:sz="4" w:space="0"/>
              <w:bottom w:val="single" w:color="auto" w:sz="4" w:space="0"/>
              <w:right w:val="single" w:color="auto" w:sz="4" w:space="0"/>
            </w:tcBorders>
            <w:vAlign w:val="center"/>
          </w:tcPr>
          <w:p w14:paraId="6BA9DDA4">
            <w:pPr>
              <w:snapToGrid w:val="0"/>
              <w:spacing w:before="120" w:beforeLines="50"/>
              <w:jc w:val="center"/>
              <w:rPr>
                <w:szCs w:val="21"/>
              </w:rPr>
            </w:pPr>
          </w:p>
        </w:tc>
        <w:tc>
          <w:tcPr>
            <w:tcW w:w="1082" w:type="dxa"/>
            <w:tcBorders>
              <w:top w:val="single" w:color="auto" w:sz="4" w:space="0"/>
              <w:left w:val="single" w:color="auto" w:sz="4" w:space="0"/>
              <w:bottom w:val="single" w:color="auto" w:sz="4" w:space="0"/>
              <w:right w:val="single" w:color="auto" w:sz="4" w:space="0"/>
            </w:tcBorders>
            <w:vAlign w:val="center"/>
          </w:tcPr>
          <w:p w14:paraId="6EA8C94C">
            <w:pPr>
              <w:snapToGrid w:val="0"/>
              <w:spacing w:before="120" w:beforeLines="50"/>
              <w:jc w:val="center"/>
              <w:rPr>
                <w:szCs w:val="21"/>
              </w:rPr>
            </w:pPr>
          </w:p>
        </w:tc>
      </w:tr>
    </w:tbl>
    <w:p w14:paraId="0520E248">
      <w:pPr>
        <w:rPr>
          <w:szCs w:val="21"/>
        </w:rPr>
      </w:pPr>
    </w:p>
    <w:p w14:paraId="5995A08C">
      <w:pPr>
        <w:pStyle w:val="26"/>
        <w:tabs>
          <w:tab w:val="left" w:pos="2127"/>
        </w:tabs>
        <w:spacing w:line="340" w:lineRule="exact"/>
        <w:jc w:val="left"/>
        <w:rPr>
          <w:rFonts w:ascii="Times New Roman" w:hAnsi="Times New Roman" w:cs="Times New Roman"/>
        </w:rPr>
      </w:pPr>
      <w:bookmarkStart w:id="129" w:name="_Hlk88990482"/>
      <w:r>
        <w:t>注：（1）</w:t>
      </w:r>
      <w:r>
        <w:rPr>
          <w:rFonts w:ascii="Times New Roman" w:hAnsi="Times New Roman" w:cs="Times New Roman"/>
        </w:rPr>
        <w:t>本表应对招标文件</w:t>
      </w:r>
      <w:r>
        <w:t>第</w:t>
      </w:r>
      <w:r>
        <w:rPr>
          <w:rFonts w:hint="eastAsia"/>
        </w:rPr>
        <w:t>二</w:t>
      </w:r>
      <w:r>
        <w:t>章</w:t>
      </w:r>
      <w:r>
        <w:rPr>
          <w:rFonts w:hint="eastAsia"/>
        </w:rPr>
        <w:t>《采购需求》</w:t>
      </w:r>
      <w:r>
        <w:rPr>
          <w:rFonts w:ascii="Times New Roman" w:hAnsi="Times New Roman" w:cs="Times New Roman"/>
        </w:rPr>
        <w:t>中所列</w:t>
      </w:r>
      <w:r>
        <w:rPr>
          <w:rFonts w:hint="eastAsia" w:ascii="Times New Roman" w:hAnsi="Times New Roman" w:cs="Times New Roman"/>
        </w:rPr>
        <w:t>技术</w:t>
      </w:r>
      <w:r>
        <w:rPr>
          <w:rFonts w:ascii="Times New Roman" w:hAnsi="Times New Roman" w:cs="Times New Roman"/>
        </w:rPr>
        <w:t>要求进行响应，并根据响应情况在“偏离说明”栏填写正偏离或负偏离及原因，完全符合的填写</w:t>
      </w:r>
      <w:r>
        <w:rPr>
          <w:rFonts w:hint="eastAsia" w:ascii="Times New Roman" w:hAnsi="Times New Roman" w:cs="Times New Roman"/>
        </w:rPr>
        <w:t>“</w:t>
      </w:r>
      <w:r>
        <w:rPr>
          <w:rFonts w:ascii="Times New Roman" w:hAnsi="Times New Roman" w:cs="Times New Roman"/>
        </w:rPr>
        <w:t>无偏离</w:t>
      </w:r>
      <w:r>
        <w:rPr>
          <w:rFonts w:hint="eastAsia" w:ascii="Times New Roman" w:hAnsi="Times New Roman" w:cs="Times New Roman"/>
        </w:rPr>
        <w:t>”</w:t>
      </w:r>
      <w:r>
        <w:rPr>
          <w:rFonts w:ascii="Times New Roman" w:hAnsi="Times New Roman" w:cs="Times New Roman"/>
        </w:rPr>
        <w:t>。</w:t>
      </w:r>
    </w:p>
    <w:p w14:paraId="5C3D0422">
      <w:r>
        <w:rPr>
          <w:rFonts w:hint="eastAsia"/>
        </w:rPr>
        <w:t>（2）</w:t>
      </w:r>
      <w:r>
        <w:t>第</w:t>
      </w:r>
      <w:r>
        <w:rPr>
          <w:rFonts w:hint="eastAsia"/>
        </w:rPr>
        <w:t>二</w:t>
      </w:r>
      <w:r>
        <w:t>章</w:t>
      </w:r>
      <w:r>
        <w:rPr>
          <w:rFonts w:hint="eastAsia"/>
        </w:rPr>
        <w:t>《采购需求》中的总体要求无需响应。</w:t>
      </w:r>
    </w:p>
    <w:p w14:paraId="2BD46E0F">
      <w:r>
        <w:rPr>
          <w:rFonts w:hint="eastAsia"/>
        </w:rPr>
        <w:t>（</w:t>
      </w:r>
      <w:r>
        <w:t>3</w:t>
      </w:r>
      <w:r>
        <w:rPr>
          <w:rFonts w:hint="eastAsia"/>
        </w:rPr>
        <w:t>）偏离认定说明详见评审方法及标准。</w:t>
      </w:r>
    </w:p>
    <w:p w14:paraId="0F8F09E6">
      <w:r>
        <w:t>（4）本表可扩展。</w:t>
      </w:r>
    </w:p>
    <w:bookmarkEnd w:id="129"/>
    <w:p w14:paraId="7D7B64DD">
      <w:pPr>
        <w:rPr>
          <w:szCs w:val="21"/>
        </w:rPr>
      </w:pPr>
    </w:p>
    <w:p w14:paraId="01D967DA">
      <w:pPr>
        <w:rPr>
          <w:spacing w:val="20"/>
          <w:szCs w:val="21"/>
          <w:u w:val="single"/>
        </w:rPr>
      </w:pPr>
      <w:bookmarkStart w:id="130" w:name="_Hlk88990507"/>
    </w:p>
    <w:p w14:paraId="0C71C986">
      <w:pPr>
        <w:rPr>
          <w:spacing w:val="20"/>
          <w:szCs w:val="21"/>
        </w:rPr>
      </w:pPr>
      <w:r>
        <w:rPr>
          <w:szCs w:val="21"/>
        </w:rPr>
        <w:t>供应商</w:t>
      </w:r>
      <w:r>
        <w:rPr>
          <w:rFonts w:hint="eastAsia"/>
          <w:szCs w:val="21"/>
        </w:rPr>
        <w:t>名称(电子签章</w:t>
      </w:r>
      <w:r>
        <w:rPr>
          <w:szCs w:val="21"/>
        </w:rPr>
        <w:t>)</w:t>
      </w:r>
      <w:bookmarkEnd w:id="130"/>
      <w:r>
        <w:rPr>
          <w:spacing w:val="20"/>
          <w:szCs w:val="21"/>
        </w:rPr>
        <w:t>：</w:t>
      </w:r>
      <w:r>
        <w:rPr>
          <w:spacing w:val="20"/>
          <w:szCs w:val="21"/>
          <w:u w:val="single"/>
        </w:rPr>
        <w:t xml:space="preserve">            </w:t>
      </w:r>
      <w:r>
        <w:rPr>
          <w:spacing w:val="20"/>
          <w:szCs w:val="21"/>
        </w:rPr>
        <w:t xml:space="preserve">         </w:t>
      </w:r>
    </w:p>
    <w:p w14:paraId="044CDD6C">
      <w:pPr>
        <w:rPr>
          <w:spacing w:val="20"/>
          <w:szCs w:val="21"/>
        </w:rPr>
      </w:pPr>
      <w:r>
        <w:rPr>
          <w:rFonts w:hint="eastAsia"/>
          <w:szCs w:val="21"/>
        </w:rPr>
        <w:t>法定代表人或者委托代理人（签字或者电子签名）：</w:t>
      </w:r>
    </w:p>
    <w:p w14:paraId="13D72423">
      <w:pPr>
        <w:snapToGrid w:val="0"/>
        <w:spacing w:before="50" w:after="120" w:afterLines="50" w:line="440" w:lineRule="exact"/>
        <w:jc w:val="left"/>
        <w:rPr>
          <w:spacing w:val="20"/>
          <w:szCs w:val="21"/>
          <w:u w:val="single"/>
        </w:rPr>
      </w:pPr>
      <w:r>
        <w:rPr>
          <w:spacing w:val="20"/>
          <w:szCs w:val="21"/>
        </w:rPr>
        <w:t xml:space="preserve">     日 期：</w:t>
      </w:r>
      <w:r>
        <w:rPr>
          <w:spacing w:val="20"/>
          <w:szCs w:val="21"/>
          <w:u w:val="single"/>
        </w:rPr>
        <w:t xml:space="preserve">    </w:t>
      </w:r>
    </w:p>
    <w:p w14:paraId="3F9207DE">
      <w:pPr>
        <w:snapToGrid w:val="0"/>
        <w:spacing w:before="50" w:after="120" w:afterLines="50" w:line="440" w:lineRule="exact"/>
        <w:jc w:val="left"/>
        <w:rPr>
          <w:spacing w:val="20"/>
          <w:szCs w:val="21"/>
          <w:u w:val="single"/>
        </w:rPr>
      </w:pPr>
    </w:p>
    <w:p w14:paraId="6044A896">
      <w:pPr>
        <w:snapToGrid w:val="0"/>
        <w:spacing w:before="50" w:after="120" w:afterLines="50" w:line="440" w:lineRule="exact"/>
        <w:jc w:val="left"/>
        <w:rPr>
          <w:spacing w:val="20"/>
          <w:szCs w:val="21"/>
          <w:u w:val="single"/>
        </w:rPr>
      </w:pPr>
    </w:p>
    <w:p w14:paraId="450473A2">
      <w:pPr>
        <w:snapToGrid w:val="0"/>
        <w:spacing w:before="50" w:after="120" w:afterLines="50" w:line="440" w:lineRule="exact"/>
        <w:jc w:val="left"/>
        <w:rPr>
          <w:spacing w:val="20"/>
          <w:szCs w:val="21"/>
          <w:u w:val="single"/>
        </w:rPr>
      </w:pPr>
    </w:p>
    <w:p w14:paraId="56D4F254">
      <w:pPr>
        <w:snapToGrid w:val="0"/>
        <w:spacing w:before="50" w:after="120" w:afterLines="50" w:line="440" w:lineRule="exact"/>
        <w:jc w:val="left"/>
        <w:rPr>
          <w:spacing w:val="20"/>
          <w:szCs w:val="21"/>
          <w:u w:val="single"/>
        </w:rPr>
      </w:pPr>
    </w:p>
    <w:p w14:paraId="4261709C">
      <w:pPr>
        <w:spacing w:line="300" w:lineRule="exact"/>
        <w:jc w:val="left"/>
        <w:rPr>
          <w:szCs w:val="21"/>
        </w:rPr>
      </w:pPr>
      <w:r>
        <w:rPr>
          <w:rFonts w:hint="eastAsia"/>
          <w:szCs w:val="21"/>
        </w:rPr>
        <w:t>5.投标人情况介绍（格式自拟）；</w:t>
      </w:r>
    </w:p>
    <w:p w14:paraId="2F29E052">
      <w:pPr>
        <w:spacing w:line="300" w:lineRule="exact"/>
        <w:jc w:val="left"/>
        <w:rPr>
          <w:szCs w:val="21"/>
        </w:rPr>
      </w:pPr>
    </w:p>
    <w:p w14:paraId="748F86D9">
      <w:pPr>
        <w:spacing w:line="300" w:lineRule="exact"/>
        <w:jc w:val="left"/>
        <w:rPr>
          <w:szCs w:val="21"/>
        </w:rPr>
      </w:pPr>
    </w:p>
    <w:p w14:paraId="41352399">
      <w:pPr>
        <w:spacing w:line="300" w:lineRule="exact"/>
        <w:jc w:val="left"/>
        <w:rPr>
          <w:szCs w:val="21"/>
        </w:rPr>
      </w:pPr>
    </w:p>
    <w:p w14:paraId="2EA38CA9">
      <w:pPr>
        <w:spacing w:line="300" w:lineRule="exact"/>
        <w:jc w:val="left"/>
        <w:rPr>
          <w:szCs w:val="21"/>
        </w:rPr>
      </w:pPr>
    </w:p>
    <w:p w14:paraId="5357EE55">
      <w:pPr>
        <w:spacing w:line="300" w:lineRule="exact"/>
        <w:jc w:val="left"/>
        <w:rPr>
          <w:szCs w:val="21"/>
        </w:rPr>
      </w:pPr>
      <w:r>
        <w:rPr>
          <w:rFonts w:hint="eastAsia"/>
          <w:szCs w:val="21"/>
        </w:rPr>
        <w:t>6.配送服务及应急方案（格式自拟）；</w:t>
      </w:r>
    </w:p>
    <w:p w14:paraId="6F5F22E5">
      <w:pPr>
        <w:spacing w:line="300" w:lineRule="exact"/>
        <w:jc w:val="left"/>
        <w:rPr>
          <w:szCs w:val="21"/>
        </w:rPr>
      </w:pPr>
    </w:p>
    <w:p w14:paraId="2FCA9A3D">
      <w:pPr>
        <w:spacing w:line="300" w:lineRule="exact"/>
        <w:jc w:val="left"/>
        <w:rPr>
          <w:szCs w:val="21"/>
        </w:rPr>
      </w:pPr>
    </w:p>
    <w:p w14:paraId="0A8BD122">
      <w:pPr>
        <w:spacing w:line="300" w:lineRule="exact"/>
        <w:jc w:val="left"/>
        <w:rPr>
          <w:szCs w:val="21"/>
        </w:rPr>
      </w:pPr>
    </w:p>
    <w:p w14:paraId="30E2B6F5">
      <w:pPr>
        <w:spacing w:line="300" w:lineRule="exact"/>
        <w:jc w:val="left"/>
        <w:rPr>
          <w:szCs w:val="21"/>
        </w:rPr>
      </w:pPr>
    </w:p>
    <w:p w14:paraId="049191ED">
      <w:pPr>
        <w:spacing w:line="300" w:lineRule="exact"/>
        <w:jc w:val="left"/>
        <w:rPr>
          <w:szCs w:val="21"/>
        </w:rPr>
      </w:pPr>
      <w:r>
        <w:rPr>
          <w:rFonts w:hint="eastAsia"/>
          <w:szCs w:val="21"/>
        </w:rPr>
        <w:t>7.食材安全措施（格式自拟）；</w:t>
      </w:r>
    </w:p>
    <w:p w14:paraId="5F97D80F">
      <w:pPr>
        <w:spacing w:line="300" w:lineRule="exact"/>
        <w:jc w:val="left"/>
        <w:rPr>
          <w:szCs w:val="21"/>
        </w:rPr>
      </w:pPr>
    </w:p>
    <w:p w14:paraId="5F48A2AC">
      <w:pPr>
        <w:spacing w:line="300" w:lineRule="exact"/>
        <w:jc w:val="left"/>
        <w:rPr>
          <w:szCs w:val="21"/>
        </w:rPr>
      </w:pPr>
    </w:p>
    <w:p w14:paraId="0095778E">
      <w:pPr>
        <w:spacing w:line="300" w:lineRule="exact"/>
        <w:jc w:val="left"/>
        <w:rPr>
          <w:szCs w:val="21"/>
        </w:rPr>
      </w:pPr>
    </w:p>
    <w:p w14:paraId="0118389D">
      <w:pPr>
        <w:spacing w:line="300" w:lineRule="exact"/>
        <w:jc w:val="left"/>
        <w:rPr>
          <w:szCs w:val="21"/>
        </w:rPr>
      </w:pPr>
      <w:r>
        <w:rPr>
          <w:rFonts w:hint="eastAsia"/>
          <w:szCs w:val="21"/>
        </w:rPr>
        <w:t>8.售后服务承诺（格式自拟）；（必须提供，否则按无效投标处理）</w:t>
      </w:r>
    </w:p>
    <w:p w14:paraId="19409117">
      <w:pPr>
        <w:snapToGrid w:val="0"/>
        <w:spacing w:before="50" w:after="120" w:afterLines="50" w:line="440" w:lineRule="exact"/>
        <w:jc w:val="left"/>
        <w:rPr>
          <w:strike/>
          <w:szCs w:val="21"/>
        </w:rPr>
      </w:pPr>
    </w:p>
    <w:p w14:paraId="5D0AEB37">
      <w:pPr>
        <w:snapToGrid w:val="0"/>
        <w:spacing w:before="50" w:after="120" w:afterLines="50" w:line="440" w:lineRule="exact"/>
        <w:jc w:val="left"/>
        <w:rPr>
          <w:spacing w:val="20"/>
          <w:szCs w:val="21"/>
          <w:u w:val="single"/>
        </w:rPr>
        <w:sectPr>
          <w:pgSz w:w="11906" w:h="16838"/>
          <w:pgMar w:top="1418" w:right="1133" w:bottom="1246" w:left="1418" w:header="851" w:footer="992" w:gutter="0"/>
          <w:cols w:space="720" w:num="1"/>
          <w:docGrid w:linePitch="312" w:charSpace="0"/>
        </w:sectPr>
      </w:pPr>
    </w:p>
    <w:p w14:paraId="06EE95F5">
      <w:pPr>
        <w:snapToGrid w:val="0"/>
        <w:spacing w:before="50" w:after="120" w:afterLines="50"/>
        <w:jc w:val="left"/>
        <w:rPr>
          <w:b/>
          <w:szCs w:val="21"/>
        </w:rPr>
      </w:pPr>
      <w:r>
        <w:rPr>
          <w:rFonts w:hint="eastAsia"/>
          <w:szCs w:val="21"/>
        </w:rPr>
        <w:t>9</w:t>
      </w:r>
      <w:r>
        <w:rPr>
          <w:szCs w:val="21"/>
        </w:rPr>
        <w:t>．近年供应商类似成功案例的业绩证明（附中标书或合同复印件）。</w:t>
      </w:r>
    </w:p>
    <w:p w14:paraId="09FB8244">
      <w:pPr>
        <w:snapToGrid w:val="0"/>
        <w:spacing w:before="50" w:after="120" w:afterLines="50"/>
        <w:jc w:val="center"/>
        <w:rPr>
          <w:szCs w:val="21"/>
        </w:rPr>
      </w:pPr>
      <w:r>
        <w:rPr>
          <w:b/>
          <w:szCs w:val="21"/>
        </w:rPr>
        <w:t>类似成功案例业绩一览表</w:t>
      </w:r>
    </w:p>
    <w:tbl>
      <w:tblPr>
        <w:tblStyle w:val="51"/>
        <w:tblW w:w="14691"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86"/>
        <w:gridCol w:w="2820"/>
        <w:gridCol w:w="4095"/>
        <w:gridCol w:w="1965"/>
        <w:gridCol w:w="1200"/>
        <w:gridCol w:w="1335"/>
        <w:gridCol w:w="2790"/>
      </w:tblGrid>
      <w:tr w14:paraId="22C717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509" w:hRule="atLeast"/>
        </w:trPr>
        <w:tc>
          <w:tcPr>
            <w:tcW w:w="486" w:type="dxa"/>
            <w:tcBorders>
              <w:top w:val="single" w:color="auto" w:sz="4" w:space="0"/>
              <w:left w:val="single" w:color="auto" w:sz="4" w:space="0"/>
              <w:bottom w:val="single" w:color="auto" w:sz="4" w:space="0"/>
              <w:right w:val="single" w:color="auto" w:sz="4" w:space="0"/>
            </w:tcBorders>
            <w:vAlign w:val="center"/>
          </w:tcPr>
          <w:p w14:paraId="10C12F44">
            <w:pPr>
              <w:snapToGrid w:val="0"/>
              <w:spacing w:line="240" w:lineRule="exact"/>
              <w:jc w:val="center"/>
              <w:rPr>
                <w:szCs w:val="21"/>
              </w:rPr>
            </w:pPr>
            <w:r>
              <w:rPr>
                <w:rFonts w:hint="eastAsia"/>
                <w:szCs w:val="21"/>
              </w:rPr>
              <w:t>序号</w:t>
            </w:r>
          </w:p>
        </w:tc>
        <w:tc>
          <w:tcPr>
            <w:tcW w:w="2820" w:type="dxa"/>
            <w:tcBorders>
              <w:top w:val="single" w:color="auto" w:sz="4" w:space="0"/>
              <w:left w:val="single" w:color="auto" w:sz="4" w:space="0"/>
              <w:bottom w:val="single" w:color="auto" w:sz="4" w:space="0"/>
              <w:right w:val="single" w:color="auto" w:sz="4" w:space="0"/>
            </w:tcBorders>
            <w:vAlign w:val="center"/>
          </w:tcPr>
          <w:p w14:paraId="5E3EFEE5">
            <w:pPr>
              <w:snapToGrid w:val="0"/>
              <w:spacing w:line="240" w:lineRule="exact"/>
              <w:jc w:val="center"/>
              <w:rPr>
                <w:szCs w:val="21"/>
              </w:rPr>
            </w:pPr>
            <w:r>
              <w:rPr>
                <w:szCs w:val="21"/>
              </w:rPr>
              <w:t>甲方单位名称</w:t>
            </w:r>
          </w:p>
        </w:tc>
        <w:tc>
          <w:tcPr>
            <w:tcW w:w="4095" w:type="dxa"/>
            <w:tcBorders>
              <w:top w:val="single" w:color="auto" w:sz="4" w:space="0"/>
              <w:left w:val="single" w:color="auto" w:sz="4" w:space="0"/>
              <w:bottom w:val="single" w:color="auto" w:sz="4" w:space="0"/>
              <w:right w:val="single" w:color="auto" w:sz="4" w:space="0"/>
            </w:tcBorders>
            <w:vAlign w:val="center"/>
          </w:tcPr>
          <w:p w14:paraId="31C58410">
            <w:pPr>
              <w:snapToGrid w:val="0"/>
              <w:spacing w:line="240" w:lineRule="exact"/>
              <w:jc w:val="center"/>
              <w:rPr>
                <w:szCs w:val="21"/>
              </w:rPr>
            </w:pPr>
            <w:r>
              <w:rPr>
                <w:szCs w:val="21"/>
              </w:rPr>
              <w:t>项目名称或服务内容</w:t>
            </w:r>
          </w:p>
        </w:tc>
        <w:tc>
          <w:tcPr>
            <w:tcW w:w="1965" w:type="dxa"/>
            <w:tcBorders>
              <w:top w:val="single" w:color="auto" w:sz="4" w:space="0"/>
              <w:left w:val="single" w:color="auto" w:sz="4" w:space="0"/>
              <w:bottom w:val="single" w:color="auto" w:sz="4" w:space="0"/>
              <w:right w:val="single" w:color="auto" w:sz="4" w:space="0"/>
            </w:tcBorders>
            <w:vAlign w:val="center"/>
          </w:tcPr>
          <w:p w14:paraId="016830BC">
            <w:pPr>
              <w:snapToGrid w:val="0"/>
              <w:spacing w:line="240" w:lineRule="exact"/>
              <w:jc w:val="center"/>
              <w:rPr>
                <w:szCs w:val="21"/>
              </w:rPr>
            </w:pPr>
            <w:r>
              <w:rPr>
                <w:szCs w:val="21"/>
              </w:rPr>
              <w:t>服务周期或时间（年/月）</w:t>
            </w:r>
          </w:p>
        </w:tc>
        <w:tc>
          <w:tcPr>
            <w:tcW w:w="1200" w:type="dxa"/>
            <w:tcBorders>
              <w:top w:val="single" w:color="auto" w:sz="4" w:space="0"/>
              <w:left w:val="single" w:color="auto" w:sz="4" w:space="0"/>
              <w:bottom w:val="single" w:color="auto" w:sz="4" w:space="0"/>
              <w:right w:val="single" w:color="auto" w:sz="4" w:space="0"/>
            </w:tcBorders>
            <w:vAlign w:val="center"/>
          </w:tcPr>
          <w:p w14:paraId="15224463">
            <w:pPr>
              <w:snapToGrid w:val="0"/>
              <w:spacing w:line="240" w:lineRule="exact"/>
              <w:jc w:val="center"/>
              <w:rPr>
                <w:szCs w:val="21"/>
              </w:rPr>
            </w:pPr>
            <w:r>
              <w:rPr>
                <w:szCs w:val="21"/>
              </w:rPr>
              <w:t>团队人数</w:t>
            </w:r>
          </w:p>
        </w:tc>
        <w:tc>
          <w:tcPr>
            <w:tcW w:w="1335" w:type="dxa"/>
            <w:tcBorders>
              <w:top w:val="single" w:color="auto" w:sz="4" w:space="0"/>
              <w:left w:val="single" w:color="auto" w:sz="4" w:space="0"/>
              <w:bottom w:val="single" w:color="auto" w:sz="4" w:space="0"/>
              <w:right w:val="single" w:color="auto" w:sz="4" w:space="0"/>
            </w:tcBorders>
            <w:vAlign w:val="center"/>
          </w:tcPr>
          <w:p w14:paraId="5EA64442">
            <w:pPr>
              <w:snapToGrid w:val="0"/>
              <w:spacing w:line="240" w:lineRule="exact"/>
              <w:jc w:val="center"/>
              <w:rPr>
                <w:szCs w:val="21"/>
              </w:rPr>
            </w:pPr>
            <w:r>
              <w:rPr>
                <w:szCs w:val="21"/>
              </w:rPr>
              <w:t>合同总价</w:t>
            </w:r>
            <w:r>
              <w:rPr>
                <w:rFonts w:hint="eastAsia"/>
                <w:szCs w:val="21"/>
              </w:rPr>
              <w:t>（元）</w:t>
            </w:r>
          </w:p>
        </w:tc>
        <w:tc>
          <w:tcPr>
            <w:tcW w:w="2790" w:type="dxa"/>
            <w:tcBorders>
              <w:top w:val="single" w:color="auto" w:sz="4" w:space="0"/>
              <w:left w:val="single" w:color="auto" w:sz="4" w:space="0"/>
              <w:bottom w:val="single" w:color="auto" w:sz="4" w:space="0"/>
              <w:right w:val="single" w:color="auto" w:sz="4" w:space="0"/>
            </w:tcBorders>
            <w:vAlign w:val="center"/>
          </w:tcPr>
          <w:p w14:paraId="2B958975">
            <w:pPr>
              <w:jc w:val="center"/>
              <w:rPr>
                <w:szCs w:val="21"/>
              </w:rPr>
            </w:pPr>
            <w:r>
              <w:rPr>
                <w:szCs w:val="21"/>
              </w:rPr>
              <w:t>采购单位联系人及联系电话</w:t>
            </w:r>
          </w:p>
        </w:tc>
      </w:tr>
      <w:tr w14:paraId="78F6F2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8" w:hRule="atLeast"/>
        </w:trPr>
        <w:tc>
          <w:tcPr>
            <w:tcW w:w="486" w:type="dxa"/>
            <w:tcBorders>
              <w:top w:val="single" w:color="auto" w:sz="4" w:space="0"/>
              <w:left w:val="single" w:color="auto" w:sz="4" w:space="0"/>
              <w:bottom w:val="single" w:color="auto" w:sz="4" w:space="0"/>
              <w:right w:val="single" w:color="auto" w:sz="4" w:space="0"/>
            </w:tcBorders>
          </w:tcPr>
          <w:p w14:paraId="4AEA2769">
            <w:pPr>
              <w:snapToGrid w:val="0"/>
              <w:spacing w:line="240" w:lineRule="exact"/>
              <w:jc w:val="left"/>
              <w:rPr>
                <w:szCs w:val="21"/>
              </w:rPr>
            </w:pPr>
          </w:p>
        </w:tc>
        <w:tc>
          <w:tcPr>
            <w:tcW w:w="2820" w:type="dxa"/>
            <w:tcBorders>
              <w:top w:val="single" w:color="auto" w:sz="4" w:space="0"/>
              <w:left w:val="single" w:color="auto" w:sz="4" w:space="0"/>
              <w:bottom w:val="single" w:color="auto" w:sz="4" w:space="0"/>
              <w:right w:val="single" w:color="auto" w:sz="4" w:space="0"/>
            </w:tcBorders>
          </w:tcPr>
          <w:p w14:paraId="13F6C99A">
            <w:pPr>
              <w:snapToGrid w:val="0"/>
              <w:spacing w:line="240" w:lineRule="exact"/>
              <w:jc w:val="left"/>
              <w:rPr>
                <w:szCs w:val="21"/>
              </w:rPr>
            </w:pPr>
          </w:p>
        </w:tc>
        <w:tc>
          <w:tcPr>
            <w:tcW w:w="4095" w:type="dxa"/>
            <w:tcBorders>
              <w:top w:val="single" w:color="auto" w:sz="4" w:space="0"/>
              <w:left w:val="single" w:color="auto" w:sz="4" w:space="0"/>
              <w:bottom w:val="single" w:color="auto" w:sz="4" w:space="0"/>
              <w:right w:val="single" w:color="auto" w:sz="4" w:space="0"/>
            </w:tcBorders>
          </w:tcPr>
          <w:p w14:paraId="7DA0E658">
            <w:pPr>
              <w:snapToGrid w:val="0"/>
              <w:spacing w:line="240" w:lineRule="exact"/>
              <w:jc w:val="left"/>
              <w:rPr>
                <w:szCs w:val="21"/>
              </w:rPr>
            </w:pPr>
          </w:p>
        </w:tc>
        <w:tc>
          <w:tcPr>
            <w:tcW w:w="1965" w:type="dxa"/>
            <w:tcBorders>
              <w:top w:val="single" w:color="auto" w:sz="4" w:space="0"/>
              <w:left w:val="single" w:color="auto" w:sz="4" w:space="0"/>
              <w:bottom w:val="single" w:color="auto" w:sz="4" w:space="0"/>
              <w:right w:val="single" w:color="auto" w:sz="4" w:space="0"/>
            </w:tcBorders>
          </w:tcPr>
          <w:p w14:paraId="20B1B029">
            <w:pPr>
              <w:snapToGrid w:val="0"/>
              <w:spacing w:line="240" w:lineRule="exact"/>
              <w:jc w:val="left"/>
              <w:rPr>
                <w:szCs w:val="21"/>
              </w:rPr>
            </w:pPr>
          </w:p>
        </w:tc>
        <w:tc>
          <w:tcPr>
            <w:tcW w:w="1200" w:type="dxa"/>
            <w:tcBorders>
              <w:top w:val="single" w:color="auto" w:sz="4" w:space="0"/>
              <w:left w:val="single" w:color="auto" w:sz="4" w:space="0"/>
              <w:bottom w:val="single" w:color="auto" w:sz="4" w:space="0"/>
              <w:right w:val="single" w:color="auto" w:sz="4" w:space="0"/>
            </w:tcBorders>
          </w:tcPr>
          <w:p w14:paraId="5BBFE7D7">
            <w:pPr>
              <w:snapToGrid w:val="0"/>
              <w:spacing w:line="240" w:lineRule="exact"/>
              <w:jc w:val="left"/>
              <w:rPr>
                <w:szCs w:val="21"/>
              </w:rPr>
            </w:pPr>
          </w:p>
        </w:tc>
        <w:tc>
          <w:tcPr>
            <w:tcW w:w="1335" w:type="dxa"/>
            <w:tcBorders>
              <w:top w:val="single" w:color="auto" w:sz="4" w:space="0"/>
              <w:left w:val="single" w:color="auto" w:sz="4" w:space="0"/>
              <w:bottom w:val="single" w:color="auto" w:sz="4" w:space="0"/>
              <w:right w:val="single" w:color="auto" w:sz="4" w:space="0"/>
            </w:tcBorders>
          </w:tcPr>
          <w:p w14:paraId="6C2DFFDD">
            <w:pPr>
              <w:snapToGrid w:val="0"/>
              <w:spacing w:line="240" w:lineRule="exact"/>
              <w:jc w:val="left"/>
              <w:rPr>
                <w:szCs w:val="21"/>
              </w:rPr>
            </w:pPr>
          </w:p>
        </w:tc>
        <w:tc>
          <w:tcPr>
            <w:tcW w:w="2790" w:type="dxa"/>
            <w:tcBorders>
              <w:top w:val="single" w:color="auto" w:sz="4" w:space="0"/>
              <w:left w:val="single" w:color="auto" w:sz="4" w:space="0"/>
              <w:bottom w:val="single" w:color="auto" w:sz="4" w:space="0"/>
              <w:right w:val="single" w:color="auto" w:sz="4" w:space="0"/>
            </w:tcBorders>
          </w:tcPr>
          <w:p w14:paraId="3BBDBC8B">
            <w:pPr>
              <w:snapToGrid w:val="0"/>
              <w:spacing w:line="240" w:lineRule="exact"/>
              <w:jc w:val="left"/>
              <w:rPr>
                <w:szCs w:val="21"/>
              </w:rPr>
            </w:pPr>
          </w:p>
        </w:tc>
      </w:tr>
      <w:tr w14:paraId="217935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7" w:hRule="atLeast"/>
        </w:trPr>
        <w:tc>
          <w:tcPr>
            <w:tcW w:w="486" w:type="dxa"/>
            <w:tcBorders>
              <w:top w:val="single" w:color="auto" w:sz="4" w:space="0"/>
              <w:left w:val="single" w:color="auto" w:sz="4" w:space="0"/>
              <w:bottom w:val="single" w:color="auto" w:sz="4" w:space="0"/>
              <w:right w:val="single" w:color="auto" w:sz="4" w:space="0"/>
            </w:tcBorders>
          </w:tcPr>
          <w:p w14:paraId="34C9541B">
            <w:pPr>
              <w:snapToGrid w:val="0"/>
              <w:spacing w:before="50" w:after="120" w:afterLines="50" w:line="400" w:lineRule="exact"/>
              <w:jc w:val="left"/>
              <w:rPr>
                <w:szCs w:val="21"/>
              </w:rPr>
            </w:pPr>
          </w:p>
        </w:tc>
        <w:tc>
          <w:tcPr>
            <w:tcW w:w="2820" w:type="dxa"/>
            <w:tcBorders>
              <w:top w:val="single" w:color="auto" w:sz="4" w:space="0"/>
              <w:left w:val="single" w:color="auto" w:sz="4" w:space="0"/>
              <w:bottom w:val="single" w:color="auto" w:sz="4" w:space="0"/>
              <w:right w:val="single" w:color="auto" w:sz="4" w:space="0"/>
            </w:tcBorders>
          </w:tcPr>
          <w:p w14:paraId="2AAC678D">
            <w:pPr>
              <w:snapToGrid w:val="0"/>
              <w:spacing w:before="50" w:after="120" w:afterLines="50" w:line="400" w:lineRule="exact"/>
              <w:jc w:val="left"/>
              <w:rPr>
                <w:szCs w:val="21"/>
              </w:rPr>
            </w:pPr>
          </w:p>
        </w:tc>
        <w:tc>
          <w:tcPr>
            <w:tcW w:w="4095" w:type="dxa"/>
            <w:tcBorders>
              <w:top w:val="single" w:color="auto" w:sz="4" w:space="0"/>
              <w:left w:val="single" w:color="auto" w:sz="4" w:space="0"/>
              <w:bottom w:val="single" w:color="auto" w:sz="4" w:space="0"/>
              <w:right w:val="single" w:color="auto" w:sz="4" w:space="0"/>
            </w:tcBorders>
          </w:tcPr>
          <w:p w14:paraId="330D5A99">
            <w:pPr>
              <w:snapToGrid w:val="0"/>
              <w:spacing w:before="50" w:after="120" w:afterLines="50" w:line="400" w:lineRule="exact"/>
              <w:jc w:val="left"/>
              <w:rPr>
                <w:szCs w:val="21"/>
              </w:rPr>
            </w:pPr>
          </w:p>
        </w:tc>
        <w:tc>
          <w:tcPr>
            <w:tcW w:w="1965" w:type="dxa"/>
            <w:tcBorders>
              <w:top w:val="single" w:color="auto" w:sz="4" w:space="0"/>
              <w:left w:val="single" w:color="auto" w:sz="4" w:space="0"/>
              <w:bottom w:val="single" w:color="auto" w:sz="4" w:space="0"/>
              <w:right w:val="single" w:color="auto" w:sz="4" w:space="0"/>
            </w:tcBorders>
          </w:tcPr>
          <w:p w14:paraId="22597946">
            <w:pPr>
              <w:snapToGrid w:val="0"/>
              <w:spacing w:before="50" w:after="120" w:afterLines="50" w:line="400" w:lineRule="exact"/>
              <w:jc w:val="left"/>
              <w:rPr>
                <w:szCs w:val="21"/>
              </w:rPr>
            </w:pPr>
          </w:p>
        </w:tc>
        <w:tc>
          <w:tcPr>
            <w:tcW w:w="1200" w:type="dxa"/>
            <w:tcBorders>
              <w:top w:val="single" w:color="auto" w:sz="4" w:space="0"/>
              <w:left w:val="single" w:color="auto" w:sz="4" w:space="0"/>
              <w:bottom w:val="single" w:color="auto" w:sz="4" w:space="0"/>
              <w:right w:val="single" w:color="auto" w:sz="4" w:space="0"/>
            </w:tcBorders>
          </w:tcPr>
          <w:p w14:paraId="5D8E362A">
            <w:pPr>
              <w:snapToGrid w:val="0"/>
              <w:spacing w:before="50" w:after="120" w:afterLines="50" w:line="400" w:lineRule="exact"/>
              <w:jc w:val="left"/>
              <w:rPr>
                <w:szCs w:val="21"/>
              </w:rPr>
            </w:pPr>
          </w:p>
        </w:tc>
        <w:tc>
          <w:tcPr>
            <w:tcW w:w="1335" w:type="dxa"/>
            <w:tcBorders>
              <w:top w:val="single" w:color="auto" w:sz="4" w:space="0"/>
              <w:left w:val="single" w:color="auto" w:sz="4" w:space="0"/>
              <w:bottom w:val="single" w:color="auto" w:sz="4" w:space="0"/>
              <w:right w:val="single" w:color="auto" w:sz="4" w:space="0"/>
            </w:tcBorders>
          </w:tcPr>
          <w:p w14:paraId="33C0CAE4">
            <w:pPr>
              <w:snapToGrid w:val="0"/>
              <w:spacing w:before="50" w:after="120" w:afterLines="50" w:line="400" w:lineRule="exact"/>
              <w:jc w:val="left"/>
              <w:rPr>
                <w:szCs w:val="21"/>
              </w:rPr>
            </w:pPr>
          </w:p>
        </w:tc>
        <w:tc>
          <w:tcPr>
            <w:tcW w:w="2790" w:type="dxa"/>
            <w:tcBorders>
              <w:top w:val="single" w:color="auto" w:sz="4" w:space="0"/>
              <w:left w:val="single" w:color="auto" w:sz="4" w:space="0"/>
              <w:bottom w:val="single" w:color="auto" w:sz="4" w:space="0"/>
              <w:right w:val="single" w:color="auto" w:sz="4" w:space="0"/>
            </w:tcBorders>
          </w:tcPr>
          <w:p w14:paraId="06345A4F">
            <w:pPr>
              <w:snapToGrid w:val="0"/>
              <w:spacing w:before="50" w:after="120" w:afterLines="50" w:line="400" w:lineRule="exact"/>
              <w:jc w:val="left"/>
              <w:rPr>
                <w:szCs w:val="21"/>
              </w:rPr>
            </w:pPr>
          </w:p>
        </w:tc>
      </w:tr>
      <w:tr w14:paraId="329833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1" w:hRule="atLeast"/>
        </w:trPr>
        <w:tc>
          <w:tcPr>
            <w:tcW w:w="486" w:type="dxa"/>
            <w:tcBorders>
              <w:top w:val="single" w:color="auto" w:sz="4" w:space="0"/>
              <w:left w:val="single" w:color="auto" w:sz="4" w:space="0"/>
              <w:bottom w:val="single" w:color="auto" w:sz="4" w:space="0"/>
              <w:right w:val="single" w:color="auto" w:sz="4" w:space="0"/>
            </w:tcBorders>
          </w:tcPr>
          <w:p w14:paraId="41F8282D">
            <w:pPr>
              <w:snapToGrid w:val="0"/>
              <w:spacing w:before="50" w:after="120" w:afterLines="50" w:line="400" w:lineRule="exact"/>
              <w:jc w:val="left"/>
              <w:rPr>
                <w:szCs w:val="21"/>
              </w:rPr>
            </w:pPr>
          </w:p>
        </w:tc>
        <w:tc>
          <w:tcPr>
            <w:tcW w:w="2820" w:type="dxa"/>
            <w:tcBorders>
              <w:top w:val="single" w:color="auto" w:sz="4" w:space="0"/>
              <w:left w:val="single" w:color="auto" w:sz="4" w:space="0"/>
              <w:bottom w:val="single" w:color="auto" w:sz="4" w:space="0"/>
              <w:right w:val="single" w:color="auto" w:sz="4" w:space="0"/>
            </w:tcBorders>
          </w:tcPr>
          <w:p w14:paraId="682A237B">
            <w:pPr>
              <w:snapToGrid w:val="0"/>
              <w:spacing w:before="50" w:after="120" w:afterLines="50" w:line="400" w:lineRule="exact"/>
              <w:jc w:val="left"/>
              <w:rPr>
                <w:szCs w:val="21"/>
              </w:rPr>
            </w:pPr>
          </w:p>
        </w:tc>
        <w:tc>
          <w:tcPr>
            <w:tcW w:w="4095" w:type="dxa"/>
            <w:tcBorders>
              <w:top w:val="single" w:color="auto" w:sz="4" w:space="0"/>
              <w:left w:val="single" w:color="auto" w:sz="4" w:space="0"/>
              <w:bottom w:val="single" w:color="auto" w:sz="4" w:space="0"/>
              <w:right w:val="single" w:color="auto" w:sz="4" w:space="0"/>
            </w:tcBorders>
          </w:tcPr>
          <w:p w14:paraId="33A01D6C">
            <w:pPr>
              <w:snapToGrid w:val="0"/>
              <w:spacing w:before="50" w:after="120" w:afterLines="50" w:line="400" w:lineRule="exact"/>
              <w:jc w:val="left"/>
              <w:rPr>
                <w:szCs w:val="21"/>
              </w:rPr>
            </w:pPr>
          </w:p>
        </w:tc>
        <w:tc>
          <w:tcPr>
            <w:tcW w:w="1965" w:type="dxa"/>
            <w:tcBorders>
              <w:top w:val="single" w:color="auto" w:sz="4" w:space="0"/>
              <w:left w:val="single" w:color="auto" w:sz="4" w:space="0"/>
              <w:bottom w:val="single" w:color="auto" w:sz="4" w:space="0"/>
              <w:right w:val="single" w:color="auto" w:sz="4" w:space="0"/>
            </w:tcBorders>
          </w:tcPr>
          <w:p w14:paraId="209575C1">
            <w:pPr>
              <w:snapToGrid w:val="0"/>
              <w:spacing w:before="50" w:after="120" w:afterLines="50" w:line="400" w:lineRule="exact"/>
              <w:jc w:val="left"/>
              <w:rPr>
                <w:szCs w:val="21"/>
              </w:rPr>
            </w:pPr>
          </w:p>
        </w:tc>
        <w:tc>
          <w:tcPr>
            <w:tcW w:w="1200" w:type="dxa"/>
            <w:tcBorders>
              <w:top w:val="single" w:color="auto" w:sz="4" w:space="0"/>
              <w:left w:val="single" w:color="auto" w:sz="4" w:space="0"/>
              <w:bottom w:val="single" w:color="auto" w:sz="4" w:space="0"/>
              <w:right w:val="single" w:color="auto" w:sz="4" w:space="0"/>
            </w:tcBorders>
          </w:tcPr>
          <w:p w14:paraId="20D32576">
            <w:pPr>
              <w:snapToGrid w:val="0"/>
              <w:spacing w:before="50" w:after="120" w:afterLines="50" w:line="400" w:lineRule="exact"/>
              <w:jc w:val="left"/>
              <w:rPr>
                <w:szCs w:val="21"/>
              </w:rPr>
            </w:pPr>
          </w:p>
        </w:tc>
        <w:tc>
          <w:tcPr>
            <w:tcW w:w="1335" w:type="dxa"/>
            <w:tcBorders>
              <w:top w:val="single" w:color="auto" w:sz="4" w:space="0"/>
              <w:left w:val="single" w:color="auto" w:sz="4" w:space="0"/>
              <w:bottom w:val="single" w:color="auto" w:sz="4" w:space="0"/>
              <w:right w:val="single" w:color="auto" w:sz="4" w:space="0"/>
            </w:tcBorders>
          </w:tcPr>
          <w:p w14:paraId="5F50EA1F">
            <w:pPr>
              <w:snapToGrid w:val="0"/>
              <w:spacing w:before="50" w:after="120" w:afterLines="50" w:line="400" w:lineRule="exact"/>
              <w:jc w:val="left"/>
              <w:rPr>
                <w:szCs w:val="21"/>
              </w:rPr>
            </w:pPr>
          </w:p>
        </w:tc>
        <w:tc>
          <w:tcPr>
            <w:tcW w:w="2790" w:type="dxa"/>
            <w:tcBorders>
              <w:top w:val="single" w:color="auto" w:sz="4" w:space="0"/>
              <w:left w:val="single" w:color="auto" w:sz="4" w:space="0"/>
              <w:bottom w:val="single" w:color="auto" w:sz="4" w:space="0"/>
              <w:right w:val="single" w:color="auto" w:sz="4" w:space="0"/>
            </w:tcBorders>
          </w:tcPr>
          <w:p w14:paraId="3E328153">
            <w:pPr>
              <w:snapToGrid w:val="0"/>
              <w:spacing w:before="50" w:after="120" w:afterLines="50" w:line="400" w:lineRule="exact"/>
              <w:jc w:val="left"/>
              <w:rPr>
                <w:szCs w:val="21"/>
              </w:rPr>
            </w:pPr>
          </w:p>
        </w:tc>
      </w:tr>
      <w:tr w14:paraId="21EC84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7" w:hRule="atLeast"/>
        </w:trPr>
        <w:tc>
          <w:tcPr>
            <w:tcW w:w="486" w:type="dxa"/>
            <w:tcBorders>
              <w:top w:val="single" w:color="auto" w:sz="4" w:space="0"/>
              <w:left w:val="single" w:color="auto" w:sz="4" w:space="0"/>
              <w:bottom w:val="single" w:color="auto" w:sz="4" w:space="0"/>
              <w:right w:val="single" w:color="auto" w:sz="4" w:space="0"/>
            </w:tcBorders>
          </w:tcPr>
          <w:p w14:paraId="140559F6">
            <w:pPr>
              <w:snapToGrid w:val="0"/>
              <w:spacing w:before="50" w:after="120" w:afterLines="50" w:line="400" w:lineRule="exact"/>
              <w:jc w:val="left"/>
              <w:rPr>
                <w:szCs w:val="21"/>
              </w:rPr>
            </w:pPr>
          </w:p>
        </w:tc>
        <w:tc>
          <w:tcPr>
            <w:tcW w:w="2820" w:type="dxa"/>
            <w:tcBorders>
              <w:top w:val="single" w:color="auto" w:sz="4" w:space="0"/>
              <w:left w:val="single" w:color="auto" w:sz="4" w:space="0"/>
              <w:bottom w:val="single" w:color="auto" w:sz="4" w:space="0"/>
              <w:right w:val="single" w:color="auto" w:sz="4" w:space="0"/>
            </w:tcBorders>
          </w:tcPr>
          <w:p w14:paraId="2C5901B8">
            <w:pPr>
              <w:snapToGrid w:val="0"/>
              <w:spacing w:before="50" w:after="120" w:afterLines="50" w:line="400" w:lineRule="exact"/>
              <w:jc w:val="left"/>
              <w:rPr>
                <w:szCs w:val="21"/>
              </w:rPr>
            </w:pPr>
          </w:p>
        </w:tc>
        <w:tc>
          <w:tcPr>
            <w:tcW w:w="4095" w:type="dxa"/>
            <w:tcBorders>
              <w:top w:val="single" w:color="auto" w:sz="4" w:space="0"/>
              <w:left w:val="single" w:color="auto" w:sz="4" w:space="0"/>
              <w:bottom w:val="single" w:color="auto" w:sz="4" w:space="0"/>
              <w:right w:val="single" w:color="auto" w:sz="4" w:space="0"/>
            </w:tcBorders>
          </w:tcPr>
          <w:p w14:paraId="6DA3B107">
            <w:pPr>
              <w:snapToGrid w:val="0"/>
              <w:spacing w:before="50" w:after="120" w:afterLines="50" w:line="400" w:lineRule="exact"/>
              <w:jc w:val="left"/>
              <w:rPr>
                <w:szCs w:val="21"/>
              </w:rPr>
            </w:pPr>
          </w:p>
        </w:tc>
        <w:tc>
          <w:tcPr>
            <w:tcW w:w="1965" w:type="dxa"/>
            <w:tcBorders>
              <w:top w:val="single" w:color="auto" w:sz="4" w:space="0"/>
              <w:left w:val="single" w:color="auto" w:sz="4" w:space="0"/>
              <w:bottom w:val="single" w:color="auto" w:sz="4" w:space="0"/>
              <w:right w:val="single" w:color="auto" w:sz="4" w:space="0"/>
            </w:tcBorders>
          </w:tcPr>
          <w:p w14:paraId="3BCB5ACB">
            <w:pPr>
              <w:snapToGrid w:val="0"/>
              <w:spacing w:before="50" w:after="120" w:afterLines="50" w:line="400" w:lineRule="exact"/>
              <w:jc w:val="left"/>
              <w:rPr>
                <w:szCs w:val="21"/>
              </w:rPr>
            </w:pPr>
          </w:p>
        </w:tc>
        <w:tc>
          <w:tcPr>
            <w:tcW w:w="1200" w:type="dxa"/>
            <w:tcBorders>
              <w:top w:val="single" w:color="auto" w:sz="4" w:space="0"/>
              <w:left w:val="single" w:color="auto" w:sz="4" w:space="0"/>
              <w:bottom w:val="single" w:color="auto" w:sz="4" w:space="0"/>
              <w:right w:val="single" w:color="auto" w:sz="4" w:space="0"/>
            </w:tcBorders>
          </w:tcPr>
          <w:p w14:paraId="03670454">
            <w:pPr>
              <w:snapToGrid w:val="0"/>
              <w:spacing w:before="50" w:after="120" w:afterLines="50" w:line="400" w:lineRule="exact"/>
              <w:jc w:val="left"/>
              <w:rPr>
                <w:szCs w:val="21"/>
              </w:rPr>
            </w:pPr>
          </w:p>
        </w:tc>
        <w:tc>
          <w:tcPr>
            <w:tcW w:w="1335" w:type="dxa"/>
            <w:tcBorders>
              <w:top w:val="single" w:color="auto" w:sz="4" w:space="0"/>
              <w:left w:val="single" w:color="auto" w:sz="4" w:space="0"/>
              <w:bottom w:val="single" w:color="auto" w:sz="4" w:space="0"/>
              <w:right w:val="single" w:color="auto" w:sz="4" w:space="0"/>
            </w:tcBorders>
          </w:tcPr>
          <w:p w14:paraId="221DB12E">
            <w:pPr>
              <w:snapToGrid w:val="0"/>
              <w:spacing w:before="50" w:after="120" w:afterLines="50" w:line="400" w:lineRule="exact"/>
              <w:jc w:val="left"/>
              <w:rPr>
                <w:szCs w:val="21"/>
              </w:rPr>
            </w:pPr>
          </w:p>
        </w:tc>
        <w:tc>
          <w:tcPr>
            <w:tcW w:w="2790" w:type="dxa"/>
            <w:tcBorders>
              <w:top w:val="single" w:color="auto" w:sz="4" w:space="0"/>
              <w:left w:val="single" w:color="auto" w:sz="4" w:space="0"/>
              <w:bottom w:val="single" w:color="auto" w:sz="4" w:space="0"/>
              <w:right w:val="single" w:color="auto" w:sz="4" w:space="0"/>
            </w:tcBorders>
          </w:tcPr>
          <w:p w14:paraId="6823010F">
            <w:pPr>
              <w:snapToGrid w:val="0"/>
              <w:spacing w:before="50" w:after="120" w:afterLines="50" w:line="400" w:lineRule="exact"/>
              <w:jc w:val="left"/>
              <w:rPr>
                <w:szCs w:val="21"/>
              </w:rPr>
            </w:pPr>
          </w:p>
        </w:tc>
      </w:tr>
      <w:tr w14:paraId="47B1DD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1" w:hRule="atLeast"/>
        </w:trPr>
        <w:tc>
          <w:tcPr>
            <w:tcW w:w="486" w:type="dxa"/>
            <w:tcBorders>
              <w:top w:val="single" w:color="auto" w:sz="4" w:space="0"/>
              <w:left w:val="single" w:color="auto" w:sz="4" w:space="0"/>
              <w:bottom w:val="single" w:color="auto" w:sz="4" w:space="0"/>
              <w:right w:val="single" w:color="auto" w:sz="4" w:space="0"/>
            </w:tcBorders>
          </w:tcPr>
          <w:p w14:paraId="0990CEE4">
            <w:pPr>
              <w:snapToGrid w:val="0"/>
              <w:spacing w:before="50" w:after="120" w:afterLines="50" w:line="400" w:lineRule="exact"/>
              <w:jc w:val="left"/>
              <w:rPr>
                <w:szCs w:val="21"/>
              </w:rPr>
            </w:pPr>
          </w:p>
        </w:tc>
        <w:tc>
          <w:tcPr>
            <w:tcW w:w="2820" w:type="dxa"/>
            <w:tcBorders>
              <w:top w:val="single" w:color="auto" w:sz="4" w:space="0"/>
              <w:left w:val="single" w:color="auto" w:sz="4" w:space="0"/>
              <w:bottom w:val="single" w:color="auto" w:sz="4" w:space="0"/>
              <w:right w:val="single" w:color="auto" w:sz="4" w:space="0"/>
            </w:tcBorders>
          </w:tcPr>
          <w:p w14:paraId="135DC0F8">
            <w:pPr>
              <w:snapToGrid w:val="0"/>
              <w:spacing w:before="50" w:after="120" w:afterLines="50" w:line="400" w:lineRule="exact"/>
              <w:jc w:val="left"/>
              <w:rPr>
                <w:szCs w:val="21"/>
              </w:rPr>
            </w:pPr>
          </w:p>
        </w:tc>
        <w:tc>
          <w:tcPr>
            <w:tcW w:w="4095" w:type="dxa"/>
            <w:tcBorders>
              <w:top w:val="single" w:color="auto" w:sz="4" w:space="0"/>
              <w:left w:val="single" w:color="auto" w:sz="4" w:space="0"/>
              <w:bottom w:val="single" w:color="auto" w:sz="4" w:space="0"/>
              <w:right w:val="single" w:color="auto" w:sz="4" w:space="0"/>
            </w:tcBorders>
          </w:tcPr>
          <w:p w14:paraId="0EC0B028">
            <w:pPr>
              <w:snapToGrid w:val="0"/>
              <w:spacing w:before="50" w:after="120" w:afterLines="50" w:line="400" w:lineRule="exact"/>
              <w:jc w:val="left"/>
              <w:rPr>
                <w:szCs w:val="21"/>
              </w:rPr>
            </w:pPr>
          </w:p>
        </w:tc>
        <w:tc>
          <w:tcPr>
            <w:tcW w:w="1965" w:type="dxa"/>
            <w:tcBorders>
              <w:top w:val="single" w:color="auto" w:sz="4" w:space="0"/>
              <w:left w:val="single" w:color="auto" w:sz="4" w:space="0"/>
              <w:bottom w:val="single" w:color="auto" w:sz="4" w:space="0"/>
              <w:right w:val="single" w:color="auto" w:sz="4" w:space="0"/>
            </w:tcBorders>
          </w:tcPr>
          <w:p w14:paraId="11329BA4">
            <w:pPr>
              <w:snapToGrid w:val="0"/>
              <w:spacing w:before="50" w:after="120" w:afterLines="50" w:line="400" w:lineRule="exact"/>
              <w:jc w:val="left"/>
              <w:rPr>
                <w:szCs w:val="21"/>
              </w:rPr>
            </w:pPr>
          </w:p>
        </w:tc>
        <w:tc>
          <w:tcPr>
            <w:tcW w:w="1200" w:type="dxa"/>
            <w:tcBorders>
              <w:top w:val="single" w:color="auto" w:sz="4" w:space="0"/>
              <w:left w:val="single" w:color="auto" w:sz="4" w:space="0"/>
              <w:bottom w:val="single" w:color="auto" w:sz="4" w:space="0"/>
              <w:right w:val="single" w:color="auto" w:sz="4" w:space="0"/>
            </w:tcBorders>
          </w:tcPr>
          <w:p w14:paraId="5D89A364">
            <w:pPr>
              <w:snapToGrid w:val="0"/>
              <w:spacing w:before="50" w:after="120" w:afterLines="50" w:line="400" w:lineRule="exact"/>
              <w:jc w:val="left"/>
              <w:rPr>
                <w:szCs w:val="21"/>
              </w:rPr>
            </w:pPr>
          </w:p>
        </w:tc>
        <w:tc>
          <w:tcPr>
            <w:tcW w:w="1335" w:type="dxa"/>
            <w:tcBorders>
              <w:top w:val="single" w:color="auto" w:sz="4" w:space="0"/>
              <w:left w:val="single" w:color="auto" w:sz="4" w:space="0"/>
              <w:bottom w:val="single" w:color="auto" w:sz="4" w:space="0"/>
              <w:right w:val="single" w:color="auto" w:sz="4" w:space="0"/>
            </w:tcBorders>
          </w:tcPr>
          <w:p w14:paraId="044E11BE">
            <w:pPr>
              <w:snapToGrid w:val="0"/>
              <w:spacing w:before="50" w:after="120" w:afterLines="50" w:line="400" w:lineRule="exact"/>
              <w:jc w:val="left"/>
              <w:rPr>
                <w:szCs w:val="21"/>
              </w:rPr>
            </w:pPr>
          </w:p>
        </w:tc>
        <w:tc>
          <w:tcPr>
            <w:tcW w:w="2790" w:type="dxa"/>
            <w:tcBorders>
              <w:top w:val="single" w:color="auto" w:sz="4" w:space="0"/>
              <w:left w:val="single" w:color="auto" w:sz="4" w:space="0"/>
              <w:bottom w:val="single" w:color="auto" w:sz="4" w:space="0"/>
              <w:right w:val="single" w:color="auto" w:sz="4" w:space="0"/>
            </w:tcBorders>
          </w:tcPr>
          <w:p w14:paraId="420B5467">
            <w:pPr>
              <w:snapToGrid w:val="0"/>
              <w:spacing w:before="50" w:after="120" w:afterLines="50" w:line="400" w:lineRule="exact"/>
              <w:jc w:val="left"/>
              <w:rPr>
                <w:szCs w:val="21"/>
              </w:rPr>
            </w:pPr>
          </w:p>
        </w:tc>
      </w:tr>
    </w:tbl>
    <w:p w14:paraId="0D9D31D0">
      <w:pPr>
        <w:pStyle w:val="15"/>
        <w:snapToGrid w:val="0"/>
        <w:rPr>
          <w:rFonts w:ascii="Times New Roman" w:hAnsi="Times New Roman" w:eastAsia="宋体" w:cs="Times New Roman"/>
          <w:sz w:val="21"/>
          <w:szCs w:val="21"/>
        </w:rPr>
      </w:pPr>
      <w:r>
        <w:rPr>
          <w:rFonts w:ascii="Times New Roman" w:hAnsi="Times New Roman" w:eastAsia="宋体" w:cs="Times New Roman"/>
          <w:sz w:val="21"/>
          <w:szCs w:val="21"/>
        </w:rPr>
        <w:t>注：</w:t>
      </w:r>
    </w:p>
    <w:p w14:paraId="628CAD4F">
      <w:pPr>
        <w:pStyle w:val="15"/>
        <w:snapToGrid w:val="0"/>
        <w:rPr>
          <w:rFonts w:ascii="Times New Roman" w:hAnsi="Times New Roman" w:eastAsia="宋体" w:cs="Times New Roman"/>
          <w:sz w:val="21"/>
          <w:szCs w:val="21"/>
        </w:rPr>
      </w:pPr>
      <w:r>
        <w:rPr>
          <w:rFonts w:ascii="Times New Roman" w:hAnsi="Times New Roman" w:eastAsia="宋体" w:cs="Times New Roman"/>
          <w:szCs w:val="21"/>
        </w:rPr>
        <w:t>（1）</w:t>
      </w:r>
      <w:r>
        <w:rPr>
          <w:rFonts w:ascii="Times New Roman" w:hAnsi="Times New Roman" w:eastAsia="宋体" w:cs="Times New Roman"/>
          <w:sz w:val="21"/>
          <w:szCs w:val="21"/>
        </w:rPr>
        <w:t>未附</w:t>
      </w:r>
      <w:r>
        <w:rPr>
          <w:rFonts w:hint="eastAsia" w:ascii="Times New Roman" w:hAnsi="Times New Roman" w:eastAsia="宋体" w:cs="Times New Roman"/>
          <w:sz w:val="21"/>
          <w:szCs w:val="21"/>
        </w:rPr>
        <w:t>证明材料</w:t>
      </w:r>
      <w:r>
        <w:rPr>
          <w:rFonts w:ascii="Times New Roman" w:hAnsi="Times New Roman" w:eastAsia="宋体" w:cs="Times New Roman"/>
          <w:sz w:val="21"/>
          <w:szCs w:val="21"/>
        </w:rPr>
        <w:t>的业绩无效</w:t>
      </w:r>
      <w:r>
        <w:rPr>
          <w:rFonts w:hint="eastAsia" w:ascii="Times New Roman" w:hAnsi="Times New Roman" w:eastAsia="宋体" w:cs="Times New Roman"/>
          <w:sz w:val="21"/>
          <w:szCs w:val="21"/>
        </w:rPr>
        <w:t>，证明材料</w:t>
      </w:r>
      <w:r>
        <w:rPr>
          <w:rFonts w:ascii="Times New Roman" w:hAnsi="Times New Roman" w:eastAsia="宋体" w:cs="Times New Roman"/>
          <w:sz w:val="21"/>
          <w:szCs w:val="21"/>
        </w:rPr>
        <w:t>见第四章《评审方法及标准》规定</w:t>
      </w:r>
    </w:p>
    <w:p w14:paraId="49E1AB1B">
      <w:pPr>
        <w:pStyle w:val="15"/>
        <w:snapToGrid w:val="0"/>
        <w:rPr>
          <w:rFonts w:ascii="Times New Roman" w:hAnsi="Times New Roman" w:eastAsia="宋体" w:cs="Times New Roman"/>
          <w:sz w:val="21"/>
          <w:szCs w:val="21"/>
        </w:rPr>
      </w:pPr>
      <w:r>
        <w:rPr>
          <w:rFonts w:ascii="Times New Roman" w:hAnsi="Times New Roman" w:eastAsia="宋体" w:cs="Times New Roman"/>
          <w:szCs w:val="21"/>
        </w:rPr>
        <w:t>（</w:t>
      </w:r>
      <w:r>
        <w:rPr>
          <w:rFonts w:hint="eastAsia" w:ascii="Times New Roman" w:hAnsi="Times New Roman" w:eastAsia="宋体" w:cs="Times New Roman"/>
          <w:szCs w:val="21"/>
        </w:rPr>
        <w:t>2</w:t>
      </w:r>
      <w:r>
        <w:rPr>
          <w:rFonts w:ascii="Times New Roman" w:hAnsi="Times New Roman" w:eastAsia="宋体" w:cs="Times New Roman"/>
          <w:szCs w:val="21"/>
        </w:rPr>
        <w:t>）</w:t>
      </w:r>
      <w:r>
        <w:rPr>
          <w:rFonts w:ascii="Times New Roman" w:hAnsi="Times New Roman" w:eastAsia="宋体" w:cs="Times New Roman"/>
          <w:sz w:val="21"/>
          <w:szCs w:val="21"/>
        </w:rPr>
        <w:t>类似项目的定义见第四章《评审方法及标准》规定。</w:t>
      </w:r>
    </w:p>
    <w:p w14:paraId="716E0ADD">
      <w:r>
        <w:rPr>
          <w:szCs w:val="21"/>
        </w:rPr>
        <w:t>（</w:t>
      </w:r>
      <w:r>
        <w:rPr>
          <w:rFonts w:hint="eastAsia"/>
          <w:szCs w:val="21"/>
        </w:rPr>
        <w:t>3</w:t>
      </w:r>
      <w:r>
        <w:rPr>
          <w:szCs w:val="21"/>
        </w:rPr>
        <w:t>）</w:t>
      </w:r>
      <w:bookmarkStart w:id="131" w:name="_Hlk19049505"/>
      <w:r>
        <w:t>本表可拓展。</w:t>
      </w:r>
      <w:bookmarkEnd w:id="131"/>
    </w:p>
    <w:p w14:paraId="25A3BB3F">
      <w:pPr>
        <w:snapToGrid w:val="0"/>
        <w:spacing w:before="50"/>
        <w:jc w:val="left"/>
        <w:rPr>
          <w:szCs w:val="21"/>
        </w:rPr>
      </w:pPr>
      <w:bookmarkStart w:id="132" w:name="_Hlk88990617"/>
    </w:p>
    <w:p w14:paraId="15531636">
      <w:pPr>
        <w:snapToGrid w:val="0"/>
        <w:spacing w:before="50"/>
        <w:jc w:val="left"/>
        <w:rPr>
          <w:szCs w:val="21"/>
          <w:u w:val="single"/>
        </w:rPr>
      </w:pPr>
      <w:r>
        <w:rPr>
          <w:szCs w:val="21"/>
        </w:rPr>
        <w:t>供应商</w:t>
      </w:r>
      <w:r>
        <w:rPr>
          <w:rFonts w:hint="eastAsia"/>
          <w:szCs w:val="21"/>
        </w:rPr>
        <w:t>名称(电子签章</w:t>
      </w:r>
      <w:r>
        <w:rPr>
          <w:szCs w:val="21"/>
        </w:rPr>
        <w:t>)：</w:t>
      </w:r>
      <w:bookmarkEnd w:id="132"/>
      <w:r>
        <w:rPr>
          <w:szCs w:val="21"/>
          <w:u w:val="single"/>
        </w:rPr>
        <w:t xml:space="preserve">      </w:t>
      </w:r>
    </w:p>
    <w:p w14:paraId="2F87E38B">
      <w:pPr>
        <w:snapToGrid w:val="0"/>
        <w:spacing w:before="50"/>
        <w:jc w:val="left"/>
        <w:rPr>
          <w:szCs w:val="21"/>
        </w:rPr>
      </w:pPr>
      <w:r>
        <w:rPr>
          <w:rFonts w:hint="eastAsia"/>
          <w:szCs w:val="21"/>
        </w:rPr>
        <w:t>法定代表人或者委托代理人（签字或者电子签名）：</w:t>
      </w:r>
      <w:r>
        <w:rPr>
          <w:szCs w:val="21"/>
          <w:u w:val="single"/>
        </w:rPr>
        <w:t xml:space="preserve">           </w:t>
      </w:r>
      <w:r>
        <w:rPr>
          <w:szCs w:val="21"/>
        </w:rPr>
        <w:t xml:space="preserve">      </w:t>
      </w:r>
    </w:p>
    <w:p w14:paraId="0B3121BE">
      <w:pPr>
        <w:snapToGrid w:val="0"/>
        <w:spacing w:before="50"/>
        <w:jc w:val="left"/>
        <w:rPr>
          <w:szCs w:val="21"/>
        </w:rPr>
      </w:pPr>
      <w:r>
        <w:rPr>
          <w:szCs w:val="21"/>
        </w:rPr>
        <w:t xml:space="preserve">                                      年    月   日</w:t>
      </w:r>
    </w:p>
    <w:p w14:paraId="76E82C1E">
      <w:pPr>
        <w:snapToGrid w:val="0"/>
        <w:spacing w:before="50" w:after="120" w:afterLines="50"/>
        <w:jc w:val="left"/>
        <w:rPr>
          <w:szCs w:val="21"/>
        </w:rPr>
        <w:sectPr>
          <w:headerReference r:id="rId12" w:type="default"/>
          <w:pgSz w:w="16838" w:h="11906" w:orient="landscape"/>
          <w:pgMar w:top="1418" w:right="1304" w:bottom="1418" w:left="1304" w:header="851" w:footer="992" w:gutter="0"/>
          <w:cols w:space="720" w:num="1"/>
          <w:docGrid w:linePitch="312" w:charSpace="0"/>
        </w:sectPr>
      </w:pPr>
    </w:p>
    <w:p w14:paraId="43F180A5">
      <w:pPr>
        <w:spacing w:line="300" w:lineRule="exact"/>
        <w:jc w:val="left"/>
        <w:rPr>
          <w:szCs w:val="21"/>
        </w:rPr>
      </w:pPr>
      <w:bookmarkStart w:id="133" w:name="_Hlk19050322"/>
      <w:r>
        <w:rPr>
          <w:rFonts w:hint="eastAsia"/>
          <w:szCs w:val="21"/>
        </w:rPr>
        <w:t>10.配送能力证明材料；</w:t>
      </w:r>
    </w:p>
    <w:p w14:paraId="22E11CA0">
      <w:pPr>
        <w:spacing w:line="300" w:lineRule="exact"/>
        <w:jc w:val="left"/>
        <w:rPr>
          <w:szCs w:val="21"/>
        </w:rPr>
      </w:pPr>
    </w:p>
    <w:p w14:paraId="3113E212">
      <w:pPr>
        <w:spacing w:line="300" w:lineRule="exact"/>
        <w:jc w:val="left"/>
        <w:rPr>
          <w:szCs w:val="21"/>
        </w:rPr>
      </w:pPr>
    </w:p>
    <w:p w14:paraId="62D48C00">
      <w:pPr>
        <w:spacing w:line="300" w:lineRule="exact"/>
        <w:jc w:val="left"/>
        <w:rPr>
          <w:szCs w:val="21"/>
        </w:rPr>
      </w:pPr>
    </w:p>
    <w:p w14:paraId="0F0BD670">
      <w:pPr>
        <w:spacing w:line="300" w:lineRule="exact"/>
        <w:jc w:val="left"/>
        <w:rPr>
          <w:szCs w:val="21"/>
        </w:rPr>
      </w:pPr>
    </w:p>
    <w:p w14:paraId="542E3285">
      <w:pPr>
        <w:spacing w:line="300" w:lineRule="exact"/>
        <w:jc w:val="left"/>
        <w:rPr>
          <w:szCs w:val="21"/>
        </w:rPr>
      </w:pPr>
      <w:r>
        <w:rPr>
          <w:rFonts w:hint="eastAsia"/>
          <w:szCs w:val="21"/>
        </w:rPr>
        <w:t>11.拟投入实施人员及相关证明材料；</w:t>
      </w:r>
    </w:p>
    <w:p w14:paraId="0B54FC20">
      <w:pPr>
        <w:snapToGrid w:val="0"/>
        <w:spacing w:before="120" w:beforeLines="50" w:after="50" w:line="400" w:lineRule="exact"/>
        <w:jc w:val="center"/>
        <w:rPr>
          <w:szCs w:val="21"/>
        </w:rPr>
      </w:pPr>
      <w:r>
        <w:rPr>
          <w:szCs w:val="21"/>
        </w:rPr>
        <w:t>项目拟投入服务团队人员（含项目负责人）一览表</w:t>
      </w:r>
    </w:p>
    <w:tbl>
      <w:tblPr>
        <w:tblStyle w:val="51"/>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31"/>
        <w:gridCol w:w="1260"/>
        <w:gridCol w:w="1440"/>
        <w:gridCol w:w="1516"/>
        <w:gridCol w:w="1620"/>
        <w:gridCol w:w="1980"/>
      </w:tblGrid>
      <w:tr w14:paraId="79C739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jc w:val="center"/>
        </w:trPr>
        <w:tc>
          <w:tcPr>
            <w:tcW w:w="1331" w:type="dxa"/>
            <w:tcBorders>
              <w:top w:val="single" w:color="auto" w:sz="4" w:space="0"/>
              <w:left w:val="single" w:color="auto" w:sz="4" w:space="0"/>
              <w:bottom w:val="single" w:color="auto" w:sz="4" w:space="0"/>
              <w:right w:val="single" w:color="auto" w:sz="4" w:space="0"/>
            </w:tcBorders>
            <w:vAlign w:val="center"/>
          </w:tcPr>
          <w:p w14:paraId="56590900">
            <w:pPr>
              <w:snapToGrid w:val="0"/>
              <w:spacing w:before="120" w:beforeLines="50" w:after="50"/>
              <w:jc w:val="center"/>
              <w:rPr>
                <w:szCs w:val="21"/>
              </w:rPr>
            </w:pPr>
            <w:r>
              <w:rPr>
                <w:szCs w:val="21"/>
              </w:rPr>
              <w:t>姓名</w:t>
            </w:r>
          </w:p>
        </w:tc>
        <w:tc>
          <w:tcPr>
            <w:tcW w:w="1260" w:type="dxa"/>
            <w:tcBorders>
              <w:top w:val="single" w:color="auto" w:sz="4" w:space="0"/>
              <w:left w:val="single" w:color="auto" w:sz="4" w:space="0"/>
              <w:bottom w:val="single" w:color="auto" w:sz="4" w:space="0"/>
              <w:right w:val="single" w:color="auto" w:sz="4" w:space="0"/>
            </w:tcBorders>
            <w:vAlign w:val="center"/>
          </w:tcPr>
          <w:p w14:paraId="30BB39BD">
            <w:pPr>
              <w:snapToGrid w:val="0"/>
              <w:spacing w:before="120" w:beforeLines="50" w:after="50"/>
              <w:jc w:val="center"/>
              <w:rPr>
                <w:szCs w:val="21"/>
              </w:rPr>
            </w:pPr>
            <w:r>
              <w:rPr>
                <w:szCs w:val="21"/>
              </w:rPr>
              <w:t>职务</w:t>
            </w:r>
          </w:p>
        </w:tc>
        <w:tc>
          <w:tcPr>
            <w:tcW w:w="1440" w:type="dxa"/>
            <w:tcBorders>
              <w:top w:val="single" w:color="auto" w:sz="4" w:space="0"/>
              <w:left w:val="single" w:color="auto" w:sz="4" w:space="0"/>
              <w:bottom w:val="single" w:color="auto" w:sz="4" w:space="0"/>
              <w:right w:val="single" w:color="auto" w:sz="4" w:space="0"/>
            </w:tcBorders>
            <w:vAlign w:val="center"/>
          </w:tcPr>
          <w:p w14:paraId="19A2E15A">
            <w:pPr>
              <w:snapToGrid w:val="0"/>
              <w:spacing w:before="120" w:beforeLines="50" w:after="50"/>
              <w:jc w:val="center"/>
              <w:rPr>
                <w:szCs w:val="21"/>
              </w:rPr>
            </w:pPr>
            <w:r>
              <w:rPr>
                <w:szCs w:val="21"/>
              </w:rPr>
              <w:t>分配岗位</w:t>
            </w:r>
          </w:p>
        </w:tc>
        <w:tc>
          <w:tcPr>
            <w:tcW w:w="1516" w:type="dxa"/>
            <w:tcBorders>
              <w:top w:val="single" w:color="auto" w:sz="4" w:space="0"/>
              <w:left w:val="single" w:color="auto" w:sz="4" w:space="0"/>
              <w:bottom w:val="single" w:color="auto" w:sz="4" w:space="0"/>
              <w:right w:val="single" w:color="auto" w:sz="4" w:space="0"/>
            </w:tcBorders>
            <w:vAlign w:val="center"/>
          </w:tcPr>
          <w:p w14:paraId="18ABFD6F">
            <w:pPr>
              <w:snapToGrid w:val="0"/>
              <w:spacing w:before="120" w:beforeLines="50" w:after="50"/>
              <w:jc w:val="center"/>
              <w:rPr>
                <w:szCs w:val="21"/>
              </w:rPr>
            </w:pPr>
            <w:r>
              <w:rPr>
                <w:szCs w:val="21"/>
              </w:rPr>
              <w:t>持证情况</w:t>
            </w:r>
          </w:p>
        </w:tc>
        <w:tc>
          <w:tcPr>
            <w:tcW w:w="1620" w:type="dxa"/>
            <w:tcBorders>
              <w:top w:val="single" w:color="auto" w:sz="4" w:space="0"/>
              <w:left w:val="single" w:color="auto" w:sz="4" w:space="0"/>
              <w:bottom w:val="single" w:color="auto" w:sz="4" w:space="0"/>
              <w:right w:val="single" w:color="auto" w:sz="4" w:space="0"/>
            </w:tcBorders>
            <w:vAlign w:val="center"/>
          </w:tcPr>
          <w:p w14:paraId="19264698">
            <w:pPr>
              <w:snapToGrid w:val="0"/>
              <w:spacing w:before="120" w:beforeLines="50" w:after="50"/>
              <w:jc w:val="center"/>
              <w:rPr>
                <w:szCs w:val="21"/>
              </w:rPr>
            </w:pPr>
            <w:r>
              <w:rPr>
                <w:szCs w:val="21"/>
              </w:rPr>
              <w:t>年龄</w:t>
            </w:r>
          </w:p>
        </w:tc>
        <w:tc>
          <w:tcPr>
            <w:tcW w:w="1980" w:type="dxa"/>
            <w:tcBorders>
              <w:top w:val="single" w:color="auto" w:sz="4" w:space="0"/>
              <w:left w:val="single" w:color="auto" w:sz="4" w:space="0"/>
              <w:bottom w:val="single" w:color="auto" w:sz="4" w:space="0"/>
              <w:right w:val="single" w:color="auto" w:sz="4" w:space="0"/>
            </w:tcBorders>
            <w:vAlign w:val="center"/>
          </w:tcPr>
          <w:p w14:paraId="6C6F02B1">
            <w:pPr>
              <w:snapToGrid w:val="0"/>
              <w:spacing w:before="120" w:beforeLines="50" w:after="50"/>
              <w:jc w:val="center"/>
              <w:rPr>
                <w:bCs/>
                <w:szCs w:val="21"/>
              </w:rPr>
            </w:pPr>
            <w:r>
              <w:rPr>
                <w:bCs/>
                <w:szCs w:val="21"/>
              </w:rPr>
              <w:t>劳动合同编号</w:t>
            </w:r>
          </w:p>
        </w:tc>
      </w:tr>
      <w:tr w14:paraId="780AA2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31" w:type="dxa"/>
            <w:tcBorders>
              <w:top w:val="single" w:color="auto" w:sz="4" w:space="0"/>
              <w:left w:val="single" w:color="auto" w:sz="4" w:space="0"/>
              <w:bottom w:val="single" w:color="auto" w:sz="4" w:space="0"/>
              <w:right w:val="single" w:color="auto" w:sz="4" w:space="0"/>
            </w:tcBorders>
          </w:tcPr>
          <w:p w14:paraId="6AF432C4">
            <w:pPr>
              <w:snapToGrid w:val="0"/>
              <w:spacing w:before="120" w:beforeLines="50" w:after="50"/>
              <w:rPr>
                <w:szCs w:val="21"/>
              </w:rPr>
            </w:pPr>
          </w:p>
        </w:tc>
        <w:tc>
          <w:tcPr>
            <w:tcW w:w="1260" w:type="dxa"/>
            <w:tcBorders>
              <w:top w:val="single" w:color="auto" w:sz="4" w:space="0"/>
              <w:left w:val="single" w:color="auto" w:sz="4" w:space="0"/>
              <w:bottom w:val="single" w:color="auto" w:sz="4" w:space="0"/>
              <w:right w:val="single" w:color="auto" w:sz="4" w:space="0"/>
            </w:tcBorders>
          </w:tcPr>
          <w:p w14:paraId="354C6D62">
            <w:pPr>
              <w:snapToGrid w:val="0"/>
              <w:spacing w:before="120" w:beforeLines="50" w:after="50"/>
              <w:rPr>
                <w:szCs w:val="21"/>
              </w:rPr>
            </w:pPr>
          </w:p>
        </w:tc>
        <w:tc>
          <w:tcPr>
            <w:tcW w:w="1440" w:type="dxa"/>
            <w:tcBorders>
              <w:top w:val="single" w:color="auto" w:sz="4" w:space="0"/>
              <w:left w:val="single" w:color="auto" w:sz="4" w:space="0"/>
              <w:bottom w:val="single" w:color="auto" w:sz="4" w:space="0"/>
              <w:right w:val="single" w:color="auto" w:sz="4" w:space="0"/>
            </w:tcBorders>
          </w:tcPr>
          <w:p w14:paraId="500D1CE5">
            <w:pPr>
              <w:snapToGrid w:val="0"/>
              <w:spacing w:before="120" w:beforeLines="50" w:after="50"/>
              <w:rPr>
                <w:szCs w:val="21"/>
              </w:rPr>
            </w:pPr>
          </w:p>
        </w:tc>
        <w:tc>
          <w:tcPr>
            <w:tcW w:w="1516" w:type="dxa"/>
            <w:tcBorders>
              <w:top w:val="single" w:color="auto" w:sz="4" w:space="0"/>
              <w:left w:val="single" w:color="auto" w:sz="4" w:space="0"/>
              <w:bottom w:val="single" w:color="auto" w:sz="4" w:space="0"/>
              <w:right w:val="single" w:color="auto" w:sz="4" w:space="0"/>
            </w:tcBorders>
          </w:tcPr>
          <w:p w14:paraId="221A644B">
            <w:pPr>
              <w:snapToGrid w:val="0"/>
              <w:spacing w:before="120" w:beforeLines="50" w:after="50"/>
              <w:rPr>
                <w:szCs w:val="21"/>
              </w:rPr>
            </w:pPr>
          </w:p>
        </w:tc>
        <w:tc>
          <w:tcPr>
            <w:tcW w:w="1620" w:type="dxa"/>
            <w:tcBorders>
              <w:top w:val="single" w:color="auto" w:sz="4" w:space="0"/>
              <w:left w:val="single" w:color="auto" w:sz="4" w:space="0"/>
              <w:bottom w:val="single" w:color="auto" w:sz="4" w:space="0"/>
              <w:right w:val="single" w:color="auto" w:sz="4" w:space="0"/>
            </w:tcBorders>
          </w:tcPr>
          <w:p w14:paraId="698668AF">
            <w:pPr>
              <w:snapToGrid w:val="0"/>
              <w:spacing w:before="120" w:beforeLines="50" w:after="50"/>
              <w:rPr>
                <w:szCs w:val="21"/>
              </w:rPr>
            </w:pPr>
          </w:p>
        </w:tc>
        <w:tc>
          <w:tcPr>
            <w:tcW w:w="1980" w:type="dxa"/>
            <w:tcBorders>
              <w:top w:val="single" w:color="auto" w:sz="4" w:space="0"/>
              <w:left w:val="single" w:color="auto" w:sz="4" w:space="0"/>
              <w:bottom w:val="single" w:color="auto" w:sz="4" w:space="0"/>
              <w:right w:val="single" w:color="auto" w:sz="4" w:space="0"/>
            </w:tcBorders>
          </w:tcPr>
          <w:p w14:paraId="646B00CD">
            <w:pPr>
              <w:snapToGrid w:val="0"/>
              <w:spacing w:before="120" w:beforeLines="50" w:after="50"/>
              <w:rPr>
                <w:szCs w:val="21"/>
              </w:rPr>
            </w:pPr>
          </w:p>
        </w:tc>
      </w:tr>
      <w:tr w14:paraId="594E1F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31" w:type="dxa"/>
            <w:tcBorders>
              <w:top w:val="single" w:color="auto" w:sz="4" w:space="0"/>
              <w:left w:val="single" w:color="auto" w:sz="4" w:space="0"/>
              <w:bottom w:val="single" w:color="auto" w:sz="4" w:space="0"/>
              <w:right w:val="single" w:color="auto" w:sz="4" w:space="0"/>
            </w:tcBorders>
          </w:tcPr>
          <w:p w14:paraId="4B0E7C8A">
            <w:pPr>
              <w:snapToGrid w:val="0"/>
              <w:spacing w:before="120" w:beforeLines="50" w:after="50"/>
              <w:rPr>
                <w:szCs w:val="21"/>
              </w:rPr>
            </w:pPr>
          </w:p>
        </w:tc>
        <w:tc>
          <w:tcPr>
            <w:tcW w:w="1260" w:type="dxa"/>
            <w:tcBorders>
              <w:top w:val="single" w:color="auto" w:sz="4" w:space="0"/>
              <w:left w:val="single" w:color="auto" w:sz="4" w:space="0"/>
              <w:bottom w:val="single" w:color="auto" w:sz="4" w:space="0"/>
              <w:right w:val="single" w:color="auto" w:sz="4" w:space="0"/>
            </w:tcBorders>
          </w:tcPr>
          <w:p w14:paraId="05CCA9DB">
            <w:pPr>
              <w:snapToGrid w:val="0"/>
              <w:spacing w:before="120" w:beforeLines="50" w:after="50"/>
              <w:rPr>
                <w:szCs w:val="21"/>
              </w:rPr>
            </w:pPr>
          </w:p>
        </w:tc>
        <w:tc>
          <w:tcPr>
            <w:tcW w:w="1440" w:type="dxa"/>
            <w:tcBorders>
              <w:top w:val="single" w:color="auto" w:sz="4" w:space="0"/>
              <w:left w:val="single" w:color="auto" w:sz="4" w:space="0"/>
              <w:bottom w:val="single" w:color="auto" w:sz="4" w:space="0"/>
              <w:right w:val="single" w:color="auto" w:sz="4" w:space="0"/>
            </w:tcBorders>
          </w:tcPr>
          <w:p w14:paraId="179CE35E">
            <w:pPr>
              <w:snapToGrid w:val="0"/>
              <w:spacing w:before="120" w:beforeLines="50" w:after="50"/>
              <w:rPr>
                <w:szCs w:val="21"/>
              </w:rPr>
            </w:pPr>
          </w:p>
        </w:tc>
        <w:tc>
          <w:tcPr>
            <w:tcW w:w="1516" w:type="dxa"/>
            <w:tcBorders>
              <w:top w:val="single" w:color="auto" w:sz="4" w:space="0"/>
              <w:left w:val="single" w:color="auto" w:sz="4" w:space="0"/>
              <w:bottom w:val="single" w:color="auto" w:sz="4" w:space="0"/>
              <w:right w:val="single" w:color="auto" w:sz="4" w:space="0"/>
            </w:tcBorders>
          </w:tcPr>
          <w:p w14:paraId="78CB5873">
            <w:pPr>
              <w:snapToGrid w:val="0"/>
              <w:spacing w:before="120" w:beforeLines="50" w:after="50"/>
              <w:rPr>
                <w:szCs w:val="21"/>
              </w:rPr>
            </w:pPr>
          </w:p>
        </w:tc>
        <w:tc>
          <w:tcPr>
            <w:tcW w:w="1620" w:type="dxa"/>
            <w:tcBorders>
              <w:top w:val="single" w:color="auto" w:sz="4" w:space="0"/>
              <w:left w:val="single" w:color="auto" w:sz="4" w:space="0"/>
              <w:bottom w:val="single" w:color="auto" w:sz="4" w:space="0"/>
              <w:right w:val="single" w:color="auto" w:sz="4" w:space="0"/>
            </w:tcBorders>
          </w:tcPr>
          <w:p w14:paraId="2C0D22AC">
            <w:pPr>
              <w:snapToGrid w:val="0"/>
              <w:spacing w:before="120" w:beforeLines="50" w:after="50"/>
              <w:rPr>
                <w:szCs w:val="21"/>
              </w:rPr>
            </w:pPr>
          </w:p>
        </w:tc>
        <w:tc>
          <w:tcPr>
            <w:tcW w:w="1980" w:type="dxa"/>
            <w:tcBorders>
              <w:top w:val="single" w:color="auto" w:sz="4" w:space="0"/>
              <w:left w:val="single" w:color="auto" w:sz="4" w:space="0"/>
              <w:bottom w:val="single" w:color="auto" w:sz="4" w:space="0"/>
              <w:right w:val="single" w:color="auto" w:sz="4" w:space="0"/>
            </w:tcBorders>
          </w:tcPr>
          <w:p w14:paraId="0EF7F3BC">
            <w:pPr>
              <w:snapToGrid w:val="0"/>
              <w:spacing w:before="120" w:beforeLines="50" w:after="50"/>
              <w:rPr>
                <w:szCs w:val="21"/>
              </w:rPr>
            </w:pPr>
          </w:p>
        </w:tc>
      </w:tr>
      <w:tr w14:paraId="4A6D8C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31" w:type="dxa"/>
            <w:tcBorders>
              <w:top w:val="single" w:color="auto" w:sz="4" w:space="0"/>
              <w:left w:val="single" w:color="auto" w:sz="4" w:space="0"/>
              <w:bottom w:val="single" w:color="auto" w:sz="4" w:space="0"/>
              <w:right w:val="single" w:color="auto" w:sz="4" w:space="0"/>
            </w:tcBorders>
          </w:tcPr>
          <w:p w14:paraId="250FF8AA">
            <w:pPr>
              <w:snapToGrid w:val="0"/>
              <w:spacing w:before="120" w:beforeLines="50" w:after="50"/>
              <w:rPr>
                <w:szCs w:val="21"/>
              </w:rPr>
            </w:pPr>
          </w:p>
        </w:tc>
        <w:tc>
          <w:tcPr>
            <w:tcW w:w="1260" w:type="dxa"/>
            <w:tcBorders>
              <w:top w:val="single" w:color="auto" w:sz="4" w:space="0"/>
              <w:left w:val="single" w:color="auto" w:sz="4" w:space="0"/>
              <w:bottom w:val="single" w:color="auto" w:sz="4" w:space="0"/>
              <w:right w:val="single" w:color="auto" w:sz="4" w:space="0"/>
            </w:tcBorders>
          </w:tcPr>
          <w:p w14:paraId="70C36560">
            <w:pPr>
              <w:snapToGrid w:val="0"/>
              <w:spacing w:before="120" w:beforeLines="50" w:after="50"/>
              <w:rPr>
                <w:szCs w:val="21"/>
              </w:rPr>
            </w:pPr>
          </w:p>
        </w:tc>
        <w:tc>
          <w:tcPr>
            <w:tcW w:w="1440" w:type="dxa"/>
            <w:tcBorders>
              <w:top w:val="single" w:color="auto" w:sz="4" w:space="0"/>
              <w:left w:val="single" w:color="auto" w:sz="4" w:space="0"/>
              <w:bottom w:val="single" w:color="auto" w:sz="4" w:space="0"/>
              <w:right w:val="single" w:color="auto" w:sz="4" w:space="0"/>
            </w:tcBorders>
          </w:tcPr>
          <w:p w14:paraId="131508FE">
            <w:pPr>
              <w:pStyle w:val="28"/>
              <w:snapToGrid w:val="0"/>
              <w:spacing w:before="120" w:beforeLines="50" w:after="50"/>
              <w:ind w:left="5250"/>
              <w:rPr>
                <w:rFonts w:ascii="Times New Roman" w:hAnsi="Times New Roman"/>
              </w:rPr>
            </w:pPr>
          </w:p>
        </w:tc>
        <w:tc>
          <w:tcPr>
            <w:tcW w:w="1516" w:type="dxa"/>
            <w:tcBorders>
              <w:top w:val="single" w:color="auto" w:sz="4" w:space="0"/>
              <w:left w:val="single" w:color="auto" w:sz="4" w:space="0"/>
              <w:bottom w:val="single" w:color="auto" w:sz="4" w:space="0"/>
              <w:right w:val="single" w:color="auto" w:sz="4" w:space="0"/>
            </w:tcBorders>
          </w:tcPr>
          <w:p w14:paraId="2906A828">
            <w:pPr>
              <w:snapToGrid w:val="0"/>
              <w:spacing w:before="120" w:beforeLines="50" w:after="50"/>
              <w:rPr>
                <w:szCs w:val="21"/>
              </w:rPr>
            </w:pPr>
          </w:p>
        </w:tc>
        <w:tc>
          <w:tcPr>
            <w:tcW w:w="1620" w:type="dxa"/>
            <w:tcBorders>
              <w:top w:val="single" w:color="auto" w:sz="4" w:space="0"/>
              <w:left w:val="single" w:color="auto" w:sz="4" w:space="0"/>
              <w:bottom w:val="single" w:color="auto" w:sz="4" w:space="0"/>
              <w:right w:val="single" w:color="auto" w:sz="4" w:space="0"/>
            </w:tcBorders>
          </w:tcPr>
          <w:p w14:paraId="7F6DBCA0">
            <w:pPr>
              <w:snapToGrid w:val="0"/>
              <w:spacing w:before="120" w:beforeLines="50" w:after="50"/>
              <w:rPr>
                <w:szCs w:val="21"/>
              </w:rPr>
            </w:pPr>
          </w:p>
        </w:tc>
        <w:tc>
          <w:tcPr>
            <w:tcW w:w="1980" w:type="dxa"/>
            <w:tcBorders>
              <w:top w:val="single" w:color="auto" w:sz="4" w:space="0"/>
              <w:left w:val="single" w:color="auto" w:sz="4" w:space="0"/>
              <w:bottom w:val="single" w:color="auto" w:sz="4" w:space="0"/>
              <w:right w:val="single" w:color="auto" w:sz="4" w:space="0"/>
            </w:tcBorders>
          </w:tcPr>
          <w:p w14:paraId="2FEA4BE0">
            <w:pPr>
              <w:snapToGrid w:val="0"/>
              <w:spacing w:before="120" w:beforeLines="50" w:after="50"/>
              <w:rPr>
                <w:szCs w:val="21"/>
              </w:rPr>
            </w:pPr>
          </w:p>
        </w:tc>
      </w:tr>
    </w:tbl>
    <w:p w14:paraId="67BB449B">
      <w:pPr>
        <w:snapToGrid w:val="0"/>
        <w:spacing w:before="50" w:after="120" w:afterLines="50" w:line="440" w:lineRule="exact"/>
        <w:jc w:val="left"/>
        <w:rPr>
          <w:szCs w:val="21"/>
        </w:rPr>
      </w:pPr>
      <w:r>
        <w:rPr>
          <w:szCs w:val="21"/>
        </w:rPr>
        <w:t>注：在填写时，如本表格不适合投标单位的实际情况，可根据本表格式自行划表填写。</w:t>
      </w:r>
    </w:p>
    <w:p w14:paraId="1643D424">
      <w:pPr>
        <w:rPr>
          <w:szCs w:val="21"/>
        </w:rPr>
      </w:pPr>
    </w:p>
    <w:p w14:paraId="432E16C9">
      <w:pPr>
        <w:rPr>
          <w:spacing w:val="20"/>
          <w:szCs w:val="21"/>
        </w:rPr>
      </w:pPr>
      <w:r>
        <w:rPr>
          <w:szCs w:val="21"/>
        </w:rPr>
        <w:t>供应商</w:t>
      </w:r>
      <w:r>
        <w:rPr>
          <w:rFonts w:hint="eastAsia"/>
          <w:szCs w:val="21"/>
        </w:rPr>
        <w:t>名称(电子签章</w:t>
      </w:r>
      <w:r>
        <w:rPr>
          <w:szCs w:val="21"/>
        </w:rPr>
        <w:t>)</w:t>
      </w:r>
      <w:r>
        <w:rPr>
          <w:spacing w:val="20"/>
          <w:szCs w:val="21"/>
        </w:rPr>
        <w:t>：</w:t>
      </w:r>
      <w:r>
        <w:rPr>
          <w:spacing w:val="20"/>
          <w:szCs w:val="21"/>
          <w:u w:val="single"/>
        </w:rPr>
        <w:t xml:space="preserve">        </w:t>
      </w:r>
      <w:r>
        <w:rPr>
          <w:spacing w:val="20"/>
          <w:szCs w:val="21"/>
        </w:rPr>
        <w:t xml:space="preserve">    </w:t>
      </w:r>
    </w:p>
    <w:p w14:paraId="5A2CEF37">
      <w:pPr>
        <w:rPr>
          <w:szCs w:val="21"/>
        </w:rPr>
      </w:pPr>
    </w:p>
    <w:p w14:paraId="08E1F4CA">
      <w:pPr>
        <w:rPr>
          <w:spacing w:val="20"/>
          <w:szCs w:val="21"/>
        </w:rPr>
      </w:pPr>
      <w:r>
        <w:rPr>
          <w:rFonts w:hint="eastAsia"/>
          <w:szCs w:val="21"/>
        </w:rPr>
        <w:t>法定代表人或者委托代理人（签字或者电子签名）：</w:t>
      </w:r>
    </w:p>
    <w:p w14:paraId="5F789AC2">
      <w:pPr>
        <w:rPr>
          <w:spacing w:val="20"/>
          <w:szCs w:val="21"/>
        </w:rPr>
      </w:pPr>
      <w:r>
        <w:rPr>
          <w:spacing w:val="20"/>
          <w:szCs w:val="21"/>
        </w:rPr>
        <w:t xml:space="preserve">    </w:t>
      </w:r>
    </w:p>
    <w:p w14:paraId="30D5F937">
      <w:pPr>
        <w:rPr>
          <w:spacing w:val="20"/>
          <w:szCs w:val="21"/>
          <w:u w:val="single"/>
        </w:rPr>
      </w:pPr>
      <w:r>
        <w:rPr>
          <w:spacing w:val="20"/>
          <w:szCs w:val="21"/>
        </w:rPr>
        <w:t xml:space="preserve">   日  期：</w:t>
      </w:r>
      <w:r>
        <w:rPr>
          <w:spacing w:val="20"/>
          <w:szCs w:val="21"/>
          <w:u w:val="single"/>
        </w:rPr>
        <w:t xml:space="preserve">        </w:t>
      </w:r>
    </w:p>
    <w:p w14:paraId="1BC68CAC">
      <w:pPr>
        <w:spacing w:line="300" w:lineRule="exact"/>
        <w:jc w:val="left"/>
        <w:rPr>
          <w:szCs w:val="21"/>
        </w:rPr>
      </w:pPr>
    </w:p>
    <w:p w14:paraId="2B0F6639">
      <w:pPr>
        <w:spacing w:line="300" w:lineRule="exact"/>
        <w:jc w:val="left"/>
        <w:rPr>
          <w:szCs w:val="21"/>
        </w:rPr>
      </w:pPr>
    </w:p>
    <w:p w14:paraId="08D153FB">
      <w:pPr>
        <w:spacing w:line="300" w:lineRule="exact"/>
        <w:jc w:val="left"/>
        <w:rPr>
          <w:szCs w:val="21"/>
        </w:rPr>
      </w:pPr>
    </w:p>
    <w:p w14:paraId="618F6B4B">
      <w:pPr>
        <w:spacing w:line="300" w:lineRule="exact"/>
        <w:jc w:val="left"/>
        <w:rPr>
          <w:szCs w:val="21"/>
        </w:rPr>
      </w:pPr>
    </w:p>
    <w:p w14:paraId="56141567">
      <w:pPr>
        <w:spacing w:line="300" w:lineRule="exact"/>
        <w:jc w:val="left"/>
        <w:rPr>
          <w:szCs w:val="21"/>
        </w:rPr>
      </w:pPr>
      <w:r>
        <w:rPr>
          <w:rFonts w:hint="eastAsia"/>
          <w:szCs w:val="21"/>
        </w:rPr>
        <w:t>12.已购买食品安全责任保险证明材料；</w:t>
      </w:r>
    </w:p>
    <w:p w14:paraId="5B86059B">
      <w:pPr>
        <w:spacing w:line="300" w:lineRule="exact"/>
        <w:jc w:val="left"/>
        <w:rPr>
          <w:szCs w:val="21"/>
        </w:rPr>
      </w:pPr>
    </w:p>
    <w:p w14:paraId="3F91E872">
      <w:pPr>
        <w:spacing w:line="300" w:lineRule="exact"/>
        <w:jc w:val="left"/>
        <w:rPr>
          <w:szCs w:val="21"/>
        </w:rPr>
      </w:pPr>
    </w:p>
    <w:p w14:paraId="5B8F2EC9">
      <w:pPr>
        <w:spacing w:line="300" w:lineRule="exact"/>
        <w:jc w:val="left"/>
        <w:rPr>
          <w:szCs w:val="21"/>
        </w:rPr>
      </w:pPr>
    </w:p>
    <w:p w14:paraId="1F02B8E7">
      <w:pPr>
        <w:spacing w:line="300" w:lineRule="exact"/>
        <w:jc w:val="left"/>
        <w:rPr>
          <w:szCs w:val="21"/>
        </w:rPr>
      </w:pPr>
    </w:p>
    <w:p w14:paraId="467C2E44">
      <w:pPr>
        <w:spacing w:line="300" w:lineRule="exact"/>
        <w:jc w:val="left"/>
        <w:rPr>
          <w:szCs w:val="21"/>
        </w:rPr>
      </w:pPr>
      <w:r>
        <w:rPr>
          <w:rFonts w:hint="eastAsia"/>
          <w:szCs w:val="21"/>
        </w:rPr>
        <w:t>13.投标人生产、种植或养殖合作和拥有检测设备证明材料；</w:t>
      </w:r>
    </w:p>
    <w:p w14:paraId="2507B0F6">
      <w:pPr>
        <w:spacing w:line="300" w:lineRule="exact"/>
        <w:jc w:val="left"/>
        <w:rPr>
          <w:szCs w:val="21"/>
        </w:rPr>
      </w:pPr>
    </w:p>
    <w:p w14:paraId="331C8112">
      <w:pPr>
        <w:spacing w:line="300" w:lineRule="exact"/>
        <w:jc w:val="left"/>
        <w:rPr>
          <w:szCs w:val="21"/>
        </w:rPr>
      </w:pPr>
    </w:p>
    <w:p w14:paraId="67904FC0">
      <w:pPr>
        <w:spacing w:line="300" w:lineRule="exact"/>
        <w:jc w:val="left"/>
        <w:rPr>
          <w:szCs w:val="21"/>
        </w:rPr>
      </w:pPr>
    </w:p>
    <w:p w14:paraId="26506C24">
      <w:pPr>
        <w:spacing w:line="300" w:lineRule="exact"/>
        <w:jc w:val="left"/>
        <w:rPr>
          <w:szCs w:val="21"/>
        </w:rPr>
      </w:pPr>
    </w:p>
    <w:p w14:paraId="7651706D">
      <w:pPr>
        <w:spacing w:line="300" w:lineRule="exact"/>
        <w:jc w:val="left"/>
        <w:rPr>
          <w:szCs w:val="21"/>
        </w:rPr>
      </w:pPr>
      <w:r>
        <w:rPr>
          <w:rFonts w:hint="eastAsia"/>
          <w:szCs w:val="21"/>
        </w:rPr>
        <w:t>14.投标人对本项目的合理化建议和改进措施（格式自拟）；</w:t>
      </w:r>
    </w:p>
    <w:p w14:paraId="2D52ED26">
      <w:pPr>
        <w:snapToGrid w:val="0"/>
        <w:spacing w:before="50"/>
        <w:jc w:val="left"/>
        <w:rPr>
          <w:szCs w:val="21"/>
        </w:rPr>
      </w:pPr>
    </w:p>
    <w:p w14:paraId="6160A5D7">
      <w:pPr>
        <w:rPr>
          <w:szCs w:val="21"/>
        </w:rPr>
      </w:pPr>
      <w:r>
        <w:rPr>
          <w:szCs w:val="21"/>
        </w:rPr>
        <w:br w:type="page"/>
      </w:r>
    </w:p>
    <w:p w14:paraId="53C71D8B">
      <w:pPr>
        <w:snapToGrid w:val="0"/>
        <w:spacing w:before="50"/>
        <w:jc w:val="left"/>
        <w:rPr>
          <w:szCs w:val="21"/>
        </w:rPr>
      </w:pPr>
    </w:p>
    <w:p w14:paraId="18C541AE">
      <w:pPr>
        <w:snapToGrid w:val="0"/>
        <w:spacing w:before="50"/>
        <w:jc w:val="left"/>
        <w:rPr>
          <w:szCs w:val="21"/>
        </w:rPr>
      </w:pPr>
      <w:r>
        <w:rPr>
          <w:rFonts w:hint="eastAsia"/>
          <w:szCs w:val="21"/>
        </w:rPr>
        <w:t>15</w:t>
      </w:r>
      <w:r>
        <w:rPr>
          <w:szCs w:val="21"/>
        </w:rPr>
        <w:t>.</w:t>
      </w:r>
      <w:r>
        <w:rPr>
          <w:rFonts w:hint="eastAsia"/>
        </w:rPr>
        <w:t xml:space="preserve"> </w:t>
      </w:r>
      <w:r>
        <w:rPr>
          <w:rFonts w:hint="eastAsia"/>
          <w:szCs w:val="21"/>
        </w:rPr>
        <w:t>无串标行为承诺函</w:t>
      </w:r>
    </w:p>
    <w:p w14:paraId="62755E11">
      <w:pPr>
        <w:snapToGrid w:val="0"/>
        <w:spacing w:before="50" w:after="120" w:afterLines="50"/>
        <w:jc w:val="center"/>
        <w:rPr>
          <w:szCs w:val="21"/>
        </w:rPr>
      </w:pPr>
    </w:p>
    <w:p w14:paraId="4BA6924F">
      <w:pPr>
        <w:snapToGrid w:val="0"/>
        <w:spacing w:before="50" w:after="120" w:afterLines="50"/>
        <w:jc w:val="center"/>
        <w:rPr>
          <w:szCs w:val="21"/>
        </w:rPr>
      </w:pPr>
      <w:r>
        <w:rPr>
          <w:rFonts w:hint="eastAsia"/>
          <w:szCs w:val="21"/>
        </w:rPr>
        <w:t>投标人参加本项目无围标串标行为的承诺函</w:t>
      </w:r>
    </w:p>
    <w:p w14:paraId="5047BC43">
      <w:pPr>
        <w:snapToGrid w:val="0"/>
        <w:spacing w:before="50" w:after="120" w:afterLines="50"/>
        <w:jc w:val="left"/>
        <w:rPr>
          <w:szCs w:val="21"/>
        </w:rPr>
      </w:pPr>
    </w:p>
    <w:p w14:paraId="6B0E2ED4">
      <w:pPr>
        <w:snapToGrid w:val="0"/>
        <w:spacing w:before="50" w:after="120" w:afterLines="50"/>
        <w:jc w:val="left"/>
        <w:rPr>
          <w:szCs w:val="21"/>
        </w:rPr>
      </w:pPr>
      <w:r>
        <w:rPr>
          <w:rFonts w:hint="eastAsia"/>
          <w:szCs w:val="21"/>
        </w:rPr>
        <w:t>一、我方承诺无下列相互串通投标的情形：</w:t>
      </w:r>
    </w:p>
    <w:p w14:paraId="1A2768B7">
      <w:pPr>
        <w:snapToGrid w:val="0"/>
        <w:spacing w:before="50" w:after="120" w:afterLines="50"/>
        <w:jc w:val="left"/>
        <w:rPr>
          <w:szCs w:val="21"/>
        </w:rPr>
      </w:pPr>
      <w:r>
        <w:rPr>
          <w:rFonts w:hint="eastAsia"/>
          <w:szCs w:val="21"/>
        </w:rPr>
        <w:t>1.不同投标人的投标文件由同一单位或者个人编制；或者不同投标人报名的IP地址一致的；</w:t>
      </w:r>
    </w:p>
    <w:p w14:paraId="74E8E4F5">
      <w:pPr>
        <w:snapToGrid w:val="0"/>
        <w:spacing w:before="50" w:after="120" w:afterLines="50"/>
        <w:jc w:val="left"/>
        <w:rPr>
          <w:szCs w:val="21"/>
        </w:rPr>
      </w:pPr>
      <w:r>
        <w:rPr>
          <w:rFonts w:hint="eastAsia"/>
          <w:szCs w:val="21"/>
        </w:rPr>
        <w:t>2.不同投标人委托同一单位或者个人办理投标事宜；</w:t>
      </w:r>
    </w:p>
    <w:p w14:paraId="25A478DA">
      <w:pPr>
        <w:snapToGrid w:val="0"/>
        <w:spacing w:before="50" w:after="120" w:afterLines="50"/>
        <w:jc w:val="left"/>
        <w:rPr>
          <w:szCs w:val="21"/>
        </w:rPr>
      </w:pPr>
      <w:r>
        <w:rPr>
          <w:rFonts w:hint="eastAsia"/>
          <w:szCs w:val="21"/>
        </w:rPr>
        <w:t>3.不同的投标人的投标文件载明的项目管理员为同一个人；</w:t>
      </w:r>
    </w:p>
    <w:p w14:paraId="31BD01C3">
      <w:pPr>
        <w:snapToGrid w:val="0"/>
        <w:spacing w:before="50" w:after="120" w:afterLines="50"/>
        <w:jc w:val="left"/>
        <w:rPr>
          <w:szCs w:val="21"/>
        </w:rPr>
      </w:pPr>
      <w:r>
        <w:rPr>
          <w:rFonts w:hint="eastAsia"/>
          <w:szCs w:val="21"/>
        </w:rPr>
        <w:t>4.不同投标人的投标文件异常一致或者投标报价呈规律性差异；</w:t>
      </w:r>
    </w:p>
    <w:p w14:paraId="3AF96304">
      <w:pPr>
        <w:snapToGrid w:val="0"/>
        <w:spacing w:before="50" w:after="120" w:afterLines="50"/>
        <w:jc w:val="left"/>
        <w:rPr>
          <w:szCs w:val="21"/>
        </w:rPr>
      </w:pPr>
      <w:r>
        <w:rPr>
          <w:rFonts w:hint="eastAsia"/>
          <w:szCs w:val="21"/>
        </w:rPr>
        <w:t>5.不同投标人的投标文件相互混装；</w:t>
      </w:r>
    </w:p>
    <w:p w14:paraId="0C586DBE">
      <w:pPr>
        <w:snapToGrid w:val="0"/>
        <w:spacing w:before="50" w:after="120" w:afterLines="50"/>
        <w:jc w:val="left"/>
        <w:rPr>
          <w:szCs w:val="21"/>
        </w:rPr>
      </w:pPr>
      <w:r>
        <w:rPr>
          <w:rFonts w:hint="eastAsia"/>
          <w:szCs w:val="21"/>
        </w:rPr>
        <w:t>6.不同投标人的投标保证金从同一单位或者个人账户转出。</w:t>
      </w:r>
    </w:p>
    <w:p w14:paraId="3776CAF8">
      <w:pPr>
        <w:snapToGrid w:val="0"/>
        <w:spacing w:before="50" w:after="120" w:afterLines="50"/>
        <w:jc w:val="left"/>
        <w:rPr>
          <w:szCs w:val="21"/>
        </w:rPr>
      </w:pPr>
      <w:r>
        <w:rPr>
          <w:rFonts w:hint="eastAsia"/>
          <w:szCs w:val="21"/>
        </w:rPr>
        <w:t>二、我方承诺无下列恶意串通的情形：</w:t>
      </w:r>
    </w:p>
    <w:p w14:paraId="635567BB">
      <w:pPr>
        <w:snapToGrid w:val="0"/>
        <w:spacing w:before="50" w:after="120" w:afterLines="50"/>
        <w:jc w:val="left"/>
        <w:rPr>
          <w:szCs w:val="21"/>
        </w:rPr>
      </w:pPr>
      <w:r>
        <w:rPr>
          <w:rFonts w:hint="eastAsia"/>
          <w:szCs w:val="21"/>
        </w:rPr>
        <w:t>1.投标人直接或者间接从采购人或者采购代理机构处获得其他投标人的相关信息并修改其投标文件或者投标文件；</w:t>
      </w:r>
    </w:p>
    <w:p w14:paraId="5E795064">
      <w:pPr>
        <w:snapToGrid w:val="0"/>
        <w:spacing w:before="50" w:after="120" w:afterLines="50"/>
        <w:jc w:val="left"/>
        <w:rPr>
          <w:szCs w:val="21"/>
        </w:rPr>
      </w:pPr>
      <w:r>
        <w:rPr>
          <w:rFonts w:hint="eastAsia"/>
          <w:szCs w:val="21"/>
        </w:rPr>
        <w:t>2.投标人按照采购人或者采购代理机构的授意撤换、修改投标文件或者投标文件；</w:t>
      </w:r>
    </w:p>
    <w:p w14:paraId="6F0DF5E6">
      <w:pPr>
        <w:snapToGrid w:val="0"/>
        <w:spacing w:before="50" w:after="120" w:afterLines="50"/>
        <w:jc w:val="left"/>
        <w:rPr>
          <w:szCs w:val="21"/>
        </w:rPr>
      </w:pPr>
      <w:r>
        <w:rPr>
          <w:rFonts w:hint="eastAsia"/>
          <w:szCs w:val="21"/>
        </w:rPr>
        <w:t>3.投标人之间协商报价、技术方案等投标文件或者投标文件的实质性内容；</w:t>
      </w:r>
    </w:p>
    <w:p w14:paraId="059F7623">
      <w:pPr>
        <w:snapToGrid w:val="0"/>
        <w:spacing w:before="50" w:after="120" w:afterLines="50"/>
        <w:jc w:val="left"/>
        <w:rPr>
          <w:szCs w:val="21"/>
        </w:rPr>
      </w:pPr>
      <w:r>
        <w:rPr>
          <w:rFonts w:hint="eastAsia"/>
          <w:szCs w:val="21"/>
        </w:rPr>
        <w:t>4.属于同一集团、协会、商会等组织成员的投标人按照该组织要求协同参加政府采购活动；</w:t>
      </w:r>
    </w:p>
    <w:p w14:paraId="5183E0AD">
      <w:pPr>
        <w:snapToGrid w:val="0"/>
        <w:spacing w:before="50" w:after="120" w:afterLines="50"/>
        <w:jc w:val="left"/>
        <w:rPr>
          <w:szCs w:val="21"/>
        </w:rPr>
      </w:pPr>
      <w:r>
        <w:rPr>
          <w:rFonts w:hint="eastAsia"/>
          <w:szCs w:val="21"/>
        </w:rPr>
        <w:t>5.投标人之间事先约定一致抬高或者压低投标报价，或者在招标项目中事先约定轮流以高价位或者低价位中标，或者事先约定由某一特定投标人中标，然后再参加投标；</w:t>
      </w:r>
    </w:p>
    <w:p w14:paraId="4B4F1D05">
      <w:pPr>
        <w:snapToGrid w:val="0"/>
        <w:spacing w:before="50" w:after="120" w:afterLines="50"/>
        <w:jc w:val="left"/>
        <w:rPr>
          <w:szCs w:val="21"/>
        </w:rPr>
      </w:pPr>
      <w:r>
        <w:rPr>
          <w:rFonts w:hint="eastAsia"/>
          <w:szCs w:val="21"/>
        </w:rPr>
        <w:t>6.投标人之间商定部分投标人放弃参加政府采购活动或者放弃中标；</w:t>
      </w:r>
    </w:p>
    <w:p w14:paraId="3519304B">
      <w:pPr>
        <w:snapToGrid w:val="0"/>
        <w:spacing w:before="50" w:after="120" w:afterLines="50"/>
        <w:jc w:val="left"/>
        <w:rPr>
          <w:szCs w:val="21"/>
        </w:rPr>
      </w:pPr>
      <w:r>
        <w:rPr>
          <w:rFonts w:hint="eastAsia"/>
          <w:szCs w:val="21"/>
        </w:rPr>
        <w:t>7.投标人与采购人或者采购代理机构之间、投标人相互之间，为谋求特定投标人中标或者排斥其他投标人的其他串通行为。</w:t>
      </w:r>
    </w:p>
    <w:p w14:paraId="225E812B">
      <w:pPr>
        <w:snapToGrid w:val="0"/>
        <w:spacing w:before="50" w:after="120" w:afterLines="50"/>
        <w:jc w:val="left"/>
        <w:rPr>
          <w:szCs w:val="21"/>
        </w:rPr>
      </w:pPr>
      <w:r>
        <w:rPr>
          <w:rFonts w:hint="eastAsia"/>
          <w:szCs w:val="21"/>
        </w:rPr>
        <w:t>以上情形一经核查属实，我方愿意承担一切后果，并不再寻求任何旨在减轻或者免除法律责任的辩解。</w:t>
      </w:r>
    </w:p>
    <w:p w14:paraId="1E8E12E2">
      <w:pPr>
        <w:snapToGrid w:val="0"/>
        <w:spacing w:before="50" w:after="120" w:afterLines="50"/>
        <w:jc w:val="center"/>
        <w:rPr>
          <w:szCs w:val="21"/>
        </w:rPr>
      </w:pPr>
      <w:r>
        <w:rPr>
          <w:rFonts w:hint="eastAsia"/>
          <w:szCs w:val="21"/>
        </w:rPr>
        <w:t xml:space="preserve"> </w:t>
      </w:r>
      <w:r>
        <w:rPr>
          <w:szCs w:val="21"/>
        </w:rPr>
        <w:t xml:space="preserve"> </w:t>
      </w:r>
    </w:p>
    <w:p w14:paraId="4B772DC9">
      <w:pPr>
        <w:snapToGrid w:val="0"/>
        <w:spacing w:before="50" w:after="120" w:afterLines="50"/>
        <w:jc w:val="center"/>
        <w:rPr>
          <w:szCs w:val="21"/>
        </w:rPr>
      </w:pPr>
    </w:p>
    <w:p w14:paraId="36244F03">
      <w:pPr>
        <w:snapToGrid w:val="0"/>
        <w:spacing w:before="50" w:after="120" w:afterLines="50"/>
        <w:jc w:val="center"/>
        <w:rPr>
          <w:szCs w:val="21"/>
        </w:rPr>
      </w:pPr>
      <w:r>
        <w:rPr>
          <w:szCs w:val="21"/>
        </w:rPr>
        <w:t>供应商</w:t>
      </w:r>
      <w:r>
        <w:rPr>
          <w:rFonts w:hint="eastAsia"/>
          <w:szCs w:val="21"/>
        </w:rPr>
        <w:t>名称(电子签章</w:t>
      </w:r>
      <w:r>
        <w:rPr>
          <w:szCs w:val="21"/>
        </w:rPr>
        <w:t>)</w:t>
      </w:r>
      <w:r>
        <w:rPr>
          <w:rFonts w:hint="eastAsia"/>
          <w:szCs w:val="21"/>
        </w:rPr>
        <w:t>：</w:t>
      </w:r>
    </w:p>
    <w:p w14:paraId="29F7FB83">
      <w:pPr>
        <w:snapToGrid w:val="0"/>
        <w:spacing w:before="50" w:after="120" w:afterLines="50"/>
        <w:jc w:val="center"/>
        <w:rPr>
          <w:szCs w:val="21"/>
        </w:rPr>
      </w:pPr>
      <w:r>
        <w:rPr>
          <w:rFonts w:hint="eastAsia"/>
          <w:szCs w:val="21"/>
        </w:rPr>
        <w:t>法定代表人或者委托代理人（签字或者电子签名）：</w:t>
      </w:r>
    </w:p>
    <w:p w14:paraId="297886C4">
      <w:pPr>
        <w:snapToGrid w:val="0"/>
        <w:spacing w:before="50" w:after="120" w:afterLines="50"/>
        <w:jc w:val="center"/>
        <w:rPr>
          <w:szCs w:val="21"/>
        </w:rPr>
      </w:pPr>
      <w:r>
        <w:rPr>
          <w:rFonts w:hint="eastAsia"/>
          <w:szCs w:val="21"/>
        </w:rPr>
        <w:t>日期：  年  月   日</w:t>
      </w:r>
    </w:p>
    <w:p w14:paraId="0FD6CD32">
      <w:pPr>
        <w:ind w:firstLine="420" w:firstLineChars="200"/>
        <w:rPr>
          <w:szCs w:val="21"/>
        </w:rPr>
        <w:sectPr>
          <w:headerReference r:id="rId13" w:type="default"/>
          <w:pgSz w:w="11906" w:h="16838"/>
          <w:pgMar w:top="1304" w:right="1418" w:bottom="1304" w:left="1418" w:header="851" w:footer="992" w:gutter="0"/>
          <w:cols w:space="720" w:num="1"/>
          <w:docGrid w:linePitch="312" w:charSpace="0"/>
        </w:sectPr>
      </w:pPr>
    </w:p>
    <w:bookmarkEnd w:id="133"/>
    <w:p w14:paraId="3E8AAF49">
      <w:pPr>
        <w:snapToGrid w:val="0"/>
        <w:spacing w:before="50" w:after="120" w:afterLines="50"/>
        <w:jc w:val="left"/>
        <w:rPr>
          <w:szCs w:val="21"/>
        </w:rPr>
      </w:pPr>
      <w:r>
        <w:rPr>
          <w:rFonts w:hint="eastAsia"/>
          <w:szCs w:val="21"/>
        </w:rPr>
        <w:t>16</w:t>
      </w:r>
      <w:r>
        <w:rPr>
          <w:szCs w:val="21"/>
        </w:rPr>
        <w:t>.代理服务费承诺书</w:t>
      </w:r>
    </w:p>
    <w:p w14:paraId="69735F3B">
      <w:pPr>
        <w:spacing w:line="360" w:lineRule="exact"/>
        <w:rPr>
          <w:szCs w:val="21"/>
        </w:rPr>
      </w:pPr>
      <w:r>
        <w:rPr>
          <w:szCs w:val="21"/>
        </w:rPr>
        <w:t>致：广西机电设备招标有限公司</w:t>
      </w:r>
    </w:p>
    <w:p w14:paraId="0A1940DD">
      <w:pPr>
        <w:spacing w:line="360" w:lineRule="exact"/>
        <w:ind w:firstLine="420" w:firstLineChars="200"/>
        <w:rPr>
          <w:szCs w:val="21"/>
        </w:rPr>
      </w:pPr>
      <w:bookmarkStart w:id="134" w:name="_Hlk19050395"/>
      <w:r>
        <w:rPr>
          <w:szCs w:val="21"/>
        </w:rPr>
        <w:t>我单位参加了贵方组织的招标项目编号为</w:t>
      </w:r>
      <w:r>
        <w:rPr>
          <w:b/>
          <w:szCs w:val="21"/>
        </w:rPr>
        <w:t>（</w:t>
      </w:r>
      <w:r>
        <w:rPr>
          <w:szCs w:val="21"/>
          <w:u w:val="single"/>
        </w:rPr>
        <w:t xml:space="preserve">                    )</w:t>
      </w:r>
      <w:r>
        <w:rPr>
          <w:szCs w:val="21"/>
        </w:rPr>
        <w:t>的投标，并递交了投标保证金</w:t>
      </w:r>
      <w:bookmarkStart w:id="135" w:name="_Hlk19050352"/>
      <w:r>
        <w:rPr>
          <w:szCs w:val="21"/>
        </w:rPr>
        <w:t>（</w:t>
      </w:r>
      <w:r>
        <w:rPr>
          <w:kern w:val="0"/>
          <w:szCs w:val="21"/>
        </w:rPr>
        <w:t>¥</w:t>
      </w:r>
      <w:r>
        <w:rPr>
          <w:szCs w:val="21"/>
          <w:u w:val="single"/>
        </w:rPr>
        <w:t xml:space="preserve">       </w:t>
      </w:r>
      <w:r>
        <w:rPr>
          <w:szCs w:val="21"/>
        </w:rPr>
        <w:t>）</w:t>
      </w:r>
      <w:bookmarkEnd w:id="135"/>
      <w:r>
        <w:rPr>
          <w:szCs w:val="21"/>
        </w:rPr>
        <w:t>，在此我方说明如下：</w:t>
      </w:r>
    </w:p>
    <w:bookmarkEnd w:id="134"/>
    <w:p w14:paraId="05DA1D61">
      <w:pPr>
        <w:spacing w:line="360" w:lineRule="exact"/>
        <w:ind w:firstLine="420" w:firstLineChars="200"/>
        <w:rPr>
          <w:szCs w:val="21"/>
        </w:rPr>
      </w:pPr>
      <w:r>
        <w:rPr>
          <w:szCs w:val="21"/>
        </w:rPr>
        <w:t>1．我方承诺，若我单位中标，保证在领取中标通知书之前，按本项目招标文件的规定标准向贵单位支付代理服务费。如我单位未按规定缴纳代理服务费，贵方可</w:t>
      </w:r>
      <w:r>
        <w:rPr>
          <w:rFonts w:hint="eastAsia"/>
          <w:szCs w:val="21"/>
        </w:rPr>
        <w:t>不退还</w:t>
      </w:r>
      <w:r>
        <w:rPr>
          <w:szCs w:val="21"/>
        </w:rPr>
        <w:t>我单位提交的投标保证金</w:t>
      </w:r>
      <w:r>
        <w:rPr>
          <w:rFonts w:hint="eastAsia"/>
          <w:szCs w:val="21"/>
        </w:rPr>
        <w:t>，并从中</w:t>
      </w:r>
      <w:r>
        <w:rPr>
          <w:szCs w:val="21"/>
        </w:rPr>
        <w:t>扣除</w:t>
      </w:r>
      <w:r>
        <w:rPr>
          <w:rFonts w:hint="eastAsia"/>
          <w:szCs w:val="21"/>
        </w:rPr>
        <w:t>代理服务费</w:t>
      </w:r>
      <w:r>
        <w:rPr>
          <w:szCs w:val="21"/>
        </w:rPr>
        <w:t>，余款按下列账户退回。</w:t>
      </w:r>
    </w:p>
    <w:p w14:paraId="1BA5C378">
      <w:pPr>
        <w:spacing w:line="360" w:lineRule="exact"/>
        <w:ind w:firstLine="420" w:firstLineChars="200"/>
        <w:rPr>
          <w:szCs w:val="21"/>
        </w:rPr>
      </w:pPr>
      <w:bookmarkStart w:id="136" w:name="_Hlk19050518"/>
      <w:r>
        <w:rPr>
          <w:szCs w:val="21"/>
        </w:rPr>
        <w:t>我公司选择第</w:t>
      </w:r>
      <w:r>
        <w:rPr>
          <w:szCs w:val="21"/>
          <w:u w:val="single"/>
        </w:rPr>
        <w:t xml:space="preserve">     </w:t>
      </w:r>
      <w:r>
        <w:rPr>
          <w:szCs w:val="21"/>
        </w:rPr>
        <w:t>种方式缴纳代理服务费。</w:t>
      </w:r>
    </w:p>
    <w:p w14:paraId="41489308">
      <w:pPr>
        <w:spacing w:line="360" w:lineRule="exact"/>
        <w:ind w:firstLine="420" w:firstLineChars="200"/>
        <w:rPr>
          <w:szCs w:val="21"/>
        </w:rPr>
      </w:pPr>
      <w:r>
        <w:rPr>
          <w:szCs w:val="21"/>
        </w:rPr>
        <w:t>第一种方式：一次性足额缴纳代理服务费。</w:t>
      </w:r>
    </w:p>
    <w:p w14:paraId="183D7BD7">
      <w:pPr>
        <w:spacing w:line="360" w:lineRule="exact"/>
        <w:ind w:firstLine="420" w:firstLineChars="200"/>
        <w:rPr>
          <w:szCs w:val="21"/>
        </w:rPr>
      </w:pPr>
      <w:r>
        <w:rPr>
          <w:szCs w:val="21"/>
        </w:rPr>
        <w:t>第二种方式：从投标保证金中抵扣代理服务费，不足部分补交。</w:t>
      </w:r>
    </w:p>
    <w:bookmarkEnd w:id="136"/>
    <w:p w14:paraId="09C4AA18">
      <w:pPr>
        <w:spacing w:line="360" w:lineRule="exact"/>
        <w:ind w:firstLine="420" w:firstLineChars="200"/>
        <w:rPr>
          <w:szCs w:val="21"/>
        </w:rPr>
      </w:pPr>
      <w:r>
        <w:rPr>
          <w:szCs w:val="21"/>
        </w:rPr>
        <w:t>2．如我单位投标保证金无法原路返回，请按下表账户信息无息退还。</w:t>
      </w:r>
    </w:p>
    <w:tbl>
      <w:tblPr>
        <w:tblStyle w:val="5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33"/>
        <w:gridCol w:w="5431"/>
      </w:tblGrid>
      <w:tr w14:paraId="2F4C8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vAlign w:val="center"/>
          </w:tcPr>
          <w:p w14:paraId="58BE1D07">
            <w:pPr>
              <w:spacing w:line="360" w:lineRule="exact"/>
              <w:jc w:val="center"/>
              <w:rPr>
                <w:szCs w:val="21"/>
              </w:rPr>
            </w:pPr>
            <w:r>
              <w:rPr>
                <w:szCs w:val="21"/>
              </w:rPr>
              <w:t>收款户名</w:t>
            </w:r>
          </w:p>
        </w:tc>
        <w:tc>
          <w:tcPr>
            <w:tcW w:w="5431" w:type="dxa"/>
            <w:vAlign w:val="center"/>
          </w:tcPr>
          <w:p w14:paraId="106C8C3C">
            <w:pPr>
              <w:spacing w:line="360" w:lineRule="exact"/>
              <w:jc w:val="center"/>
              <w:rPr>
                <w:szCs w:val="21"/>
              </w:rPr>
            </w:pPr>
          </w:p>
        </w:tc>
      </w:tr>
      <w:tr w14:paraId="6ECF9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vAlign w:val="center"/>
          </w:tcPr>
          <w:p w14:paraId="25369ABA">
            <w:pPr>
              <w:spacing w:line="360" w:lineRule="exact"/>
              <w:jc w:val="center"/>
              <w:rPr>
                <w:szCs w:val="21"/>
              </w:rPr>
            </w:pPr>
            <w:r>
              <w:rPr>
                <w:szCs w:val="21"/>
              </w:rPr>
              <w:t>账    号</w:t>
            </w:r>
          </w:p>
        </w:tc>
        <w:tc>
          <w:tcPr>
            <w:tcW w:w="5431" w:type="dxa"/>
            <w:vAlign w:val="center"/>
          </w:tcPr>
          <w:p w14:paraId="3ADA9694">
            <w:pPr>
              <w:spacing w:line="360" w:lineRule="exact"/>
              <w:jc w:val="center"/>
              <w:rPr>
                <w:szCs w:val="21"/>
              </w:rPr>
            </w:pPr>
          </w:p>
        </w:tc>
      </w:tr>
      <w:tr w14:paraId="6ECA7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vAlign w:val="center"/>
          </w:tcPr>
          <w:p w14:paraId="2BF1A9B6">
            <w:pPr>
              <w:spacing w:line="360" w:lineRule="exact"/>
              <w:jc w:val="center"/>
              <w:rPr>
                <w:szCs w:val="21"/>
              </w:rPr>
            </w:pPr>
            <w:r>
              <w:rPr>
                <w:szCs w:val="21"/>
              </w:rPr>
              <w:t>开户银行</w:t>
            </w:r>
          </w:p>
        </w:tc>
        <w:tc>
          <w:tcPr>
            <w:tcW w:w="5431" w:type="dxa"/>
            <w:vAlign w:val="center"/>
          </w:tcPr>
          <w:p w14:paraId="7108845B">
            <w:pPr>
              <w:spacing w:line="360" w:lineRule="exact"/>
              <w:jc w:val="center"/>
              <w:rPr>
                <w:szCs w:val="21"/>
              </w:rPr>
            </w:pPr>
          </w:p>
        </w:tc>
      </w:tr>
      <w:tr w14:paraId="0E706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vAlign w:val="center"/>
          </w:tcPr>
          <w:p w14:paraId="69458342">
            <w:pPr>
              <w:spacing w:line="360" w:lineRule="exact"/>
              <w:jc w:val="center"/>
              <w:rPr>
                <w:szCs w:val="21"/>
              </w:rPr>
            </w:pPr>
            <w:r>
              <w:rPr>
                <w:szCs w:val="21"/>
              </w:rPr>
              <w:t>银行行号</w:t>
            </w:r>
          </w:p>
        </w:tc>
        <w:tc>
          <w:tcPr>
            <w:tcW w:w="5431" w:type="dxa"/>
            <w:vAlign w:val="center"/>
          </w:tcPr>
          <w:p w14:paraId="2AC97A95">
            <w:pPr>
              <w:spacing w:line="360" w:lineRule="exact"/>
              <w:jc w:val="center"/>
              <w:rPr>
                <w:szCs w:val="21"/>
              </w:rPr>
            </w:pPr>
          </w:p>
        </w:tc>
      </w:tr>
    </w:tbl>
    <w:p w14:paraId="0915EADF">
      <w:pPr>
        <w:spacing w:line="360" w:lineRule="exact"/>
        <w:ind w:firstLine="420" w:firstLineChars="200"/>
        <w:rPr>
          <w:szCs w:val="21"/>
        </w:rPr>
      </w:pPr>
      <w:r>
        <w:rPr>
          <w:szCs w:val="21"/>
        </w:rPr>
        <w:t>3．如果我单位未遵守有关招标文件关于投标保证金的规定，贵方可以没收我单位投标保证金。</w:t>
      </w:r>
    </w:p>
    <w:p w14:paraId="28E011E1">
      <w:pPr>
        <w:spacing w:line="360" w:lineRule="exact"/>
        <w:ind w:firstLine="420" w:firstLineChars="200"/>
        <w:rPr>
          <w:szCs w:val="21"/>
        </w:rPr>
      </w:pPr>
      <w:r>
        <w:rPr>
          <w:szCs w:val="21"/>
        </w:rPr>
        <w:t>4. 我单位选择第</w:t>
      </w:r>
      <w:r>
        <w:rPr>
          <w:szCs w:val="21"/>
          <w:u w:val="single"/>
        </w:rPr>
        <w:t xml:space="preserve">     </w:t>
      </w:r>
      <w:r>
        <w:rPr>
          <w:szCs w:val="21"/>
        </w:rPr>
        <w:t>种方式作为代理服务费开票类型：</w:t>
      </w:r>
    </w:p>
    <w:p w14:paraId="371AA64D">
      <w:pPr>
        <w:spacing w:line="360" w:lineRule="exact"/>
        <w:ind w:firstLine="420" w:firstLineChars="200"/>
        <w:rPr>
          <w:szCs w:val="21"/>
        </w:rPr>
      </w:pPr>
      <w:r>
        <w:rPr>
          <w:szCs w:val="21"/>
        </w:rPr>
        <w:t>第一种方式：开具收据。</w:t>
      </w:r>
    </w:p>
    <w:p w14:paraId="146AAF58">
      <w:pPr>
        <w:spacing w:line="360" w:lineRule="exact"/>
        <w:ind w:firstLine="420" w:firstLineChars="200"/>
        <w:rPr>
          <w:szCs w:val="21"/>
        </w:rPr>
      </w:pPr>
      <w:r>
        <w:rPr>
          <w:szCs w:val="21"/>
        </w:rPr>
        <w:t>第二种方式：开具增值税普通发票。开票信息如下：1.公司名称</w:t>
      </w:r>
      <w:r>
        <w:rPr>
          <w:szCs w:val="21"/>
          <w:u w:val="single"/>
        </w:rPr>
        <w:t xml:space="preserve">                      </w:t>
      </w:r>
      <w:r>
        <w:rPr>
          <w:szCs w:val="21"/>
        </w:rPr>
        <w:t>；2.纳税人识别号</w:t>
      </w:r>
      <w:r>
        <w:rPr>
          <w:szCs w:val="21"/>
          <w:u w:val="single"/>
        </w:rPr>
        <w:t xml:space="preserve">                     </w:t>
      </w:r>
      <w:r>
        <w:rPr>
          <w:szCs w:val="21"/>
        </w:rPr>
        <w:t>；</w:t>
      </w:r>
    </w:p>
    <w:p w14:paraId="5BD56E80">
      <w:pPr>
        <w:spacing w:line="360" w:lineRule="exact"/>
        <w:ind w:firstLine="420" w:firstLineChars="200"/>
        <w:rPr>
          <w:szCs w:val="21"/>
        </w:rPr>
      </w:pPr>
      <w:r>
        <w:rPr>
          <w:szCs w:val="21"/>
        </w:rPr>
        <w:t>第三种方式：开具增值税专用发票，开票信息如下：1.公司名称</w:t>
      </w:r>
      <w:r>
        <w:rPr>
          <w:szCs w:val="21"/>
          <w:u w:val="single"/>
        </w:rPr>
        <w:t xml:space="preserve">                      </w:t>
      </w:r>
      <w:r>
        <w:rPr>
          <w:szCs w:val="21"/>
        </w:rPr>
        <w:t>；2.纳税人识别号</w:t>
      </w:r>
      <w:r>
        <w:rPr>
          <w:szCs w:val="21"/>
          <w:u w:val="single"/>
        </w:rPr>
        <w:t xml:space="preserve">                     </w:t>
      </w:r>
      <w:r>
        <w:rPr>
          <w:szCs w:val="21"/>
        </w:rPr>
        <w:t>；3.税局登记地址</w:t>
      </w:r>
      <w:r>
        <w:rPr>
          <w:szCs w:val="21"/>
          <w:u w:val="single"/>
        </w:rPr>
        <w:t xml:space="preserve">                     </w:t>
      </w:r>
      <w:r>
        <w:rPr>
          <w:szCs w:val="21"/>
        </w:rPr>
        <w:t>；4.税局登记电话</w:t>
      </w:r>
      <w:r>
        <w:rPr>
          <w:szCs w:val="21"/>
          <w:u w:val="single"/>
        </w:rPr>
        <w:t xml:space="preserve">             </w:t>
      </w:r>
      <w:r>
        <w:rPr>
          <w:szCs w:val="21"/>
        </w:rPr>
        <w:t>；5.开户银行</w:t>
      </w:r>
      <w:r>
        <w:rPr>
          <w:szCs w:val="21"/>
          <w:u w:val="single"/>
        </w:rPr>
        <w:t xml:space="preserve">                 </w:t>
      </w:r>
      <w:r>
        <w:rPr>
          <w:szCs w:val="21"/>
        </w:rPr>
        <w:t>；6.银行账户</w:t>
      </w:r>
      <w:r>
        <w:rPr>
          <w:szCs w:val="21"/>
          <w:u w:val="single"/>
        </w:rPr>
        <w:t xml:space="preserve">                         </w:t>
      </w:r>
      <w:r>
        <w:rPr>
          <w:szCs w:val="21"/>
        </w:rPr>
        <w:t>。</w:t>
      </w:r>
    </w:p>
    <w:p w14:paraId="25FD12CC">
      <w:pPr>
        <w:spacing w:before="120" w:beforeLines="50" w:line="360" w:lineRule="auto"/>
        <w:jc w:val="left"/>
        <w:rPr>
          <w:szCs w:val="21"/>
        </w:rPr>
      </w:pPr>
    </w:p>
    <w:p w14:paraId="78C6DDF8">
      <w:pPr>
        <w:spacing w:before="120" w:beforeLines="50" w:line="360" w:lineRule="auto"/>
        <w:jc w:val="left"/>
        <w:rPr>
          <w:szCs w:val="21"/>
          <w:u w:val="single"/>
        </w:rPr>
      </w:pPr>
      <w:r>
        <w:rPr>
          <w:rFonts w:hint="eastAsia"/>
          <w:szCs w:val="21"/>
        </w:rPr>
        <w:t>供应商名称(电子签章)：</w:t>
      </w:r>
      <w:r>
        <w:rPr>
          <w:szCs w:val="21"/>
          <w:u w:val="single"/>
        </w:rPr>
        <w:t xml:space="preserve">                             </w:t>
      </w:r>
    </w:p>
    <w:p w14:paraId="003E6656">
      <w:pPr>
        <w:spacing w:before="120" w:beforeLines="50" w:line="360" w:lineRule="auto"/>
        <w:jc w:val="left"/>
        <w:rPr>
          <w:szCs w:val="21"/>
        </w:rPr>
      </w:pPr>
      <w:r>
        <w:rPr>
          <w:szCs w:val="21"/>
        </w:rPr>
        <w:t>供应商地址：</w:t>
      </w:r>
      <w:r>
        <w:rPr>
          <w:szCs w:val="21"/>
          <w:u w:val="single"/>
        </w:rPr>
        <w:t xml:space="preserve">                                     </w:t>
      </w:r>
    </w:p>
    <w:p w14:paraId="74E8B2CD">
      <w:pPr>
        <w:spacing w:before="120" w:beforeLines="50" w:line="360" w:lineRule="auto"/>
        <w:jc w:val="left"/>
        <w:rPr>
          <w:szCs w:val="21"/>
          <w:u w:val="single"/>
        </w:rPr>
      </w:pPr>
      <w:r>
        <w:rPr>
          <w:szCs w:val="21"/>
        </w:rPr>
        <w:t>法定代表人或授权代表签字或盖章：</w:t>
      </w:r>
      <w:r>
        <w:rPr>
          <w:szCs w:val="21"/>
          <w:u w:val="single"/>
        </w:rPr>
        <w:t xml:space="preserve">                          </w:t>
      </w:r>
    </w:p>
    <w:p w14:paraId="1E206035">
      <w:pPr>
        <w:wordWrap w:val="0"/>
        <w:spacing w:before="120" w:beforeLines="50" w:line="360" w:lineRule="auto"/>
        <w:jc w:val="right"/>
        <w:rPr>
          <w:szCs w:val="21"/>
        </w:rPr>
      </w:pPr>
      <w:r>
        <w:rPr>
          <w:szCs w:val="21"/>
        </w:rPr>
        <w:t>日期：</w:t>
      </w:r>
      <w:r>
        <w:rPr>
          <w:szCs w:val="21"/>
          <w:u w:val="single"/>
        </w:rPr>
        <w:t xml:space="preserve">      </w:t>
      </w:r>
      <w:r>
        <w:rPr>
          <w:szCs w:val="21"/>
        </w:rPr>
        <w:t>年</w:t>
      </w:r>
      <w:r>
        <w:rPr>
          <w:szCs w:val="21"/>
          <w:u w:val="single"/>
        </w:rPr>
        <w:t xml:space="preserve">    </w:t>
      </w:r>
      <w:r>
        <w:rPr>
          <w:szCs w:val="21"/>
        </w:rPr>
        <w:t>月</w:t>
      </w:r>
      <w:r>
        <w:rPr>
          <w:szCs w:val="21"/>
          <w:u w:val="single"/>
        </w:rPr>
        <w:t xml:space="preserve">    </w:t>
      </w:r>
      <w:r>
        <w:rPr>
          <w:szCs w:val="21"/>
        </w:rPr>
        <w:t>日</w:t>
      </w:r>
    </w:p>
    <w:p w14:paraId="5B178B2C">
      <w:pPr>
        <w:spacing w:before="120" w:beforeLines="50" w:line="360" w:lineRule="auto"/>
        <w:jc w:val="left"/>
        <w:rPr>
          <w:szCs w:val="21"/>
        </w:rPr>
      </w:pPr>
      <w:r>
        <w:rPr>
          <w:szCs w:val="21"/>
        </w:rPr>
        <w:t>说明：</w:t>
      </w:r>
    </w:p>
    <w:p w14:paraId="3143007C">
      <w:pPr>
        <w:spacing w:line="340" w:lineRule="exact"/>
        <w:ind w:firstLine="420" w:firstLineChars="200"/>
        <w:rPr>
          <w:szCs w:val="21"/>
        </w:rPr>
      </w:pPr>
      <w:r>
        <w:rPr>
          <w:szCs w:val="21"/>
        </w:rPr>
        <w:t>（1）为保障资金安全，上述账户不能为私人账户。</w:t>
      </w:r>
    </w:p>
    <w:p w14:paraId="7276654B">
      <w:pPr>
        <w:spacing w:line="340" w:lineRule="exact"/>
        <w:ind w:firstLine="420" w:firstLineChars="200"/>
        <w:rPr>
          <w:szCs w:val="21"/>
        </w:rPr>
      </w:pPr>
      <w:r>
        <w:rPr>
          <w:szCs w:val="21"/>
        </w:rPr>
        <w:t>（2）如因未按要求缴纳投标保证金，导致投标保证金无法退还或丢失等可能产生的一切后果由供应商自行负责。如需要，采购代理机构将按上述所填信息办理代理服务费发票事宜。如所填信息有误导致开票信息错误等可能产生的一切后果由供应商自行负责。</w:t>
      </w:r>
    </w:p>
    <w:p w14:paraId="4318DCB1">
      <w:pPr>
        <w:jc w:val="center"/>
      </w:pPr>
      <w:r>
        <w:t>（3）如供应商未及时收到退回款项，请与广西机电设备招标有限公司财务部联系。广西机电设备招标有限公司财务部联系方式：联系人：吴茜；电话：0771-2821398；传真：0771-2843545。</w:t>
      </w:r>
    </w:p>
    <w:p w14:paraId="2BD74240">
      <w:r>
        <w:br w:type="page"/>
      </w:r>
    </w:p>
    <w:p w14:paraId="7C1563D1">
      <w:pPr>
        <w:snapToGrid w:val="0"/>
        <w:spacing w:before="50" w:after="120" w:afterLines="50"/>
        <w:jc w:val="left"/>
        <w:rPr>
          <w:szCs w:val="21"/>
        </w:rPr>
      </w:pPr>
      <w:r>
        <w:rPr>
          <w:rFonts w:hint="eastAsia"/>
          <w:szCs w:val="21"/>
        </w:rPr>
        <w:t>17.除招标文件规定必须提供以外，投标人认为需要提供的其他证明材料（格式自拟）。（投标人根据“第二章 采购需求”及“第四章 评标方法及评标标准”提供有关证明材料）。</w:t>
      </w:r>
    </w:p>
    <w:p w14:paraId="5BA34F92">
      <w:pPr>
        <w:rPr>
          <w:szCs w:val="21"/>
        </w:rPr>
      </w:pPr>
      <w:r>
        <w:rPr>
          <w:spacing w:val="20"/>
          <w:szCs w:val="21"/>
          <w:u w:val="single"/>
        </w:rPr>
        <w:t xml:space="preserve">        </w:t>
      </w:r>
    </w:p>
    <w:p w14:paraId="23307D9D">
      <w:pPr>
        <w:snapToGrid w:val="0"/>
        <w:spacing w:before="50" w:after="120" w:afterLines="50"/>
        <w:jc w:val="left"/>
        <w:rPr>
          <w:szCs w:val="21"/>
        </w:rPr>
      </w:pPr>
    </w:p>
    <w:p w14:paraId="164FC741">
      <w:pPr>
        <w:snapToGrid w:val="0"/>
        <w:spacing w:before="50" w:after="120" w:afterLines="50"/>
        <w:jc w:val="left"/>
        <w:rPr>
          <w:szCs w:val="21"/>
        </w:rPr>
      </w:pPr>
    </w:p>
    <w:p w14:paraId="0D9BCC94">
      <w:pPr>
        <w:snapToGrid w:val="0"/>
        <w:spacing w:before="50" w:after="120" w:afterLines="50"/>
        <w:jc w:val="left"/>
        <w:rPr>
          <w:szCs w:val="21"/>
        </w:rPr>
      </w:pPr>
    </w:p>
    <w:p w14:paraId="2D03F394">
      <w:pPr>
        <w:snapToGrid w:val="0"/>
        <w:spacing w:before="50" w:after="120" w:afterLines="50"/>
        <w:jc w:val="left"/>
        <w:rPr>
          <w:szCs w:val="21"/>
        </w:rPr>
      </w:pPr>
    </w:p>
    <w:p w14:paraId="0BA435E2">
      <w:pPr>
        <w:snapToGrid w:val="0"/>
        <w:spacing w:before="120" w:beforeLines="50" w:after="50" w:line="440" w:lineRule="exact"/>
        <w:jc w:val="left"/>
        <w:outlineLvl w:val="1"/>
        <w:rPr>
          <w:bCs/>
          <w:sz w:val="24"/>
        </w:rPr>
      </w:pPr>
      <w:r>
        <w:rPr>
          <w:szCs w:val="21"/>
        </w:rPr>
        <w:br w:type="page"/>
      </w:r>
      <w:r>
        <w:rPr>
          <w:bCs/>
          <w:sz w:val="24"/>
        </w:rPr>
        <w:t>3．投标文件封面参考格式</w:t>
      </w:r>
      <w:r>
        <w:rPr>
          <w:rFonts w:hint="eastAsia"/>
          <w:bCs/>
          <w:sz w:val="24"/>
        </w:rPr>
        <w:t>（报价文件）</w:t>
      </w:r>
      <w:r>
        <w:rPr>
          <w:bCs/>
          <w:sz w:val="24"/>
        </w:rPr>
        <w:t xml:space="preserve">： </w:t>
      </w:r>
    </w:p>
    <w:p w14:paraId="35B3CCA9">
      <w:pPr>
        <w:snapToGrid w:val="0"/>
        <w:spacing w:before="50" w:after="120" w:afterLines="50" w:line="400" w:lineRule="exact"/>
        <w:jc w:val="left"/>
        <w:rPr>
          <w:bCs/>
          <w:sz w:val="24"/>
        </w:rPr>
      </w:pPr>
    </w:p>
    <w:p w14:paraId="4DBF33A7">
      <w:pPr>
        <w:snapToGrid w:val="0"/>
        <w:spacing w:before="120" w:beforeLines="50" w:after="50" w:line="360" w:lineRule="exact"/>
        <w:rPr>
          <w:sz w:val="24"/>
        </w:rPr>
      </w:pPr>
    </w:p>
    <w:p w14:paraId="3B2D79B7">
      <w:pPr>
        <w:snapToGrid w:val="0"/>
        <w:spacing w:before="120" w:beforeLines="50" w:after="50" w:line="360" w:lineRule="exact"/>
        <w:jc w:val="center"/>
        <w:rPr>
          <w:bCs/>
          <w:sz w:val="24"/>
        </w:rPr>
      </w:pPr>
    </w:p>
    <w:p w14:paraId="5AA33879">
      <w:pPr>
        <w:snapToGrid w:val="0"/>
        <w:spacing w:before="120" w:beforeLines="50" w:after="50" w:line="360" w:lineRule="exact"/>
        <w:jc w:val="center"/>
        <w:rPr>
          <w:b/>
          <w:bCs/>
          <w:sz w:val="44"/>
          <w:szCs w:val="44"/>
        </w:rPr>
      </w:pPr>
      <w:r>
        <w:rPr>
          <w:rFonts w:hint="eastAsia"/>
          <w:b/>
          <w:bCs/>
          <w:sz w:val="44"/>
          <w:szCs w:val="44"/>
        </w:rPr>
        <w:t>电子</w:t>
      </w:r>
      <w:r>
        <w:rPr>
          <w:b/>
          <w:bCs/>
          <w:sz w:val="44"/>
          <w:szCs w:val="44"/>
        </w:rPr>
        <w:t>投标文件</w:t>
      </w:r>
    </w:p>
    <w:p w14:paraId="42BA4F60">
      <w:pPr>
        <w:snapToGrid w:val="0"/>
        <w:spacing w:before="120" w:beforeLines="50" w:after="50" w:line="360" w:lineRule="exact"/>
        <w:jc w:val="center"/>
        <w:rPr>
          <w:b/>
          <w:bCs/>
          <w:sz w:val="44"/>
          <w:szCs w:val="44"/>
        </w:rPr>
      </w:pPr>
    </w:p>
    <w:p w14:paraId="0083F26A">
      <w:pPr>
        <w:snapToGrid w:val="0"/>
        <w:spacing w:before="120" w:beforeLines="50" w:after="50" w:line="360" w:lineRule="exact"/>
        <w:jc w:val="center"/>
        <w:rPr>
          <w:b/>
          <w:bCs/>
          <w:sz w:val="44"/>
          <w:szCs w:val="44"/>
        </w:rPr>
      </w:pPr>
    </w:p>
    <w:p w14:paraId="60F78C7F">
      <w:pPr>
        <w:snapToGrid w:val="0"/>
        <w:spacing w:before="120" w:beforeLines="50" w:after="50" w:line="360" w:lineRule="exact"/>
        <w:jc w:val="center"/>
        <w:rPr>
          <w:b/>
          <w:bCs/>
          <w:sz w:val="44"/>
          <w:szCs w:val="44"/>
        </w:rPr>
      </w:pPr>
      <w:r>
        <w:rPr>
          <w:rFonts w:hint="eastAsia"/>
          <w:b/>
          <w:bCs/>
          <w:sz w:val="44"/>
          <w:szCs w:val="44"/>
        </w:rPr>
        <w:t>报价</w:t>
      </w:r>
      <w:r>
        <w:rPr>
          <w:b/>
          <w:bCs/>
          <w:sz w:val="44"/>
          <w:szCs w:val="44"/>
        </w:rPr>
        <w:t>文件</w:t>
      </w:r>
    </w:p>
    <w:p w14:paraId="13D5C2A0">
      <w:pPr>
        <w:snapToGrid w:val="0"/>
        <w:spacing w:before="120" w:beforeLines="50" w:after="50" w:line="360" w:lineRule="exact"/>
        <w:rPr>
          <w:bCs/>
          <w:sz w:val="24"/>
        </w:rPr>
      </w:pPr>
    </w:p>
    <w:p w14:paraId="0A9834F1">
      <w:pPr>
        <w:snapToGrid w:val="0"/>
        <w:spacing w:before="120" w:beforeLines="50" w:after="50" w:line="360" w:lineRule="exact"/>
        <w:rPr>
          <w:bCs/>
          <w:sz w:val="24"/>
        </w:rPr>
      </w:pPr>
    </w:p>
    <w:p w14:paraId="0C33B99A">
      <w:pPr>
        <w:snapToGrid w:val="0"/>
        <w:spacing w:before="120" w:beforeLines="50" w:after="50" w:line="360" w:lineRule="exact"/>
        <w:rPr>
          <w:bCs/>
          <w:sz w:val="24"/>
        </w:rPr>
      </w:pPr>
    </w:p>
    <w:p w14:paraId="3763F754">
      <w:pPr>
        <w:snapToGrid w:val="0"/>
        <w:spacing w:before="120" w:beforeLines="50" w:after="50" w:line="360" w:lineRule="exact"/>
        <w:ind w:firstLine="720" w:firstLineChars="300"/>
        <w:rPr>
          <w:bCs/>
          <w:sz w:val="24"/>
        </w:rPr>
      </w:pPr>
      <w:r>
        <w:rPr>
          <w:bCs/>
          <w:sz w:val="24"/>
        </w:rPr>
        <w:t xml:space="preserve">项目名称： </w:t>
      </w:r>
    </w:p>
    <w:p w14:paraId="111415B4">
      <w:pPr>
        <w:snapToGrid w:val="0"/>
        <w:spacing w:before="120" w:beforeLines="50" w:after="50" w:line="360" w:lineRule="exact"/>
        <w:ind w:firstLine="720" w:firstLineChars="300"/>
        <w:rPr>
          <w:bCs/>
          <w:sz w:val="24"/>
        </w:rPr>
      </w:pPr>
      <w:r>
        <w:rPr>
          <w:bCs/>
          <w:sz w:val="24"/>
        </w:rPr>
        <w:t>项目编号：</w:t>
      </w:r>
    </w:p>
    <w:p w14:paraId="4A91591B">
      <w:pPr>
        <w:snapToGrid w:val="0"/>
        <w:spacing w:before="120" w:beforeLines="50" w:after="50" w:line="360" w:lineRule="exact"/>
        <w:ind w:firstLine="720" w:firstLineChars="300"/>
        <w:rPr>
          <w:bCs/>
          <w:sz w:val="24"/>
        </w:rPr>
      </w:pPr>
      <w:r>
        <w:rPr>
          <w:bCs/>
          <w:sz w:val="24"/>
        </w:rPr>
        <w:t>分标号：（若无</w:t>
      </w:r>
      <w:r>
        <w:rPr>
          <w:rFonts w:hint="eastAsia"/>
          <w:bCs/>
          <w:sz w:val="24"/>
        </w:rPr>
        <w:t>留空或写</w:t>
      </w:r>
      <w:r>
        <w:rPr>
          <w:bCs/>
          <w:sz w:val="24"/>
        </w:rPr>
        <w:t>“/”）</w:t>
      </w:r>
    </w:p>
    <w:p w14:paraId="45143BEC">
      <w:pPr>
        <w:snapToGrid w:val="0"/>
        <w:spacing w:before="120" w:beforeLines="50" w:after="50" w:line="360" w:lineRule="exact"/>
        <w:ind w:firstLine="720" w:firstLineChars="300"/>
        <w:rPr>
          <w:bCs/>
          <w:sz w:val="24"/>
        </w:rPr>
      </w:pPr>
      <w:r>
        <w:rPr>
          <w:bCs/>
          <w:sz w:val="24"/>
        </w:rPr>
        <w:t>供应商名称：</w:t>
      </w:r>
    </w:p>
    <w:p w14:paraId="344BA1C7">
      <w:pPr>
        <w:snapToGrid w:val="0"/>
        <w:spacing w:before="120" w:beforeLines="50" w:after="50" w:line="360" w:lineRule="exact"/>
        <w:ind w:firstLine="720" w:firstLineChars="300"/>
        <w:rPr>
          <w:bCs/>
          <w:sz w:val="24"/>
        </w:rPr>
      </w:pPr>
      <w:r>
        <w:rPr>
          <w:bCs/>
          <w:sz w:val="24"/>
        </w:rPr>
        <w:t>供应商地址：</w:t>
      </w:r>
    </w:p>
    <w:p w14:paraId="548A2F5A">
      <w:pPr>
        <w:snapToGrid w:val="0"/>
        <w:spacing w:before="120" w:beforeLines="50" w:after="50" w:line="360" w:lineRule="exact"/>
        <w:ind w:firstLine="720" w:firstLineChars="300"/>
        <w:rPr>
          <w:bCs/>
          <w:sz w:val="24"/>
        </w:rPr>
      </w:pPr>
    </w:p>
    <w:p w14:paraId="5447644A">
      <w:pPr>
        <w:pStyle w:val="7"/>
        <w:snapToGrid w:val="0"/>
        <w:spacing w:before="50" w:after="50" w:line="360" w:lineRule="exact"/>
        <w:ind w:firstLine="960" w:firstLineChars="400"/>
        <w:rPr>
          <w:bCs/>
          <w:sz w:val="24"/>
          <w:szCs w:val="24"/>
        </w:rPr>
      </w:pPr>
    </w:p>
    <w:p w14:paraId="51DF477E">
      <w:pPr>
        <w:snapToGrid w:val="0"/>
        <w:spacing w:before="120" w:beforeLines="50" w:after="50" w:line="360" w:lineRule="exact"/>
        <w:jc w:val="center"/>
        <w:rPr>
          <w:sz w:val="24"/>
        </w:rPr>
      </w:pPr>
      <w:r>
        <w:rPr>
          <w:sz w:val="24"/>
        </w:rPr>
        <w:t xml:space="preserve">                        年  月  日</w:t>
      </w:r>
    </w:p>
    <w:p w14:paraId="7DC69A17"/>
    <w:p w14:paraId="47126515">
      <w:pPr>
        <w:jc w:val="center"/>
        <w:rPr>
          <w:b/>
          <w:bCs/>
          <w:szCs w:val="21"/>
        </w:rPr>
      </w:pPr>
      <w:r>
        <w:rPr>
          <w:b/>
          <w:szCs w:val="21"/>
        </w:rPr>
        <w:br w:type="page"/>
      </w:r>
      <w:r>
        <w:rPr>
          <w:b/>
          <w:bCs/>
          <w:szCs w:val="21"/>
        </w:rPr>
        <w:t xml:space="preserve"> </w:t>
      </w:r>
    </w:p>
    <w:p w14:paraId="27BCB2DE">
      <w:pPr>
        <w:snapToGrid w:val="0"/>
        <w:spacing w:before="120" w:beforeLines="50" w:after="50" w:line="440" w:lineRule="exact"/>
        <w:jc w:val="center"/>
        <w:outlineLvl w:val="1"/>
        <w:rPr>
          <w:bCs/>
          <w:sz w:val="24"/>
        </w:rPr>
      </w:pPr>
      <w:r>
        <w:rPr>
          <w:bCs/>
          <w:sz w:val="24"/>
        </w:rPr>
        <w:t>第</w:t>
      </w:r>
      <w:r>
        <w:rPr>
          <w:rFonts w:hint="eastAsia"/>
          <w:bCs/>
          <w:sz w:val="24"/>
        </w:rPr>
        <w:t>二</w:t>
      </w:r>
      <w:r>
        <w:rPr>
          <w:bCs/>
          <w:sz w:val="24"/>
        </w:rPr>
        <w:t>部分 报价文件</w:t>
      </w:r>
    </w:p>
    <w:p w14:paraId="0D26B921">
      <w:pPr>
        <w:jc w:val="center"/>
        <w:rPr>
          <w:b/>
          <w:bCs/>
          <w:szCs w:val="21"/>
        </w:rPr>
      </w:pPr>
    </w:p>
    <w:p w14:paraId="2198EF99">
      <w:r>
        <w:t>1．投标函格式：</w:t>
      </w:r>
    </w:p>
    <w:p w14:paraId="032C7470"/>
    <w:p w14:paraId="5B7B9479">
      <w:pPr>
        <w:jc w:val="center"/>
        <w:rPr>
          <w:b/>
          <w:szCs w:val="21"/>
        </w:rPr>
      </w:pPr>
      <w:r>
        <w:rPr>
          <w:b/>
          <w:szCs w:val="21"/>
        </w:rPr>
        <w:t>投 标 函</w:t>
      </w:r>
    </w:p>
    <w:p w14:paraId="2EFBD11C">
      <w:pPr>
        <w:rPr>
          <w:b/>
          <w:szCs w:val="21"/>
        </w:rPr>
      </w:pPr>
    </w:p>
    <w:p w14:paraId="0D91DFEA">
      <w:pPr>
        <w:spacing w:line="360" w:lineRule="auto"/>
        <w:rPr>
          <w:szCs w:val="21"/>
        </w:rPr>
      </w:pPr>
      <w:r>
        <w:rPr>
          <w:szCs w:val="21"/>
        </w:rPr>
        <w:t>致：</w:t>
      </w:r>
      <w:bookmarkStart w:id="137" w:name="_Hlk19051378"/>
      <w:r>
        <w:rPr>
          <w:szCs w:val="21"/>
        </w:rPr>
        <w:t>_</w:t>
      </w:r>
      <w:r>
        <w:rPr>
          <w:i/>
          <w:iCs/>
          <w:szCs w:val="21"/>
          <w:u w:val="single"/>
        </w:rPr>
        <w:t>（采购</w:t>
      </w:r>
      <w:r>
        <w:rPr>
          <w:rFonts w:hint="eastAsia"/>
          <w:i/>
          <w:iCs/>
          <w:szCs w:val="21"/>
          <w:u w:val="single"/>
        </w:rPr>
        <w:t>人</w:t>
      </w:r>
      <w:r>
        <w:rPr>
          <w:i/>
          <w:iCs/>
          <w:szCs w:val="21"/>
          <w:u w:val="single"/>
        </w:rPr>
        <w:t>名称）</w:t>
      </w:r>
      <w:r>
        <w:rPr>
          <w:i/>
          <w:iCs/>
          <w:szCs w:val="21"/>
        </w:rPr>
        <w:t>_</w:t>
      </w:r>
      <w:bookmarkEnd w:id="137"/>
      <w:r>
        <w:rPr>
          <w:szCs w:val="21"/>
        </w:rPr>
        <w:t>：</w:t>
      </w:r>
    </w:p>
    <w:p w14:paraId="3047C516">
      <w:pPr>
        <w:spacing w:line="360" w:lineRule="auto"/>
        <w:ind w:firstLine="420" w:firstLineChars="200"/>
        <w:rPr>
          <w:szCs w:val="21"/>
        </w:rPr>
      </w:pPr>
      <w:r>
        <w:rPr>
          <w:szCs w:val="21"/>
        </w:rPr>
        <w:t>我方已仔细研究了</w:t>
      </w:r>
      <w:bookmarkStart w:id="138" w:name="_Hlk19051388"/>
      <w:r>
        <w:rPr>
          <w:rFonts w:hint="eastAsia"/>
          <w:i/>
          <w:iCs/>
          <w:szCs w:val="21"/>
          <w:u w:val="single"/>
        </w:rPr>
        <w:t>（项目名称）</w:t>
      </w:r>
      <w:bookmarkEnd w:id="138"/>
      <w:r>
        <w:rPr>
          <w:szCs w:val="21"/>
        </w:rPr>
        <w:t>的招标文件的全部内容。签字代表</w:t>
      </w:r>
      <w:bookmarkStart w:id="139" w:name="_Hlk19051393"/>
      <w:r>
        <w:rPr>
          <w:rFonts w:hint="eastAsia"/>
          <w:i/>
          <w:iCs/>
          <w:szCs w:val="21"/>
          <w:u w:val="single"/>
        </w:rPr>
        <w:t>（授权代表姓名）</w:t>
      </w:r>
      <w:bookmarkEnd w:id="139"/>
      <w:r>
        <w:rPr>
          <w:szCs w:val="21"/>
        </w:rPr>
        <w:t>经正式授权并代表供应商_</w:t>
      </w:r>
      <w:bookmarkStart w:id="140" w:name="_Hlk19051402"/>
      <w:r>
        <w:rPr>
          <w:i/>
          <w:iCs/>
          <w:szCs w:val="21"/>
          <w:u w:val="single"/>
        </w:rPr>
        <w:t>（供应商名称）</w:t>
      </w:r>
      <w:bookmarkEnd w:id="140"/>
      <w:r>
        <w:rPr>
          <w:szCs w:val="21"/>
        </w:rPr>
        <w:t>提交投标文件</w:t>
      </w:r>
      <w:r>
        <w:rPr>
          <w:rFonts w:hint="eastAsia"/>
          <w:szCs w:val="21"/>
        </w:rPr>
        <w:t>。</w:t>
      </w:r>
    </w:p>
    <w:p w14:paraId="4C60B5DB">
      <w:pPr>
        <w:spacing w:line="360" w:lineRule="auto"/>
        <w:rPr>
          <w:szCs w:val="21"/>
        </w:rPr>
      </w:pPr>
      <w:r>
        <w:rPr>
          <w:szCs w:val="21"/>
        </w:rPr>
        <w:t>据此函，签字代表宣布同意如下：</w:t>
      </w:r>
    </w:p>
    <w:p w14:paraId="352D7CBC">
      <w:pPr>
        <w:spacing w:line="360" w:lineRule="auto"/>
        <w:rPr>
          <w:szCs w:val="21"/>
        </w:rPr>
      </w:pPr>
      <w:r>
        <w:rPr>
          <w:szCs w:val="21"/>
        </w:rPr>
        <w:t>（1）</w:t>
      </w:r>
      <w:r>
        <w:rPr>
          <w:rFonts w:hint="eastAsia"/>
          <w:szCs w:val="21"/>
        </w:rPr>
        <w:t>我方</w:t>
      </w:r>
      <w:r>
        <w:rPr>
          <w:szCs w:val="21"/>
        </w:rPr>
        <w:t>已详细审查全部“招标文件”，包括修改文件（如有的话）以及全部参考资料和有关附件，已经了解我方对于招标文件、采购过程、采购结果有依法进行询问、质疑、投诉的权利及相关渠道和要求。</w:t>
      </w:r>
    </w:p>
    <w:p w14:paraId="2D16FA89">
      <w:pPr>
        <w:spacing w:line="360" w:lineRule="auto"/>
        <w:rPr>
          <w:szCs w:val="21"/>
        </w:rPr>
      </w:pPr>
      <w:r>
        <w:rPr>
          <w:szCs w:val="21"/>
        </w:rPr>
        <w:t>（2）</w:t>
      </w:r>
      <w:r>
        <w:rPr>
          <w:rFonts w:hint="eastAsia"/>
          <w:szCs w:val="21"/>
        </w:rPr>
        <w:t>我方</w:t>
      </w:r>
      <w:r>
        <w:rPr>
          <w:szCs w:val="21"/>
        </w:rPr>
        <w:t>在投标之前已经与贵方进行了充分的沟通，完全理解并接受招标文件的各项规定和要求，对招标文件的合理性、合法性不再有异议。</w:t>
      </w:r>
    </w:p>
    <w:p w14:paraId="6596231F">
      <w:pPr>
        <w:spacing w:line="360" w:lineRule="auto"/>
        <w:rPr>
          <w:szCs w:val="21"/>
        </w:rPr>
      </w:pPr>
      <w:r>
        <w:rPr>
          <w:rFonts w:hint="eastAsia"/>
          <w:szCs w:val="21"/>
        </w:rPr>
        <w:t>（3）我方承诺本投标有效期为第三章投标人须知规定的期限。</w:t>
      </w:r>
    </w:p>
    <w:p w14:paraId="4BCE55CC">
      <w:pPr>
        <w:spacing w:line="360" w:lineRule="auto"/>
        <w:rPr>
          <w:szCs w:val="21"/>
        </w:rPr>
      </w:pPr>
      <w:r>
        <w:rPr>
          <w:szCs w:val="21"/>
        </w:rPr>
        <w:t>（4）如中标，本投标文件至本项目合同履行完毕止均保持有效，</w:t>
      </w:r>
      <w:r>
        <w:rPr>
          <w:rFonts w:hint="eastAsia"/>
          <w:szCs w:val="21"/>
        </w:rPr>
        <w:t>我方</w:t>
      </w:r>
      <w:r>
        <w:rPr>
          <w:szCs w:val="21"/>
        </w:rPr>
        <w:t>将按“招标文件”及政府采购法律、法规的规定履行合同责任和义务</w:t>
      </w:r>
      <w:r>
        <w:rPr>
          <w:rFonts w:hint="eastAsia"/>
          <w:szCs w:val="21"/>
        </w:rPr>
        <w:t>，并承诺</w:t>
      </w:r>
      <w:r>
        <w:rPr>
          <w:szCs w:val="21"/>
        </w:rPr>
        <w:t>不分包及转包他人。</w:t>
      </w:r>
    </w:p>
    <w:p w14:paraId="45BE3E6A">
      <w:pPr>
        <w:spacing w:line="360" w:lineRule="auto"/>
        <w:rPr>
          <w:szCs w:val="21"/>
        </w:rPr>
      </w:pPr>
      <w:r>
        <w:rPr>
          <w:szCs w:val="21"/>
        </w:rPr>
        <w:t>（5）</w:t>
      </w:r>
      <w:r>
        <w:rPr>
          <w:rFonts w:hint="eastAsia"/>
          <w:szCs w:val="21"/>
        </w:rPr>
        <w:t>我方</w:t>
      </w:r>
      <w:r>
        <w:rPr>
          <w:szCs w:val="21"/>
        </w:rPr>
        <w:t>同意按照贵方要求提供与投标有关的一切数据或资料。</w:t>
      </w:r>
    </w:p>
    <w:p w14:paraId="2E6D310A">
      <w:pPr>
        <w:spacing w:line="360" w:lineRule="auto"/>
        <w:rPr>
          <w:szCs w:val="21"/>
        </w:rPr>
      </w:pPr>
      <w:r>
        <w:rPr>
          <w:szCs w:val="21"/>
        </w:rPr>
        <w:t>（6）与本项目有关的一切正式往来信函请寄：</w:t>
      </w:r>
    </w:p>
    <w:p w14:paraId="2DFF1FE1">
      <w:pPr>
        <w:spacing w:line="360" w:lineRule="auto"/>
        <w:rPr>
          <w:szCs w:val="21"/>
        </w:rPr>
      </w:pPr>
      <w:r>
        <w:rPr>
          <w:szCs w:val="21"/>
        </w:rPr>
        <w:t>地址：</w:t>
      </w:r>
      <w:r>
        <w:rPr>
          <w:szCs w:val="21"/>
          <w:u w:val="single"/>
        </w:rPr>
        <w:t xml:space="preserve">                      </w:t>
      </w:r>
      <w:r>
        <w:rPr>
          <w:szCs w:val="21"/>
        </w:rPr>
        <w:t>邮编：</w:t>
      </w:r>
      <w:r>
        <w:rPr>
          <w:szCs w:val="21"/>
          <w:u w:val="single"/>
        </w:rPr>
        <w:t xml:space="preserve">         </w:t>
      </w:r>
      <w:r>
        <w:rPr>
          <w:szCs w:val="21"/>
        </w:rPr>
        <w:t xml:space="preserve">  电话：</w:t>
      </w:r>
      <w:r>
        <w:rPr>
          <w:szCs w:val="21"/>
          <w:u w:val="single"/>
        </w:rPr>
        <w:t xml:space="preserve">            </w:t>
      </w:r>
    </w:p>
    <w:p w14:paraId="2F76CD03">
      <w:pPr>
        <w:spacing w:line="360" w:lineRule="auto"/>
        <w:rPr>
          <w:szCs w:val="21"/>
        </w:rPr>
      </w:pPr>
      <w:r>
        <w:rPr>
          <w:szCs w:val="21"/>
        </w:rPr>
        <w:t>传真：</w:t>
      </w:r>
      <w:r>
        <w:rPr>
          <w:szCs w:val="21"/>
          <w:u w:val="single"/>
        </w:rPr>
        <w:t xml:space="preserve">           </w:t>
      </w:r>
      <w:r>
        <w:rPr>
          <w:szCs w:val="21"/>
        </w:rPr>
        <w:t xml:space="preserve">  </w:t>
      </w:r>
    </w:p>
    <w:p w14:paraId="7BA3B07F">
      <w:pPr>
        <w:spacing w:line="360" w:lineRule="auto"/>
        <w:rPr>
          <w:szCs w:val="21"/>
        </w:rPr>
      </w:pPr>
      <w:r>
        <w:rPr>
          <w:szCs w:val="21"/>
        </w:rPr>
        <w:t>供应商代表姓名</w:t>
      </w:r>
      <w:r>
        <w:rPr>
          <w:szCs w:val="21"/>
          <w:u w:val="single"/>
        </w:rPr>
        <w:t xml:space="preserve">         </w:t>
      </w:r>
      <w:r>
        <w:rPr>
          <w:szCs w:val="21"/>
        </w:rPr>
        <w:t xml:space="preserve">  职务：</w:t>
      </w:r>
      <w:r>
        <w:rPr>
          <w:szCs w:val="21"/>
          <w:u w:val="single"/>
        </w:rPr>
        <w:t xml:space="preserve">          </w:t>
      </w:r>
      <w:r>
        <w:rPr>
          <w:rFonts w:hint="eastAsia"/>
          <w:szCs w:val="21"/>
        </w:rPr>
        <w:t>邮箱：</w:t>
      </w:r>
      <w:r>
        <w:rPr>
          <w:rFonts w:hint="eastAsia"/>
          <w:szCs w:val="21"/>
          <w:u w:val="single"/>
        </w:rPr>
        <w:t xml:space="preserve"> </w:t>
      </w:r>
      <w:r>
        <w:rPr>
          <w:szCs w:val="21"/>
          <w:u w:val="single"/>
        </w:rPr>
        <w:t xml:space="preserve">             </w:t>
      </w:r>
      <w:r>
        <w:rPr>
          <w:szCs w:val="21"/>
        </w:rPr>
        <w:t xml:space="preserve"> </w:t>
      </w:r>
    </w:p>
    <w:p w14:paraId="51B6F21F">
      <w:pPr>
        <w:spacing w:line="360" w:lineRule="auto"/>
        <w:rPr>
          <w:szCs w:val="21"/>
        </w:rPr>
      </w:pPr>
    </w:p>
    <w:p w14:paraId="72735E02">
      <w:pPr>
        <w:spacing w:line="360" w:lineRule="auto"/>
        <w:rPr>
          <w:szCs w:val="21"/>
        </w:rPr>
      </w:pPr>
    </w:p>
    <w:p w14:paraId="4EEA6F42">
      <w:pPr>
        <w:spacing w:line="360" w:lineRule="auto"/>
        <w:rPr>
          <w:szCs w:val="21"/>
        </w:rPr>
      </w:pPr>
    </w:p>
    <w:p w14:paraId="12BB0C9F">
      <w:pPr>
        <w:spacing w:line="360" w:lineRule="auto"/>
        <w:rPr>
          <w:szCs w:val="21"/>
        </w:rPr>
      </w:pPr>
      <w:r>
        <w:rPr>
          <w:rFonts w:hint="eastAsia"/>
          <w:szCs w:val="21"/>
        </w:rPr>
        <w:t>供应商名称(电子签章)：</w:t>
      </w:r>
    </w:p>
    <w:p w14:paraId="2CDFFAD7">
      <w:pPr>
        <w:spacing w:line="360" w:lineRule="auto"/>
        <w:rPr>
          <w:szCs w:val="21"/>
        </w:rPr>
      </w:pPr>
      <w:r>
        <w:rPr>
          <w:rFonts w:hint="eastAsia"/>
          <w:szCs w:val="21"/>
        </w:rPr>
        <w:t>法定代表人或者委托代理人（签字或者电子签名）：</w:t>
      </w:r>
    </w:p>
    <w:p w14:paraId="27A6E419">
      <w:pPr>
        <w:spacing w:line="360" w:lineRule="auto"/>
        <w:rPr>
          <w:szCs w:val="21"/>
        </w:rPr>
      </w:pPr>
      <w:r>
        <w:rPr>
          <w:szCs w:val="21"/>
        </w:rPr>
        <w:t>日期：</w:t>
      </w:r>
      <w:r>
        <w:rPr>
          <w:szCs w:val="21"/>
          <w:u w:val="single"/>
        </w:rPr>
        <w:t xml:space="preserve">      </w:t>
      </w:r>
      <w:r>
        <w:rPr>
          <w:szCs w:val="21"/>
        </w:rPr>
        <w:t>年</w:t>
      </w:r>
      <w:r>
        <w:rPr>
          <w:szCs w:val="21"/>
          <w:u w:val="single"/>
        </w:rPr>
        <w:t xml:space="preserve">    </w:t>
      </w:r>
      <w:r>
        <w:rPr>
          <w:szCs w:val="21"/>
        </w:rPr>
        <w:t>月</w:t>
      </w:r>
      <w:r>
        <w:rPr>
          <w:szCs w:val="21"/>
          <w:u w:val="single"/>
        </w:rPr>
        <w:t xml:space="preserve">   </w:t>
      </w:r>
      <w:r>
        <w:rPr>
          <w:szCs w:val="21"/>
        </w:rPr>
        <w:t>日</w:t>
      </w:r>
    </w:p>
    <w:p w14:paraId="48894C54">
      <w:r>
        <w:rPr>
          <w:b/>
          <w:szCs w:val="21"/>
        </w:rPr>
        <w:br w:type="page"/>
      </w:r>
      <w:r>
        <w:rPr>
          <w:rFonts w:hint="eastAsia"/>
        </w:rPr>
        <w:t>2.开标一览表</w:t>
      </w:r>
      <w:r>
        <w:t>格式：</w:t>
      </w:r>
    </w:p>
    <w:p w14:paraId="564203A9">
      <w:pPr>
        <w:jc w:val="center"/>
        <w:rPr>
          <w:b/>
          <w:szCs w:val="21"/>
        </w:rPr>
      </w:pPr>
      <w:r>
        <w:rPr>
          <w:rFonts w:hint="eastAsia"/>
          <w:b/>
          <w:szCs w:val="21"/>
        </w:rPr>
        <w:t>开标一览表</w:t>
      </w:r>
    </w:p>
    <w:p w14:paraId="3D935FBC">
      <w:pPr>
        <w:jc w:val="center"/>
        <w:rPr>
          <w:b/>
          <w:szCs w:val="21"/>
        </w:rPr>
      </w:pPr>
    </w:p>
    <w:p w14:paraId="59CC7401">
      <w:pPr>
        <w:ind w:firstLine="2415" w:firstLineChars="1150"/>
        <w:rPr>
          <w:szCs w:val="21"/>
        </w:rPr>
      </w:pPr>
      <w:r>
        <w:rPr>
          <w:szCs w:val="21"/>
        </w:rPr>
        <w:t xml:space="preserve">     </w:t>
      </w:r>
      <w:r>
        <w:rPr>
          <w:rFonts w:hint="eastAsia" w:ascii="宋体" w:hAnsi="宋体" w:cs="宋体"/>
          <w:szCs w:val="21"/>
          <w:u w:val="single"/>
        </w:rPr>
        <w:t xml:space="preserve">      </w:t>
      </w:r>
      <w:r>
        <w:rPr>
          <w:rFonts w:hint="eastAsia" w:ascii="宋体" w:hAnsi="宋体" w:cs="宋体"/>
          <w:szCs w:val="21"/>
        </w:rPr>
        <w:t>分标</w:t>
      </w:r>
      <w:r>
        <w:rPr>
          <w:rFonts w:hint="eastAsia" w:ascii="宋体" w:hAnsi="宋体" w:cs="宋体"/>
        </w:rPr>
        <w:t xml:space="preserve">  </w:t>
      </w:r>
      <w:r>
        <w:rPr>
          <w:szCs w:val="21"/>
        </w:rPr>
        <w:t xml:space="preserve">                       金额单位：</w:t>
      </w:r>
      <w:r>
        <w:rPr>
          <w:rFonts w:hint="eastAsia"/>
          <w:szCs w:val="21"/>
        </w:rPr>
        <w:t>%</w:t>
      </w:r>
    </w:p>
    <w:tbl>
      <w:tblPr>
        <w:tblStyle w:val="51"/>
        <w:tblW w:w="9784"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37"/>
        <w:gridCol w:w="1125"/>
        <w:gridCol w:w="1264"/>
        <w:gridCol w:w="722"/>
        <w:gridCol w:w="847"/>
        <w:gridCol w:w="847"/>
        <w:gridCol w:w="723"/>
        <w:gridCol w:w="1147"/>
        <w:gridCol w:w="1146"/>
        <w:gridCol w:w="1226"/>
      </w:tblGrid>
      <w:tr w14:paraId="236509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14:paraId="138B39DC">
            <w:pPr>
              <w:snapToGrid w:val="0"/>
              <w:spacing w:before="50" w:after="50" w:line="360" w:lineRule="exact"/>
              <w:jc w:val="center"/>
              <w:rPr>
                <w:rFonts w:ascii="宋体" w:hAnsi="宋体" w:cs="宋体"/>
                <w:b/>
                <w:szCs w:val="21"/>
              </w:rPr>
            </w:pPr>
            <w:r>
              <w:rPr>
                <w:rFonts w:hint="eastAsia" w:ascii="宋体" w:hAnsi="宋体" w:cs="宋体"/>
                <w:b/>
                <w:szCs w:val="21"/>
              </w:rPr>
              <w:t>序号</w:t>
            </w:r>
          </w:p>
        </w:tc>
        <w:tc>
          <w:tcPr>
            <w:tcW w:w="1125" w:type="dxa"/>
            <w:tcBorders>
              <w:top w:val="single" w:color="auto" w:sz="4" w:space="0"/>
              <w:left w:val="single" w:color="auto" w:sz="4" w:space="0"/>
              <w:bottom w:val="single" w:color="auto" w:sz="4" w:space="0"/>
              <w:right w:val="single" w:color="auto" w:sz="4" w:space="0"/>
            </w:tcBorders>
            <w:vAlign w:val="center"/>
          </w:tcPr>
          <w:p w14:paraId="5F376B30">
            <w:pPr>
              <w:snapToGrid w:val="0"/>
              <w:spacing w:before="50" w:after="50" w:line="360" w:lineRule="exact"/>
              <w:jc w:val="center"/>
              <w:rPr>
                <w:rFonts w:ascii="宋体" w:hAnsi="宋体" w:cs="宋体"/>
                <w:szCs w:val="21"/>
              </w:rPr>
            </w:pPr>
            <w:r>
              <w:rPr>
                <w:rFonts w:hint="eastAsia" w:ascii="宋体" w:hAnsi="宋体" w:cs="宋体"/>
                <w:b/>
                <w:szCs w:val="21"/>
              </w:rPr>
              <w:t>标的名称</w:t>
            </w:r>
          </w:p>
        </w:tc>
        <w:tc>
          <w:tcPr>
            <w:tcW w:w="1264" w:type="dxa"/>
            <w:tcBorders>
              <w:top w:val="single" w:color="auto" w:sz="4" w:space="0"/>
              <w:left w:val="single" w:color="auto" w:sz="4" w:space="0"/>
              <w:bottom w:val="single" w:color="auto" w:sz="4" w:space="0"/>
              <w:right w:val="single" w:color="auto" w:sz="4" w:space="0"/>
            </w:tcBorders>
            <w:vAlign w:val="center"/>
          </w:tcPr>
          <w:p w14:paraId="6C17E81A">
            <w:pPr>
              <w:snapToGrid w:val="0"/>
              <w:spacing w:before="50" w:after="50" w:line="360" w:lineRule="exact"/>
              <w:jc w:val="center"/>
              <w:rPr>
                <w:rFonts w:ascii="宋体" w:hAnsi="宋体" w:cs="宋体"/>
                <w:b/>
                <w:bCs/>
                <w:szCs w:val="21"/>
              </w:rPr>
            </w:pPr>
            <w:r>
              <w:rPr>
                <w:rFonts w:hint="eastAsia" w:ascii="宋体" w:hAnsi="宋体" w:cs="宋体"/>
                <w:b/>
                <w:bCs/>
                <w:szCs w:val="21"/>
              </w:rPr>
              <w:t>数量（暂估）</w:t>
            </w:r>
            <w:r>
              <w:rPr>
                <w:rFonts w:hint="eastAsia"/>
                <w:b/>
                <w:bCs/>
              </w:rPr>
              <w:t>①</w:t>
            </w:r>
          </w:p>
        </w:tc>
        <w:tc>
          <w:tcPr>
            <w:tcW w:w="722" w:type="dxa"/>
            <w:tcBorders>
              <w:top w:val="single" w:color="auto" w:sz="4" w:space="0"/>
              <w:left w:val="single" w:color="auto" w:sz="4" w:space="0"/>
              <w:bottom w:val="single" w:color="auto" w:sz="4" w:space="0"/>
              <w:right w:val="single" w:color="auto" w:sz="4" w:space="0"/>
            </w:tcBorders>
            <w:vAlign w:val="center"/>
          </w:tcPr>
          <w:p w14:paraId="6C301B37">
            <w:pPr>
              <w:snapToGrid w:val="0"/>
              <w:spacing w:before="50" w:after="50" w:line="360" w:lineRule="exact"/>
              <w:jc w:val="center"/>
              <w:rPr>
                <w:rFonts w:ascii="宋体" w:hAnsi="宋体" w:cs="宋体"/>
                <w:b/>
                <w:bCs/>
                <w:szCs w:val="21"/>
              </w:rPr>
            </w:pPr>
            <w:r>
              <w:rPr>
                <w:rFonts w:hint="eastAsia" w:ascii="宋体" w:hAnsi="宋体" w:cs="宋体"/>
                <w:b/>
                <w:bCs/>
                <w:szCs w:val="21"/>
              </w:rPr>
              <w:t>单位</w:t>
            </w:r>
          </w:p>
        </w:tc>
        <w:tc>
          <w:tcPr>
            <w:tcW w:w="847" w:type="dxa"/>
            <w:tcBorders>
              <w:top w:val="single" w:color="auto" w:sz="4" w:space="0"/>
              <w:left w:val="single" w:color="auto" w:sz="4" w:space="0"/>
              <w:bottom w:val="single" w:color="auto" w:sz="4" w:space="0"/>
              <w:right w:val="single" w:color="auto" w:sz="4" w:space="0"/>
            </w:tcBorders>
            <w:vAlign w:val="center"/>
          </w:tcPr>
          <w:p w14:paraId="0C90EADE">
            <w:pPr>
              <w:snapToGrid w:val="0"/>
              <w:spacing w:before="50" w:after="50" w:line="360" w:lineRule="exact"/>
              <w:jc w:val="center"/>
              <w:rPr>
                <w:rFonts w:ascii="宋体" w:hAnsi="宋体" w:cs="宋体"/>
                <w:b/>
                <w:bCs/>
                <w:szCs w:val="21"/>
              </w:rPr>
            </w:pPr>
            <w:r>
              <w:rPr>
                <w:rFonts w:hint="eastAsia" w:ascii="宋体" w:hAnsi="宋体" w:cs="宋体"/>
                <w:b/>
                <w:bCs/>
                <w:color w:val="0000FF"/>
                <w:szCs w:val="21"/>
              </w:rPr>
              <w:t>生产厂家</w:t>
            </w:r>
          </w:p>
        </w:tc>
        <w:tc>
          <w:tcPr>
            <w:tcW w:w="847" w:type="dxa"/>
            <w:tcBorders>
              <w:top w:val="single" w:color="auto" w:sz="4" w:space="0"/>
              <w:left w:val="single" w:color="auto" w:sz="4" w:space="0"/>
              <w:bottom w:val="single" w:color="auto" w:sz="4" w:space="0"/>
              <w:right w:val="single" w:color="auto" w:sz="4" w:space="0"/>
            </w:tcBorders>
            <w:vAlign w:val="center"/>
          </w:tcPr>
          <w:p w14:paraId="2E8F110E">
            <w:pPr>
              <w:snapToGrid w:val="0"/>
              <w:spacing w:before="50" w:after="50" w:line="360" w:lineRule="exact"/>
              <w:jc w:val="center"/>
              <w:rPr>
                <w:rFonts w:ascii="宋体" w:hAnsi="宋体" w:cs="宋体"/>
                <w:b/>
                <w:bCs/>
                <w:szCs w:val="21"/>
              </w:rPr>
            </w:pPr>
            <w:r>
              <w:rPr>
                <w:rFonts w:hint="eastAsia" w:ascii="宋体" w:hAnsi="宋体" w:cs="宋体"/>
                <w:b/>
                <w:bCs/>
                <w:szCs w:val="21"/>
              </w:rPr>
              <w:t>品牌</w:t>
            </w:r>
          </w:p>
        </w:tc>
        <w:tc>
          <w:tcPr>
            <w:tcW w:w="723" w:type="dxa"/>
            <w:tcBorders>
              <w:top w:val="single" w:color="auto" w:sz="4" w:space="0"/>
              <w:left w:val="single" w:color="auto" w:sz="4" w:space="0"/>
              <w:bottom w:val="single" w:color="auto" w:sz="4" w:space="0"/>
              <w:right w:val="single" w:color="auto" w:sz="4" w:space="0"/>
            </w:tcBorders>
            <w:vAlign w:val="center"/>
          </w:tcPr>
          <w:p w14:paraId="418E07B9">
            <w:pPr>
              <w:snapToGrid w:val="0"/>
              <w:spacing w:before="50" w:after="50" w:line="360" w:lineRule="exact"/>
              <w:jc w:val="center"/>
              <w:rPr>
                <w:rFonts w:ascii="宋体" w:hAnsi="宋体" w:cs="宋体"/>
                <w:b/>
                <w:bCs/>
                <w:szCs w:val="21"/>
              </w:rPr>
            </w:pPr>
            <w:r>
              <w:rPr>
                <w:rFonts w:hint="eastAsia" w:ascii="宋体" w:hAnsi="宋体" w:cs="宋体"/>
                <w:b/>
                <w:bCs/>
                <w:szCs w:val="21"/>
              </w:rPr>
              <w:t>规格</w:t>
            </w:r>
          </w:p>
        </w:tc>
        <w:tc>
          <w:tcPr>
            <w:tcW w:w="1147" w:type="dxa"/>
            <w:tcBorders>
              <w:top w:val="single" w:color="auto" w:sz="4" w:space="0"/>
              <w:left w:val="single" w:color="auto" w:sz="4" w:space="0"/>
              <w:bottom w:val="single" w:color="auto" w:sz="4" w:space="0"/>
              <w:right w:val="single" w:color="auto" w:sz="4" w:space="0"/>
            </w:tcBorders>
            <w:vAlign w:val="center"/>
          </w:tcPr>
          <w:p w14:paraId="00CB228C">
            <w:pPr>
              <w:spacing w:line="300" w:lineRule="exact"/>
              <w:jc w:val="center"/>
              <w:rPr>
                <w:rFonts w:ascii="宋体" w:hAnsi="宋体" w:cs="宋体"/>
                <w:szCs w:val="21"/>
              </w:rPr>
            </w:pPr>
            <w:r>
              <w:rPr>
                <w:rFonts w:hint="eastAsia" w:ascii="宋体" w:hAnsi="宋体" w:cs="宋体"/>
                <w:b/>
                <w:szCs w:val="21"/>
              </w:rPr>
              <w:t>招标基准单价</w:t>
            </w:r>
            <w:r>
              <w:rPr>
                <w:rFonts w:hint="eastAsia"/>
                <w:b/>
                <w:bCs/>
              </w:rPr>
              <w:t>（元/公斤（瓶））</w:t>
            </w:r>
          </w:p>
        </w:tc>
        <w:tc>
          <w:tcPr>
            <w:tcW w:w="1146" w:type="dxa"/>
            <w:tcBorders>
              <w:top w:val="single" w:color="auto" w:sz="4" w:space="0"/>
              <w:left w:val="single" w:color="auto" w:sz="4" w:space="0"/>
              <w:bottom w:val="single" w:color="auto" w:sz="4" w:space="0"/>
              <w:right w:val="single" w:color="auto" w:sz="4" w:space="0"/>
            </w:tcBorders>
            <w:vAlign w:val="center"/>
          </w:tcPr>
          <w:p w14:paraId="0BF8FC46">
            <w:pPr>
              <w:jc w:val="center"/>
              <w:rPr>
                <w:rFonts w:ascii="宋体" w:hAnsi="宋体" w:cs="宋体"/>
                <w:szCs w:val="21"/>
              </w:rPr>
            </w:pPr>
            <w:r>
              <w:rPr>
                <w:rFonts w:hint="eastAsia"/>
                <w:b/>
                <w:bCs/>
              </w:rPr>
              <w:t>折扣后投标单价（元/公斤）②</w:t>
            </w:r>
          </w:p>
        </w:tc>
        <w:tc>
          <w:tcPr>
            <w:tcW w:w="1226" w:type="dxa"/>
            <w:tcBorders>
              <w:top w:val="single" w:color="auto" w:sz="4" w:space="0"/>
              <w:left w:val="single" w:color="auto" w:sz="4" w:space="0"/>
              <w:bottom w:val="single" w:color="auto" w:sz="4" w:space="0"/>
              <w:right w:val="single" w:color="auto" w:sz="4" w:space="0"/>
            </w:tcBorders>
            <w:vAlign w:val="center"/>
          </w:tcPr>
          <w:p w14:paraId="69F2D1BC">
            <w:pPr>
              <w:jc w:val="center"/>
              <w:rPr>
                <w:rFonts w:ascii="宋体" w:hAnsi="宋体" w:cs="宋体"/>
                <w:szCs w:val="21"/>
              </w:rPr>
            </w:pPr>
            <w:r>
              <w:rPr>
                <w:rFonts w:hint="eastAsia"/>
                <w:b/>
                <w:bCs/>
              </w:rPr>
              <w:t>折扣后报价小计（元）③=①×②</w:t>
            </w:r>
          </w:p>
        </w:tc>
      </w:tr>
      <w:tr w14:paraId="59616A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9"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14:paraId="762A60BE">
            <w:pPr>
              <w:jc w:val="center"/>
              <w:rPr>
                <w:rFonts w:ascii="宋体" w:hAnsi="宋体" w:cs="宋体"/>
              </w:rPr>
            </w:pPr>
          </w:p>
        </w:tc>
        <w:tc>
          <w:tcPr>
            <w:tcW w:w="1125" w:type="dxa"/>
            <w:tcBorders>
              <w:top w:val="single" w:color="auto" w:sz="4" w:space="0"/>
              <w:left w:val="single" w:color="auto" w:sz="4" w:space="0"/>
              <w:bottom w:val="single" w:color="auto" w:sz="4" w:space="0"/>
              <w:right w:val="single" w:color="auto" w:sz="4" w:space="0"/>
            </w:tcBorders>
            <w:vAlign w:val="center"/>
          </w:tcPr>
          <w:p w14:paraId="52CE52C8">
            <w:pPr>
              <w:jc w:val="center"/>
              <w:rPr>
                <w:rFonts w:ascii="宋体" w:hAnsi="宋体" w:cs="宋体"/>
              </w:rPr>
            </w:pPr>
          </w:p>
        </w:tc>
        <w:tc>
          <w:tcPr>
            <w:tcW w:w="1264" w:type="dxa"/>
            <w:tcBorders>
              <w:top w:val="single" w:color="auto" w:sz="4" w:space="0"/>
              <w:left w:val="single" w:color="auto" w:sz="4" w:space="0"/>
              <w:bottom w:val="single" w:color="auto" w:sz="4" w:space="0"/>
              <w:right w:val="single" w:color="auto" w:sz="4" w:space="0"/>
            </w:tcBorders>
            <w:vAlign w:val="center"/>
          </w:tcPr>
          <w:p w14:paraId="504AA2F0">
            <w:pPr>
              <w:jc w:val="center"/>
              <w:rPr>
                <w:rFonts w:ascii="宋体" w:hAnsi="宋体" w:cs="宋体"/>
              </w:rPr>
            </w:pPr>
          </w:p>
        </w:tc>
        <w:tc>
          <w:tcPr>
            <w:tcW w:w="722" w:type="dxa"/>
            <w:tcBorders>
              <w:top w:val="single" w:color="auto" w:sz="4" w:space="0"/>
              <w:left w:val="single" w:color="auto" w:sz="4" w:space="0"/>
              <w:bottom w:val="single" w:color="auto" w:sz="4" w:space="0"/>
              <w:right w:val="single" w:color="auto" w:sz="4" w:space="0"/>
            </w:tcBorders>
            <w:vAlign w:val="center"/>
          </w:tcPr>
          <w:p w14:paraId="5A59BAAF">
            <w:pPr>
              <w:jc w:val="center"/>
              <w:rPr>
                <w:rFonts w:ascii="宋体" w:hAnsi="宋体" w:cs="宋体"/>
              </w:rPr>
            </w:pPr>
          </w:p>
        </w:tc>
        <w:tc>
          <w:tcPr>
            <w:tcW w:w="847" w:type="dxa"/>
            <w:tcBorders>
              <w:top w:val="single" w:color="auto" w:sz="4" w:space="0"/>
              <w:left w:val="single" w:color="auto" w:sz="4" w:space="0"/>
              <w:bottom w:val="single" w:color="auto" w:sz="4" w:space="0"/>
              <w:right w:val="single" w:color="auto" w:sz="4" w:space="0"/>
            </w:tcBorders>
            <w:vAlign w:val="center"/>
          </w:tcPr>
          <w:p w14:paraId="3F5BC230">
            <w:pPr>
              <w:jc w:val="center"/>
              <w:rPr>
                <w:rFonts w:ascii="宋体" w:hAnsi="宋体" w:cs="宋体"/>
              </w:rPr>
            </w:pPr>
          </w:p>
        </w:tc>
        <w:tc>
          <w:tcPr>
            <w:tcW w:w="847" w:type="dxa"/>
            <w:tcBorders>
              <w:top w:val="single" w:color="auto" w:sz="4" w:space="0"/>
              <w:left w:val="single" w:color="auto" w:sz="4" w:space="0"/>
              <w:bottom w:val="single" w:color="auto" w:sz="4" w:space="0"/>
              <w:right w:val="single" w:color="auto" w:sz="4" w:space="0"/>
            </w:tcBorders>
            <w:vAlign w:val="center"/>
          </w:tcPr>
          <w:p w14:paraId="3E357385">
            <w:pPr>
              <w:jc w:val="center"/>
              <w:rPr>
                <w:rFonts w:ascii="宋体" w:hAnsi="宋体" w:cs="宋体"/>
              </w:rPr>
            </w:pPr>
          </w:p>
        </w:tc>
        <w:tc>
          <w:tcPr>
            <w:tcW w:w="723" w:type="dxa"/>
            <w:tcBorders>
              <w:top w:val="single" w:color="auto" w:sz="4" w:space="0"/>
              <w:left w:val="single" w:color="auto" w:sz="4" w:space="0"/>
              <w:bottom w:val="single" w:color="auto" w:sz="4" w:space="0"/>
              <w:right w:val="single" w:color="auto" w:sz="4" w:space="0"/>
            </w:tcBorders>
            <w:vAlign w:val="center"/>
          </w:tcPr>
          <w:p w14:paraId="239D851E">
            <w:pPr>
              <w:jc w:val="center"/>
              <w:rPr>
                <w:rFonts w:ascii="宋体" w:hAnsi="宋体" w:cs="宋体"/>
              </w:rPr>
            </w:pPr>
          </w:p>
        </w:tc>
        <w:tc>
          <w:tcPr>
            <w:tcW w:w="1147" w:type="dxa"/>
            <w:tcBorders>
              <w:top w:val="single" w:color="auto" w:sz="4" w:space="0"/>
              <w:left w:val="single" w:color="auto" w:sz="4" w:space="0"/>
              <w:bottom w:val="single" w:color="auto" w:sz="4" w:space="0"/>
              <w:right w:val="single" w:color="auto" w:sz="4" w:space="0"/>
            </w:tcBorders>
            <w:vAlign w:val="center"/>
          </w:tcPr>
          <w:p w14:paraId="6D089488">
            <w:pPr>
              <w:jc w:val="center"/>
              <w:rPr>
                <w:rFonts w:ascii="宋体" w:hAnsi="宋体" w:cs="宋体"/>
              </w:rPr>
            </w:pPr>
          </w:p>
        </w:tc>
        <w:tc>
          <w:tcPr>
            <w:tcW w:w="1146" w:type="dxa"/>
            <w:tcBorders>
              <w:top w:val="single" w:color="auto" w:sz="4" w:space="0"/>
              <w:left w:val="single" w:color="auto" w:sz="4" w:space="0"/>
              <w:bottom w:val="single" w:color="auto" w:sz="4" w:space="0"/>
              <w:right w:val="single" w:color="auto" w:sz="4" w:space="0"/>
            </w:tcBorders>
            <w:vAlign w:val="center"/>
          </w:tcPr>
          <w:p w14:paraId="7D370DEE">
            <w:pPr>
              <w:jc w:val="center"/>
              <w:rPr>
                <w:rFonts w:ascii="宋体" w:hAnsi="宋体" w:cs="宋体"/>
              </w:rPr>
            </w:pPr>
          </w:p>
        </w:tc>
        <w:tc>
          <w:tcPr>
            <w:tcW w:w="1226" w:type="dxa"/>
            <w:tcBorders>
              <w:top w:val="single" w:color="auto" w:sz="4" w:space="0"/>
              <w:left w:val="single" w:color="auto" w:sz="4" w:space="0"/>
              <w:bottom w:val="single" w:color="auto" w:sz="4" w:space="0"/>
              <w:right w:val="single" w:color="auto" w:sz="4" w:space="0"/>
            </w:tcBorders>
            <w:vAlign w:val="center"/>
          </w:tcPr>
          <w:p w14:paraId="441E4C49">
            <w:pPr>
              <w:jc w:val="center"/>
              <w:rPr>
                <w:rFonts w:ascii="宋体" w:hAnsi="宋体" w:cs="宋体"/>
              </w:rPr>
            </w:pPr>
          </w:p>
        </w:tc>
      </w:tr>
      <w:tr w14:paraId="377447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2"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14:paraId="094D2156">
            <w:pPr>
              <w:jc w:val="center"/>
              <w:rPr>
                <w:rFonts w:ascii="宋体" w:hAnsi="宋体" w:cs="宋体"/>
              </w:rPr>
            </w:pPr>
          </w:p>
        </w:tc>
        <w:tc>
          <w:tcPr>
            <w:tcW w:w="1125" w:type="dxa"/>
            <w:tcBorders>
              <w:top w:val="single" w:color="auto" w:sz="4" w:space="0"/>
              <w:left w:val="single" w:color="auto" w:sz="4" w:space="0"/>
              <w:bottom w:val="single" w:color="auto" w:sz="4" w:space="0"/>
              <w:right w:val="single" w:color="auto" w:sz="4" w:space="0"/>
            </w:tcBorders>
            <w:vAlign w:val="center"/>
          </w:tcPr>
          <w:p w14:paraId="6F04A88C">
            <w:pPr>
              <w:jc w:val="center"/>
              <w:rPr>
                <w:rFonts w:ascii="宋体" w:hAnsi="宋体" w:cs="宋体"/>
              </w:rPr>
            </w:pPr>
          </w:p>
        </w:tc>
        <w:tc>
          <w:tcPr>
            <w:tcW w:w="1264" w:type="dxa"/>
            <w:tcBorders>
              <w:top w:val="single" w:color="auto" w:sz="4" w:space="0"/>
              <w:left w:val="single" w:color="auto" w:sz="4" w:space="0"/>
              <w:bottom w:val="single" w:color="auto" w:sz="4" w:space="0"/>
              <w:right w:val="single" w:color="auto" w:sz="4" w:space="0"/>
            </w:tcBorders>
            <w:vAlign w:val="center"/>
          </w:tcPr>
          <w:p w14:paraId="20C2E791">
            <w:pPr>
              <w:jc w:val="center"/>
              <w:rPr>
                <w:rFonts w:ascii="宋体" w:hAnsi="宋体" w:cs="宋体"/>
              </w:rPr>
            </w:pPr>
          </w:p>
        </w:tc>
        <w:tc>
          <w:tcPr>
            <w:tcW w:w="722" w:type="dxa"/>
            <w:tcBorders>
              <w:top w:val="single" w:color="auto" w:sz="4" w:space="0"/>
              <w:left w:val="single" w:color="auto" w:sz="4" w:space="0"/>
              <w:bottom w:val="single" w:color="auto" w:sz="4" w:space="0"/>
              <w:right w:val="single" w:color="auto" w:sz="4" w:space="0"/>
            </w:tcBorders>
            <w:vAlign w:val="center"/>
          </w:tcPr>
          <w:p w14:paraId="703A5DF2">
            <w:pPr>
              <w:jc w:val="center"/>
              <w:rPr>
                <w:rFonts w:ascii="宋体" w:hAnsi="宋体" w:cs="宋体"/>
              </w:rPr>
            </w:pPr>
          </w:p>
        </w:tc>
        <w:tc>
          <w:tcPr>
            <w:tcW w:w="847" w:type="dxa"/>
            <w:tcBorders>
              <w:top w:val="single" w:color="auto" w:sz="4" w:space="0"/>
              <w:left w:val="single" w:color="auto" w:sz="4" w:space="0"/>
              <w:bottom w:val="single" w:color="auto" w:sz="4" w:space="0"/>
              <w:right w:val="single" w:color="auto" w:sz="4" w:space="0"/>
            </w:tcBorders>
            <w:vAlign w:val="center"/>
          </w:tcPr>
          <w:p w14:paraId="0A32F691">
            <w:pPr>
              <w:jc w:val="center"/>
              <w:rPr>
                <w:rFonts w:ascii="宋体" w:hAnsi="宋体" w:cs="宋体"/>
              </w:rPr>
            </w:pPr>
          </w:p>
        </w:tc>
        <w:tc>
          <w:tcPr>
            <w:tcW w:w="847" w:type="dxa"/>
            <w:tcBorders>
              <w:top w:val="single" w:color="auto" w:sz="4" w:space="0"/>
              <w:left w:val="single" w:color="auto" w:sz="4" w:space="0"/>
              <w:bottom w:val="single" w:color="auto" w:sz="4" w:space="0"/>
              <w:right w:val="single" w:color="auto" w:sz="4" w:space="0"/>
            </w:tcBorders>
            <w:vAlign w:val="center"/>
          </w:tcPr>
          <w:p w14:paraId="6029D0A5">
            <w:pPr>
              <w:jc w:val="center"/>
              <w:rPr>
                <w:rFonts w:ascii="宋体" w:hAnsi="宋体" w:cs="宋体"/>
              </w:rPr>
            </w:pPr>
          </w:p>
        </w:tc>
        <w:tc>
          <w:tcPr>
            <w:tcW w:w="723" w:type="dxa"/>
            <w:tcBorders>
              <w:top w:val="single" w:color="auto" w:sz="4" w:space="0"/>
              <w:left w:val="single" w:color="auto" w:sz="4" w:space="0"/>
              <w:bottom w:val="single" w:color="auto" w:sz="4" w:space="0"/>
              <w:right w:val="single" w:color="auto" w:sz="4" w:space="0"/>
            </w:tcBorders>
            <w:vAlign w:val="center"/>
          </w:tcPr>
          <w:p w14:paraId="3F363E15">
            <w:pPr>
              <w:jc w:val="center"/>
              <w:rPr>
                <w:rFonts w:ascii="宋体" w:hAnsi="宋体" w:cs="宋体"/>
              </w:rPr>
            </w:pPr>
          </w:p>
        </w:tc>
        <w:tc>
          <w:tcPr>
            <w:tcW w:w="1147" w:type="dxa"/>
            <w:tcBorders>
              <w:top w:val="single" w:color="auto" w:sz="4" w:space="0"/>
              <w:left w:val="single" w:color="auto" w:sz="4" w:space="0"/>
              <w:bottom w:val="single" w:color="auto" w:sz="4" w:space="0"/>
              <w:right w:val="single" w:color="auto" w:sz="4" w:space="0"/>
            </w:tcBorders>
            <w:vAlign w:val="center"/>
          </w:tcPr>
          <w:p w14:paraId="1EF873F0">
            <w:pPr>
              <w:jc w:val="center"/>
              <w:rPr>
                <w:rFonts w:ascii="宋体" w:hAnsi="宋体" w:cs="宋体"/>
              </w:rPr>
            </w:pPr>
          </w:p>
        </w:tc>
        <w:tc>
          <w:tcPr>
            <w:tcW w:w="1146" w:type="dxa"/>
            <w:tcBorders>
              <w:top w:val="single" w:color="auto" w:sz="4" w:space="0"/>
              <w:left w:val="single" w:color="auto" w:sz="4" w:space="0"/>
              <w:bottom w:val="single" w:color="auto" w:sz="4" w:space="0"/>
              <w:right w:val="single" w:color="auto" w:sz="4" w:space="0"/>
            </w:tcBorders>
            <w:vAlign w:val="center"/>
          </w:tcPr>
          <w:p w14:paraId="3C847C87">
            <w:pPr>
              <w:jc w:val="center"/>
              <w:rPr>
                <w:rFonts w:ascii="宋体" w:hAnsi="宋体" w:cs="宋体"/>
              </w:rPr>
            </w:pPr>
          </w:p>
        </w:tc>
        <w:tc>
          <w:tcPr>
            <w:tcW w:w="1226" w:type="dxa"/>
            <w:tcBorders>
              <w:top w:val="single" w:color="auto" w:sz="4" w:space="0"/>
              <w:left w:val="single" w:color="auto" w:sz="4" w:space="0"/>
              <w:bottom w:val="single" w:color="auto" w:sz="4" w:space="0"/>
              <w:right w:val="single" w:color="auto" w:sz="4" w:space="0"/>
            </w:tcBorders>
            <w:vAlign w:val="center"/>
          </w:tcPr>
          <w:p w14:paraId="41AA25AD">
            <w:pPr>
              <w:jc w:val="center"/>
              <w:rPr>
                <w:rFonts w:ascii="宋体" w:hAnsi="宋体" w:cs="宋体"/>
              </w:rPr>
            </w:pPr>
          </w:p>
        </w:tc>
      </w:tr>
      <w:tr w14:paraId="46B915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23"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14:paraId="02E7B153">
            <w:pPr>
              <w:jc w:val="center"/>
              <w:rPr>
                <w:rFonts w:ascii="宋体" w:hAnsi="宋体" w:cs="宋体"/>
              </w:rPr>
            </w:pPr>
          </w:p>
        </w:tc>
        <w:tc>
          <w:tcPr>
            <w:tcW w:w="1125" w:type="dxa"/>
            <w:tcBorders>
              <w:top w:val="single" w:color="auto" w:sz="4" w:space="0"/>
              <w:left w:val="single" w:color="auto" w:sz="4" w:space="0"/>
              <w:bottom w:val="single" w:color="auto" w:sz="4" w:space="0"/>
              <w:right w:val="single" w:color="auto" w:sz="4" w:space="0"/>
            </w:tcBorders>
            <w:vAlign w:val="center"/>
          </w:tcPr>
          <w:p w14:paraId="0D8A7CFF">
            <w:pPr>
              <w:jc w:val="center"/>
              <w:rPr>
                <w:rFonts w:ascii="宋体" w:hAnsi="宋体" w:cs="宋体"/>
              </w:rPr>
            </w:pPr>
          </w:p>
        </w:tc>
        <w:tc>
          <w:tcPr>
            <w:tcW w:w="1264" w:type="dxa"/>
            <w:tcBorders>
              <w:top w:val="single" w:color="auto" w:sz="4" w:space="0"/>
              <w:left w:val="single" w:color="auto" w:sz="4" w:space="0"/>
              <w:bottom w:val="single" w:color="auto" w:sz="4" w:space="0"/>
              <w:right w:val="single" w:color="auto" w:sz="4" w:space="0"/>
            </w:tcBorders>
            <w:vAlign w:val="center"/>
          </w:tcPr>
          <w:p w14:paraId="14E9ECD4">
            <w:pPr>
              <w:jc w:val="center"/>
              <w:rPr>
                <w:rFonts w:ascii="宋体" w:hAnsi="宋体" w:cs="宋体"/>
              </w:rPr>
            </w:pPr>
          </w:p>
        </w:tc>
        <w:tc>
          <w:tcPr>
            <w:tcW w:w="722" w:type="dxa"/>
            <w:tcBorders>
              <w:top w:val="single" w:color="auto" w:sz="4" w:space="0"/>
              <w:left w:val="single" w:color="auto" w:sz="4" w:space="0"/>
              <w:bottom w:val="single" w:color="auto" w:sz="4" w:space="0"/>
              <w:right w:val="single" w:color="auto" w:sz="4" w:space="0"/>
            </w:tcBorders>
            <w:vAlign w:val="center"/>
          </w:tcPr>
          <w:p w14:paraId="6D2F2F3E">
            <w:pPr>
              <w:jc w:val="center"/>
              <w:rPr>
                <w:rFonts w:ascii="宋体" w:hAnsi="宋体" w:cs="宋体"/>
              </w:rPr>
            </w:pPr>
          </w:p>
        </w:tc>
        <w:tc>
          <w:tcPr>
            <w:tcW w:w="847" w:type="dxa"/>
            <w:tcBorders>
              <w:top w:val="single" w:color="auto" w:sz="4" w:space="0"/>
              <w:left w:val="single" w:color="auto" w:sz="4" w:space="0"/>
              <w:bottom w:val="single" w:color="auto" w:sz="4" w:space="0"/>
              <w:right w:val="single" w:color="auto" w:sz="4" w:space="0"/>
            </w:tcBorders>
            <w:vAlign w:val="center"/>
          </w:tcPr>
          <w:p w14:paraId="4634607F">
            <w:pPr>
              <w:jc w:val="center"/>
              <w:rPr>
                <w:rFonts w:ascii="宋体" w:hAnsi="宋体" w:cs="宋体"/>
              </w:rPr>
            </w:pPr>
          </w:p>
        </w:tc>
        <w:tc>
          <w:tcPr>
            <w:tcW w:w="847" w:type="dxa"/>
            <w:tcBorders>
              <w:top w:val="single" w:color="auto" w:sz="4" w:space="0"/>
              <w:left w:val="single" w:color="auto" w:sz="4" w:space="0"/>
              <w:bottom w:val="single" w:color="auto" w:sz="4" w:space="0"/>
              <w:right w:val="single" w:color="auto" w:sz="4" w:space="0"/>
            </w:tcBorders>
            <w:vAlign w:val="center"/>
          </w:tcPr>
          <w:p w14:paraId="6266D575">
            <w:pPr>
              <w:jc w:val="center"/>
              <w:rPr>
                <w:rFonts w:ascii="宋体" w:hAnsi="宋体" w:cs="宋体"/>
              </w:rPr>
            </w:pPr>
          </w:p>
        </w:tc>
        <w:tc>
          <w:tcPr>
            <w:tcW w:w="723" w:type="dxa"/>
            <w:tcBorders>
              <w:top w:val="single" w:color="auto" w:sz="4" w:space="0"/>
              <w:left w:val="single" w:color="auto" w:sz="4" w:space="0"/>
              <w:bottom w:val="single" w:color="auto" w:sz="4" w:space="0"/>
              <w:right w:val="single" w:color="auto" w:sz="4" w:space="0"/>
            </w:tcBorders>
            <w:vAlign w:val="center"/>
          </w:tcPr>
          <w:p w14:paraId="1E17C3DF">
            <w:pPr>
              <w:jc w:val="center"/>
              <w:rPr>
                <w:rFonts w:ascii="宋体" w:hAnsi="宋体" w:cs="宋体"/>
              </w:rPr>
            </w:pPr>
          </w:p>
        </w:tc>
        <w:tc>
          <w:tcPr>
            <w:tcW w:w="1147" w:type="dxa"/>
            <w:tcBorders>
              <w:top w:val="single" w:color="auto" w:sz="4" w:space="0"/>
              <w:left w:val="single" w:color="auto" w:sz="4" w:space="0"/>
              <w:bottom w:val="single" w:color="auto" w:sz="4" w:space="0"/>
              <w:right w:val="single" w:color="auto" w:sz="4" w:space="0"/>
            </w:tcBorders>
            <w:vAlign w:val="center"/>
          </w:tcPr>
          <w:p w14:paraId="10C1F7BD">
            <w:pPr>
              <w:jc w:val="center"/>
              <w:rPr>
                <w:rFonts w:ascii="宋体" w:hAnsi="宋体" w:cs="宋体"/>
              </w:rPr>
            </w:pPr>
          </w:p>
        </w:tc>
        <w:tc>
          <w:tcPr>
            <w:tcW w:w="1146" w:type="dxa"/>
            <w:tcBorders>
              <w:top w:val="single" w:color="auto" w:sz="4" w:space="0"/>
              <w:left w:val="single" w:color="auto" w:sz="4" w:space="0"/>
              <w:bottom w:val="single" w:color="auto" w:sz="4" w:space="0"/>
              <w:right w:val="single" w:color="auto" w:sz="4" w:space="0"/>
            </w:tcBorders>
            <w:vAlign w:val="center"/>
          </w:tcPr>
          <w:p w14:paraId="7C49CA33">
            <w:pPr>
              <w:jc w:val="center"/>
              <w:rPr>
                <w:rFonts w:ascii="宋体" w:hAnsi="宋体" w:cs="宋体"/>
              </w:rPr>
            </w:pPr>
          </w:p>
        </w:tc>
        <w:tc>
          <w:tcPr>
            <w:tcW w:w="1226" w:type="dxa"/>
            <w:tcBorders>
              <w:top w:val="single" w:color="auto" w:sz="4" w:space="0"/>
              <w:left w:val="single" w:color="auto" w:sz="4" w:space="0"/>
              <w:bottom w:val="single" w:color="auto" w:sz="4" w:space="0"/>
              <w:right w:val="single" w:color="auto" w:sz="4" w:space="0"/>
            </w:tcBorders>
            <w:vAlign w:val="center"/>
          </w:tcPr>
          <w:p w14:paraId="35DEFDBD">
            <w:pPr>
              <w:jc w:val="center"/>
              <w:rPr>
                <w:rFonts w:ascii="宋体" w:hAnsi="宋体" w:cs="宋体"/>
              </w:rPr>
            </w:pPr>
          </w:p>
        </w:tc>
      </w:tr>
      <w:tr w14:paraId="7BE566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23" w:hRule="atLeast"/>
          <w:jc w:val="center"/>
        </w:trPr>
        <w:tc>
          <w:tcPr>
            <w:tcW w:w="8558" w:type="dxa"/>
            <w:gridSpan w:val="9"/>
            <w:tcBorders>
              <w:top w:val="single" w:color="auto" w:sz="4" w:space="0"/>
              <w:left w:val="single" w:color="auto" w:sz="4" w:space="0"/>
              <w:bottom w:val="single" w:color="auto" w:sz="4" w:space="0"/>
              <w:right w:val="single" w:color="auto" w:sz="4" w:space="0"/>
            </w:tcBorders>
            <w:vAlign w:val="center"/>
          </w:tcPr>
          <w:p w14:paraId="456F21B0">
            <w:pPr>
              <w:rPr>
                <w:rFonts w:ascii="宋体" w:hAnsi="宋体" w:cs="宋体"/>
              </w:rPr>
            </w:pPr>
            <w:r>
              <w:rPr>
                <w:rFonts w:hint="eastAsia"/>
              </w:rPr>
              <w:t>投标合计总报价：人民币</w:t>
            </w:r>
            <w:r>
              <w:rPr>
                <w:rFonts w:hint="eastAsia"/>
                <w:u w:val="single"/>
              </w:rPr>
              <w:t xml:space="preserve">                </w:t>
            </w:r>
            <w:r>
              <w:rPr>
                <w:rFonts w:hint="eastAsia"/>
              </w:rPr>
              <w:t>（¥</w:t>
            </w:r>
            <w:r>
              <w:rPr>
                <w:rFonts w:hint="eastAsia"/>
                <w:u w:val="single"/>
              </w:rPr>
              <w:t xml:space="preserve">           </w:t>
            </w:r>
            <w:r>
              <w:rPr>
                <w:rFonts w:hint="eastAsia"/>
              </w:rPr>
              <w:t>）</w:t>
            </w:r>
          </w:p>
        </w:tc>
        <w:tc>
          <w:tcPr>
            <w:tcW w:w="1226" w:type="dxa"/>
            <w:tcBorders>
              <w:top w:val="single" w:color="auto" w:sz="4" w:space="0"/>
              <w:left w:val="single" w:color="auto" w:sz="4" w:space="0"/>
              <w:bottom w:val="single" w:color="auto" w:sz="4" w:space="0"/>
              <w:right w:val="single" w:color="auto" w:sz="4" w:space="0"/>
            </w:tcBorders>
            <w:vAlign w:val="center"/>
          </w:tcPr>
          <w:p w14:paraId="536C46CF"/>
        </w:tc>
      </w:tr>
      <w:tr w14:paraId="348E01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23" w:hRule="atLeast"/>
          <w:jc w:val="center"/>
        </w:trPr>
        <w:tc>
          <w:tcPr>
            <w:tcW w:w="8558" w:type="dxa"/>
            <w:gridSpan w:val="9"/>
            <w:tcBorders>
              <w:top w:val="single" w:color="auto" w:sz="4" w:space="0"/>
              <w:left w:val="single" w:color="auto" w:sz="4" w:space="0"/>
              <w:bottom w:val="single" w:color="auto" w:sz="4" w:space="0"/>
              <w:right w:val="single" w:color="auto" w:sz="4" w:space="0"/>
            </w:tcBorders>
            <w:vAlign w:val="center"/>
          </w:tcPr>
          <w:p w14:paraId="2A91FEB9">
            <w:pPr>
              <w:rPr>
                <w:rFonts w:ascii="宋体" w:hAnsi="宋体" w:cs="宋体"/>
              </w:rPr>
            </w:pPr>
            <w:r>
              <w:rPr>
                <w:rFonts w:hint="eastAsia"/>
              </w:rPr>
              <w:t>折扣系数（%）：</w:t>
            </w:r>
            <w:r>
              <w:rPr>
                <w:rFonts w:hint="eastAsia"/>
                <w:u w:val="single"/>
              </w:rPr>
              <w:t xml:space="preserve">                                     </w:t>
            </w:r>
          </w:p>
        </w:tc>
        <w:tc>
          <w:tcPr>
            <w:tcW w:w="1226" w:type="dxa"/>
            <w:tcBorders>
              <w:top w:val="single" w:color="auto" w:sz="4" w:space="0"/>
              <w:left w:val="single" w:color="auto" w:sz="4" w:space="0"/>
              <w:bottom w:val="single" w:color="auto" w:sz="4" w:space="0"/>
              <w:right w:val="single" w:color="auto" w:sz="4" w:space="0"/>
            </w:tcBorders>
            <w:vAlign w:val="center"/>
          </w:tcPr>
          <w:p w14:paraId="3DE5D0F4"/>
        </w:tc>
      </w:tr>
    </w:tbl>
    <w:p w14:paraId="46C9271B">
      <w:pPr>
        <w:rPr>
          <w:spacing w:val="20"/>
          <w:szCs w:val="21"/>
          <w:u w:val="single"/>
        </w:rPr>
      </w:pPr>
    </w:p>
    <w:p w14:paraId="2DEE02F0">
      <w:pPr>
        <w:spacing w:line="360" w:lineRule="auto"/>
        <w:rPr>
          <w:spacing w:val="20"/>
          <w:szCs w:val="21"/>
        </w:rPr>
      </w:pPr>
    </w:p>
    <w:p w14:paraId="1EF379A5">
      <w:pPr>
        <w:snapToGrid w:val="0"/>
        <w:spacing w:before="50" w:after="120" w:afterLines="50"/>
        <w:jc w:val="left"/>
        <w:rPr>
          <w:szCs w:val="21"/>
        </w:rPr>
      </w:pPr>
      <w:r>
        <w:rPr>
          <w:rFonts w:hint="eastAsia"/>
          <w:szCs w:val="21"/>
        </w:rPr>
        <w:t>注：1.本表如与广西政府采购云平台不一致的，以广西政府采购云平台为准。</w:t>
      </w:r>
    </w:p>
    <w:p w14:paraId="7D8E7B37">
      <w:pPr>
        <w:snapToGrid w:val="0"/>
        <w:spacing w:before="50" w:after="120" w:afterLines="50"/>
        <w:jc w:val="left"/>
      </w:pPr>
      <w:r>
        <w:rPr>
          <w:rFonts w:hint="eastAsia"/>
        </w:rPr>
        <w:t>2.投标人的开标一览表必须加盖投标人电子签章并由法定代表人或者委托代理人签字或者电子签名，否则其投标作无效投标处理。</w:t>
      </w:r>
    </w:p>
    <w:p w14:paraId="5E19E9BC">
      <w:pPr>
        <w:snapToGrid w:val="0"/>
        <w:spacing w:before="50" w:after="120" w:afterLines="50"/>
        <w:jc w:val="left"/>
      </w:pPr>
      <w:r>
        <w:rPr>
          <w:rFonts w:hint="eastAsia"/>
        </w:rPr>
        <w:t>3.报价一经涂改，应在涂改处加盖投标人公章或者加盖电子签章或者由法定代表人或者委托代理人签字（或者电子签名），否则其投标作无效标处理。</w:t>
      </w:r>
    </w:p>
    <w:p w14:paraId="2328BBC6">
      <w:pPr>
        <w:snapToGrid w:val="0"/>
        <w:spacing w:before="50" w:after="120" w:afterLines="50"/>
        <w:jc w:val="left"/>
      </w:pPr>
      <w:r>
        <w:rPr>
          <w:rFonts w:hint="eastAsia"/>
        </w:rPr>
        <w:t>4.折扣后投标单价=单价最高限价（招标基准单价）×折扣系数</w:t>
      </w:r>
    </w:p>
    <w:p w14:paraId="6CB852AD">
      <w:pPr>
        <w:snapToGrid w:val="0"/>
        <w:spacing w:before="50" w:after="120" w:afterLines="50"/>
        <w:jc w:val="left"/>
      </w:pPr>
      <w:r>
        <w:rPr>
          <w:rFonts w:hint="eastAsia"/>
        </w:rPr>
        <w:t>5.投标人报价保留2位小数。</w:t>
      </w:r>
    </w:p>
    <w:p w14:paraId="76489614">
      <w:pPr>
        <w:snapToGrid w:val="0"/>
        <w:spacing w:before="50" w:after="120" w:afterLines="50"/>
        <w:jc w:val="left"/>
        <w:rPr>
          <w:szCs w:val="21"/>
        </w:rPr>
      </w:pPr>
    </w:p>
    <w:p w14:paraId="59B2785F">
      <w:pPr>
        <w:snapToGrid w:val="0"/>
        <w:spacing w:before="50" w:after="120" w:afterLines="50"/>
        <w:jc w:val="left"/>
        <w:rPr>
          <w:szCs w:val="21"/>
        </w:rPr>
      </w:pPr>
    </w:p>
    <w:p w14:paraId="2EC0BF23">
      <w:pPr>
        <w:snapToGrid w:val="0"/>
        <w:spacing w:before="50" w:after="120" w:afterLines="50"/>
        <w:jc w:val="left"/>
        <w:rPr>
          <w:szCs w:val="21"/>
        </w:rPr>
      </w:pPr>
    </w:p>
    <w:p w14:paraId="33716766">
      <w:pPr>
        <w:snapToGrid w:val="0"/>
        <w:spacing w:before="50" w:after="120" w:afterLines="50"/>
        <w:jc w:val="left"/>
        <w:rPr>
          <w:szCs w:val="21"/>
        </w:rPr>
      </w:pPr>
      <w:r>
        <w:rPr>
          <w:rFonts w:hint="eastAsia"/>
          <w:szCs w:val="21"/>
        </w:rPr>
        <w:t xml:space="preserve">供应商名称（电子签章）：      </w:t>
      </w:r>
    </w:p>
    <w:p w14:paraId="20988B0C">
      <w:pPr>
        <w:snapToGrid w:val="0"/>
        <w:spacing w:before="50" w:after="120" w:afterLines="50"/>
        <w:jc w:val="left"/>
        <w:rPr>
          <w:szCs w:val="21"/>
        </w:rPr>
      </w:pPr>
      <w:r>
        <w:rPr>
          <w:rFonts w:hint="eastAsia"/>
          <w:szCs w:val="21"/>
        </w:rPr>
        <w:t xml:space="preserve">法定代表人或者委托代理人（签字或者电子签名）：                    </w:t>
      </w:r>
    </w:p>
    <w:p w14:paraId="171B20C8">
      <w:pPr>
        <w:snapToGrid w:val="0"/>
        <w:spacing w:before="50" w:after="120" w:afterLines="50"/>
        <w:jc w:val="left"/>
        <w:rPr>
          <w:szCs w:val="21"/>
        </w:rPr>
        <w:sectPr>
          <w:headerReference r:id="rId14" w:type="default"/>
          <w:pgSz w:w="11906" w:h="16838"/>
          <w:pgMar w:top="1418" w:right="1274" w:bottom="1418" w:left="1418" w:header="851" w:footer="992" w:gutter="0"/>
          <w:cols w:space="720" w:num="1"/>
          <w:docGrid w:linePitch="312" w:charSpace="0"/>
        </w:sectPr>
      </w:pPr>
      <w:r>
        <w:rPr>
          <w:rFonts w:hint="eastAsia"/>
          <w:szCs w:val="21"/>
        </w:rPr>
        <w:t xml:space="preserve">日  期：         年   月   日 </w:t>
      </w:r>
    </w:p>
    <w:p w14:paraId="06C54ED5">
      <w:pPr>
        <w:snapToGrid w:val="0"/>
        <w:spacing w:before="50" w:after="120" w:afterLines="50"/>
        <w:jc w:val="left"/>
        <w:rPr>
          <w:szCs w:val="21"/>
        </w:rPr>
      </w:pPr>
      <w:r>
        <w:rPr>
          <w:szCs w:val="21"/>
        </w:rPr>
        <w:t>3．过低报价合理性的说明。（如有）</w:t>
      </w:r>
    </w:p>
    <w:p w14:paraId="5A6E015E">
      <w:pPr>
        <w:spacing w:line="360" w:lineRule="auto"/>
        <w:ind w:firstLine="420" w:firstLineChars="200"/>
        <w:rPr>
          <w:szCs w:val="21"/>
        </w:rPr>
      </w:pPr>
      <w:bookmarkStart w:id="141" w:name="_Hlk88990880"/>
      <w:r>
        <w:rPr>
          <w:szCs w:val="21"/>
        </w:rPr>
        <w:t>评审委员会认为的报价</w:t>
      </w:r>
      <w:r>
        <w:rPr>
          <w:rFonts w:hint="eastAsia"/>
          <w:szCs w:val="21"/>
        </w:rPr>
        <w:t>存在异常低价问题的情形</w:t>
      </w:r>
      <w:r>
        <w:rPr>
          <w:szCs w:val="21"/>
        </w:rPr>
        <w:t>，供应商将被要求以书面方式提供</w:t>
      </w:r>
      <w:r>
        <w:rPr>
          <w:rFonts w:hint="eastAsia"/>
          <w:szCs w:val="21"/>
        </w:rPr>
        <w:t>项目具体成本测算等与报价合理性相关的书面说明及必要的证明材料</w:t>
      </w:r>
      <w:r>
        <w:rPr>
          <w:szCs w:val="21"/>
        </w:rPr>
        <w:t>。为避免在评审现场因未能及时提供说明而导致被评审委员会作为无效投标，供应商</w:t>
      </w:r>
      <w:r>
        <w:rPr>
          <w:rFonts w:hint="eastAsia"/>
        </w:rPr>
        <w:t>自行决定是否</w:t>
      </w:r>
      <w:r>
        <w:rPr>
          <w:kern w:val="1"/>
          <w:szCs w:val="21"/>
        </w:rPr>
        <w:t>直接在</w:t>
      </w:r>
      <w:r>
        <w:rPr>
          <w:szCs w:val="21"/>
        </w:rPr>
        <w:t>此处</w:t>
      </w:r>
      <w:r>
        <w:rPr>
          <w:rFonts w:hint="eastAsia"/>
          <w:szCs w:val="21"/>
        </w:rPr>
        <w:t>进行陈述</w:t>
      </w:r>
      <w:r>
        <w:rPr>
          <w:szCs w:val="21"/>
        </w:rPr>
        <w:t>。格式自拟。</w:t>
      </w:r>
      <w:r>
        <w:rPr>
          <w:rFonts w:hint="eastAsia"/>
          <w:szCs w:val="21"/>
        </w:rPr>
        <w:t>（</w:t>
      </w:r>
      <w:r>
        <w:rPr>
          <w:rFonts w:hint="eastAsia"/>
          <w:kern w:val="1"/>
          <w:szCs w:val="21"/>
        </w:rPr>
        <w:t>具体要求详见第四章评审方法及标准“过低报价合理性的审查”</w:t>
      </w:r>
      <w:r>
        <w:rPr>
          <w:rFonts w:hint="eastAsia"/>
          <w:szCs w:val="21"/>
        </w:rPr>
        <w:t>）</w:t>
      </w:r>
    </w:p>
    <w:p w14:paraId="493751A2">
      <w:pPr>
        <w:pStyle w:val="173"/>
        <w:jc w:val="center"/>
        <w:rPr>
          <w:b/>
          <w:bCs/>
        </w:rPr>
      </w:pPr>
      <w:bookmarkStart w:id="142" w:name="_Hlk211331823"/>
    </w:p>
    <w:p w14:paraId="6A438F90">
      <w:pPr>
        <w:pStyle w:val="173"/>
        <w:jc w:val="center"/>
      </w:pPr>
      <w:r>
        <w:rPr>
          <w:rFonts w:hint="eastAsia"/>
          <w:b/>
          <w:bCs/>
        </w:rPr>
        <w:t>产品成本测算表（参考格式）</w:t>
      </w:r>
    </w:p>
    <w:p w14:paraId="3CE76DBD">
      <w:pPr>
        <w:spacing w:line="360" w:lineRule="auto"/>
      </w:pPr>
    </w:p>
    <w:bookmarkEnd w:id="142"/>
    <w:tbl>
      <w:tblPr>
        <w:tblStyle w:val="51"/>
        <w:tblW w:w="4527"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426"/>
        <w:gridCol w:w="339"/>
        <w:gridCol w:w="643"/>
        <w:gridCol w:w="477"/>
        <w:gridCol w:w="810"/>
        <w:gridCol w:w="1173"/>
        <w:gridCol w:w="949"/>
        <w:gridCol w:w="866"/>
        <w:gridCol w:w="1027"/>
        <w:gridCol w:w="761"/>
        <w:gridCol w:w="995"/>
      </w:tblGrid>
      <w:tr w14:paraId="0388DD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98" w:hRule="atLeast"/>
          <w:jc w:val="center"/>
        </w:trPr>
        <w:tc>
          <w:tcPr>
            <w:tcW w:w="245" w:type="pct"/>
            <w:shd w:val="clear" w:color="C3BD96" w:themeColor="background2" w:themeShade="BF" w:fill="auto"/>
            <w:vAlign w:val="center"/>
          </w:tcPr>
          <w:p w14:paraId="1569D11E">
            <w:pPr>
              <w:ind w:left="-105" w:leftChars="-50" w:right="-105" w:rightChars="-50"/>
              <w:jc w:val="center"/>
              <w:rPr>
                <w:rFonts w:cs="宋体"/>
                <w:b/>
              </w:rPr>
            </w:pPr>
            <w:r>
              <w:rPr>
                <w:rFonts w:hint="eastAsia" w:cs="仿宋_GB2312"/>
                <w:b/>
              </w:rPr>
              <w:t>序号</w:t>
            </w:r>
          </w:p>
        </w:tc>
        <w:tc>
          <w:tcPr>
            <w:tcW w:w="201" w:type="pct"/>
            <w:shd w:val="clear" w:color="C3BD96" w:themeColor="background2" w:themeShade="BF" w:fill="auto"/>
            <w:vAlign w:val="center"/>
          </w:tcPr>
          <w:p w14:paraId="17881D21">
            <w:pPr>
              <w:spacing w:line="360" w:lineRule="auto"/>
              <w:ind w:left="-48" w:leftChars="-23" w:right="-65" w:rightChars="-31"/>
              <w:jc w:val="center"/>
              <w:rPr>
                <w:rFonts w:cs="宋体"/>
                <w:b/>
              </w:rPr>
            </w:pPr>
            <w:r>
              <w:rPr>
                <w:rFonts w:hint="eastAsia" w:cs="宋体"/>
                <w:b/>
              </w:rPr>
              <w:t>名称</w:t>
            </w:r>
          </w:p>
        </w:tc>
        <w:tc>
          <w:tcPr>
            <w:tcW w:w="380" w:type="pct"/>
            <w:shd w:val="clear" w:color="C3BD96" w:themeColor="background2" w:themeShade="BF" w:fill="auto"/>
            <w:vAlign w:val="center"/>
          </w:tcPr>
          <w:p w14:paraId="5BD23B6D">
            <w:pPr>
              <w:spacing w:line="360" w:lineRule="auto"/>
              <w:ind w:left="-48" w:leftChars="-23" w:right="-65" w:rightChars="-31"/>
              <w:jc w:val="center"/>
              <w:rPr>
                <w:rFonts w:cs="宋体"/>
                <w:b/>
              </w:rPr>
            </w:pPr>
            <w:r>
              <w:rPr>
                <w:rFonts w:hint="eastAsia"/>
                <w:b/>
              </w:rPr>
              <w:t>品牌规格型号</w:t>
            </w:r>
          </w:p>
        </w:tc>
        <w:tc>
          <w:tcPr>
            <w:tcW w:w="282" w:type="pct"/>
            <w:tcBorders>
              <w:left w:val="single" w:color="auto" w:sz="4" w:space="0"/>
            </w:tcBorders>
            <w:shd w:val="clear" w:color="C3BD96" w:themeColor="background2" w:themeShade="BF" w:fill="auto"/>
            <w:vAlign w:val="center"/>
          </w:tcPr>
          <w:p w14:paraId="2B3EA688">
            <w:pPr>
              <w:spacing w:line="360" w:lineRule="auto"/>
              <w:ind w:left="-48" w:leftChars="-23" w:right="-65" w:rightChars="-31"/>
              <w:jc w:val="center"/>
              <w:rPr>
                <w:rFonts w:cs="宋体"/>
                <w:b/>
              </w:rPr>
            </w:pPr>
            <w:r>
              <w:rPr>
                <w:rFonts w:hint="eastAsia" w:cs="宋体"/>
                <w:b/>
              </w:rPr>
              <w:t>单位</w:t>
            </w:r>
          </w:p>
        </w:tc>
        <w:tc>
          <w:tcPr>
            <w:tcW w:w="478" w:type="pct"/>
            <w:tcBorders>
              <w:right w:val="single" w:color="auto" w:sz="4" w:space="0"/>
            </w:tcBorders>
            <w:shd w:val="clear" w:color="C3BD96" w:themeColor="background2" w:themeShade="BF" w:fill="auto"/>
            <w:vAlign w:val="center"/>
          </w:tcPr>
          <w:p w14:paraId="1D877265">
            <w:pPr>
              <w:spacing w:line="360" w:lineRule="auto"/>
              <w:ind w:left="-48" w:leftChars="-23" w:right="-65" w:rightChars="-31"/>
              <w:jc w:val="center"/>
              <w:rPr>
                <w:rFonts w:cs="宋体"/>
                <w:b/>
              </w:rPr>
            </w:pPr>
            <w:r>
              <w:rPr>
                <w:rFonts w:hint="eastAsia" w:cs="宋体"/>
                <w:b/>
              </w:rPr>
              <w:t>报价单价（</w:t>
            </w:r>
            <w:r>
              <w:rPr>
                <w:rFonts w:cs="宋体"/>
                <w:b/>
              </w:rPr>
              <w:t>元）</w:t>
            </w:r>
          </w:p>
        </w:tc>
        <w:tc>
          <w:tcPr>
            <w:tcW w:w="692" w:type="pct"/>
            <w:shd w:val="clear" w:color="C3BD96" w:themeColor="background2" w:themeShade="BF" w:fill="auto"/>
            <w:vAlign w:val="center"/>
          </w:tcPr>
          <w:p w14:paraId="703C4F00">
            <w:pPr>
              <w:spacing w:line="360" w:lineRule="auto"/>
              <w:ind w:left="-48" w:leftChars="-23" w:right="-65" w:rightChars="-31"/>
              <w:jc w:val="center"/>
              <w:rPr>
                <w:rFonts w:cs="宋体"/>
                <w:b/>
              </w:rPr>
            </w:pPr>
            <w:r>
              <w:rPr>
                <w:rFonts w:hint="eastAsia" w:cs="宋体"/>
                <w:b/>
              </w:rPr>
              <w:t>成本项目</w:t>
            </w:r>
          </w:p>
          <w:p w14:paraId="54AFA9AF">
            <w:pPr>
              <w:spacing w:line="360" w:lineRule="auto"/>
              <w:ind w:right="-65" w:rightChars="-31"/>
              <w:rPr>
                <w:rFonts w:cs="宋体"/>
                <w:b/>
              </w:rPr>
            </w:pPr>
          </w:p>
        </w:tc>
        <w:tc>
          <w:tcPr>
            <w:tcW w:w="560" w:type="pct"/>
            <w:shd w:val="clear" w:color="C3BD96" w:themeColor="background2" w:themeShade="BF" w:fill="auto"/>
            <w:vAlign w:val="center"/>
          </w:tcPr>
          <w:p w14:paraId="720D93FC">
            <w:pPr>
              <w:spacing w:line="360" w:lineRule="auto"/>
              <w:ind w:left="-48" w:leftChars="-23" w:right="-65" w:rightChars="-31"/>
              <w:jc w:val="center"/>
              <w:rPr>
                <w:rFonts w:cs="宋体"/>
                <w:b/>
              </w:rPr>
            </w:pPr>
            <w:r>
              <w:rPr>
                <w:rFonts w:hint="eastAsia" w:cs="宋体"/>
                <w:b/>
              </w:rPr>
              <w:t>具体明细</w:t>
            </w:r>
          </w:p>
          <w:p w14:paraId="0DF31C97">
            <w:pPr>
              <w:spacing w:line="360" w:lineRule="auto"/>
              <w:ind w:left="-48" w:leftChars="-23" w:right="-65" w:rightChars="-31"/>
              <w:jc w:val="center"/>
              <w:rPr>
                <w:rFonts w:cs="宋体"/>
                <w:b/>
              </w:rPr>
            </w:pPr>
          </w:p>
        </w:tc>
        <w:tc>
          <w:tcPr>
            <w:tcW w:w="511" w:type="pct"/>
            <w:shd w:val="clear" w:color="C3BD96" w:themeColor="background2" w:themeShade="BF" w:fill="auto"/>
            <w:vAlign w:val="center"/>
          </w:tcPr>
          <w:p w14:paraId="429C9204">
            <w:pPr>
              <w:spacing w:line="360" w:lineRule="auto"/>
              <w:ind w:left="-48" w:leftChars="-23" w:right="-65" w:rightChars="-31"/>
              <w:jc w:val="center"/>
              <w:rPr>
                <w:rFonts w:cs="宋体"/>
                <w:b/>
              </w:rPr>
            </w:pPr>
            <w:r>
              <w:rPr>
                <w:rFonts w:hint="eastAsia" w:cs="宋体"/>
                <w:b/>
              </w:rPr>
              <w:t>单位产品用量</w:t>
            </w:r>
          </w:p>
          <w:p w14:paraId="0B9A7009">
            <w:pPr>
              <w:spacing w:line="360" w:lineRule="auto"/>
              <w:ind w:left="-48" w:leftChars="-23" w:right="-65" w:rightChars="-31"/>
              <w:jc w:val="center"/>
              <w:rPr>
                <w:rFonts w:cs="宋体"/>
                <w:b/>
              </w:rPr>
            </w:pPr>
          </w:p>
        </w:tc>
        <w:tc>
          <w:tcPr>
            <w:tcW w:w="606" w:type="pct"/>
            <w:shd w:val="clear" w:color="C3BD96" w:themeColor="background2" w:themeShade="BF" w:fill="auto"/>
            <w:vAlign w:val="center"/>
          </w:tcPr>
          <w:p w14:paraId="3EC8AECF">
            <w:pPr>
              <w:spacing w:line="360" w:lineRule="auto"/>
              <w:ind w:left="-48" w:leftChars="-23" w:right="-65" w:rightChars="-31"/>
              <w:jc w:val="center"/>
              <w:rPr>
                <w:rFonts w:cs="宋体"/>
                <w:b/>
              </w:rPr>
            </w:pPr>
            <w:r>
              <w:rPr>
                <w:rFonts w:hint="eastAsia" w:cs="宋体"/>
                <w:b/>
              </w:rPr>
              <w:t>单位成本（元）</w:t>
            </w:r>
          </w:p>
        </w:tc>
        <w:tc>
          <w:tcPr>
            <w:tcW w:w="449" w:type="pct"/>
            <w:tcBorders>
              <w:left w:val="single" w:color="auto" w:sz="4" w:space="0"/>
            </w:tcBorders>
            <w:shd w:val="clear" w:color="C3BD96" w:themeColor="background2" w:themeShade="BF" w:fill="auto"/>
            <w:vAlign w:val="center"/>
          </w:tcPr>
          <w:p w14:paraId="33E7151D">
            <w:pPr>
              <w:spacing w:line="360" w:lineRule="auto"/>
              <w:ind w:left="-48" w:leftChars="-23" w:right="-65" w:rightChars="-31"/>
              <w:jc w:val="center"/>
              <w:rPr>
                <w:rFonts w:cs="宋体"/>
                <w:b/>
              </w:rPr>
            </w:pPr>
            <w:r>
              <w:rPr>
                <w:rFonts w:hint="eastAsia" w:cs="宋体"/>
                <w:b/>
              </w:rPr>
              <w:t>成本</w:t>
            </w:r>
            <w:r>
              <w:rPr>
                <w:rFonts w:cs="宋体"/>
                <w:b/>
              </w:rPr>
              <w:t>合计（元）</w:t>
            </w:r>
          </w:p>
        </w:tc>
        <w:tc>
          <w:tcPr>
            <w:tcW w:w="587" w:type="pct"/>
            <w:tcBorders>
              <w:left w:val="single" w:color="auto" w:sz="4" w:space="0"/>
            </w:tcBorders>
            <w:shd w:val="clear" w:color="C3BD96" w:themeColor="background2" w:themeShade="BF" w:fill="auto"/>
            <w:vAlign w:val="center"/>
          </w:tcPr>
          <w:p w14:paraId="4321D22D">
            <w:pPr>
              <w:spacing w:line="360" w:lineRule="auto"/>
              <w:ind w:left="-48" w:leftChars="-23" w:right="-65" w:rightChars="-31"/>
              <w:jc w:val="center"/>
              <w:rPr>
                <w:rFonts w:cs="宋体"/>
                <w:b/>
              </w:rPr>
            </w:pPr>
            <w:r>
              <w:rPr>
                <w:rFonts w:hint="eastAsia" w:cs="宋体"/>
                <w:b/>
              </w:rPr>
              <w:t>备注（测算依据/证明材料）</w:t>
            </w:r>
          </w:p>
        </w:tc>
      </w:tr>
      <w:tr w14:paraId="4B327D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restart"/>
            <w:shd w:val="clear" w:color="auto" w:fill="auto"/>
            <w:vAlign w:val="center"/>
          </w:tcPr>
          <w:p w14:paraId="34AAC500">
            <w:pPr>
              <w:numPr>
                <w:ilvl w:val="0"/>
                <w:numId w:val="2"/>
              </w:numPr>
              <w:tabs>
                <w:tab w:val="left" w:pos="61"/>
              </w:tabs>
              <w:jc w:val="center"/>
            </w:pPr>
          </w:p>
        </w:tc>
        <w:tc>
          <w:tcPr>
            <w:tcW w:w="201" w:type="pct"/>
            <w:vMerge w:val="restart"/>
            <w:shd w:val="clear" w:color="auto" w:fill="auto"/>
            <w:vAlign w:val="center"/>
          </w:tcPr>
          <w:p w14:paraId="1654593C">
            <w:pPr>
              <w:tabs>
                <w:tab w:val="left" w:pos="0"/>
                <w:tab w:val="left" w:pos="56"/>
              </w:tabs>
              <w:ind w:left="479" w:hanging="478" w:hangingChars="228"/>
              <w:jc w:val="center"/>
            </w:pPr>
          </w:p>
        </w:tc>
        <w:tc>
          <w:tcPr>
            <w:tcW w:w="380" w:type="pct"/>
            <w:vMerge w:val="restart"/>
            <w:shd w:val="clear" w:color="auto" w:fill="auto"/>
            <w:vAlign w:val="center"/>
          </w:tcPr>
          <w:p w14:paraId="3CF00A2B">
            <w:pPr>
              <w:spacing w:line="240" w:lineRule="atLeast"/>
              <w:ind w:left="-48" w:leftChars="-23" w:right="-65" w:rightChars="-31"/>
              <w:jc w:val="left"/>
              <w:rPr>
                <w:rFonts w:cs="宋体"/>
              </w:rPr>
            </w:pPr>
          </w:p>
        </w:tc>
        <w:tc>
          <w:tcPr>
            <w:tcW w:w="282" w:type="pct"/>
            <w:vMerge w:val="restart"/>
            <w:tcBorders>
              <w:left w:val="single" w:color="auto" w:sz="4" w:space="0"/>
            </w:tcBorders>
            <w:shd w:val="clear" w:color="auto" w:fill="auto"/>
            <w:vAlign w:val="center"/>
          </w:tcPr>
          <w:p w14:paraId="5FC2F660">
            <w:pPr>
              <w:spacing w:line="240" w:lineRule="atLeast"/>
              <w:ind w:left="-48" w:leftChars="-23" w:right="-65" w:rightChars="-31"/>
              <w:jc w:val="left"/>
              <w:rPr>
                <w:rFonts w:cs="宋体"/>
              </w:rPr>
            </w:pPr>
          </w:p>
        </w:tc>
        <w:tc>
          <w:tcPr>
            <w:tcW w:w="478" w:type="pct"/>
            <w:vMerge w:val="restart"/>
            <w:tcBorders>
              <w:left w:val="single" w:color="auto" w:sz="4" w:space="0"/>
              <w:right w:val="single" w:color="auto" w:sz="4" w:space="0"/>
            </w:tcBorders>
            <w:shd w:val="clear" w:color="auto" w:fill="auto"/>
            <w:vAlign w:val="center"/>
          </w:tcPr>
          <w:p w14:paraId="5572AA26">
            <w:pPr>
              <w:spacing w:line="240" w:lineRule="atLeast"/>
              <w:ind w:left="-48" w:leftChars="-23" w:right="-65" w:rightChars="-31"/>
              <w:jc w:val="left"/>
              <w:rPr>
                <w:rFonts w:cs="宋体"/>
              </w:rPr>
            </w:pPr>
          </w:p>
        </w:tc>
        <w:tc>
          <w:tcPr>
            <w:tcW w:w="692" w:type="pct"/>
            <w:vMerge w:val="restart"/>
            <w:tcBorders>
              <w:left w:val="single" w:color="auto" w:sz="4" w:space="0"/>
              <w:right w:val="single" w:color="auto" w:sz="4" w:space="0"/>
            </w:tcBorders>
            <w:vAlign w:val="center"/>
          </w:tcPr>
          <w:p w14:paraId="2AF65583">
            <w:pPr>
              <w:spacing w:line="240" w:lineRule="atLeast"/>
              <w:ind w:left="-48" w:leftChars="-23" w:right="-65" w:rightChars="-31"/>
              <w:jc w:val="left"/>
              <w:rPr>
                <w:rFonts w:cs="宋体"/>
              </w:rPr>
            </w:pPr>
            <w:r>
              <w:rPr>
                <w:rFonts w:hint="eastAsia" w:cs="宋体"/>
              </w:rPr>
              <w:t>原材料成本</w:t>
            </w:r>
          </w:p>
        </w:tc>
        <w:tc>
          <w:tcPr>
            <w:tcW w:w="560" w:type="pct"/>
            <w:tcBorders>
              <w:left w:val="single" w:color="auto" w:sz="4" w:space="0"/>
            </w:tcBorders>
            <w:shd w:val="clear" w:color="auto" w:fill="auto"/>
            <w:vAlign w:val="center"/>
          </w:tcPr>
          <w:p w14:paraId="473B5709">
            <w:pPr>
              <w:spacing w:line="240" w:lineRule="atLeast"/>
              <w:ind w:left="-48" w:leftChars="-23" w:right="-65" w:rightChars="-31"/>
              <w:jc w:val="left"/>
              <w:rPr>
                <w:rFonts w:cs="宋体"/>
              </w:rPr>
            </w:pPr>
            <w:r>
              <w:rPr>
                <w:rFonts w:cs="宋体"/>
              </w:rPr>
              <w:t>原材料1</w:t>
            </w:r>
          </w:p>
        </w:tc>
        <w:tc>
          <w:tcPr>
            <w:tcW w:w="511" w:type="pct"/>
            <w:tcBorders>
              <w:left w:val="single" w:color="auto" w:sz="4" w:space="0"/>
            </w:tcBorders>
            <w:shd w:val="clear" w:color="auto" w:fill="auto"/>
            <w:vAlign w:val="center"/>
          </w:tcPr>
          <w:p w14:paraId="4A86C2F2">
            <w:pPr>
              <w:spacing w:line="240" w:lineRule="atLeast"/>
              <w:ind w:left="-48" w:leftChars="-23" w:right="-65" w:rightChars="-31"/>
              <w:jc w:val="left"/>
              <w:rPr>
                <w:rFonts w:cs="宋体"/>
              </w:rPr>
            </w:pPr>
          </w:p>
        </w:tc>
        <w:tc>
          <w:tcPr>
            <w:tcW w:w="606" w:type="pct"/>
            <w:tcBorders>
              <w:left w:val="single" w:color="auto" w:sz="4" w:space="0"/>
            </w:tcBorders>
            <w:shd w:val="clear" w:color="auto" w:fill="auto"/>
            <w:vAlign w:val="center"/>
          </w:tcPr>
          <w:p w14:paraId="2EF18D1D">
            <w:pPr>
              <w:spacing w:line="240" w:lineRule="atLeast"/>
              <w:ind w:left="-48" w:leftChars="-23" w:right="-65" w:rightChars="-31"/>
              <w:jc w:val="left"/>
              <w:rPr>
                <w:rFonts w:cs="宋体"/>
              </w:rPr>
            </w:pPr>
          </w:p>
        </w:tc>
        <w:tc>
          <w:tcPr>
            <w:tcW w:w="449" w:type="pct"/>
            <w:vMerge w:val="restart"/>
            <w:tcBorders>
              <w:left w:val="single" w:color="auto" w:sz="4" w:space="0"/>
            </w:tcBorders>
            <w:shd w:val="clear" w:color="auto" w:fill="auto"/>
            <w:vAlign w:val="center"/>
          </w:tcPr>
          <w:p w14:paraId="03BF6B27">
            <w:pPr>
              <w:spacing w:line="240" w:lineRule="atLeast"/>
              <w:ind w:left="-48" w:leftChars="-23" w:right="-65" w:rightChars="-31"/>
              <w:jc w:val="left"/>
              <w:rPr>
                <w:rFonts w:cs="宋体"/>
              </w:rPr>
            </w:pPr>
          </w:p>
        </w:tc>
        <w:tc>
          <w:tcPr>
            <w:tcW w:w="587" w:type="pct"/>
            <w:tcBorders>
              <w:left w:val="single" w:color="auto" w:sz="4" w:space="0"/>
            </w:tcBorders>
            <w:shd w:val="clear" w:color="auto" w:fill="auto"/>
            <w:vAlign w:val="center"/>
          </w:tcPr>
          <w:p w14:paraId="617E73EF">
            <w:pPr>
              <w:spacing w:line="240" w:lineRule="atLeast"/>
              <w:ind w:left="-48" w:leftChars="-23" w:right="-65" w:rightChars="-31"/>
              <w:jc w:val="left"/>
              <w:rPr>
                <w:rFonts w:cs="宋体"/>
              </w:rPr>
            </w:pPr>
          </w:p>
        </w:tc>
      </w:tr>
      <w:tr w14:paraId="7A49422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shd w:val="clear" w:color="auto" w:fill="auto"/>
            <w:vAlign w:val="center"/>
          </w:tcPr>
          <w:p w14:paraId="6B0863DD">
            <w:pPr>
              <w:numPr>
                <w:ilvl w:val="0"/>
                <w:numId w:val="2"/>
              </w:numPr>
              <w:tabs>
                <w:tab w:val="left" w:pos="61"/>
              </w:tabs>
              <w:jc w:val="center"/>
            </w:pPr>
          </w:p>
        </w:tc>
        <w:tc>
          <w:tcPr>
            <w:tcW w:w="201" w:type="pct"/>
            <w:vMerge w:val="continue"/>
            <w:shd w:val="clear" w:color="auto" w:fill="auto"/>
            <w:vAlign w:val="center"/>
          </w:tcPr>
          <w:p w14:paraId="3BEC11F7">
            <w:pPr>
              <w:tabs>
                <w:tab w:val="left" w:pos="0"/>
                <w:tab w:val="left" w:pos="56"/>
              </w:tabs>
              <w:ind w:left="479" w:hanging="478" w:hangingChars="228"/>
              <w:jc w:val="center"/>
            </w:pPr>
          </w:p>
        </w:tc>
        <w:tc>
          <w:tcPr>
            <w:tcW w:w="380" w:type="pct"/>
            <w:vMerge w:val="continue"/>
            <w:shd w:val="clear" w:color="auto" w:fill="auto"/>
            <w:vAlign w:val="center"/>
          </w:tcPr>
          <w:p w14:paraId="6A7A1428">
            <w:pPr>
              <w:spacing w:line="240" w:lineRule="atLeast"/>
              <w:ind w:left="-48" w:leftChars="-23" w:right="-65" w:rightChars="-31"/>
              <w:jc w:val="left"/>
              <w:rPr>
                <w:rFonts w:cs="宋体"/>
              </w:rPr>
            </w:pPr>
          </w:p>
        </w:tc>
        <w:tc>
          <w:tcPr>
            <w:tcW w:w="282" w:type="pct"/>
            <w:vMerge w:val="continue"/>
            <w:tcBorders>
              <w:left w:val="single" w:color="auto" w:sz="4" w:space="0"/>
            </w:tcBorders>
            <w:shd w:val="clear" w:color="auto" w:fill="auto"/>
            <w:vAlign w:val="center"/>
          </w:tcPr>
          <w:p w14:paraId="68644428">
            <w:pPr>
              <w:spacing w:line="240" w:lineRule="atLeast"/>
              <w:ind w:left="-48" w:leftChars="-23" w:right="-65" w:rightChars="-31"/>
              <w:jc w:val="left"/>
              <w:rPr>
                <w:rFonts w:cs="宋体"/>
              </w:rPr>
            </w:pPr>
          </w:p>
        </w:tc>
        <w:tc>
          <w:tcPr>
            <w:tcW w:w="478" w:type="pct"/>
            <w:vMerge w:val="continue"/>
            <w:tcBorders>
              <w:left w:val="single" w:color="auto" w:sz="4" w:space="0"/>
              <w:right w:val="single" w:color="auto" w:sz="4" w:space="0"/>
            </w:tcBorders>
            <w:shd w:val="clear" w:color="auto" w:fill="auto"/>
            <w:vAlign w:val="center"/>
          </w:tcPr>
          <w:p w14:paraId="69979582">
            <w:pPr>
              <w:spacing w:line="240" w:lineRule="atLeast"/>
              <w:ind w:left="-48" w:leftChars="-23" w:right="-65" w:rightChars="-31"/>
              <w:jc w:val="left"/>
              <w:rPr>
                <w:rFonts w:cs="宋体"/>
              </w:rPr>
            </w:pPr>
          </w:p>
        </w:tc>
        <w:tc>
          <w:tcPr>
            <w:tcW w:w="692" w:type="pct"/>
            <w:vMerge w:val="continue"/>
            <w:tcBorders>
              <w:left w:val="single" w:color="auto" w:sz="4" w:space="0"/>
              <w:right w:val="single" w:color="auto" w:sz="4" w:space="0"/>
            </w:tcBorders>
            <w:vAlign w:val="center"/>
          </w:tcPr>
          <w:p w14:paraId="774F9A67">
            <w:pPr>
              <w:spacing w:line="240" w:lineRule="atLeast"/>
              <w:ind w:left="-48" w:leftChars="-23" w:right="-65" w:rightChars="-31"/>
              <w:jc w:val="left"/>
              <w:rPr>
                <w:rFonts w:cs="宋体"/>
              </w:rPr>
            </w:pPr>
          </w:p>
        </w:tc>
        <w:tc>
          <w:tcPr>
            <w:tcW w:w="560" w:type="pct"/>
            <w:tcBorders>
              <w:left w:val="single" w:color="auto" w:sz="4" w:space="0"/>
            </w:tcBorders>
            <w:shd w:val="clear" w:color="auto" w:fill="auto"/>
            <w:vAlign w:val="center"/>
          </w:tcPr>
          <w:p w14:paraId="43E35D20">
            <w:pPr>
              <w:spacing w:line="240" w:lineRule="atLeast"/>
              <w:ind w:left="-48" w:leftChars="-23" w:right="-65" w:rightChars="-31"/>
              <w:jc w:val="left"/>
              <w:rPr>
                <w:rFonts w:cs="宋体"/>
              </w:rPr>
            </w:pPr>
            <w:r>
              <w:rPr>
                <w:rFonts w:hint="eastAsia" w:cs="宋体"/>
              </w:rPr>
              <w:t>...</w:t>
            </w:r>
          </w:p>
        </w:tc>
        <w:tc>
          <w:tcPr>
            <w:tcW w:w="511" w:type="pct"/>
            <w:tcBorders>
              <w:left w:val="single" w:color="auto" w:sz="4" w:space="0"/>
            </w:tcBorders>
            <w:shd w:val="clear" w:color="auto" w:fill="auto"/>
            <w:vAlign w:val="center"/>
          </w:tcPr>
          <w:p w14:paraId="04786A46">
            <w:pPr>
              <w:spacing w:line="240" w:lineRule="atLeast"/>
              <w:ind w:left="-48" w:leftChars="-23" w:right="-65" w:rightChars="-31"/>
              <w:jc w:val="left"/>
              <w:rPr>
                <w:rFonts w:cs="宋体"/>
              </w:rPr>
            </w:pPr>
          </w:p>
        </w:tc>
        <w:tc>
          <w:tcPr>
            <w:tcW w:w="606" w:type="pct"/>
            <w:tcBorders>
              <w:left w:val="single" w:color="auto" w:sz="4" w:space="0"/>
            </w:tcBorders>
            <w:shd w:val="clear" w:color="auto" w:fill="auto"/>
            <w:vAlign w:val="center"/>
          </w:tcPr>
          <w:p w14:paraId="1A91A426">
            <w:pPr>
              <w:spacing w:line="240" w:lineRule="atLeast"/>
              <w:ind w:left="-48" w:leftChars="-23" w:right="-65" w:rightChars="-31"/>
              <w:jc w:val="left"/>
              <w:rPr>
                <w:rFonts w:cs="宋体"/>
              </w:rPr>
            </w:pPr>
          </w:p>
        </w:tc>
        <w:tc>
          <w:tcPr>
            <w:tcW w:w="449" w:type="pct"/>
            <w:vMerge w:val="continue"/>
            <w:tcBorders>
              <w:left w:val="single" w:color="auto" w:sz="4" w:space="0"/>
            </w:tcBorders>
            <w:shd w:val="clear" w:color="auto" w:fill="auto"/>
            <w:vAlign w:val="center"/>
          </w:tcPr>
          <w:p w14:paraId="6052F96E">
            <w:pPr>
              <w:spacing w:line="240" w:lineRule="atLeast"/>
              <w:ind w:left="-48" w:leftChars="-23" w:right="-65" w:rightChars="-31"/>
              <w:jc w:val="left"/>
              <w:rPr>
                <w:rFonts w:cs="宋体"/>
              </w:rPr>
            </w:pPr>
          </w:p>
        </w:tc>
        <w:tc>
          <w:tcPr>
            <w:tcW w:w="587" w:type="pct"/>
            <w:tcBorders>
              <w:left w:val="single" w:color="auto" w:sz="4" w:space="0"/>
            </w:tcBorders>
            <w:shd w:val="clear" w:color="auto" w:fill="auto"/>
            <w:vAlign w:val="center"/>
          </w:tcPr>
          <w:p w14:paraId="6A37D091">
            <w:pPr>
              <w:spacing w:line="240" w:lineRule="atLeast"/>
              <w:ind w:left="-48" w:leftChars="-23" w:right="-65" w:rightChars="-31"/>
              <w:jc w:val="left"/>
              <w:rPr>
                <w:rFonts w:cs="宋体"/>
              </w:rPr>
            </w:pPr>
          </w:p>
        </w:tc>
      </w:tr>
      <w:tr w14:paraId="15E1CEA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shd w:val="clear" w:color="auto" w:fill="auto"/>
            <w:vAlign w:val="center"/>
          </w:tcPr>
          <w:p w14:paraId="677CFA69">
            <w:pPr>
              <w:tabs>
                <w:tab w:val="left" w:pos="61"/>
              </w:tabs>
              <w:jc w:val="center"/>
            </w:pPr>
          </w:p>
        </w:tc>
        <w:tc>
          <w:tcPr>
            <w:tcW w:w="201" w:type="pct"/>
            <w:vMerge w:val="continue"/>
            <w:shd w:val="clear" w:color="auto" w:fill="auto"/>
            <w:vAlign w:val="center"/>
          </w:tcPr>
          <w:p w14:paraId="409F795E">
            <w:pPr>
              <w:tabs>
                <w:tab w:val="left" w:pos="0"/>
                <w:tab w:val="left" w:pos="56"/>
              </w:tabs>
              <w:ind w:left="479" w:hanging="478" w:hangingChars="228"/>
              <w:jc w:val="center"/>
            </w:pPr>
          </w:p>
        </w:tc>
        <w:tc>
          <w:tcPr>
            <w:tcW w:w="380" w:type="pct"/>
            <w:vMerge w:val="continue"/>
            <w:shd w:val="clear" w:color="auto" w:fill="auto"/>
            <w:vAlign w:val="center"/>
          </w:tcPr>
          <w:p w14:paraId="40FFE237">
            <w:pPr>
              <w:spacing w:line="240" w:lineRule="atLeast"/>
              <w:ind w:left="-48" w:leftChars="-23" w:right="-65" w:rightChars="-31"/>
              <w:jc w:val="left"/>
              <w:rPr>
                <w:rFonts w:cs="宋体"/>
              </w:rPr>
            </w:pPr>
          </w:p>
        </w:tc>
        <w:tc>
          <w:tcPr>
            <w:tcW w:w="282" w:type="pct"/>
            <w:vMerge w:val="continue"/>
            <w:tcBorders>
              <w:left w:val="single" w:color="auto" w:sz="4" w:space="0"/>
            </w:tcBorders>
            <w:shd w:val="clear" w:color="auto" w:fill="auto"/>
            <w:vAlign w:val="center"/>
          </w:tcPr>
          <w:p w14:paraId="3396345E">
            <w:pPr>
              <w:spacing w:line="240" w:lineRule="atLeast"/>
              <w:ind w:left="-48" w:leftChars="-23" w:right="-65" w:rightChars="-31"/>
              <w:jc w:val="left"/>
              <w:rPr>
                <w:rFonts w:cs="宋体"/>
              </w:rPr>
            </w:pPr>
          </w:p>
        </w:tc>
        <w:tc>
          <w:tcPr>
            <w:tcW w:w="478" w:type="pct"/>
            <w:vMerge w:val="continue"/>
            <w:tcBorders>
              <w:left w:val="single" w:color="auto" w:sz="4" w:space="0"/>
              <w:right w:val="single" w:color="auto" w:sz="4" w:space="0"/>
            </w:tcBorders>
            <w:shd w:val="clear" w:color="auto" w:fill="auto"/>
            <w:vAlign w:val="center"/>
          </w:tcPr>
          <w:p w14:paraId="2463D291">
            <w:pPr>
              <w:spacing w:line="240" w:lineRule="atLeast"/>
              <w:ind w:left="-48" w:leftChars="-23" w:right="-65" w:rightChars="-31"/>
              <w:jc w:val="left"/>
              <w:rPr>
                <w:rFonts w:cs="宋体"/>
              </w:rPr>
            </w:pPr>
          </w:p>
        </w:tc>
        <w:tc>
          <w:tcPr>
            <w:tcW w:w="692" w:type="pct"/>
            <w:vMerge w:val="restart"/>
            <w:tcBorders>
              <w:left w:val="single" w:color="auto" w:sz="4" w:space="0"/>
              <w:right w:val="single" w:color="auto" w:sz="4" w:space="0"/>
            </w:tcBorders>
            <w:vAlign w:val="center"/>
          </w:tcPr>
          <w:p w14:paraId="2491C50B">
            <w:pPr>
              <w:spacing w:line="240" w:lineRule="atLeast"/>
              <w:ind w:left="-48" w:leftChars="-23" w:right="-65" w:rightChars="-31"/>
              <w:jc w:val="left"/>
              <w:rPr>
                <w:rFonts w:cs="宋体"/>
              </w:rPr>
            </w:pPr>
            <w:r>
              <w:rPr>
                <w:rFonts w:hint="eastAsia" w:cs="宋体"/>
              </w:rPr>
              <w:t>人工成本</w:t>
            </w:r>
          </w:p>
        </w:tc>
        <w:tc>
          <w:tcPr>
            <w:tcW w:w="560" w:type="pct"/>
            <w:tcBorders>
              <w:left w:val="single" w:color="auto" w:sz="4" w:space="0"/>
            </w:tcBorders>
            <w:shd w:val="clear" w:color="auto" w:fill="auto"/>
            <w:vAlign w:val="center"/>
          </w:tcPr>
          <w:p w14:paraId="0740EB99">
            <w:pPr>
              <w:spacing w:line="240" w:lineRule="atLeast"/>
              <w:ind w:left="-48" w:leftChars="-23" w:right="-65" w:rightChars="-31"/>
              <w:jc w:val="left"/>
              <w:rPr>
                <w:rFonts w:cs="宋体"/>
              </w:rPr>
            </w:pPr>
            <w:r>
              <w:rPr>
                <w:rFonts w:cs="宋体"/>
              </w:rPr>
              <w:t>生产工人工资</w:t>
            </w:r>
          </w:p>
        </w:tc>
        <w:tc>
          <w:tcPr>
            <w:tcW w:w="511" w:type="pct"/>
            <w:tcBorders>
              <w:left w:val="single" w:color="auto" w:sz="4" w:space="0"/>
            </w:tcBorders>
            <w:shd w:val="clear" w:color="auto" w:fill="auto"/>
            <w:vAlign w:val="center"/>
          </w:tcPr>
          <w:p w14:paraId="609B13B0">
            <w:pPr>
              <w:spacing w:line="240" w:lineRule="atLeast"/>
              <w:ind w:left="-48" w:leftChars="-23" w:right="-65" w:rightChars="-31"/>
              <w:jc w:val="left"/>
              <w:rPr>
                <w:rFonts w:cs="宋体"/>
              </w:rPr>
            </w:pPr>
          </w:p>
        </w:tc>
        <w:tc>
          <w:tcPr>
            <w:tcW w:w="606" w:type="pct"/>
            <w:tcBorders>
              <w:left w:val="single" w:color="auto" w:sz="4" w:space="0"/>
            </w:tcBorders>
            <w:shd w:val="clear" w:color="auto" w:fill="auto"/>
            <w:vAlign w:val="center"/>
          </w:tcPr>
          <w:p w14:paraId="384F2F3D">
            <w:pPr>
              <w:spacing w:line="240" w:lineRule="atLeast"/>
              <w:ind w:left="-48" w:leftChars="-23" w:right="-65" w:rightChars="-31"/>
              <w:jc w:val="left"/>
              <w:rPr>
                <w:rFonts w:cs="宋体"/>
              </w:rPr>
            </w:pPr>
          </w:p>
        </w:tc>
        <w:tc>
          <w:tcPr>
            <w:tcW w:w="449" w:type="pct"/>
            <w:vMerge w:val="continue"/>
            <w:tcBorders>
              <w:left w:val="single" w:color="auto" w:sz="4" w:space="0"/>
            </w:tcBorders>
            <w:shd w:val="clear" w:color="auto" w:fill="auto"/>
            <w:vAlign w:val="center"/>
          </w:tcPr>
          <w:p w14:paraId="50D40B01">
            <w:pPr>
              <w:spacing w:line="240" w:lineRule="atLeast"/>
              <w:ind w:left="-48" w:leftChars="-23" w:right="-65" w:rightChars="-31"/>
              <w:jc w:val="left"/>
              <w:rPr>
                <w:rFonts w:cs="宋体"/>
              </w:rPr>
            </w:pPr>
          </w:p>
        </w:tc>
        <w:tc>
          <w:tcPr>
            <w:tcW w:w="587" w:type="pct"/>
            <w:tcBorders>
              <w:left w:val="single" w:color="auto" w:sz="4" w:space="0"/>
            </w:tcBorders>
            <w:shd w:val="clear" w:color="auto" w:fill="auto"/>
            <w:vAlign w:val="center"/>
          </w:tcPr>
          <w:p w14:paraId="71B70904">
            <w:pPr>
              <w:spacing w:line="240" w:lineRule="atLeast"/>
              <w:ind w:left="-48" w:leftChars="-23" w:right="-65" w:rightChars="-31"/>
              <w:jc w:val="left"/>
              <w:rPr>
                <w:rFonts w:cs="宋体"/>
              </w:rPr>
            </w:pPr>
          </w:p>
        </w:tc>
      </w:tr>
      <w:tr w14:paraId="669C61E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shd w:val="clear" w:color="auto" w:fill="auto"/>
            <w:vAlign w:val="center"/>
          </w:tcPr>
          <w:p w14:paraId="12C08075">
            <w:pPr>
              <w:tabs>
                <w:tab w:val="left" w:pos="61"/>
              </w:tabs>
              <w:jc w:val="center"/>
            </w:pPr>
          </w:p>
        </w:tc>
        <w:tc>
          <w:tcPr>
            <w:tcW w:w="201" w:type="pct"/>
            <w:vMerge w:val="continue"/>
            <w:shd w:val="clear" w:color="auto" w:fill="auto"/>
            <w:vAlign w:val="center"/>
          </w:tcPr>
          <w:p w14:paraId="7E0CC20C">
            <w:pPr>
              <w:tabs>
                <w:tab w:val="left" w:pos="0"/>
                <w:tab w:val="left" w:pos="56"/>
              </w:tabs>
              <w:ind w:left="479" w:hanging="478" w:hangingChars="228"/>
              <w:jc w:val="center"/>
            </w:pPr>
          </w:p>
        </w:tc>
        <w:tc>
          <w:tcPr>
            <w:tcW w:w="380" w:type="pct"/>
            <w:vMerge w:val="continue"/>
            <w:shd w:val="clear" w:color="auto" w:fill="auto"/>
            <w:vAlign w:val="center"/>
          </w:tcPr>
          <w:p w14:paraId="4A7D3361">
            <w:pPr>
              <w:spacing w:line="240" w:lineRule="atLeast"/>
              <w:ind w:left="-48" w:leftChars="-23" w:right="-65" w:rightChars="-31"/>
              <w:jc w:val="left"/>
              <w:rPr>
                <w:rFonts w:cs="宋体"/>
              </w:rPr>
            </w:pPr>
          </w:p>
        </w:tc>
        <w:tc>
          <w:tcPr>
            <w:tcW w:w="282" w:type="pct"/>
            <w:vMerge w:val="continue"/>
            <w:tcBorders>
              <w:left w:val="single" w:color="auto" w:sz="4" w:space="0"/>
            </w:tcBorders>
            <w:shd w:val="clear" w:color="auto" w:fill="auto"/>
            <w:vAlign w:val="center"/>
          </w:tcPr>
          <w:p w14:paraId="4028F52B">
            <w:pPr>
              <w:spacing w:line="240" w:lineRule="atLeast"/>
              <w:ind w:left="-48" w:leftChars="-23" w:right="-65" w:rightChars="-31"/>
              <w:jc w:val="left"/>
              <w:rPr>
                <w:rFonts w:cs="宋体"/>
              </w:rPr>
            </w:pPr>
          </w:p>
        </w:tc>
        <w:tc>
          <w:tcPr>
            <w:tcW w:w="478" w:type="pct"/>
            <w:vMerge w:val="continue"/>
            <w:tcBorders>
              <w:left w:val="single" w:color="auto" w:sz="4" w:space="0"/>
              <w:right w:val="single" w:color="auto" w:sz="4" w:space="0"/>
            </w:tcBorders>
            <w:shd w:val="clear" w:color="auto" w:fill="auto"/>
            <w:vAlign w:val="center"/>
          </w:tcPr>
          <w:p w14:paraId="7E523FCB">
            <w:pPr>
              <w:spacing w:line="240" w:lineRule="atLeast"/>
              <w:ind w:left="-48" w:leftChars="-23" w:right="-65" w:rightChars="-31"/>
              <w:jc w:val="left"/>
              <w:rPr>
                <w:rFonts w:cs="宋体"/>
              </w:rPr>
            </w:pPr>
          </w:p>
        </w:tc>
        <w:tc>
          <w:tcPr>
            <w:tcW w:w="692" w:type="pct"/>
            <w:vMerge w:val="continue"/>
            <w:tcBorders>
              <w:left w:val="single" w:color="auto" w:sz="4" w:space="0"/>
              <w:right w:val="single" w:color="auto" w:sz="4" w:space="0"/>
            </w:tcBorders>
            <w:vAlign w:val="center"/>
          </w:tcPr>
          <w:p w14:paraId="34665265">
            <w:pPr>
              <w:spacing w:line="240" w:lineRule="atLeast"/>
              <w:ind w:left="-48" w:leftChars="-23" w:right="-65" w:rightChars="-31"/>
              <w:jc w:val="left"/>
              <w:rPr>
                <w:rFonts w:cs="宋体"/>
              </w:rPr>
            </w:pPr>
          </w:p>
        </w:tc>
        <w:tc>
          <w:tcPr>
            <w:tcW w:w="560" w:type="pct"/>
            <w:tcBorders>
              <w:left w:val="single" w:color="auto" w:sz="4" w:space="0"/>
            </w:tcBorders>
            <w:shd w:val="clear" w:color="auto" w:fill="auto"/>
            <w:vAlign w:val="center"/>
          </w:tcPr>
          <w:p w14:paraId="5473CC13">
            <w:pPr>
              <w:spacing w:line="240" w:lineRule="atLeast"/>
              <w:ind w:left="-48" w:leftChars="-23" w:right="-65" w:rightChars="-31"/>
              <w:jc w:val="left"/>
              <w:rPr>
                <w:rFonts w:cs="宋体"/>
              </w:rPr>
            </w:pPr>
            <w:r>
              <w:rPr>
                <w:rFonts w:hint="eastAsia" w:cs="宋体"/>
              </w:rPr>
              <w:t>....</w:t>
            </w:r>
          </w:p>
        </w:tc>
        <w:tc>
          <w:tcPr>
            <w:tcW w:w="511" w:type="pct"/>
            <w:tcBorders>
              <w:left w:val="single" w:color="auto" w:sz="4" w:space="0"/>
            </w:tcBorders>
            <w:shd w:val="clear" w:color="auto" w:fill="auto"/>
            <w:vAlign w:val="center"/>
          </w:tcPr>
          <w:p w14:paraId="7968D781">
            <w:pPr>
              <w:spacing w:line="240" w:lineRule="atLeast"/>
              <w:ind w:left="-48" w:leftChars="-23" w:right="-65" w:rightChars="-31"/>
              <w:jc w:val="left"/>
              <w:rPr>
                <w:rFonts w:cs="宋体"/>
              </w:rPr>
            </w:pPr>
          </w:p>
        </w:tc>
        <w:tc>
          <w:tcPr>
            <w:tcW w:w="606" w:type="pct"/>
            <w:tcBorders>
              <w:left w:val="single" w:color="auto" w:sz="4" w:space="0"/>
            </w:tcBorders>
            <w:shd w:val="clear" w:color="auto" w:fill="auto"/>
            <w:vAlign w:val="center"/>
          </w:tcPr>
          <w:p w14:paraId="46207190">
            <w:pPr>
              <w:spacing w:line="240" w:lineRule="atLeast"/>
              <w:ind w:left="-48" w:leftChars="-23" w:right="-65" w:rightChars="-31"/>
              <w:jc w:val="left"/>
              <w:rPr>
                <w:rFonts w:cs="宋体"/>
              </w:rPr>
            </w:pPr>
          </w:p>
        </w:tc>
        <w:tc>
          <w:tcPr>
            <w:tcW w:w="449" w:type="pct"/>
            <w:vMerge w:val="continue"/>
            <w:tcBorders>
              <w:left w:val="single" w:color="auto" w:sz="4" w:space="0"/>
            </w:tcBorders>
            <w:shd w:val="clear" w:color="auto" w:fill="auto"/>
            <w:vAlign w:val="center"/>
          </w:tcPr>
          <w:p w14:paraId="65B18B56">
            <w:pPr>
              <w:spacing w:line="240" w:lineRule="atLeast"/>
              <w:ind w:left="-48" w:leftChars="-23" w:right="-65" w:rightChars="-31"/>
              <w:jc w:val="left"/>
              <w:rPr>
                <w:rFonts w:cs="宋体"/>
              </w:rPr>
            </w:pPr>
          </w:p>
        </w:tc>
        <w:tc>
          <w:tcPr>
            <w:tcW w:w="587" w:type="pct"/>
            <w:tcBorders>
              <w:left w:val="single" w:color="auto" w:sz="4" w:space="0"/>
            </w:tcBorders>
            <w:shd w:val="clear" w:color="auto" w:fill="auto"/>
            <w:vAlign w:val="center"/>
          </w:tcPr>
          <w:p w14:paraId="673B3CE7">
            <w:pPr>
              <w:spacing w:line="240" w:lineRule="atLeast"/>
              <w:ind w:left="-48" w:leftChars="-23" w:right="-65" w:rightChars="-31"/>
              <w:jc w:val="left"/>
              <w:rPr>
                <w:rFonts w:cs="宋体"/>
              </w:rPr>
            </w:pPr>
          </w:p>
        </w:tc>
      </w:tr>
      <w:tr w14:paraId="628C385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shd w:val="clear" w:color="auto" w:fill="auto"/>
            <w:vAlign w:val="center"/>
          </w:tcPr>
          <w:p w14:paraId="1863C72A">
            <w:pPr>
              <w:tabs>
                <w:tab w:val="left" w:pos="61"/>
              </w:tabs>
              <w:jc w:val="center"/>
            </w:pPr>
          </w:p>
        </w:tc>
        <w:tc>
          <w:tcPr>
            <w:tcW w:w="201" w:type="pct"/>
            <w:vMerge w:val="continue"/>
            <w:shd w:val="clear" w:color="auto" w:fill="auto"/>
            <w:vAlign w:val="center"/>
          </w:tcPr>
          <w:p w14:paraId="46DC423E">
            <w:pPr>
              <w:tabs>
                <w:tab w:val="left" w:pos="0"/>
                <w:tab w:val="left" w:pos="56"/>
              </w:tabs>
              <w:ind w:left="479" w:hanging="478" w:hangingChars="228"/>
              <w:jc w:val="center"/>
            </w:pPr>
          </w:p>
        </w:tc>
        <w:tc>
          <w:tcPr>
            <w:tcW w:w="380" w:type="pct"/>
            <w:vMerge w:val="continue"/>
            <w:shd w:val="clear" w:color="auto" w:fill="auto"/>
            <w:vAlign w:val="center"/>
          </w:tcPr>
          <w:p w14:paraId="0AE60FE8">
            <w:pPr>
              <w:spacing w:line="240" w:lineRule="atLeast"/>
              <w:ind w:left="-48" w:leftChars="-23" w:right="-65" w:rightChars="-31"/>
              <w:jc w:val="left"/>
              <w:rPr>
                <w:rFonts w:cs="宋体"/>
              </w:rPr>
            </w:pPr>
          </w:p>
        </w:tc>
        <w:tc>
          <w:tcPr>
            <w:tcW w:w="282" w:type="pct"/>
            <w:vMerge w:val="continue"/>
            <w:tcBorders>
              <w:left w:val="single" w:color="auto" w:sz="4" w:space="0"/>
            </w:tcBorders>
            <w:shd w:val="clear" w:color="auto" w:fill="auto"/>
            <w:vAlign w:val="center"/>
          </w:tcPr>
          <w:p w14:paraId="36FCE06B">
            <w:pPr>
              <w:spacing w:line="240" w:lineRule="atLeast"/>
              <w:ind w:left="-48" w:leftChars="-23" w:right="-65" w:rightChars="-31"/>
              <w:jc w:val="left"/>
              <w:rPr>
                <w:rFonts w:cs="宋体"/>
              </w:rPr>
            </w:pPr>
          </w:p>
        </w:tc>
        <w:tc>
          <w:tcPr>
            <w:tcW w:w="478" w:type="pct"/>
            <w:vMerge w:val="continue"/>
            <w:tcBorders>
              <w:left w:val="single" w:color="auto" w:sz="4" w:space="0"/>
              <w:right w:val="single" w:color="auto" w:sz="4" w:space="0"/>
            </w:tcBorders>
            <w:shd w:val="clear" w:color="auto" w:fill="auto"/>
            <w:vAlign w:val="center"/>
          </w:tcPr>
          <w:p w14:paraId="1E3A37FF">
            <w:pPr>
              <w:spacing w:line="240" w:lineRule="atLeast"/>
              <w:ind w:left="-48" w:leftChars="-23" w:right="-65" w:rightChars="-31"/>
              <w:jc w:val="left"/>
              <w:rPr>
                <w:rFonts w:cs="宋体"/>
              </w:rPr>
            </w:pPr>
          </w:p>
        </w:tc>
        <w:tc>
          <w:tcPr>
            <w:tcW w:w="692" w:type="pct"/>
            <w:vMerge w:val="restart"/>
            <w:tcBorders>
              <w:left w:val="single" w:color="auto" w:sz="4" w:space="0"/>
              <w:right w:val="single" w:color="auto" w:sz="4" w:space="0"/>
            </w:tcBorders>
            <w:vAlign w:val="center"/>
          </w:tcPr>
          <w:p w14:paraId="3A830449">
            <w:pPr>
              <w:spacing w:line="240" w:lineRule="atLeast"/>
              <w:ind w:left="-48" w:leftChars="-23" w:right="-65" w:rightChars="-31"/>
              <w:jc w:val="left"/>
              <w:rPr>
                <w:rFonts w:cs="宋体"/>
              </w:rPr>
            </w:pPr>
            <w:r>
              <w:rPr>
                <w:rFonts w:hint="eastAsia" w:cs="宋体"/>
              </w:rPr>
              <w:t>制造费用</w:t>
            </w:r>
          </w:p>
        </w:tc>
        <w:tc>
          <w:tcPr>
            <w:tcW w:w="560" w:type="pct"/>
            <w:tcBorders>
              <w:left w:val="single" w:color="auto" w:sz="4" w:space="0"/>
            </w:tcBorders>
            <w:shd w:val="clear" w:color="auto" w:fill="auto"/>
            <w:vAlign w:val="center"/>
          </w:tcPr>
          <w:p w14:paraId="4F482568">
            <w:pPr>
              <w:spacing w:line="240" w:lineRule="atLeast"/>
              <w:ind w:left="-48" w:leftChars="-23" w:right="-65" w:rightChars="-31"/>
              <w:jc w:val="left"/>
              <w:rPr>
                <w:rFonts w:cs="宋体"/>
              </w:rPr>
            </w:pPr>
            <w:r>
              <w:rPr>
                <w:rFonts w:cs="宋体"/>
              </w:rPr>
              <w:t>设备折旧费</w:t>
            </w:r>
          </w:p>
        </w:tc>
        <w:tc>
          <w:tcPr>
            <w:tcW w:w="511" w:type="pct"/>
            <w:tcBorders>
              <w:left w:val="single" w:color="auto" w:sz="4" w:space="0"/>
            </w:tcBorders>
            <w:shd w:val="clear" w:color="auto" w:fill="auto"/>
            <w:vAlign w:val="center"/>
          </w:tcPr>
          <w:p w14:paraId="1DCFEC29">
            <w:pPr>
              <w:spacing w:line="240" w:lineRule="atLeast"/>
              <w:ind w:left="-48" w:leftChars="-23" w:right="-65" w:rightChars="-31"/>
              <w:jc w:val="left"/>
              <w:rPr>
                <w:rFonts w:cs="宋体"/>
              </w:rPr>
            </w:pPr>
          </w:p>
        </w:tc>
        <w:tc>
          <w:tcPr>
            <w:tcW w:w="606" w:type="pct"/>
            <w:tcBorders>
              <w:left w:val="single" w:color="auto" w:sz="4" w:space="0"/>
            </w:tcBorders>
            <w:shd w:val="clear" w:color="auto" w:fill="auto"/>
            <w:vAlign w:val="center"/>
          </w:tcPr>
          <w:p w14:paraId="4CA3B184">
            <w:pPr>
              <w:spacing w:line="240" w:lineRule="atLeast"/>
              <w:ind w:left="-48" w:leftChars="-23" w:right="-65" w:rightChars="-31"/>
              <w:jc w:val="left"/>
              <w:rPr>
                <w:rFonts w:cs="宋体"/>
              </w:rPr>
            </w:pPr>
          </w:p>
        </w:tc>
        <w:tc>
          <w:tcPr>
            <w:tcW w:w="449" w:type="pct"/>
            <w:vMerge w:val="continue"/>
            <w:tcBorders>
              <w:left w:val="single" w:color="auto" w:sz="4" w:space="0"/>
            </w:tcBorders>
            <w:shd w:val="clear" w:color="auto" w:fill="auto"/>
            <w:vAlign w:val="center"/>
          </w:tcPr>
          <w:p w14:paraId="3EDDFFE0">
            <w:pPr>
              <w:spacing w:line="240" w:lineRule="atLeast"/>
              <w:ind w:left="-48" w:leftChars="-23" w:right="-65" w:rightChars="-31"/>
              <w:jc w:val="left"/>
              <w:rPr>
                <w:rFonts w:cs="宋体"/>
              </w:rPr>
            </w:pPr>
          </w:p>
        </w:tc>
        <w:tc>
          <w:tcPr>
            <w:tcW w:w="587" w:type="pct"/>
            <w:tcBorders>
              <w:left w:val="single" w:color="auto" w:sz="4" w:space="0"/>
            </w:tcBorders>
            <w:shd w:val="clear" w:color="auto" w:fill="auto"/>
            <w:vAlign w:val="center"/>
          </w:tcPr>
          <w:p w14:paraId="65AE15EE">
            <w:pPr>
              <w:spacing w:line="240" w:lineRule="atLeast"/>
              <w:ind w:left="-48" w:leftChars="-23" w:right="-65" w:rightChars="-31"/>
              <w:jc w:val="left"/>
              <w:rPr>
                <w:rFonts w:cs="宋体"/>
              </w:rPr>
            </w:pPr>
          </w:p>
        </w:tc>
      </w:tr>
      <w:tr w14:paraId="092F242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shd w:val="clear" w:color="auto" w:fill="auto"/>
            <w:vAlign w:val="center"/>
          </w:tcPr>
          <w:p w14:paraId="3859EBCC">
            <w:pPr>
              <w:tabs>
                <w:tab w:val="left" w:pos="61"/>
              </w:tabs>
              <w:jc w:val="center"/>
            </w:pPr>
          </w:p>
        </w:tc>
        <w:tc>
          <w:tcPr>
            <w:tcW w:w="201" w:type="pct"/>
            <w:vMerge w:val="continue"/>
            <w:shd w:val="clear" w:color="auto" w:fill="auto"/>
            <w:vAlign w:val="center"/>
          </w:tcPr>
          <w:p w14:paraId="6CB7BF8F">
            <w:pPr>
              <w:tabs>
                <w:tab w:val="left" w:pos="0"/>
                <w:tab w:val="left" w:pos="56"/>
              </w:tabs>
              <w:ind w:left="479" w:hanging="478" w:hangingChars="228"/>
              <w:jc w:val="center"/>
            </w:pPr>
          </w:p>
        </w:tc>
        <w:tc>
          <w:tcPr>
            <w:tcW w:w="380" w:type="pct"/>
            <w:vMerge w:val="continue"/>
            <w:shd w:val="clear" w:color="auto" w:fill="auto"/>
            <w:vAlign w:val="center"/>
          </w:tcPr>
          <w:p w14:paraId="603CB19B">
            <w:pPr>
              <w:spacing w:line="240" w:lineRule="atLeast"/>
              <w:ind w:left="-48" w:leftChars="-23" w:right="-65" w:rightChars="-31"/>
              <w:jc w:val="left"/>
              <w:rPr>
                <w:rFonts w:cs="宋体"/>
              </w:rPr>
            </w:pPr>
          </w:p>
        </w:tc>
        <w:tc>
          <w:tcPr>
            <w:tcW w:w="282" w:type="pct"/>
            <w:vMerge w:val="continue"/>
            <w:tcBorders>
              <w:left w:val="single" w:color="auto" w:sz="4" w:space="0"/>
            </w:tcBorders>
            <w:shd w:val="clear" w:color="auto" w:fill="auto"/>
            <w:vAlign w:val="center"/>
          </w:tcPr>
          <w:p w14:paraId="13766D70">
            <w:pPr>
              <w:spacing w:line="240" w:lineRule="atLeast"/>
              <w:ind w:left="-48" w:leftChars="-23" w:right="-65" w:rightChars="-31"/>
              <w:jc w:val="left"/>
              <w:rPr>
                <w:rFonts w:cs="宋体"/>
              </w:rPr>
            </w:pPr>
          </w:p>
        </w:tc>
        <w:tc>
          <w:tcPr>
            <w:tcW w:w="478" w:type="pct"/>
            <w:vMerge w:val="continue"/>
            <w:tcBorders>
              <w:left w:val="single" w:color="auto" w:sz="4" w:space="0"/>
              <w:right w:val="single" w:color="auto" w:sz="4" w:space="0"/>
            </w:tcBorders>
            <w:shd w:val="clear" w:color="auto" w:fill="auto"/>
            <w:vAlign w:val="center"/>
          </w:tcPr>
          <w:p w14:paraId="41512B44">
            <w:pPr>
              <w:spacing w:line="240" w:lineRule="atLeast"/>
              <w:ind w:left="-48" w:leftChars="-23" w:right="-65" w:rightChars="-31"/>
              <w:jc w:val="left"/>
              <w:rPr>
                <w:rFonts w:cs="宋体"/>
              </w:rPr>
            </w:pPr>
          </w:p>
        </w:tc>
        <w:tc>
          <w:tcPr>
            <w:tcW w:w="692" w:type="pct"/>
            <w:vMerge w:val="continue"/>
            <w:tcBorders>
              <w:left w:val="single" w:color="auto" w:sz="4" w:space="0"/>
              <w:right w:val="single" w:color="auto" w:sz="4" w:space="0"/>
            </w:tcBorders>
            <w:vAlign w:val="center"/>
          </w:tcPr>
          <w:p w14:paraId="61F5B7C7">
            <w:pPr>
              <w:spacing w:line="240" w:lineRule="atLeast"/>
              <w:ind w:left="-48" w:leftChars="-23" w:right="-65" w:rightChars="-31"/>
              <w:jc w:val="left"/>
              <w:rPr>
                <w:rFonts w:cs="宋体"/>
              </w:rPr>
            </w:pPr>
          </w:p>
        </w:tc>
        <w:tc>
          <w:tcPr>
            <w:tcW w:w="560" w:type="pct"/>
            <w:tcBorders>
              <w:left w:val="single" w:color="auto" w:sz="4" w:space="0"/>
            </w:tcBorders>
            <w:shd w:val="clear" w:color="auto" w:fill="auto"/>
            <w:vAlign w:val="center"/>
          </w:tcPr>
          <w:p w14:paraId="2A983299">
            <w:pPr>
              <w:spacing w:line="240" w:lineRule="atLeast"/>
              <w:ind w:left="-48" w:leftChars="-23" w:right="-65" w:rightChars="-31"/>
              <w:jc w:val="left"/>
              <w:rPr>
                <w:rFonts w:cs="宋体"/>
              </w:rPr>
            </w:pPr>
            <w:r>
              <w:rPr>
                <w:rFonts w:hint="eastAsia" w:cs="宋体"/>
              </w:rPr>
              <w:t>...</w:t>
            </w:r>
          </w:p>
        </w:tc>
        <w:tc>
          <w:tcPr>
            <w:tcW w:w="511" w:type="pct"/>
            <w:tcBorders>
              <w:left w:val="single" w:color="auto" w:sz="4" w:space="0"/>
            </w:tcBorders>
            <w:shd w:val="clear" w:color="auto" w:fill="auto"/>
            <w:vAlign w:val="center"/>
          </w:tcPr>
          <w:p w14:paraId="2BD9E13D">
            <w:pPr>
              <w:spacing w:line="240" w:lineRule="atLeast"/>
              <w:ind w:left="-48" w:leftChars="-23" w:right="-65" w:rightChars="-31"/>
              <w:jc w:val="left"/>
              <w:rPr>
                <w:rFonts w:cs="宋体"/>
              </w:rPr>
            </w:pPr>
          </w:p>
        </w:tc>
        <w:tc>
          <w:tcPr>
            <w:tcW w:w="606" w:type="pct"/>
            <w:tcBorders>
              <w:left w:val="single" w:color="auto" w:sz="4" w:space="0"/>
            </w:tcBorders>
            <w:shd w:val="clear" w:color="auto" w:fill="auto"/>
            <w:vAlign w:val="center"/>
          </w:tcPr>
          <w:p w14:paraId="60A2A9D7">
            <w:pPr>
              <w:spacing w:line="240" w:lineRule="atLeast"/>
              <w:ind w:left="-48" w:leftChars="-23" w:right="-65" w:rightChars="-31"/>
              <w:jc w:val="left"/>
              <w:rPr>
                <w:rFonts w:cs="宋体"/>
              </w:rPr>
            </w:pPr>
          </w:p>
        </w:tc>
        <w:tc>
          <w:tcPr>
            <w:tcW w:w="449" w:type="pct"/>
            <w:vMerge w:val="continue"/>
            <w:tcBorders>
              <w:left w:val="single" w:color="auto" w:sz="4" w:space="0"/>
            </w:tcBorders>
            <w:shd w:val="clear" w:color="auto" w:fill="auto"/>
            <w:vAlign w:val="center"/>
          </w:tcPr>
          <w:p w14:paraId="5B5A7E49">
            <w:pPr>
              <w:spacing w:line="240" w:lineRule="atLeast"/>
              <w:ind w:left="-48" w:leftChars="-23" w:right="-65" w:rightChars="-31"/>
              <w:jc w:val="left"/>
              <w:rPr>
                <w:rFonts w:cs="宋体"/>
              </w:rPr>
            </w:pPr>
          </w:p>
        </w:tc>
        <w:tc>
          <w:tcPr>
            <w:tcW w:w="587" w:type="pct"/>
            <w:tcBorders>
              <w:left w:val="single" w:color="auto" w:sz="4" w:space="0"/>
            </w:tcBorders>
            <w:shd w:val="clear" w:color="auto" w:fill="auto"/>
            <w:vAlign w:val="center"/>
          </w:tcPr>
          <w:p w14:paraId="39ABA6EA">
            <w:pPr>
              <w:spacing w:line="240" w:lineRule="atLeast"/>
              <w:ind w:left="-48" w:leftChars="-23" w:right="-65" w:rightChars="-31"/>
              <w:jc w:val="left"/>
              <w:rPr>
                <w:rFonts w:cs="宋体"/>
              </w:rPr>
            </w:pPr>
          </w:p>
        </w:tc>
      </w:tr>
      <w:tr w14:paraId="387A14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shd w:val="clear" w:color="auto" w:fill="auto"/>
            <w:vAlign w:val="center"/>
          </w:tcPr>
          <w:p w14:paraId="708B5232">
            <w:pPr>
              <w:tabs>
                <w:tab w:val="left" w:pos="61"/>
              </w:tabs>
              <w:jc w:val="center"/>
            </w:pPr>
          </w:p>
        </w:tc>
        <w:tc>
          <w:tcPr>
            <w:tcW w:w="201" w:type="pct"/>
            <w:vMerge w:val="continue"/>
            <w:shd w:val="clear" w:color="auto" w:fill="auto"/>
            <w:vAlign w:val="center"/>
          </w:tcPr>
          <w:p w14:paraId="2BDD3A6E">
            <w:pPr>
              <w:tabs>
                <w:tab w:val="left" w:pos="0"/>
                <w:tab w:val="left" w:pos="56"/>
              </w:tabs>
              <w:ind w:left="479" w:hanging="478" w:hangingChars="228"/>
              <w:jc w:val="center"/>
            </w:pPr>
          </w:p>
        </w:tc>
        <w:tc>
          <w:tcPr>
            <w:tcW w:w="380" w:type="pct"/>
            <w:vMerge w:val="continue"/>
            <w:shd w:val="clear" w:color="auto" w:fill="auto"/>
            <w:vAlign w:val="center"/>
          </w:tcPr>
          <w:p w14:paraId="611767F3">
            <w:pPr>
              <w:spacing w:line="240" w:lineRule="atLeast"/>
              <w:ind w:left="-48" w:leftChars="-23" w:right="-65" w:rightChars="-31"/>
              <w:jc w:val="left"/>
              <w:rPr>
                <w:rFonts w:cs="宋体"/>
              </w:rPr>
            </w:pPr>
          </w:p>
        </w:tc>
        <w:tc>
          <w:tcPr>
            <w:tcW w:w="282" w:type="pct"/>
            <w:vMerge w:val="continue"/>
            <w:tcBorders>
              <w:left w:val="single" w:color="auto" w:sz="4" w:space="0"/>
            </w:tcBorders>
            <w:shd w:val="clear" w:color="auto" w:fill="auto"/>
            <w:vAlign w:val="center"/>
          </w:tcPr>
          <w:p w14:paraId="59FBB4E2">
            <w:pPr>
              <w:spacing w:line="240" w:lineRule="atLeast"/>
              <w:ind w:left="-48" w:leftChars="-23" w:right="-65" w:rightChars="-31"/>
              <w:jc w:val="left"/>
              <w:rPr>
                <w:rFonts w:cs="宋体"/>
              </w:rPr>
            </w:pPr>
          </w:p>
        </w:tc>
        <w:tc>
          <w:tcPr>
            <w:tcW w:w="478" w:type="pct"/>
            <w:vMerge w:val="continue"/>
            <w:tcBorders>
              <w:left w:val="single" w:color="auto" w:sz="4" w:space="0"/>
              <w:right w:val="single" w:color="auto" w:sz="4" w:space="0"/>
            </w:tcBorders>
            <w:shd w:val="clear" w:color="auto" w:fill="auto"/>
            <w:vAlign w:val="center"/>
          </w:tcPr>
          <w:p w14:paraId="2857399D">
            <w:pPr>
              <w:spacing w:line="240" w:lineRule="atLeast"/>
              <w:ind w:left="-48" w:leftChars="-23" w:right="-65" w:rightChars="-31"/>
              <w:jc w:val="left"/>
              <w:rPr>
                <w:rFonts w:cs="宋体"/>
              </w:rPr>
            </w:pPr>
          </w:p>
        </w:tc>
        <w:tc>
          <w:tcPr>
            <w:tcW w:w="692" w:type="pct"/>
            <w:tcBorders>
              <w:left w:val="single" w:color="auto" w:sz="4" w:space="0"/>
              <w:right w:val="single" w:color="auto" w:sz="4" w:space="0"/>
            </w:tcBorders>
            <w:vAlign w:val="center"/>
          </w:tcPr>
          <w:p w14:paraId="354A0B03">
            <w:pPr>
              <w:spacing w:line="240" w:lineRule="atLeast"/>
              <w:ind w:left="-48" w:leftChars="-23" w:right="-65" w:rightChars="-31"/>
              <w:jc w:val="left"/>
              <w:rPr>
                <w:rFonts w:cs="宋体"/>
              </w:rPr>
            </w:pPr>
            <w:r>
              <w:rPr>
                <w:rFonts w:hint="eastAsia" w:cs="宋体"/>
              </w:rPr>
              <w:t>其他成本</w:t>
            </w:r>
          </w:p>
        </w:tc>
        <w:tc>
          <w:tcPr>
            <w:tcW w:w="560" w:type="pct"/>
            <w:tcBorders>
              <w:left w:val="single" w:color="auto" w:sz="4" w:space="0"/>
            </w:tcBorders>
            <w:shd w:val="clear" w:color="auto" w:fill="auto"/>
            <w:vAlign w:val="center"/>
          </w:tcPr>
          <w:p w14:paraId="749536CC">
            <w:pPr>
              <w:spacing w:line="240" w:lineRule="atLeast"/>
              <w:ind w:left="-48" w:leftChars="-23" w:right="-65" w:rightChars="-31"/>
              <w:jc w:val="left"/>
              <w:rPr>
                <w:rFonts w:cs="宋体"/>
              </w:rPr>
            </w:pPr>
          </w:p>
        </w:tc>
        <w:tc>
          <w:tcPr>
            <w:tcW w:w="511" w:type="pct"/>
            <w:tcBorders>
              <w:left w:val="single" w:color="auto" w:sz="4" w:space="0"/>
            </w:tcBorders>
            <w:shd w:val="clear" w:color="auto" w:fill="auto"/>
            <w:vAlign w:val="center"/>
          </w:tcPr>
          <w:p w14:paraId="1B641F9B">
            <w:pPr>
              <w:spacing w:line="240" w:lineRule="atLeast"/>
              <w:ind w:left="-48" w:leftChars="-23" w:right="-65" w:rightChars="-31"/>
              <w:jc w:val="left"/>
              <w:rPr>
                <w:rFonts w:cs="宋体"/>
              </w:rPr>
            </w:pPr>
          </w:p>
        </w:tc>
        <w:tc>
          <w:tcPr>
            <w:tcW w:w="606" w:type="pct"/>
            <w:tcBorders>
              <w:left w:val="single" w:color="auto" w:sz="4" w:space="0"/>
            </w:tcBorders>
            <w:shd w:val="clear" w:color="auto" w:fill="auto"/>
            <w:vAlign w:val="center"/>
          </w:tcPr>
          <w:p w14:paraId="6B1D3B92">
            <w:pPr>
              <w:spacing w:line="240" w:lineRule="atLeast"/>
              <w:ind w:left="-48" w:leftChars="-23" w:right="-65" w:rightChars="-31"/>
              <w:jc w:val="left"/>
              <w:rPr>
                <w:rFonts w:cs="宋体"/>
              </w:rPr>
            </w:pPr>
          </w:p>
        </w:tc>
        <w:tc>
          <w:tcPr>
            <w:tcW w:w="449" w:type="pct"/>
            <w:vMerge w:val="continue"/>
            <w:tcBorders>
              <w:left w:val="single" w:color="auto" w:sz="4" w:space="0"/>
            </w:tcBorders>
            <w:shd w:val="clear" w:color="auto" w:fill="auto"/>
            <w:vAlign w:val="center"/>
          </w:tcPr>
          <w:p w14:paraId="5B834E11">
            <w:pPr>
              <w:spacing w:line="240" w:lineRule="atLeast"/>
              <w:ind w:left="-48" w:leftChars="-23" w:right="-65" w:rightChars="-31"/>
              <w:jc w:val="left"/>
              <w:rPr>
                <w:rFonts w:cs="宋体"/>
              </w:rPr>
            </w:pPr>
          </w:p>
        </w:tc>
        <w:tc>
          <w:tcPr>
            <w:tcW w:w="587" w:type="pct"/>
            <w:tcBorders>
              <w:left w:val="single" w:color="auto" w:sz="4" w:space="0"/>
            </w:tcBorders>
            <w:shd w:val="clear" w:color="auto" w:fill="auto"/>
            <w:vAlign w:val="center"/>
          </w:tcPr>
          <w:p w14:paraId="5756D018">
            <w:pPr>
              <w:spacing w:line="240" w:lineRule="atLeast"/>
              <w:ind w:left="-48" w:leftChars="-23" w:right="-65" w:rightChars="-31"/>
              <w:jc w:val="left"/>
              <w:rPr>
                <w:rFonts w:cs="宋体"/>
              </w:rPr>
            </w:pPr>
          </w:p>
        </w:tc>
      </w:tr>
      <w:tr w14:paraId="78D23F8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shd w:val="clear" w:color="auto" w:fill="auto"/>
            <w:vAlign w:val="center"/>
          </w:tcPr>
          <w:p w14:paraId="3E6FFAB6">
            <w:pPr>
              <w:tabs>
                <w:tab w:val="left" w:pos="61"/>
              </w:tabs>
              <w:jc w:val="center"/>
            </w:pPr>
            <w:r>
              <w:rPr>
                <w:rFonts w:hint="eastAsia"/>
              </w:rPr>
              <w:t>2</w:t>
            </w:r>
          </w:p>
        </w:tc>
        <w:tc>
          <w:tcPr>
            <w:tcW w:w="201" w:type="pct"/>
            <w:shd w:val="clear" w:color="auto" w:fill="auto"/>
            <w:vAlign w:val="center"/>
          </w:tcPr>
          <w:p w14:paraId="68F1FE04">
            <w:pPr>
              <w:tabs>
                <w:tab w:val="left" w:pos="0"/>
                <w:tab w:val="left" w:pos="56"/>
              </w:tabs>
              <w:ind w:left="479" w:hanging="478" w:hangingChars="228"/>
              <w:jc w:val="center"/>
            </w:pPr>
          </w:p>
        </w:tc>
        <w:tc>
          <w:tcPr>
            <w:tcW w:w="380" w:type="pct"/>
            <w:shd w:val="clear" w:color="auto" w:fill="auto"/>
            <w:vAlign w:val="center"/>
          </w:tcPr>
          <w:p w14:paraId="26AAE0DB">
            <w:pPr>
              <w:spacing w:line="240" w:lineRule="atLeast"/>
              <w:ind w:left="-48" w:leftChars="-23" w:right="-65" w:rightChars="-31"/>
              <w:jc w:val="left"/>
              <w:rPr>
                <w:rFonts w:cs="宋体"/>
              </w:rPr>
            </w:pPr>
          </w:p>
        </w:tc>
        <w:tc>
          <w:tcPr>
            <w:tcW w:w="282" w:type="pct"/>
            <w:tcBorders>
              <w:left w:val="single" w:color="auto" w:sz="4" w:space="0"/>
            </w:tcBorders>
            <w:shd w:val="clear" w:color="auto" w:fill="auto"/>
            <w:vAlign w:val="center"/>
          </w:tcPr>
          <w:p w14:paraId="0480FFA3">
            <w:pPr>
              <w:spacing w:line="240" w:lineRule="atLeast"/>
              <w:ind w:left="-48" w:leftChars="-23" w:right="-65" w:rightChars="-31"/>
              <w:jc w:val="left"/>
              <w:rPr>
                <w:rFonts w:cs="宋体"/>
              </w:rPr>
            </w:pPr>
          </w:p>
        </w:tc>
        <w:tc>
          <w:tcPr>
            <w:tcW w:w="478" w:type="pct"/>
            <w:tcBorders>
              <w:left w:val="single" w:color="auto" w:sz="4" w:space="0"/>
              <w:right w:val="single" w:color="auto" w:sz="4" w:space="0"/>
            </w:tcBorders>
            <w:shd w:val="clear" w:color="auto" w:fill="auto"/>
            <w:vAlign w:val="center"/>
          </w:tcPr>
          <w:p w14:paraId="63DBCE07">
            <w:pPr>
              <w:spacing w:line="240" w:lineRule="atLeast"/>
              <w:ind w:left="-48" w:leftChars="-23" w:right="-65" w:rightChars="-31"/>
              <w:jc w:val="left"/>
              <w:rPr>
                <w:rFonts w:cs="宋体"/>
              </w:rPr>
            </w:pPr>
          </w:p>
        </w:tc>
        <w:tc>
          <w:tcPr>
            <w:tcW w:w="692" w:type="pct"/>
            <w:tcBorders>
              <w:left w:val="single" w:color="auto" w:sz="4" w:space="0"/>
              <w:right w:val="single" w:color="auto" w:sz="4" w:space="0"/>
            </w:tcBorders>
          </w:tcPr>
          <w:p w14:paraId="027BDD21">
            <w:pPr>
              <w:spacing w:line="240" w:lineRule="atLeast"/>
              <w:ind w:left="-48" w:leftChars="-23" w:right="-65" w:rightChars="-31"/>
              <w:jc w:val="left"/>
              <w:rPr>
                <w:rFonts w:cs="宋体"/>
              </w:rPr>
            </w:pPr>
          </w:p>
        </w:tc>
        <w:tc>
          <w:tcPr>
            <w:tcW w:w="560" w:type="pct"/>
            <w:tcBorders>
              <w:left w:val="single" w:color="auto" w:sz="4" w:space="0"/>
            </w:tcBorders>
            <w:shd w:val="clear" w:color="auto" w:fill="auto"/>
            <w:vAlign w:val="center"/>
          </w:tcPr>
          <w:p w14:paraId="64DEF4C2">
            <w:pPr>
              <w:spacing w:line="240" w:lineRule="atLeast"/>
              <w:ind w:left="-48" w:leftChars="-23" w:right="-65" w:rightChars="-31"/>
              <w:jc w:val="left"/>
              <w:rPr>
                <w:rFonts w:cs="宋体"/>
              </w:rPr>
            </w:pPr>
          </w:p>
        </w:tc>
        <w:tc>
          <w:tcPr>
            <w:tcW w:w="511" w:type="pct"/>
            <w:tcBorders>
              <w:left w:val="single" w:color="auto" w:sz="4" w:space="0"/>
            </w:tcBorders>
            <w:shd w:val="clear" w:color="auto" w:fill="auto"/>
            <w:vAlign w:val="center"/>
          </w:tcPr>
          <w:p w14:paraId="5860920A">
            <w:pPr>
              <w:spacing w:line="240" w:lineRule="atLeast"/>
              <w:ind w:left="-48" w:leftChars="-23" w:right="-65" w:rightChars="-31"/>
              <w:jc w:val="left"/>
              <w:rPr>
                <w:rFonts w:cs="宋体"/>
              </w:rPr>
            </w:pPr>
          </w:p>
        </w:tc>
        <w:tc>
          <w:tcPr>
            <w:tcW w:w="606" w:type="pct"/>
            <w:tcBorders>
              <w:left w:val="single" w:color="auto" w:sz="4" w:space="0"/>
            </w:tcBorders>
            <w:shd w:val="clear" w:color="auto" w:fill="auto"/>
            <w:vAlign w:val="center"/>
          </w:tcPr>
          <w:p w14:paraId="0BCF7921">
            <w:pPr>
              <w:spacing w:line="240" w:lineRule="atLeast"/>
              <w:ind w:left="-48" w:leftChars="-23" w:right="-65" w:rightChars="-31"/>
              <w:jc w:val="left"/>
              <w:rPr>
                <w:rFonts w:cs="宋体"/>
              </w:rPr>
            </w:pPr>
          </w:p>
        </w:tc>
        <w:tc>
          <w:tcPr>
            <w:tcW w:w="449" w:type="pct"/>
            <w:tcBorders>
              <w:left w:val="single" w:color="auto" w:sz="4" w:space="0"/>
            </w:tcBorders>
            <w:shd w:val="clear" w:color="auto" w:fill="auto"/>
            <w:vAlign w:val="center"/>
          </w:tcPr>
          <w:p w14:paraId="3166A541">
            <w:pPr>
              <w:spacing w:line="240" w:lineRule="atLeast"/>
              <w:ind w:left="-48" w:leftChars="-23" w:right="-65" w:rightChars="-31"/>
              <w:jc w:val="left"/>
              <w:rPr>
                <w:rFonts w:cs="宋体"/>
              </w:rPr>
            </w:pPr>
          </w:p>
        </w:tc>
        <w:tc>
          <w:tcPr>
            <w:tcW w:w="587" w:type="pct"/>
            <w:tcBorders>
              <w:left w:val="single" w:color="auto" w:sz="4" w:space="0"/>
            </w:tcBorders>
            <w:shd w:val="clear" w:color="auto" w:fill="auto"/>
            <w:vAlign w:val="center"/>
          </w:tcPr>
          <w:p w14:paraId="49DE8647">
            <w:pPr>
              <w:spacing w:line="240" w:lineRule="atLeast"/>
              <w:ind w:left="-48" w:leftChars="-23" w:right="-65" w:rightChars="-31"/>
              <w:jc w:val="left"/>
              <w:rPr>
                <w:rFonts w:cs="宋体"/>
              </w:rPr>
            </w:pPr>
          </w:p>
        </w:tc>
      </w:tr>
      <w:tr w14:paraId="708C5C5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4" w:hRule="atLeast"/>
          <w:jc w:val="center"/>
        </w:trPr>
        <w:tc>
          <w:tcPr>
            <w:tcW w:w="245" w:type="pct"/>
            <w:tcBorders>
              <w:bottom w:val="single" w:color="auto" w:sz="4" w:space="0"/>
            </w:tcBorders>
            <w:shd w:val="clear" w:color="auto" w:fill="auto"/>
            <w:vAlign w:val="center"/>
          </w:tcPr>
          <w:p w14:paraId="34DD5520">
            <w:pPr>
              <w:tabs>
                <w:tab w:val="left" w:pos="82"/>
              </w:tabs>
              <w:jc w:val="center"/>
            </w:pPr>
            <w:r>
              <w:rPr>
                <w:rFonts w:hint="eastAsia"/>
              </w:rPr>
              <w:t>…</w:t>
            </w:r>
          </w:p>
        </w:tc>
        <w:tc>
          <w:tcPr>
            <w:tcW w:w="201" w:type="pct"/>
            <w:tcBorders>
              <w:bottom w:val="single" w:color="auto" w:sz="4" w:space="0"/>
            </w:tcBorders>
            <w:shd w:val="clear" w:color="auto" w:fill="auto"/>
            <w:vAlign w:val="center"/>
          </w:tcPr>
          <w:p w14:paraId="2A176FFD">
            <w:pPr>
              <w:spacing w:line="240" w:lineRule="atLeast"/>
              <w:ind w:left="-48" w:leftChars="-23" w:right="-65" w:rightChars="-31"/>
              <w:jc w:val="left"/>
              <w:rPr>
                <w:rFonts w:cs="宋体"/>
              </w:rPr>
            </w:pPr>
          </w:p>
        </w:tc>
        <w:tc>
          <w:tcPr>
            <w:tcW w:w="380" w:type="pct"/>
            <w:tcBorders>
              <w:bottom w:val="single" w:color="auto" w:sz="4" w:space="0"/>
            </w:tcBorders>
            <w:shd w:val="clear" w:color="auto" w:fill="auto"/>
            <w:vAlign w:val="center"/>
          </w:tcPr>
          <w:p w14:paraId="602FFBB3">
            <w:pPr>
              <w:spacing w:line="240" w:lineRule="atLeast"/>
              <w:ind w:left="-48" w:leftChars="-23" w:right="-65" w:rightChars="-31"/>
              <w:jc w:val="left"/>
              <w:rPr>
                <w:rFonts w:cs="宋体"/>
              </w:rPr>
            </w:pPr>
          </w:p>
        </w:tc>
        <w:tc>
          <w:tcPr>
            <w:tcW w:w="282" w:type="pct"/>
            <w:tcBorders>
              <w:left w:val="single" w:color="auto" w:sz="4" w:space="0"/>
              <w:bottom w:val="single" w:color="auto" w:sz="4" w:space="0"/>
            </w:tcBorders>
            <w:shd w:val="clear" w:color="auto" w:fill="auto"/>
            <w:vAlign w:val="center"/>
          </w:tcPr>
          <w:p w14:paraId="2BD7E41C">
            <w:pPr>
              <w:spacing w:line="240" w:lineRule="atLeast"/>
              <w:ind w:left="-48" w:leftChars="-23" w:right="-65" w:rightChars="-31"/>
              <w:jc w:val="left"/>
              <w:rPr>
                <w:rFonts w:cs="宋体"/>
              </w:rPr>
            </w:pPr>
          </w:p>
        </w:tc>
        <w:tc>
          <w:tcPr>
            <w:tcW w:w="478" w:type="pct"/>
            <w:tcBorders>
              <w:left w:val="single" w:color="auto" w:sz="4" w:space="0"/>
              <w:bottom w:val="single" w:color="auto" w:sz="4" w:space="0"/>
              <w:right w:val="single" w:color="auto" w:sz="4" w:space="0"/>
            </w:tcBorders>
            <w:shd w:val="clear" w:color="auto" w:fill="auto"/>
            <w:vAlign w:val="center"/>
          </w:tcPr>
          <w:p w14:paraId="1456D719">
            <w:pPr>
              <w:spacing w:line="240" w:lineRule="atLeast"/>
              <w:ind w:left="-48" w:leftChars="-23" w:right="-65" w:rightChars="-31"/>
              <w:jc w:val="left"/>
              <w:rPr>
                <w:rFonts w:cs="宋体"/>
              </w:rPr>
            </w:pPr>
          </w:p>
        </w:tc>
        <w:tc>
          <w:tcPr>
            <w:tcW w:w="692" w:type="pct"/>
            <w:tcBorders>
              <w:left w:val="single" w:color="auto" w:sz="4" w:space="0"/>
              <w:bottom w:val="single" w:color="auto" w:sz="4" w:space="0"/>
              <w:right w:val="single" w:color="auto" w:sz="4" w:space="0"/>
            </w:tcBorders>
          </w:tcPr>
          <w:p w14:paraId="62869426">
            <w:pPr>
              <w:spacing w:line="240" w:lineRule="atLeast"/>
              <w:ind w:left="-48" w:leftChars="-23" w:right="-65" w:rightChars="-31"/>
              <w:jc w:val="left"/>
              <w:rPr>
                <w:rFonts w:cs="宋体"/>
              </w:rPr>
            </w:pPr>
          </w:p>
        </w:tc>
        <w:tc>
          <w:tcPr>
            <w:tcW w:w="560" w:type="pct"/>
            <w:tcBorders>
              <w:left w:val="single" w:color="auto" w:sz="4" w:space="0"/>
              <w:bottom w:val="single" w:color="auto" w:sz="4" w:space="0"/>
            </w:tcBorders>
            <w:shd w:val="clear" w:color="auto" w:fill="auto"/>
            <w:vAlign w:val="center"/>
          </w:tcPr>
          <w:p w14:paraId="5FEE6D3D">
            <w:pPr>
              <w:spacing w:line="240" w:lineRule="atLeast"/>
              <w:ind w:left="-48" w:leftChars="-23" w:right="-65" w:rightChars="-31"/>
              <w:jc w:val="left"/>
              <w:rPr>
                <w:rFonts w:cs="宋体"/>
              </w:rPr>
            </w:pPr>
          </w:p>
        </w:tc>
        <w:tc>
          <w:tcPr>
            <w:tcW w:w="511" w:type="pct"/>
            <w:tcBorders>
              <w:left w:val="single" w:color="auto" w:sz="4" w:space="0"/>
              <w:bottom w:val="single" w:color="auto" w:sz="4" w:space="0"/>
            </w:tcBorders>
            <w:shd w:val="clear" w:color="auto" w:fill="auto"/>
            <w:vAlign w:val="center"/>
          </w:tcPr>
          <w:p w14:paraId="58E1AB87">
            <w:pPr>
              <w:spacing w:line="240" w:lineRule="atLeast"/>
              <w:ind w:left="-48" w:leftChars="-23" w:right="-65" w:rightChars="-31"/>
              <w:jc w:val="left"/>
              <w:rPr>
                <w:rFonts w:cs="宋体"/>
              </w:rPr>
            </w:pPr>
          </w:p>
          <w:p w14:paraId="647E493C"/>
        </w:tc>
        <w:tc>
          <w:tcPr>
            <w:tcW w:w="606" w:type="pct"/>
            <w:tcBorders>
              <w:left w:val="single" w:color="auto" w:sz="4" w:space="0"/>
              <w:bottom w:val="single" w:color="auto" w:sz="4" w:space="0"/>
            </w:tcBorders>
            <w:shd w:val="clear" w:color="auto" w:fill="auto"/>
            <w:vAlign w:val="center"/>
          </w:tcPr>
          <w:p w14:paraId="5BCC71EA"/>
        </w:tc>
        <w:tc>
          <w:tcPr>
            <w:tcW w:w="449" w:type="pct"/>
            <w:tcBorders>
              <w:left w:val="single" w:color="auto" w:sz="4" w:space="0"/>
              <w:bottom w:val="single" w:color="auto" w:sz="4" w:space="0"/>
            </w:tcBorders>
            <w:shd w:val="clear" w:color="auto" w:fill="auto"/>
            <w:vAlign w:val="center"/>
          </w:tcPr>
          <w:p w14:paraId="4D3B0628">
            <w:pPr>
              <w:spacing w:line="240" w:lineRule="atLeast"/>
              <w:ind w:left="-48" w:leftChars="-23" w:right="-65" w:rightChars="-31"/>
              <w:jc w:val="left"/>
              <w:rPr>
                <w:rFonts w:cs="宋体"/>
              </w:rPr>
            </w:pPr>
          </w:p>
        </w:tc>
        <w:tc>
          <w:tcPr>
            <w:tcW w:w="587" w:type="pct"/>
            <w:tcBorders>
              <w:left w:val="single" w:color="auto" w:sz="4" w:space="0"/>
              <w:bottom w:val="single" w:color="auto" w:sz="4" w:space="0"/>
            </w:tcBorders>
            <w:shd w:val="clear" w:color="auto" w:fill="auto"/>
            <w:vAlign w:val="center"/>
          </w:tcPr>
          <w:p w14:paraId="6C6818CD">
            <w:pPr>
              <w:spacing w:line="240" w:lineRule="atLeast"/>
              <w:ind w:left="-48" w:leftChars="-23" w:right="-65" w:rightChars="-31"/>
              <w:jc w:val="left"/>
              <w:rPr>
                <w:rFonts w:cs="宋体"/>
              </w:rPr>
            </w:pPr>
          </w:p>
        </w:tc>
      </w:tr>
    </w:tbl>
    <w:p w14:paraId="53C07191">
      <w:pPr>
        <w:spacing w:line="360" w:lineRule="auto"/>
        <w:jc w:val="left"/>
        <w:rPr>
          <w:szCs w:val="21"/>
        </w:rPr>
      </w:pPr>
    </w:p>
    <w:p w14:paraId="18D1A56A">
      <w:pPr>
        <w:spacing w:line="360" w:lineRule="auto"/>
        <w:jc w:val="left"/>
        <w:rPr>
          <w:szCs w:val="21"/>
        </w:rPr>
      </w:pPr>
      <w:r>
        <w:rPr>
          <w:rFonts w:hint="eastAsia"/>
          <w:szCs w:val="21"/>
        </w:rPr>
        <w:t>说明：项目具体成本测算等与报价合理性相关的书面说明及必要的证明材料，包括但不限于原材料成本、人工成本、制造费用等。</w:t>
      </w:r>
    </w:p>
    <w:p w14:paraId="3DC38FE7">
      <w:pPr>
        <w:spacing w:line="360" w:lineRule="auto"/>
        <w:ind w:firstLine="6090" w:firstLineChars="2900"/>
        <w:jc w:val="left"/>
        <w:rPr>
          <w:szCs w:val="21"/>
        </w:rPr>
      </w:pPr>
      <w:r>
        <w:rPr>
          <w:szCs w:val="21"/>
        </w:rPr>
        <w:t>供应商名称（</w:t>
      </w:r>
      <w:r>
        <w:rPr>
          <w:rFonts w:hint="eastAsia"/>
          <w:szCs w:val="21"/>
        </w:rPr>
        <w:t>电子签章</w:t>
      </w:r>
      <w:r>
        <w:rPr>
          <w:szCs w:val="21"/>
        </w:rPr>
        <w:t>）：</w:t>
      </w:r>
    </w:p>
    <w:p w14:paraId="127453D5">
      <w:pPr>
        <w:spacing w:line="360" w:lineRule="auto"/>
        <w:jc w:val="right"/>
        <w:rPr>
          <w:szCs w:val="21"/>
        </w:rPr>
      </w:pPr>
      <w:r>
        <w:rPr>
          <w:rFonts w:hint="eastAsia"/>
          <w:szCs w:val="21"/>
        </w:rPr>
        <w:t>法定代表人或者委托代理人（签字或者电子签名）：</w:t>
      </w:r>
      <w:r>
        <w:rPr>
          <w:szCs w:val="21"/>
          <w:u w:val="single"/>
        </w:rPr>
        <w:t xml:space="preserve">                          </w:t>
      </w:r>
    </w:p>
    <w:p w14:paraId="13C0CDBA">
      <w:pPr>
        <w:spacing w:line="360" w:lineRule="auto"/>
        <w:ind w:firstLine="6090" w:firstLineChars="2900"/>
        <w:jc w:val="left"/>
        <w:rPr>
          <w:szCs w:val="21"/>
        </w:rPr>
        <w:sectPr>
          <w:pgSz w:w="11906" w:h="16838"/>
          <w:pgMar w:top="1418" w:right="1133" w:bottom="1246" w:left="1418" w:header="851" w:footer="992" w:gutter="0"/>
          <w:cols w:space="720" w:num="1"/>
          <w:docGrid w:linePitch="312" w:charSpace="0"/>
        </w:sectPr>
      </w:pPr>
      <w:r>
        <w:rPr>
          <w:szCs w:val="21"/>
        </w:rPr>
        <w:t>日  期</w:t>
      </w:r>
      <w:r>
        <w:rPr>
          <w:rFonts w:hint="eastAsia"/>
          <w:szCs w:val="21"/>
        </w:rPr>
        <w:t>：</w:t>
      </w:r>
      <w:r>
        <w:rPr>
          <w:szCs w:val="21"/>
          <w:u w:val="single"/>
        </w:rPr>
        <w:t xml:space="preserve">         </w:t>
      </w:r>
      <w:r>
        <w:rPr>
          <w:szCs w:val="21"/>
        </w:rPr>
        <w:t>年</w:t>
      </w:r>
      <w:r>
        <w:rPr>
          <w:szCs w:val="21"/>
          <w:u w:val="single"/>
        </w:rPr>
        <w:t xml:space="preserve">   </w:t>
      </w:r>
      <w:r>
        <w:rPr>
          <w:szCs w:val="21"/>
        </w:rPr>
        <w:t>月</w:t>
      </w:r>
      <w:r>
        <w:rPr>
          <w:szCs w:val="21"/>
          <w:u w:val="single"/>
        </w:rPr>
        <w:t xml:space="preserve">   </w:t>
      </w:r>
      <w:r>
        <w:rPr>
          <w:szCs w:val="21"/>
        </w:rPr>
        <w:t>日</w:t>
      </w:r>
    </w:p>
    <w:bookmarkEnd w:id="141"/>
    <w:p w14:paraId="66A106A6">
      <w:pPr>
        <w:pStyle w:val="4"/>
        <w:tabs>
          <w:tab w:val="left" w:pos="312"/>
        </w:tabs>
        <w:spacing w:line="360" w:lineRule="auto"/>
        <w:rPr>
          <w:b w:val="0"/>
          <w:bCs w:val="0"/>
          <w:sz w:val="21"/>
          <w:szCs w:val="21"/>
        </w:rPr>
      </w:pPr>
      <w:r>
        <w:rPr>
          <w:rFonts w:hint="eastAsia"/>
          <w:b w:val="0"/>
          <w:bCs w:val="0"/>
          <w:sz w:val="21"/>
          <w:szCs w:val="21"/>
        </w:rPr>
        <w:t>其他文本格式</w:t>
      </w:r>
    </w:p>
    <w:p w14:paraId="4A890358">
      <w:pPr>
        <w:pStyle w:val="4"/>
        <w:tabs>
          <w:tab w:val="left" w:pos="312"/>
        </w:tabs>
        <w:spacing w:line="360" w:lineRule="auto"/>
        <w:rPr>
          <w:b w:val="0"/>
          <w:bCs w:val="0"/>
          <w:sz w:val="21"/>
          <w:szCs w:val="21"/>
        </w:rPr>
      </w:pPr>
      <w:r>
        <w:rPr>
          <w:rFonts w:hint="eastAsia"/>
          <w:b w:val="0"/>
          <w:bCs w:val="0"/>
          <w:sz w:val="21"/>
          <w:szCs w:val="21"/>
        </w:rPr>
        <w:t>1.质疑函格式</w:t>
      </w:r>
    </w:p>
    <w:p w14:paraId="0552162C">
      <w:pPr>
        <w:pStyle w:val="47"/>
        <w:spacing w:before="156" w:after="156"/>
      </w:pPr>
      <w:r>
        <w:rPr>
          <w:rFonts w:hint="eastAsia"/>
        </w:rPr>
        <w:t>质疑函</w:t>
      </w:r>
    </w:p>
    <w:p w14:paraId="3929493C">
      <w:pPr>
        <w:rPr>
          <w:b/>
          <w:bCs/>
          <w:lang w:val="zh-CN"/>
        </w:rPr>
      </w:pPr>
      <w:r>
        <w:rPr>
          <w:rFonts w:hint="eastAsia"/>
          <w:b/>
          <w:bCs/>
          <w:lang w:val="zh-CN"/>
        </w:rPr>
        <w:t>一、质疑供应商基本信息：</w:t>
      </w:r>
    </w:p>
    <w:p w14:paraId="7FEB65EC">
      <w:pPr>
        <w:pStyle w:val="50"/>
        <w:rPr>
          <w:u w:val="single"/>
          <w:lang w:val="zh-CN"/>
        </w:rPr>
      </w:pPr>
      <w:r>
        <w:rPr>
          <w:rFonts w:hint="eastAsia"/>
          <w:lang w:val="zh-CN"/>
        </w:rPr>
        <w:t>质疑供应商：</w:t>
      </w:r>
      <w:r>
        <w:rPr>
          <w:rFonts w:hint="eastAsia"/>
          <w:u w:val="single"/>
          <w:lang w:val="zh-CN"/>
        </w:rPr>
        <w:t xml:space="preserve">                                            </w:t>
      </w:r>
    </w:p>
    <w:p w14:paraId="04B21ADB">
      <w:pPr>
        <w:pStyle w:val="50"/>
        <w:rPr>
          <w:u w:val="single"/>
          <w:lang w:val="zh-CN"/>
        </w:rPr>
      </w:pPr>
      <w:r>
        <w:rPr>
          <w:lang w:val="zh-CN"/>
        </w:rPr>
        <w:t>地址</w:t>
      </w:r>
      <w:r>
        <w:rPr>
          <w:rFonts w:hint="eastAsia"/>
          <w:lang w:val="zh-CN"/>
        </w:rPr>
        <w:t>：</w:t>
      </w:r>
      <w:r>
        <w:rPr>
          <w:rFonts w:hint="eastAsia"/>
          <w:u w:val="single"/>
          <w:lang w:val="zh-CN"/>
        </w:rPr>
        <w:t xml:space="preserve">                    </w:t>
      </w:r>
      <w:r>
        <w:rPr>
          <w:rFonts w:hint="eastAsia"/>
          <w:lang w:val="zh-CN"/>
        </w:rPr>
        <w:t xml:space="preserve">   </w:t>
      </w:r>
      <w:r>
        <w:rPr>
          <w:lang w:val="zh-CN"/>
        </w:rPr>
        <w:t>邮编</w:t>
      </w:r>
      <w:r>
        <w:rPr>
          <w:rFonts w:hint="eastAsia"/>
          <w:lang w:val="zh-CN"/>
        </w:rPr>
        <w:t>：</w:t>
      </w:r>
      <w:r>
        <w:rPr>
          <w:rFonts w:hint="eastAsia"/>
          <w:u w:val="single"/>
          <w:lang w:val="zh-CN"/>
        </w:rPr>
        <w:t xml:space="preserve">        </w:t>
      </w:r>
      <w:r>
        <w:rPr>
          <w:rFonts w:hint="eastAsia"/>
          <w:u w:val="single"/>
        </w:rPr>
        <w:t xml:space="preserve">           </w:t>
      </w:r>
      <w:r>
        <w:rPr>
          <w:rFonts w:hint="eastAsia"/>
          <w:u w:val="single"/>
          <w:lang w:val="zh-CN"/>
        </w:rPr>
        <w:t xml:space="preserve"> </w:t>
      </w:r>
    </w:p>
    <w:p w14:paraId="3FBCEA72">
      <w:pPr>
        <w:pStyle w:val="50"/>
        <w:rPr>
          <w:u w:val="single"/>
          <w:lang w:val="zh-CN"/>
        </w:rPr>
      </w:pPr>
      <w:r>
        <w:rPr>
          <w:lang w:val="zh-CN"/>
        </w:rPr>
        <w:t>联系人</w:t>
      </w:r>
      <w:r>
        <w:rPr>
          <w:rFonts w:hint="eastAsia"/>
          <w:lang w:val="zh-CN"/>
        </w:rPr>
        <w:t>：</w:t>
      </w:r>
      <w:r>
        <w:rPr>
          <w:rFonts w:hint="eastAsia"/>
          <w:u w:val="single"/>
          <w:lang w:val="zh-CN"/>
        </w:rPr>
        <w:t xml:space="preserve">                   </w:t>
      </w:r>
      <w:r>
        <w:rPr>
          <w:rFonts w:hint="eastAsia"/>
          <w:lang w:val="zh-CN"/>
        </w:rPr>
        <w:t xml:space="preserve">  </w:t>
      </w:r>
      <w:r>
        <w:rPr>
          <w:lang w:val="zh-CN"/>
        </w:rPr>
        <w:t>联系电话</w:t>
      </w:r>
      <w:r>
        <w:rPr>
          <w:rFonts w:hint="eastAsia"/>
          <w:lang w:val="zh-CN"/>
        </w:rPr>
        <w:t>：</w:t>
      </w:r>
      <w:r>
        <w:rPr>
          <w:rFonts w:hint="eastAsia"/>
          <w:u w:val="single"/>
          <w:lang w:val="zh-CN"/>
        </w:rPr>
        <w:t xml:space="preserve">                 </w:t>
      </w:r>
    </w:p>
    <w:p w14:paraId="4D7AFBAB">
      <w:pPr>
        <w:pStyle w:val="50"/>
        <w:rPr>
          <w:u w:val="single"/>
          <w:lang w:val="zh-CN"/>
        </w:rPr>
      </w:pPr>
      <w:r>
        <w:rPr>
          <w:rFonts w:hint="eastAsia"/>
          <w:lang w:val="zh-CN"/>
        </w:rPr>
        <w:t>授权代表：</w:t>
      </w:r>
      <w:r>
        <w:rPr>
          <w:rFonts w:hint="eastAsia"/>
          <w:u w:val="single"/>
          <w:lang w:val="zh-CN"/>
        </w:rPr>
        <w:t xml:space="preserve">                  </w:t>
      </w:r>
      <w:r>
        <w:rPr>
          <w:rFonts w:hint="eastAsia"/>
          <w:u w:val="single"/>
        </w:rPr>
        <w:t xml:space="preserve">                        </w:t>
      </w:r>
      <w:r>
        <w:rPr>
          <w:rFonts w:hint="eastAsia"/>
          <w:u w:val="single"/>
          <w:lang w:val="zh-CN"/>
        </w:rPr>
        <w:t xml:space="preserve">    </w:t>
      </w:r>
    </w:p>
    <w:p w14:paraId="0215AA50">
      <w:pPr>
        <w:pStyle w:val="50"/>
        <w:rPr>
          <w:u w:val="single"/>
          <w:lang w:val="zh-CN"/>
        </w:rPr>
      </w:pPr>
      <w:r>
        <w:rPr>
          <w:lang w:val="zh-CN"/>
        </w:rPr>
        <w:t>联系</w:t>
      </w:r>
      <w:r>
        <w:rPr>
          <w:rFonts w:hint="eastAsia"/>
          <w:lang w:val="zh-CN"/>
        </w:rPr>
        <w:t>电话：</w:t>
      </w:r>
      <w:r>
        <w:rPr>
          <w:rFonts w:hint="eastAsia"/>
          <w:u w:val="single"/>
          <w:lang w:val="zh-CN"/>
        </w:rPr>
        <w:t xml:space="preserve">               </w:t>
      </w:r>
      <w:r>
        <w:rPr>
          <w:rFonts w:hint="eastAsia"/>
          <w:u w:val="single"/>
        </w:rPr>
        <w:t xml:space="preserve">                        </w:t>
      </w:r>
      <w:r>
        <w:rPr>
          <w:rFonts w:hint="eastAsia"/>
          <w:u w:val="single"/>
          <w:lang w:val="zh-CN"/>
        </w:rPr>
        <w:t xml:space="preserve">       </w:t>
      </w:r>
    </w:p>
    <w:p w14:paraId="143374B7">
      <w:pPr>
        <w:pStyle w:val="50"/>
        <w:rPr>
          <w:lang w:val="zh-CN"/>
        </w:rPr>
      </w:pPr>
      <w:r>
        <w:rPr>
          <w:lang w:val="zh-CN"/>
        </w:rPr>
        <w:t>地址</w:t>
      </w:r>
      <w:r>
        <w:rPr>
          <w:rFonts w:hint="eastAsia"/>
          <w:lang w:val="zh-CN"/>
        </w:rPr>
        <w:t>：</w:t>
      </w:r>
      <w:r>
        <w:rPr>
          <w:rFonts w:hint="eastAsia"/>
          <w:u w:val="single"/>
          <w:lang w:val="zh-CN"/>
        </w:rPr>
        <w:t xml:space="preserve">                    </w:t>
      </w:r>
      <w:r>
        <w:rPr>
          <w:rFonts w:hint="eastAsia"/>
          <w:lang w:val="zh-CN"/>
        </w:rPr>
        <w:t xml:space="preserve">   </w:t>
      </w:r>
      <w:r>
        <w:rPr>
          <w:lang w:val="zh-CN"/>
        </w:rPr>
        <w:t>邮编</w:t>
      </w:r>
      <w:r>
        <w:rPr>
          <w:rFonts w:hint="eastAsia"/>
          <w:lang w:val="zh-CN"/>
        </w:rPr>
        <w:t>：</w:t>
      </w:r>
      <w:r>
        <w:rPr>
          <w:rFonts w:hint="eastAsia"/>
          <w:u w:val="single"/>
          <w:lang w:val="zh-CN"/>
        </w:rPr>
        <w:t xml:space="preserve">        </w:t>
      </w:r>
      <w:r>
        <w:rPr>
          <w:rFonts w:hint="eastAsia"/>
          <w:u w:val="single"/>
        </w:rPr>
        <w:t xml:space="preserve">           </w:t>
      </w:r>
      <w:r>
        <w:rPr>
          <w:rFonts w:hint="eastAsia"/>
          <w:u w:val="single"/>
          <w:lang w:val="zh-CN"/>
        </w:rPr>
        <w:t xml:space="preserve"> </w:t>
      </w:r>
      <w:r>
        <w:rPr>
          <w:rFonts w:hint="eastAsia"/>
          <w:lang w:val="zh-CN"/>
        </w:rPr>
        <w:t xml:space="preserve"> </w:t>
      </w:r>
      <w:r>
        <w:rPr>
          <w:rFonts w:hint="eastAsia"/>
          <w:b/>
          <w:bCs/>
          <w:lang w:val="zh-CN"/>
        </w:rPr>
        <w:t>二、质疑项目基本情况：</w:t>
      </w:r>
    </w:p>
    <w:p w14:paraId="1511460F">
      <w:pPr>
        <w:pStyle w:val="50"/>
        <w:rPr>
          <w:u w:val="single"/>
          <w:lang w:val="zh-CN"/>
        </w:rPr>
      </w:pPr>
      <w:r>
        <w:rPr>
          <w:rFonts w:hint="eastAsia"/>
          <w:lang w:val="zh-CN"/>
        </w:rPr>
        <w:t>质疑项目的名称：</w:t>
      </w:r>
      <w:r>
        <w:rPr>
          <w:rFonts w:hint="eastAsia"/>
          <w:u w:val="single"/>
          <w:lang w:val="zh-CN"/>
        </w:rPr>
        <w:t xml:space="preserve">                            </w:t>
      </w:r>
      <w:r>
        <w:rPr>
          <w:rFonts w:hint="eastAsia"/>
          <w:u w:val="single"/>
        </w:rPr>
        <w:t xml:space="preserve">    </w:t>
      </w:r>
      <w:r>
        <w:rPr>
          <w:rFonts w:hint="eastAsia"/>
          <w:u w:val="single"/>
          <w:lang w:val="zh-CN"/>
        </w:rPr>
        <w:t xml:space="preserve">        </w:t>
      </w:r>
    </w:p>
    <w:p w14:paraId="52B9730F">
      <w:pPr>
        <w:pStyle w:val="50"/>
        <w:rPr>
          <w:u w:val="single"/>
          <w:lang w:val="zh-CN"/>
        </w:rPr>
      </w:pPr>
      <w:r>
        <w:rPr>
          <w:rFonts w:hint="eastAsia"/>
          <w:lang w:val="zh-CN"/>
        </w:rPr>
        <w:t>质疑项目的编号：</w:t>
      </w:r>
      <w:r>
        <w:rPr>
          <w:rFonts w:hint="eastAsia"/>
          <w:u w:val="single"/>
          <w:lang w:val="zh-CN"/>
        </w:rPr>
        <w:t xml:space="preserve">                            </w:t>
      </w:r>
      <w:r>
        <w:rPr>
          <w:rFonts w:hint="eastAsia"/>
          <w:u w:val="single"/>
        </w:rPr>
        <w:t xml:space="preserve">    </w:t>
      </w:r>
      <w:r>
        <w:rPr>
          <w:rFonts w:hint="eastAsia"/>
          <w:u w:val="single"/>
          <w:lang w:val="zh-CN"/>
        </w:rPr>
        <w:t xml:space="preserve">       </w:t>
      </w:r>
    </w:p>
    <w:p w14:paraId="2F7FD679">
      <w:pPr>
        <w:pStyle w:val="50"/>
        <w:rPr>
          <w:u w:val="single"/>
          <w:lang w:val="zh-CN"/>
        </w:rPr>
      </w:pPr>
      <w:r>
        <w:rPr>
          <w:rFonts w:hint="eastAsia"/>
          <w:lang w:val="zh-CN"/>
        </w:rPr>
        <w:t>采购人名称：</w:t>
      </w:r>
      <w:r>
        <w:rPr>
          <w:rFonts w:hint="eastAsia"/>
          <w:u w:val="single"/>
          <w:lang w:val="zh-CN"/>
        </w:rPr>
        <w:t xml:space="preserve">                            </w:t>
      </w:r>
      <w:r>
        <w:rPr>
          <w:rFonts w:hint="eastAsia"/>
          <w:u w:val="single"/>
        </w:rPr>
        <w:t xml:space="preserve">    </w:t>
      </w:r>
      <w:r>
        <w:rPr>
          <w:rFonts w:hint="eastAsia"/>
          <w:u w:val="single"/>
          <w:lang w:val="zh-CN"/>
        </w:rPr>
        <w:t xml:space="preserve"> </w:t>
      </w:r>
      <w:r>
        <w:rPr>
          <w:rFonts w:hint="eastAsia"/>
          <w:u w:val="single"/>
        </w:rPr>
        <w:t xml:space="preserve">    </w:t>
      </w:r>
      <w:r>
        <w:rPr>
          <w:rFonts w:hint="eastAsia"/>
          <w:u w:val="single"/>
          <w:lang w:val="zh-CN"/>
        </w:rPr>
        <w:t xml:space="preserve">      </w:t>
      </w:r>
    </w:p>
    <w:p w14:paraId="5653B97F">
      <w:pPr>
        <w:pStyle w:val="50"/>
        <w:rPr>
          <w:lang w:val="zh-CN"/>
        </w:rPr>
      </w:pPr>
      <w:r>
        <w:rPr>
          <w:rFonts w:hint="eastAsia"/>
          <w:lang w:val="zh-CN"/>
        </w:rPr>
        <w:t>质疑事项：</w:t>
      </w:r>
    </w:p>
    <w:p w14:paraId="6500194C">
      <w:pPr>
        <w:pStyle w:val="50"/>
        <w:rPr>
          <w:u w:val="single"/>
          <w:lang w:val="zh-CN"/>
        </w:rPr>
      </w:pPr>
      <w:r>
        <w:rPr>
          <w:rFonts w:hint="eastAsia"/>
          <w:lang w:val="zh-CN"/>
        </w:rPr>
        <w:t>□采购文件   采购文件获取日期：</w:t>
      </w:r>
      <w:r>
        <w:rPr>
          <w:rFonts w:hint="eastAsia"/>
          <w:u w:val="single"/>
          <w:lang w:val="zh-CN"/>
        </w:rPr>
        <w:t xml:space="preserve">        </w:t>
      </w:r>
      <w:r>
        <w:rPr>
          <w:rFonts w:hint="eastAsia"/>
          <w:u w:val="single"/>
        </w:rPr>
        <w:t xml:space="preserve">                </w:t>
      </w:r>
      <w:r>
        <w:rPr>
          <w:rFonts w:hint="eastAsia"/>
          <w:u w:val="single"/>
          <w:lang w:val="zh-CN"/>
        </w:rPr>
        <w:t xml:space="preserve"> </w:t>
      </w:r>
    </w:p>
    <w:p w14:paraId="4FD7627B">
      <w:pPr>
        <w:pStyle w:val="50"/>
        <w:rPr>
          <w:lang w:val="zh-CN"/>
        </w:rPr>
      </w:pPr>
      <w:r>
        <w:rPr>
          <w:rFonts w:hint="eastAsia"/>
          <w:lang w:val="zh-CN"/>
        </w:rPr>
        <w:t xml:space="preserve">□采购过程   </w:t>
      </w:r>
    </w:p>
    <w:p w14:paraId="14E9FBC7">
      <w:pPr>
        <w:pStyle w:val="50"/>
        <w:rPr>
          <w:lang w:val="zh-CN"/>
        </w:rPr>
      </w:pPr>
      <w:r>
        <w:rPr>
          <w:rFonts w:hint="eastAsia"/>
          <w:lang w:val="zh-CN"/>
        </w:rPr>
        <w:t>□</w:t>
      </w:r>
      <w:r>
        <w:rPr>
          <w:rFonts w:hint="eastAsia"/>
        </w:rPr>
        <w:t>采购</w:t>
      </w:r>
      <w:r>
        <w:rPr>
          <w:rFonts w:hint="eastAsia"/>
          <w:lang w:val="zh-CN"/>
        </w:rPr>
        <w:t xml:space="preserve">结果   </w:t>
      </w:r>
    </w:p>
    <w:p w14:paraId="6F6CB4C4">
      <w:pPr>
        <w:rPr>
          <w:b/>
          <w:bCs/>
          <w:lang w:val="zh-CN"/>
        </w:rPr>
      </w:pPr>
      <w:r>
        <w:rPr>
          <w:rFonts w:hint="eastAsia"/>
          <w:b/>
          <w:bCs/>
          <w:lang w:val="zh-CN"/>
        </w:rPr>
        <w:t>三、质疑事项具体内容</w:t>
      </w:r>
    </w:p>
    <w:p w14:paraId="385FBB3D">
      <w:pPr>
        <w:pStyle w:val="50"/>
        <w:rPr>
          <w:u w:val="single"/>
          <w:lang w:val="zh-CN"/>
        </w:rPr>
      </w:pPr>
      <w:r>
        <w:rPr>
          <w:rFonts w:hint="eastAsia"/>
          <w:lang w:val="zh-CN"/>
        </w:rPr>
        <w:t>质疑事项1：</w:t>
      </w:r>
      <w:r>
        <w:rPr>
          <w:rFonts w:hint="eastAsia"/>
          <w:u w:val="single"/>
          <w:lang w:val="zh-CN"/>
        </w:rPr>
        <w:t xml:space="preserve">                           </w:t>
      </w:r>
      <w:r>
        <w:rPr>
          <w:rFonts w:hint="eastAsia"/>
          <w:u w:val="single"/>
        </w:rPr>
        <w:t xml:space="preserve">     </w:t>
      </w:r>
      <w:r>
        <w:rPr>
          <w:rFonts w:hint="eastAsia"/>
          <w:u w:val="single"/>
          <w:lang w:val="zh-CN"/>
        </w:rPr>
        <w:t xml:space="preserve"> </w:t>
      </w:r>
      <w:r>
        <w:rPr>
          <w:rFonts w:hint="eastAsia"/>
          <w:u w:val="single"/>
        </w:rPr>
        <w:t xml:space="preserve">    </w:t>
      </w:r>
      <w:r>
        <w:rPr>
          <w:rFonts w:hint="eastAsia"/>
          <w:u w:val="single"/>
          <w:lang w:val="zh-CN"/>
        </w:rPr>
        <w:t xml:space="preserve"> </w:t>
      </w:r>
      <w:r>
        <w:rPr>
          <w:rFonts w:hint="eastAsia"/>
          <w:u w:val="single"/>
        </w:rPr>
        <w:t xml:space="preserve">    </w:t>
      </w:r>
      <w:r>
        <w:rPr>
          <w:rFonts w:hint="eastAsia"/>
          <w:u w:val="single"/>
          <w:lang w:val="zh-CN"/>
        </w:rPr>
        <w:t xml:space="preserve">  </w:t>
      </w:r>
    </w:p>
    <w:p w14:paraId="4B9EECB3">
      <w:pPr>
        <w:pStyle w:val="50"/>
        <w:rPr>
          <w:u w:val="single"/>
          <w:lang w:val="zh-CN"/>
        </w:rPr>
      </w:pPr>
      <w:r>
        <w:rPr>
          <w:rFonts w:hint="eastAsia"/>
          <w:lang w:val="zh-CN"/>
        </w:rPr>
        <w:t>事实依据：</w:t>
      </w:r>
      <w:r>
        <w:rPr>
          <w:rFonts w:hint="eastAsia"/>
          <w:u w:val="single"/>
          <w:lang w:val="zh-CN"/>
        </w:rPr>
        <w:t xml:space="preserve">                            </w:t>
      </w:r>
      <w:r>
        <w:rPr>
          <w:rFonts w:hint="eastAsia"/>
          <w:u w:val="single"/>
        </w:rPr>
        <w:t xml:space="preserve">    </w:t>
      </w:r>
      <w:r>
        <w:rPr>
          <w:rFonts w:hint="eastAsia"/>
          <w:u w:val="single"/>
          <w:lang w:val="zh-CN"/>
        </w:rPr>
        <w:t xml:space="preserve"> </w:t>
      </w:r>
      <w:r>
        <w:rPr>
          <w:rFonts w:hint="eastAsia"/>
          <w:u w:val="single"/>
        </w:rPr>
        <w:t xml:space="preserve">    </w:t>
      </w:r>
      <w:r>
        <w:rPr>
          <w:rFonts w:hint="eastAsia"/>
          <w:u w:val="single"/>
          <w:lang w:val="zh-CN"/>
        </w:rPr>
        <w:t xml:space="preserve">   </w:t>
      </w:r>
      <w:r>
        <w:rPr>
          <w:rFonts w:hint="eastAsia"/>
          <w:u w:val="single"/>
        </w:rPr>
        <w:t xml:space="preserve">   </w:t>
      </w:r>
      <w:r>
        <w:rPr>
          <w:rFonts w:hint="eastAsia"/>
          <w:u w:val="single"/>
          <w:lang w:val="zh-CN"/>
        </w:rPr>
        <w:t xml:space="preserve">   </w:t>
      </w:r>
    </w:p>
    <w:p w14:paraId="2AEB6B31">
      <w:pPr>
        <w:pStyle w:val="50"/>
        <w:rPr>
          <w:lang w:val="zh-CN"/>
        </w:rPr>
      </w:pPr>
      <w:r>
        <w:rPr>
          <w:rFonts w:hint="eastAsia"/>
          <w:lang w:val="zh-CN"/>
        </w:rPr>
        <w:t>法律依据：</w:t>
      </w:r>
      <w:r>
        <w:rPr>
          <w:rFonts w:hint="eastAsia"/>
          <w:u w:val="single"/>
          <w:lang w:val="zh-CN"/>
        </w:rPr>
        <w:t xml:space="preserve">                            </w:t>
      </w:r>
      <w:r>
        <w:rPr>
          <w:rFonts w:hint="eastAsia"/>
          <w:u w:val="single"/>
        </w:rPr>
        <w:t xml:space="preserve">    </w:t>
      </w:r>
      <w:r>
        <w:rPr>
          <w:rFonts w:hint="eastAsia"/>
          <w:u w:val="single"/>
          <w:lang w:val="zh-CN"/>
        </w:rPr>
        <w:t xml:space="preserve"> </w:t>
      </w:r>
      <w:r>
        <w:rPr>
          <w:rFonts w:hint="eastAsia"/>
          <w:u w:val="single"/>
        </w:rPr>
        <w:t xml:space="preserve">      </w:t>
      </w:r>
      <w:r>
        <w:rPr>
          <w:rFonts w:hint="eastAsia"/>
          <w:u w:val="single"/>
          <w:lang w:val="zh-CN"/>
        </w:rPr>
        <w:t xml:space="preserve">      </w:t>
      </w:r>
    </w:p>
    <w:p w14:paraId="247BFA50">
      <w:pPr>
        <w:pStyle w:val="50"/>
        <w:rPr>
          <w:lang w:val="zh-CN"/>
        </w:rPr>
      </w:pPr>
      <w:r>
        <w:rPr>
          <w:rFonts w:hint="eastAsia"/>
          <w:lang w:val="zh-CN"/>
        </w:rPr>
        <w:t>质疑事项2</w:t>
      </w:r>
    </w:p>
    <w:p w14:paraId="433E9BCA">
      <w:pPr>
        <w:pStyle w:val="50"/>
        <w:rPr>
          <w:lang w:val="zh-CN"/>
        </w:rPr>
      </w:pPr>
      <w:r>
        <w:rPr>
          <w:lang w:val="zh-CN"/>
        </w:rPr>
        <w:t>……</w:t>
      </w:r>
    </w:p>
    <w:p w14:paraId="53EB6E39">
      <w:pPr>
        <w:rPr>
          <w:b/>
          <w:bCs/>
          <w:lang w:val="zh-CN"/>
        </w:rPr>
      </w:pPr>
      <w:r>
        <w:rPr>
          <w:rFonts w:hint="eastAsia"/>
          <w:b/>
          <w:bCs/>
          <w:lang w:val="zh-CN"/>
        </w:rPr>
        <w:t>四、与质疑事项相关的质疑请求：</w:t>
      </w:r>
    </w:p>
    <w:p w14:paraId="09F05262">
      <w:pPr>
        <w:pStyle w:val="50"/>
        <w:rPr>
          <w:u w:val="single"/>
          <w:lang w:val="zh-CN"/>
        </w:rPr>
      </w:pPr>
      <w:r>
        <w:rPr>
          <w:rFonts w:hint="eastAsia"/>
          <w:lang w:val="zh-CN"/>
        </w:rPr>
        <w:t>请求：</w:t>
      </w:r>
      <w:r>
        <w:rPr>
          <w:rFonts w:hint="eastAsia"/>
          <w:u w:val="single"/>
          <w:lang w:val="zh-CN"/>
        </w:rPr>
        <w:t xml:space="preserve">                                                  </w:t>
      </w:r>
    </w:p>
    <w:p w14:paraId="63952CA0">
      <w:pPr>
        <w:pStyle w:val="50"/>
        <w:rPr>
          <w:lang w:val="zh-CN"/>
        </w:rPr>
      </w:pPr>
    </w:p>
    <w:p w14:paraId="6CDDEAB6">
      <w:pPr>
        <w:pStyle w:val="50"/>
        <w:rPr>
          <w:lang w:val="zh-CN"/>
        </w:rPr>
      </w:pPr>
      <w:r>
        <w:rPr>
          <w:rFonts w:hint="eastAsia"/>
          <w:lang w:val="zh-CN"/>
        </w:rPr>
        <w:t>签字（签章）：                          公章：</w:t>
      </w:r>
    </w:p>
    <w:p w14:paraId="18823A3C">
      <w:pPr>
        <w:pStyle w:val="50"/>
        <w:rPr>
          <w:lang w:val="zh-CN"/>
        </w:rPr>
      </w:pPr>
      <w:r>
        <w:rPr>
          <w:rFonts w:hint="eastAsia"/>
          <w:lang w:val="zh-CN"/>
        </w:rPr>
        <w:t>日期：</w:t>
      </w:r>
    </w:p>
    <w:p w14:paraId="5700DBD9">
      <w:pPr>
        <w:pStyle w:val="50"/>
        <w:ind w:firstLine="0" w:firstLineChars="0"/>
        <w:rPr>
          <w:b/>
          <w:bCs/>
          <w:lang w:val="zh-CN"/>
        </w:rPr>
      </w:pPr>
    </w:p>
    <w:p w14:paraId="56FEFBAE">
      <w:pPr>
        <w:pStyle w:val="50"/>
        <w:ind w:firstLine="0" w:firstLineChars="0"/>
        <w:rPr>
          <w:b/>
          <w:bCs/>
          <w:lang w:val="zh-CN"/>
        </w:rPr>
      </w:pPr>
      <w:r>
        <w:rPr>
          <w:rFonts w:hint="eastAsia"/>
          <w:b/>
          <w:bCs/>
          <w:lang w:val="zh-CN"/>
        </w:rPr>
        <w:t>说明：</w:t>
      </w:r>
    </w:p>
    <w:p w14:paraId="0F0A38FA">
      <w:pPr>
        <w:pStyle w:val="50"/>
        <w:ind w:firstLine="422"/>
        <w:rPr>
          <w:b/>
          <w:bCs/>
          <w:lang w:val="zh-CN"/>
        </w:rPr>
      </w:pPr>
      <w:r>
        <w:rPr>
          <w:rFonts w:hint="eastAsia"/>
          <w:b/>
          <w:bCs/>
          <w:lang w:val="zh-CN"/>
        </w:rPr>
        <w:t>1.供应商提出质疑时，应提交质疑函和必要的证明材料。</w:t>
      </w:r>
    </w:p>
    <w:p w14:paraId="16387E7A">
      <w:pPr>
        <w:pStyle w:val="50"/>
        <w:ind w:firstLine="422"/>
        <w:rPr>
          <w:b/>
          <w:bCs/>
          <w:lang w:val="zh-CN"/>
        </w:rPr>
      </w:pPr>
      <w:r>
        <w:rPr>
          <w:rFonts w:hint="eastAsia"/>
          <w:b/>
          <w:bCs/>
          <w:lang w:val="zh-CN"/>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1058D5E1">
      <w:pPr>
        <w:pStyle w:val="50"/>
        <w:ind w:firstLine="422"/>
        <w:rPr>
          <w:b/>
          <w:bCs/>
          <w:lang w:val="zh-CN"/>
        </w:rPr>
      </w:pPr>
      <w:r>
        <w:rPr>
          <w:rFonts w:hint="eastAsia"/>
          <w:b/>
          <w:bCs/>
          <w:lang w:val="zh-CN"/>
        </w:rPr>
        <w:t>3.质疑函的质疑事项应具体、明确，并有必要的事实依据和法律依据。</w:t>
      </w:r>
    </w:p>
    <w:p w14:paraId="3B11DE1F">
      <w:pPr>
        <w:pStyle w:val="50"/>
        <w:ind w:firstLine="422"/>
        <w:rPr>
          <w:b/>
          <w:bCs/>
          <w:lang w:val="zh-CN"/>
        </w:rPr>
      </w:pPr>
      <w:r>
        <w:rPr>
          <w:rFonts w:hint="eastAsia"/>
          <w:b/>
          <w:bCs/>
          <w:lang w:val="zh-CN"/>
        </w:rPr>
        <w:t>4.质疑函的质疑请求应与质疑事项相关。</w:t>
      </w:r>
    </w:p>
    <w:p w14:paraId="37832CBF">
      <w:pPr>
        <w:pStyle w:val="50"/>
        <w:ind w:firstLine="422"/>
        <w:rPr>
          <w:b/>
          <w:bCs/>
          <w:lang w:val="zh-CN"/>
        </w:rPr>
      </w:pPr>
      <w:r>
        <w:rPr>
          <w:rFonts w:hint="eastAsia"/>
          <w:b/>
          <w:bCs/>
          <w:lang w:val="zh-CN"/>
        </w:rPr>
        <w:t>5.质疑供应商为法人或者其他组织的，质疑函应由法定代表人、主要负责人，或者其授权代表签字或者盖章，并加盖公章。</w:t>
      </w:r>
    </w:p>
    <w:p w14:paraId="3E585AED">
      <w:pPr>
        <w:snapToGrid w:val="0"/>
        <w:rPr>
          <w:rFonts w:hAnsi="Courier New"/>
          <w:b/>
          <w:kern w:val="0"/>
          <w:sz w:val="24"/>
          <w:lang w:val="zh-CN"/>
        </w:rPr>
      </w:pPr>
    </w:p>
    <w:p w14:paraId="5EA51122"/>
    <w:p w14:paraId="7D8F39C9">
      <w:pPr>
        <w:pStyle w:val="4"/>
        <w:tabs>
          <w:tab w:val="left" w:pos="312"/>
        </w:tabs>
        <w:spacing w:line="360" w:lineRule="auto"/>
        <w:rPr>
          <w:b w:val="0"/>
          <w:bCs w:val="0"/>
          <w:sz w:val="21"/>
          <w:szCs w:val="21"/>
        </w:rPr>
      </w:pPr>
    </w:p>
    <w:p w14:paraId="7AA8DE8F">
      <w:pPr>
        <w:pStyle w:val="4"/>
        <w:tabs>
          <w:tab w:val="left" w:pos="312"/>
        </w:tabs>
        <w:spacing w:line="360" w:lineRule="auto"/>
        <w:rPr>
          <w:b w:val="0"/>
          <w:bCs w:val="0"/>
          <w:sz w:val="21"/>
          <w:szCs w:val="21"/>
        </w:rPr>
      </w:pPr>
    </w:p>
    <w:p w14:paraId="3B6F0E9C">
      <w:pPr>
        <w:pStyle w:val="4"/>
        <w:tabs>
          <w:tab w:val="left" w:pos="312"/>
        </w:tabs>
        <w:spacing w:line="360" w:lineRule="auto"/>
        <w:rPr>
          <w:b w:val="0"/>
          <w:bCs w:val="0"/>
          <w:sz w:val="21"/>
          <w:szCs w:val="21"/>
        </w:rPr>
      </w:pPr>
    </w:p>
    <w:p w14:paraId="2E90377C">
      <w:pPr>
        <w:rPr>
          <w:szCs w:val="21"/>
        </w:rPr>
      </w:pPr>
    </w:p>
    <w:p w14:paraId="6DAD6E74">
      <w:pPr>
        <w:rPr>
          <w:szCs w:val="21"/>
        </w:rPr>
      </w:pPr>
    </w:p>
    <w:p w14:paraId="31735340">
      <w:pPr>
        <w:rPr>
          <w:szCs w:val="21"/>
        </w:rPr>
      </w:pPr>
    </w:p>
    <w:p w14:paraId="304D8283">
      <w:pPr>
        <w:rPr>
          <w:szCs w:val="21"/>
        </w:rPr>
      </w:pPr>
    </w:p>
    <w:p w14:paraId="2894A146">
      <w:pPr>
        <w:rPr>
          <w:szCs w:val="21"/>
        </w:rPr>
      </w:pPr>
    </w:p>
    <w:p w14:paraId="68FBD16B">
      <w:pPr>
        <w:rPr>
          <w:szCs w:val="21"/>
        </w:rPr>
      </w:pPr>
    </w:p>
    <w:p w14:paraId="1F9DF1A8">
      <w:pPr>
        <w:rPr>
          <w:szCs w:val="21"/>
        </w:rPr>
      </w:pPr>
    </w:p>
    <w:p w14:paraId="094C7035">
      <w:pPr>
        <w:rPr>
          <w:szCs w:val="21"/>
        </w:rPr>
      </w:pPr>
    </w:p>
    <w:p w14:paraId="5479613E">
      <w:pPr>
        <w:rPr>
          <w:szCs w:val="21"/>
        </w:rPr>
      </w:pPr>
    </w:p>
    <w:p w14:paraId="4F946602">
      <w:pPr>
        <w:rPr>
          <w:szCs w:val="21"/>
        </w:rPr>
      </w:pPr>
    </w:p>
    <w:p w14:paraId="0B1A3671">
      <w:pPr>
        <w:rPr>
          <w:szCs w:val="21"/>
        </w:rPr>
      </w:pPr>
    </w:p>
    <w:p w14:paraId="07A74D1E">
      <w:pPr>
        <w:rPr>
          <w:szCs w:val="21"/>
        </w:rPr>
      </w:pPr>
    </w:p>
    <w:p w14:paraId="384636FD">
      <w:pPr>
        <w:rPr>
          <w:szCs w:val="21"/>
        </w:rPr>
      </w:pPr>
    </w:p>
    <w:p w14:paraId="78B85F80">
      <w:pPr>
        <w:rPr>
          <w:szCs w:val="21"/>
        </w:rPr>
      </w:pPr>
    </w:p>
    <w:p w14:paraId="5434984D">
      <w:pPr>
        <w:rPr>
          <w:szCs w:val="21"/>
        </w:rPr>
      </w:pPr>
    </w:p>
    <w:p w14:paraId="00C3A3E8">
      <w:pPr>
        <w:rPr>
          <w:szCs w:val="21"/>
        </w:rPr>
      </w:pPr>
    </w:p>
    <w:p w14:paraId="6C73BE44">
      <w:pPr>
        <w:rPr>
          <w:szCs w:val="21"/>
        </w:rPr>
      </w:pPr>
    </w:p>
    <w:p w14:paraId="2F571F61">
      <w:pPr>
        <w:rPr>
          <w:szCs w:val="21"/>
        </w:rPr>
      </w:pPr>
    </w:p>
    <w:p w14:paraId="3C5BA82D">
      <w:pPr>
        <w:rPr>
          <w:szCs w:val="21"/>
        </w:rPr>
      </w:pPr>
    </w:p>
    <w:p w14:paraId="234F9B52">
      <w:pPr>
        <w:rPr>
          <w:szCs w:val="21"/>
        </w:rPr>
      </w:pPr>
    </w:p>
    <w:p w14:paraId="40064B84">
      <w:pPr>
        <w:rPr>
          <w:szCs w:val="21"/>
        </w:rPr>
      </w:pPr>
    </w:p>
    <w:p w14:paraId="4C8BDFAB">
      <w:pPr>
        <w:rPr>
          <w:szCs w:val="21"/>
        </w:rPr>
      </w:pPr>
    </w:p>
    <w:p w14:paraId="2D107F5C">
      <w:pPr>
        <w:rPr>
          <w:szCs w:val="21"/>
        </w:rPr>
      </w:pPr>
    </w:p>
    <w:p w14:paraId="6CF2B6E6">
      <w:pPr>
        <w:rPr>
          <w:szCs w:val="21"/>
        </w:rPr>
      </w:pPr>
    </w:p>
    <w:p w14:paraId="365F8486">
      <w:pPr>
        <w:rPr>
          <w:szCs w:val="21"/>
        </w:rPr>
      </w:pPr>
    </w:p>
    <w:p w14:paraId="096BE2F9">
      <w:pPr>
        <w:rPr>
          <w:szCs w:val="21"/>
        </w:rPr>
      </w:pPr>
    </w:p>
    <w:p w14:paraId="0AEF1937">
      <w:pPr>
        <w:rPr>
          <w:szCs w:val="21"/>
        </w:rPr>
      </w:pPr>
    </w:p>
    <w:p w14:paraId="11A713A6">
      <w:pPr>
        <w:rPr>
          <w:szCs w:val="21"/>
        </w:rPr>
      </w:pPr>
    </w:p>
    <w:p w14:paraId="51A9716A">
      <w:pPr>
        <w:rPr>
          <w:szCs w:val="21"/>
        </w:rPr>
      </w:pPr>
    </w:p>
    <w:p w14:paraId="6C70CC7E">
      <w:pPr>
        <w:rPr>
          <w:szCs w:val="21"/>
        </w:rPr>
      </w:pPr>
    </w:p>
    <w:p w14:paraId="3E61E793">
      <w:pPr>
        <w:rPr>
          <w:szCs w:val="21"/>
        </w:rPr>
      </w:pPr>
    </w:p>
    <w:p w14:paraId="4CFDB829">
      <w:pPr>
        <w:rPr>
          <w:szCs w:val="21"/>
        </w:rPr>
      </w:pPr>
    </w:p>
    <w:p w14:paraId="3C8EDADB">
      <w:pPr>
        <w:pStyle w:val="4"/>
        <w:tabs>
          <w:tab w:val="left" w:pos="312"/>
        </w:tabs>
        <w:spacing w:line="360" w:lineRule="auto"/>
        <w:rPr>
          <w:b w:val="0"/>
          <w:bCs w:val="0"/>
          <w:sz w:val="21"/>
          <w:szCs w:val="21"/>
        </w:rPr>
      </w:pPr>
    </w:p>
    <w:p w14:paraId="4F6ED4DB">
      <w:pPr>
        <w:pStyle w:val="4"/>
        <w:tabs>
          <w:tab w:val="left" w:pos="312"/>
        </w:tabs>
        <w:spacing w:line="360" w:lineRule="auto"/>
        <w:rPr>
          <w:b w:val="0"/>
          <w:bCs w:val="0"/>
          <w:sz w:val="21"/>
          <w:szCs w:val="21"/>
        </w:rPr>
      </w:pPr>
    </w:p>
    <w:p w14:paraId="69E8B278"/>
    <w:p w14:paraId="1F13886D">
      <w:pPr>
        <w:pStyle w:val="4"/>
        <w:tabs>
          <w:tab w:val="left" w:pos="312"/>
        </w:tabs>
        <w:spacing w:line="360" w:lineRule="auto"/>
        <w:rPr>
          <w:b w:val="0"/>
          <w:bCs w:val="0"/>
          <w:sz w:val="21"/>
          <w:szCs w:val="21"/>
        </w:rPr>
      </w:pPr>
      <w:r>
        <w:rPr>
          <w:rFonts w:hint="eastAsia"/>
          <w:b w:val="0"/>
          <w:bCs w:val="0"/>
          <w:sz w:val="21"/>
          <w:szCs w:val="21"/>
        </w:rPr>
        <w:t>2.投诉书格式</w:t>
      </w:r>
    </w:p>
    <w:p w14:paraId="4B65877A">
      <w:pPr>
        <w:pStyle w:val="47"/>
        <w:spacing w:before="156" w:after="156"/>
      </w:pPr>
      <w:r>
        <w:rPr>
          <w:rFonts w:hint="eastAsia"/>
        </w:rPr>
        <w:t>投诉书</w:t>
      </w:r>
    </w:p>
    <w:p w14:paraId="110B30E9">
      <w:pPr>
        <w:rPr>
          <w:b/>
          <w:bCs/>
          <w:lang w:val="zh-CN"/>
        </w:rPr>
      </w:pPr>
      <w:r>
        <w:rPr>
          <w:rFonts w:hint="eastAsia"/>
          <w:b/>
          <w:bCs/>
          <w:lang w:val="zh-CN"/>
        </w:rPr>
        <w:t>一、投诉相关主体基本情况：</w:t>
      </w:r>
    </w:p>
    <w:p w14:paraId="75600919">
      <w:pPr>
        <w:pStyle w:val="50"/>
        <w:rPr>
          <w:u w:val="single"/>
          <w:lang w:val="zh-CN"/>
        </w:rPr>
      </w:pPr>
      <w:r>
        <w:rPr>
          <w:rFonts w:hint="eastAsia"/>
        </w:rPr>
        <w:t>投标人</w:t>
      </w:r>
      <w:r>
        <w:rPr>
          <w:rFonts w:hint="eastAsia"/>
          <w:lang w:val="zh-CN"/>
        </w:rPr>
        <w:t>：</w:t>
      </w:r>
      <w:r>
        <w:rPr>
          <w:rFonts w:hint="eastAsia"/>
          <w:u w:val="single"/>
          <w:lang w:val="zh-CN"/>
        </w:rPr>
        <w:t xml:space="preserve">                                             </w:t>
      </w:r>
      <w:r>
        <w:rPr>
          <w:rFonts w:hint="eastAsia"/>
          <w:u w:val="single"/>
        </w:rPr>
        <w:t xml:space="preserve"> </w:t>
      </w:r>
      <w:r>
        <w:rPr>
          <w:rFonts w:hint="eastAsia"/>
          <w:u w:val="single"/>
          <w:lang w:val="zh-CN"/>
        </w:rPr>
        <w:t xml:space="preserve">  </w:t>
      </w:r>
    </w:p>
    <w:p w14:paraId="0049F59A">
      <w:pPr>
        <w:pStyle w:val="50"/>
        <w:rPr>
          <w:u w:val="single"/>
          <w:lang w:val="zh-CN"/>
        </w:rPr>
      </w:pPr>
      <w:r>
        <w:rPr>
          <w:lang w:val="zh-CN"/>
        </w:rPr>
        <w:t>地址</w:t>
      </w:r>
      <w:r>
        <w:rPr>
          <w:rFonts w:hint="eastAsia"/>
          <w:lang w:val="zh-CN"/>
        </w:rPr>
        <w:t>：</w:t>
      </w:r>
      <w:r>
        <w:rPr>
          <w:rFonts w:hint="eastAsia"/>
          <w:u w:val="single"/>
          <w:lang w:val="zh-CN"/>
        </w:rPr>
        <w:t xml:space="preserve">                    </w:t>
      </w:r>
      <w:r>
        <w:rPr>
          <w:rFonts w:hint="eastAsia"/>
          <w:lang w:val="zh-CN"/>
        </w:rPr>
        <w:t xml:space="preserve">   </w:t>
      </w:r>
      <w:r>
        <w:rPr>
          <w:lang w:val="zh-CN"/>
        </w:rPr>
        <w:t>邮编</w:t>
      </w:r>
      <w:r>
        <w:rPr>
          <w:rFonts w:hint="eastAsia"/>
          <w:lang w:val="zh-CN"/>
        </w:rPr>
        <w:t>：</w:t>
      </w:r>
      <w:r>
        <w:rPr>
          <w:rFonts w:hint="eastAsia"/>
          <w:u w:val="single"/>
          <w:lang w:val="zh-CN"/>
        </w:rPr>
        <w:t xml:space="preserve">        </w:t>
      </w:r>
      <w:r>
        <w:rPr>
          <w:rFonts w:hint="eastAsia"/>
          <w:u w:val="single"/>
        </w:rPr>
        <w:t xml:space="preserve">            </w:t>
      </w:r>
      <w:r>
        <w:rPr>
          <w:rFonts w:hint="eastAsia"/>
          <w:u w:val="single"/>
          <w:lang w:val="zh-CN"/>
        </w:rPr>
        <w:t xml:space="preserve"> </w:t>
      </w:r>
    </w:p>
    <w:p w14:paraId="305FCF9E">
      <w:pPr>
        <w:pStyle w:val="50"/>
        <w:rPr>
          <w:lang w:val="zh-CN"/>
        </w:rPr>
      </w:pPr>
      <w:r>
        <w:rPr>
          <w:rFonts w:hint="eastAsia"/>
          <w:lang w:val="zh-CN"/>
        </w:rPr>
        <w:t>法定代表人/主要负责人：</w:t>
      </w:r>
      <w:r>
        <w:rPr>
          <w:rFonts w:hint="eastAsia"/>
          <w:u w:val="single"/>
          <w:lang w:val="zh-CN"/>
        </w:rPr>
        <w:t xml:space="preserve">                  </w:t>
      </w:r>
      <w:r>
        <w:rPr>
          <w:rFonts w:hint="eastAsia"/>
          <w:u w:val="single"/>
        </w:rPr>
        <w:t xml:space="preserve">               </w:t>
      </w:r>
    </w:p>
    <w:p w14:paraId="66AC9C7E">
      <w:pPr>
        <w:pStyle w:val="50"/>
        <w:rPr>
          <w:u w:val="single"/>
          <w:lang w:val="zh-CN"/>
        </w:rPr>
      </w:pPr>
      <w:r>
        <w:rPr>
          <w:lang w:val="zh-CN"/>
        </w:rPr>
        <w:t>联系</w:t>
      </w:r>
      <w:r>
        <w:rPr>
          <w:rFonts w:hint="eastAsia"/>
          <w:lang w:val="zh-CN"/>
        </w:rPr>
        <w:t>电话：</w:t>
      </w:r>
      <w:r>
        <w:rPr>
          <w:rFonts w:hint="eastAsia"/>
          <w:u w:val="single"/>
          <w:lang w:val="zh-CN"/>
        </w:rPr>
        <w:t xml:space="preserve">               </w:t>
      </w:r>
      <w:r>
        <w:rPr>
          <w:rFonts w:hint="eastAsia"/>
          <w:u w:val="single"/>
        </w:rPr>
        <w:t xml:space="preserve">                        </w:t>
      </w:r>
      <w:r>
        <w:rPr>
          <w:rFonts w:hint="eastAsia"/>
          <w:u w:val="single"/>
          <w:lang w:val="zh-CN"/>
        </w:rPr>
        <w:t xml:space="preserve">       </w:t>
      </w:r>
    </w:p>
    <w:p w14:paraId="06FC6990">
      <w:pPr>
        <w:pStyle w:val="50"/>
        <w:rPr>
          <w:u w:val="single"/>
          <w:lang w:val="zh-CN"/>
        </w:rPr>
      </w:pPr>
      <w:r>
        <w:rPr>
          <w:rFonts w:hint="eastAsia"/>
          <w:lang w:val="zh-CN"/>
        </w:rPr>
        <w:t>授权代表：</w:t>
      </w:r>
      <w:r>
        <w:rPr>
          <w:rFonts w:hint="eastAsia"/>
          <w:u w:val="single"/>
          <w:lang w:val="zh-CN"/>
        </w:rPr>
        <w:t xml:space="preserve">                </w:t>
      </w:r>
      <w:r>
        <w:rPr>
          <w:rFonts w:hint="eastAsia"/>
          <w:lang w:val="zh-CN"/>
        </w:rPr>
        <w:t xml:space="preserve">  </w:t>
      </w:r>
      <w:r>
        <w:rPr>
          <w:lang w:val="zh-CN"/>
        </w:rPr>
        <w:t>联系电话</w:t>
      </w:r>
      <w:r>
        <w:rPr>
          <w:rFonts w:hint="eastAsia"/>
          <w:lang w:val="zh-CN"/>
        </w:rPr>
        <w:t>：</w:t>
      </w:r>
      <w:r>
        <w:rPr>
          <w:rFonts w:hint="eastAsia"/>
          <w:u w:val="single"/>
          <w:lang w:val="zh-CN"/>
        </w:rPr>
        <w:t xml:space="preserve">                 </w:t>
      </w:r>
    </w:p>
    <w:p w14:paraId="1C6A8059">
      <w:pPr>
        <w:pStyle w:val="50"/>
        <w:rPr>
          <w:lang w:val="zh-CN"/>
        </w:rPr>
      </w:pPr>
      <w:r>
        <w:rPr>
          <w:lang w:val="zh-CN"/>
        </w:rPr>
        <w:t>地址</w:t>
      </w:r>
      <w:r>
        <w:rPr>
          <w:rFonts w:hint="eastAsia"/>
          <w:lang w:val="zh-CN"/>
        </w:rPr>
        <w:t>：</w:t>
      </w:r>
      <w:r>
        <w:rPr>
          <w:rFonts w:hint="eastAsia"/>
          <w:u w:val="single"/>
          <w:lang w:val="zh-CN"/>
        </w:rPr>
        <w:t xml:space="preserve">               </w:t>
      </w:r>
      <w:r>
        <w:rPr>
          <w:rFonts w:hint="eastAsia"/>
          <w:u w:val="single"/>
        </w:rPr>
        <w:t xml:space="preserve">                        </w:t>
      </w:r>
      <w:r>
        <w:rPr>
          <w:rFonts w:hint="eastAsia"/>
          <w:u w:val="single"/>
          <w:lang w:val="zh-CN"/>
        </w:rPr>
        <w:t xml:space="preserve">    </w:t>
      </w:r>
      <w:r>
        <w:rPr>
          <w:rFonts w:hint="eastAsia"/>
          <w:u w:val="single"/>
        </w:rPr>
        <w:t xml:space="preserve">    </w:t>
      </w:r>
      <w:r>
        <w:rPr>
          <w:rFonts w:hint="eastAsia"/>
          <w:u w:val="single"/>
          <w:lang w:val="zh-CN"/>
        </w:rPr>
        <w:t xml:space="preserve">   </w:t>
      </w:r>
    </w:p>
    <w:p w14:paraId="3CCA914D">
      <w:pPr>
        <w:pStyle w:val="50"/>
        <w:rPr>
          <w:lang w:val="zh-CN"/>
        </w:rPr>
      </w:pPr>
      <w:r>
        <w:rPr>
          <w:lang w:val="zh-CN"/>
        </w:rPr>
        <w:t>邮编</w:t>
      </w:r>
      <w:r>
        <w:rPr>
          <w:rFonts w:hint="eastAsia"/>
          <w:lang w:val="zh-CN"/>
        </w:rPr>
        <w:t>：</w:t>
      </w:r>
      <w:r>
        <w:rPr>
          <w:rFonts w:hint="eastAsia"/>
          <w:u w:val="single"/>
          <w:lang w:val="zh-CN"/>
        </w:rPr>
        <w:t xml:space="preserve">               </w:t>
      </w:r>
      <w:r>
        <w:rPr>
          <w:rFonts w:hint="eastAsia"/>
          <w:u w:val="single"/>
        </w:rPr>
        <w:t xml:space="preserve">                        </w:t>
      </w:r>
      <w:r>
        <w:rPr>
          <w:rFonts w:hint="eastAsia"/>
          <w:u w:val="single"/>
          <w:lang w:val="zh-CN"/>
        </w:rPr>
        <w:t xml:space="preserve">  </w:t>
      </w:r>
      <w:r>
        <w:rPr>
          <w:rFonts w:hint="eastAsia"/>
          <w:u w:val="single"/>
        </w:rPr>
        <w:t xml:space="preserve">     </w:t>
      </w:r>
      <w:r>
        <w:rPr>
          <w:rFonts w:hint="eastAsia"/>
          <w:u w:val="single"/>
          <w:lang w:val="zh-CN"/>
        </w:rPr>
        <w:t xml:space="preserve">    </w:t>
      </w:r>
    </w:p>
    <w:p w14:paraId="42350EF0">
      <w:pPr>
        <w:pStyle w:val="50"/>
        <w:rPr>
          <w:lang w:val="zh-CN"/>
        </w:rPr>
      </w:pPr>
      <w:r>
        <w:rPr>
          <w:rFonts w:hint="eastAsia"/>
          <w:lang w:val="zh-CN"/>
        </w:rPr>
        <w:t>被投诉人1：</w:t>
      </w:r>
    </w:p>
    <w:p w14:paraId="088AF079">
      <w:pPr>
        <w:pStyle w:val="50"/>
        <w:rPr>
          <w:lang w:val="zh-CN"/>
        </w:rPr>
      </w:pPr>
      <w:r>
        <w:rPr>
          <w:lang w:val="zh-CN"/>
        </w:rPr>
        <w:t>地址</w:t>
      </w:r>
      <w:r>
        <w:rPr>
          <w:rFonts w:hint="eastAsia"/>
          <w:lang w:val="zh-CN"/>
        </w:rPr>
        <w:t>：</w:t>
      </w:r>
      <w:r>
        <w:rPr>
          <w:rFonts w:hint="eastAsia"/>
          <w:u w:val="single"/>
          <w:lang w:val="zh-CN"/>
        </w:rPr>
        <w:t xml:space="preserve">               </w:t>
      </w:r>
      <w:r>
        <w:rPr>
          <w:rFonts w:hint="eastAsia"/>
          <w:u w:val="single"/>
        </w:rPr>
        <w:t xml:space="preserve">                        </w:t>
      </w:r>
      <w:r>
        <w:rPr>
          <w:rFonts w:hint="eastAsia"/>
          <w:u w:val="single"/>
          <w:lang w:val="zh-CN"/>
        </w:rPr>
        <w:t xml:space="preserve">    </w:t>
      </w:r>
      <w:r>
        <w:rPr>
          <w:rFonts w:hint="eastAsia"/>
          <w:u w:val="single"/>
        </w:rPr>
        <w:t xml:space="preserve">    </w:t>
      </w:r>
      <w:r>
        <w:rPr>
          <w:rFonts w:hint="eastAsia"/>
          <w:u w:val="single"/>
          <w:lang w:val="zh-CN"/>
        </w:rPr>
        <w:t xml:space="preserve">   </w:t>
      </w:r>
    </w:p>
    <w:p w14:paraId="5537F8EB">
      <w:pPr>
        <w:pStyle w:val="50"/>
        <w:rPr>
          <w:lang w:val="zh-CN"/>
        </w:rPr>
      </w:pPr>
      <w:r>
        <w:rPr>
          <w:lang w:val="zh-CN"/>
        </w:rPr>
        <w:t>邮编</w:t>
      </w:r>
      <w:r>
        <w:rPr>
          <w:rFonts w:hint="eastAsia"/>
          <w:lang w:val="zh-CN"/>
        </w:rPr>
        <w:t>：</w:t>
      </w:r>
      <w:r>
        <w:rPr>
          <w:rFonts w:hint="eastAsia"/>
          <w:u w:val="single"/>
          <w:lang w:val="zh-CN"/>
        </w:rPr>
        <w:t xml:space="preserve">               </w:t>
      </w:r>
      <w:r>
        <w:rPr>
          <w:rFonts w:hint="eastAsia"/>
          <w:u w:val="single"/>
        </w:rPr>
        <w:t xml:space="preserve">                        </w:t>
      </w:r>
      <w:r>
        <w:rPr>
          <w:rFonts w:hint="eastAsia"/>
          <w:u w:val="single"/>
          <w:lang w:val="zh-CN"/>
        </w:rPr>
        <w:t xml:space="preserve">  </w:t>
      </w:r>
      <w:r>
        <w:rPr>
          <w:rFonts w:hint="eastAsia"/>
          <w:u w:val="single"/>
        </w:rPr>
        <w:t xml:space="preserve">     </w:t>
      </w:r>
      <w:r>
        <w:rPr>
          <w:rFonts w:hint="eastAsia"/>
          <w:u w:val="single"/>
          <w:lang w:val="zh-CN"/>
        </w:rPr>
        <w:t xml:space="preserve">    </w:t>
      </w:r>
    </w:p>
    <w:p w14:paraId="5F553A98">
      <w:pPr>
        <w:pStyle w:val="50"/>
        <w:rPr>
          <w:u w:val="single"/>
          <w:lang w:val="zh-CN"/>
        </w:rPr>
      </w:pPr>
      <w:r>
        <w:rPr>
          <w:lang w:val="zh-CN"/>
        </w:rPr>
        <w:t>联系人</w:t>
      </w:r>
      <w:r>
        <w:rPr>
          <w:rFonts w:hint="eastAsia"/>
          <w:lang w:val="zh-CN"/>
        </w:rPr>
        <w:t>：</w:t>
      </w:r>
      <w:r>
        <w:rPr>
          <w:rFonts w:hint="eastAsia"/>
          <w:u w:val="single"/>
          <w:lang w:val="zh-CN"/>
        </w:rPr>
        <w:t xml:space="preserve">                   </w:t>
      </w:r>
      <w:r>
        <w:rPr>
          <w:rFonts w:hint="eastAsia"/>
          <w:lang w:val="zh-CN"/>
        </w:rPr>
        <w:t xml:space="preserve">  </w:t>
      </w:r>
      <w:r>
        <w:rPr>
          <w:lang w:val="zh-CN"/>
        </w:rPr>
        <w:t>联系电话</w:t>
      </w:r>
      <w:r>
        <w:rPr>
          <w:rFonts w:hint="eastAsia"/>
          <w:lang w:val="zh-CN"/>
        </w:rPr>
        <w:t>：</w:t>
      </w:r>
      <w:r>
        <w:rPr>
          <w:rFonts w:hint="eastAsia"/>
          <w:u w:val="single"/>
          <w:lang w:val="zh-CN"/>
        </w:rPr>
        <w:t xml:space="preserve">                 </w:t>
      </w:r>
    </w:p>
    <w:p w14:paraId="63B5B049">
      <w:pPr>
        <w:pStyle w:val="50"/>
        <w:rPr>
          <w:lang w:val="zh-CN"/>
        </w:rPr>
      </w:pPr>
      <w:r>
        <w:rPr>
          <w:rFonts w:hint="eastAsia"/>
          <w:lang w:val="zh-CN"/>
        </w:rPr>
        <w:t>被投诉人2：</w:t>
      </w:r>
    </w:p>
    <w:p w14:paraId="4C38BCE8">
      <w:pPr>
        <w:pStyle w:val="50"/>
        <w:rPr>
          <w:lang w:val="zh-CN"/>
        </w:rPr>
      </w:pPr>
      <w:r>
        <w:rPr>
          <w:lang w:val="zh-CN"/>
        </w:rPr>
        <w:t>……</w:t>
      </w:r>
    </w:p>
    <w:p w14:paraId="37B3E8B3">
      <w:pPr>
        <w:pStyle w:val="50"/>
        <w:rPr>
          <w:u w:val="single"/>
        </w:rPr>
      </w:pPr>
      <w:r>
        <w:rPr>
          <w:rFonts w:hint="eastAsia"/>
          <w:lang w:val="zh-CN"/>
        </w:rPr>
        <w:t>相关供应商：</w:t>
      </w:r>
      <w:r>
        <w:rPr>
          <w:rFonts w:hint="eastAsia"/>
          <w:u w:val="single"/>
          <w:lang w:val="zh-CN"/>
        </w:rPr>
        <w:t xml:space="preserve">               </w:t>
      </w:r>
      <w:r>
        <w:rPr>
          <w:rFonts w:hint="eastAsia"/>
          <w:u w:val="single"/>
        </w:rPr>
        <w:t xml:space="preserve">                        </w:t>
      </w:r>
      <w:r>
        <w:rPr>
          <w:rFonts w:hint="eastAsia"/>
          <w:u w:val="single"/>
          <w:lang w:val="zh-CN"/>
        </w:rPr>
        <w:t xml:space="preserve">    </w:t>
      </w:r>
      <w:r>
        <w:rPr>
          <w:rFonts w:hint="eastAsia"/>
          <w:u w:val="single"/>
        </w:rPr>
        <w:t xml:space="preserve"> </w:t>
      </w:r>
    </w:p>
    <w:p w14:paraId="0BF2DB65">
      <w:pPr>
        <w:pStyle w:val="50"/>
        <w:rPr>
          <w:u w:val="single"/>
          <w:lang w:val="zh-CN"/>
        </w:rPr>
      </w:pPr>
      <w:r>
        <w:rPr>
          <w:lang w:val="zh-CN"/>
        </w:rPr>
        <w:t>地址</w:t>
      </w:r>
      <w:r>
        <w:rPr>
          <w:rFonts w:hint="eastAsia"/>
          <w:lang w:val="zh-CN"/>
        </w:rPr>
        <w:t>：</w:t>
      </w:r>
      <w:r>
        <w:rPr>
          <w:rFonts w:hint="eastAsia"/>
          <w:u w:val="single"/>
          <w:lang w:val="zh-CN"/>
        </w:rPr>
        <w:t xml:space="preserve">                    </w:t>
      </w:r>
      <w:r>
        <w:rPr>
          <w:rFonts w:hint="eastAsia"/>
          <w:lang w:val="zh-CN"/>
        </w:rPr>
        <w:t xml:space="preserve">   </w:t>
      </w:r>
      <w:r>
        <w:rPr>
          <w:lang w:val="zh-CN"/>
        </w:rPr>
        <w:t>邮编</w:t>
      </w:r>
      <w:r>
        <w:rPr>
          <w:rFonts w:hint="eastAsia"/>
          <w:lang w:val="zh-CN"/>
        </w:rPr>
        <w:t>：</w:t>
      </w:r>
      <w:r>
        <w:rPr>
          <w:rFonts w:hint="eastAsia"/>
          <w:u w:val="single"/>
          <w:lang w:val="zh-CN"/>
        </w:rPr>
        <w:t xml:space="preserve">        </w:t>
      </w:r>
      <w:r>
        <w:rPr>
          <w:rFonts w:hint="eastAsia"/>
          <w:u w:val="single"/>
        </w:rPr>
        <w:t xml:space="preserve">            </w:t>
      </w:r>
      <w:r>
        <w:rPr>
          <w:rFonts w:hint="eastAsia"/>
          <w:u w:val="single"/>
          <w:lang w:val="zh-CN"/>
        </w:rPr>
        <w:t xml:space="preserve"> </w:t>
      </w:r>
    </w:p>
    <w:p w14:paraId="7ED7664A">
      <w:pPr>
        <w:pStyle w:val="50"/>
        <w:rPr>
          <w:u w:val="single"/>
          <w:lang w:val="zh-CN"/>
        </w:rPr>
      </w:pPr>
      <w:r>
        <w:rPr>
          <w:lang w:val="zh-CN"/>
        </w:rPr>
        <w:t>联系人</w:t>
      </w:r>
      <w:r>
        <w:rPr>
          <w:rFonts w:hint="eastAsia"/>
          <w:lang w:val="zh-CN"/>
        </w:rPr>
        <w:t>：</w:t>
      </w:r>
      <w:r>
        <w:rPr>
          <w:rFonts w:hint="eastAsia"/>
          <w:u w:val="single"/>
          <w:lang w:val="zh-CN"/>
        </w:rPr>
        <w:t xml:space="preserve">                   </w:t>
      </w:r>
      <w:r>
        <w:rPr>
          <w:rFonts w:hint="eastAsia"/>
          <w:lang w:val="zh-CN"/>
        </w:rPr>
        <w:t xml:space="preserve">  </w:t>
      </w:r>
      <w:r>
        <w:rPr>
          <w:lang w:val="zh-CN"/>
        </w:rPr>
        <w:t>联系电话</w:t>
      </w:r>
      <w:r>
        <w:rPr>
          <w:rFonts w:hint="eastAsia"/>
          <w:lang w:val="zh-CN"/>
        </w:rPr>
        <w:t>：</w:t>
      </w:r>
      <w:r>
        <w:rPr>
          <w:rFonts w:hint="eastAsia"/>
          <w:u w:val="single"/>
          <w:lang w:val="zh-CN"/>
        </w:rPr>
        <w:t xml:space="preserve">          </w:t>
      </w:r>
      <w:r>
        <w:rPr>
          <w:rFonts w:hint="eastAsia"/>
          <w:u w:val="single"/>
        </w:rPr>
        <w:t xml:space="preserve">    </w:t>
      </w:r>
      <w:r>
        <w:rPr>
          <w:rFonts w:hint="eastAsia"/>
          <w:u w:val="single"/>
          <w:lang w:val="zh-CN"/>
        </w:rPr>
        <w:t xml:space="preserve">   </w:t>
      </w:r>
    </w:p>
    <w:p w14:paraId="287C125B">
      <w:pPr>
        <w:rPr>
          <w:b/>
          <w:bCs/>
          <w:lang w:val="zh-CN"/>
        </w:rPr>
      </w:pPr>
      <w:r>
        <w:rPr>
          <w:rFonts w:hint="eastAsia"/>
          <w:b/>
          <w:bCs/>
          <w:lang w:val="zh-CN"/>
        </w:rPr>
        <w:t>二、投诉项目基本情况：</w:t>
      </w:r>
    </w:p>
    <w:p w14:paraId="3AD8EF12">
      <w:pPr>
        <w:pStyle w:val="50"/>
        <w:rPr>
          <w:u w:val="single"/>
          <w:lang w:val="zh-CN"/>
        </w:rPr>
      </w:pPr>
      <w:r>
        <w:rPr>
          <w:rFonts w:hint="eastAsia"/>
        </w:rPr>
        <w:t>采购</w:t>
      </w:r>
      <w:r>
        <w:rPr>
          <w:rFonts w:hint="eastAsia"/>
          <w:lang w:val="zh-CN"/>
        </w:rPr>
        <w:t>项目的名称：</w:t>
      </w:r>
      <w:r>
        <w:rPr>
          <w:rFonts w:hint="eastAsia"/>
          <w:u w:val="single"/>
          <w:lang w:val="zh-CN"/>
        </w:rPr>
        <w:t xml:space="preserve">                            </w:t>
      </w:r>
      <w:r>
        <w:rPr>
          <w:rFonts w:hint="eastAsia"/>
          <w:u w:val="single"/>
        </w:rPr>
        <w:t xml:space="preserve">    </w:t>
      </w:r>
      <w:r>
        <w:rPr>
          <w:rFonts w:hint="eastAsia"/>
          <w:u w:val="single"/>
          <w:lang w:val="zh-CN"/>
        </w:rPr>
        <w:t xml:space="preserve">        </w:t>
      </w:r>
    </w:p>
    <w:p w14:paraId="2F58605A">
      <w:pPr>
        <w:pStyle w:val="50"/>
        <w:rPr>
          <w:u w:val="single"/>
          <w:lang w:val="zh-CN"/>
        </w:rPr>
      </w:pPr>
      <w:r>
        <w:rPr>
          <w:rFonts w:hint="eastAsia"/>
        </w:rPr>
        <w:t>采购</w:t>
      </w:r>
      <w:r>
        <w:rPr>
          <w:rFonts w:hint="eastAsia"/>
          <w:lang w:val="zh-CN"/>
        </w:rPr>
        <w:t>项目的编号：</w:t>
      </w:r>
      <w:r>
        <w:rPr>
          <w:rFonts w:hint="eastAsia"/>
          <w:u w:val="single"/>
          <w:lang w:val="zh-CN"/>
        </w:rPr>
        <w:t xml:space="preserve">                            </w:t>
      </w:r>
      <w:r>
        <w:rPr>
          <w:rFonts w:hint="eastAsia"/>
          <w:u w:val="single"/>
        </w:rPr>
        <w:t xml:space="preserve">    </w:t>
      </w:r>
      <w:r>
        <w:rPr>
          <w:rFonts w:hint="eastAsia"/>
          <w:u w:val="single"/>
          <w:lang w:val="zh-CN"/>
        </w:rPr>
        <w:t xml:space="preserve">       </w:t>
      </w:r>
    </w:p>
    <w:p w14:paraId="6C753C3A">
      <w:pPr>
        <w:pStyle w:val="50"/>
        <w:rPr>
          <w:u w:val="single"/>
          <w:lang w:val="zh-CN"/>
        </w:rPr>
      </w:pPr>
      <w:r>
        <w:rPr>
          <w:rFonts w:hint="eastAsia"/>
          <w:lang w:val="zh-CN"/>
        </w:rPr>
        <w:t>采购人名称：</w:t>
      </w:r>
      <w:r>
        <w:rPr>
          <w:rFonts w:hint="eastAsia"/>
          <w:u w:val="single"/>
          <w:lang w:val="zh-CN"/>
        </w:rPr>
        <w:t xml:space="preserve">                            </w:t>
      </w:r>
      <w:r>
        <w:rPr>
          <w:rFonts w:hint="eastAsia"/>
          <w:u w:val="single"/>
        </w:rPr>
        <w:t xml:space="preserve">    </w:t>
      </w:r>
      <w:r>
        <w:rPr>
          <w:rFonts w:hint="eastAsia"/>
          <w:u w:val="single"/>
          <w:lang w:val="zh-CN"/>
        </w:rPr>
        <w:t xml:space="preserve"> </w:t>
      </w:r>
      <w:r>
        <w:rPr>
          <w:rFonts w:hint="eastAsia"/>
          <w:u w:val="single"/>
        </w:rPr>
        <w:t xml:space="preserve">    </w:t>
      </w:r>
      <w:r>
        <w:rPr>
          <w:rFonts w:hint="eastAsia"/>
          <w:u w:val="single"/>
          <w:lang w:val="zh-CN"/>
        </w:rPr>
        <w:t xml:space="preserve">      </w:t>
      </w:r>
    </w:p>
    <w:p w14:paraId="68946D9C">
      <w:pPr>
        <w:pStyle w:val="50"/>
        <w:rPr>
          <w:u w:val="single"/>
          <w:lang w:val="zh-CN"/>
        </w:rPr>
      </w:pPr>
      <w:r>
        <w:rPr>
          <w:rFonts w:hint="eastAsia"/>
        </w:rPr>
        <w:t>代理机构</w:t>
      </w:r>
      <w:r>
        <w:rPr>
          <w:rFonts w:hint="eastAsia"/>
          <w:lang w:val="zh-CN"/>
        </w:rPr>
        <w:t>名称：</w:t>
      </w:r>
      <w:r>
        <w:rPr>
          <w:rFonts w:hint="eastAsia"/>
          <w:u w:val="single"/>
          <w:lang w:val="zh-CN"/>
        </w:rPr>
        <w:t xml:space="preserve">                            </w:t>
      </w:r>
      <w:r>
        <w:rPr>
          <w:rFonts w:hint="eastAsia"/>
          <w:u w:val="single"/>
        </w:rPr>
        <w:t xml:space="preserve">    </w:t>
      </w:r>
      <w:r>
        <w:rPr>
          <w:rFonts w:hint="eastAsia"/>
          <w:u w:val="single"/>
          <w:lang w:val="zh-CN"/>
        </w:rPr>
        <w:t xml:space="preserve"> </w:t>
      </w:r>
      <w:r>
        <w:rPr>
          <w:rFonts w:hint="eastAsia"/>
          <w:u w:val="single"/>
        </w:rPr>
        <w:t xml:space="preserve">    </w:t>
      </w:r>
      <w:r>
        <w:rPr>
          <w:rFonts w:hint="eastAsia"/>
          <w:u w:val="single"/>
          <w:lang w:val="zh-CN"/>
        </w:rPr>
        <w:t xml:space="preserve">     </w:t>
      </w:r>
    </w:p>
    <w:p w14:paraId="213DF348">
      <w:pPr>
        <w:pStyle w:val="50"/>
        <w:rPr>
          <w:u w:val="single"/>
          <w:lang w:val="zh-CN"/>
        </w:rPr>
      </w:pPr>
      <w:r>
        <w:rPr>
          <w:rFonts w:hint="eastAsia"/>
        </w:rPr>
        <w:t>采购</w:t>
      </w:r>
      <w:r>
        <w:rPr>
          <w:rFonts w:hint="eastAsia"/>
          <w:lang w:val="zh-CN"/>
        </w:rPr>
        <w:t>文件公告：</w:t>
      </w:r>
      <w:r>
        <w:rPr>
          <w:rFonts w:hint="eastAsia"/>
          <w:u w:val="single"/>
          <w:lang w:val="zh-CN"/>
        </w:rPr>
        <w:t>是/否</w:t>
      </w:r>
      <w:r>
        <w:rPr>
          <w:rFonts w:hint="eastAsia"/>
          <w:lang w:val="zh-CN"/>
        </w:rPr>
        <w:t xml:space="preserve">   公告期限：</w:t>
      </w:r>
      <w:r>
        <w:rPr>
          <w:rFonts w:hint="eastAsia"/>
          <w:u w:val="single"/>
          <w:lang w:val="zh-CN"/>
        </w:rPr>
        <w:t xml:space="preserve">                        </w:t>
      </w:r>
    </w:p>
    <w:p w14:paraId="60AAE36D">
      <w:pPr>
        <w:pStyle w:val="50"/>
        <w:rPr>
          <w:lang w:val="zh-CN"/>
        </w:rPr>
      </w:pPr>
      <w:r>
        <w:rPr>
          <w:rFonts w:hint="eastAsia"/>
          <w:lang w:val="zh-CN"/>
        </w:rPr>
        <w:t>采购结果公告：</w:t>
      </w:r>
      <w:r>
        <w:rPr>
          <w:rFonts w:hint="eastAsia"/>
          <w:u w:val="single"/>
          <w:lang w:val="zh-CN"/>
        </w:rPr>
        <w:t>是/否</w:t>
      </w:r>
      <w:r>
        <w:rPr>
          <w:rFonts w:hint="eastAsia"/>
          <w:lang w:val="zh-CN"/>
        </w:rPr>
        <w:t xml:space="preserve">   公告期限：</w:t>
      </w:r>
      <w:r>
        <w:rPr>
          <w:rFonts w:hint="eastAsia"/>
          <w:u w:val="single"/>
          <w:lang w:val="zh-CN"/>
        </w:rPr>
        <w:t xml:space="preserve">                        </w:t>
      </w:r>
    </w:p>
    <w:p w14:paraId="16E3B760">
      <w:pPr>
        <w:rPr>
          <w:b/>
          <w:bCs/>
          <w:lang w:val="zh-CN"/>
        </w:rPr>
      </w:pPr>
      <w:r>
        <w:rPr>
          <w:rFonts w:hint="eastAsia"/>
          <w:b/>
          <w:bCs/>
          <w:lang w:val="zh-CN"/>
        </w:rPr>
        <w:t>三、质疑基本情况</w:t>
      </w:r>
    </w:p>
    <w:p w14:paraId="38FE8B22">
      <w:pPr>
        <w:pStyle w:val="50"/>
        <w:rPr>
          <w:lang w:val="zh-CN"/>
        </w:rPr>
      </w:pPr>
      <w:r>
        <w:rPr>
          <w:rFonts w:hint="eastAsia"/>
          <w:lang w:val="zh-CN"/>
        </w:rPr>
        <w:t>投诉人于</w:t>
      </w:r>
      <w:r>
        <w:rPr>
          <w:rFonts w:hint="eastAsia"/>
          <w:u w:val="single"/>
        </w:rPr>
        <w:t xml:space="preserve">    </w:t>
      </w:r>
      <w:r>
        <w:rPr>
          <w:rFonts w:hint="eastAsia"/>
          <w:lang w:val="zh-CN"/>
        </w:rPr>
        <w:t>年</w:t>
      </w:r>
      <w:r>
        <w:rPr>
          <w:rFonts w:hint="eastAsia"/>
          <w:u w:val="single"/>
        </w:rPr>
        <w:t xml:space="preserve">    </w:t>
      </w:r>
      <w:r>
        <w:rPr>
          <w:rFonts w:hint="eastAsia"/>
          <w:lang w:val="zh-CN"/>
        </w:rPr>
        <w:t>月</w:t>
      </w:r>
      <w:r>
        <w:rPr>
          <w:rFonts w:hint="eastAsia"/>
          <w:u w:val="single"/>
        </w:rPr>
        <w:t xml:space="preserve">    </w:t>
      </w:r>
      <w:r>
        <w:rPr>
          <w:rFonts w:hint="eastAsia"/>
          <w:lang w:val="zh-CN"/>
        </w:rPr>
        <w:t>日，向</w:t>
      </w:r>
      <w:r>
        <w:rPr>
          <w:rFonts w:hint="eastAsia"/>
          <w:u w:val="single"/>
          <w:lang w:val="zh-CN"/>
        </w:rPr>
        <w:t xml:space="preserve">                      </w:t>
      </w:r>
      <w:r>
        <w:rPr>
          <w:rFonts w:hint="eastAsia"/>
          <w:lang w:val="zh-CN"/>
        </w:rPr>
        <w:t>提出质疑，质疑事项为：</w:t>
      </w:r>
    </w:p>
    <w:p w14:paraId="182C661B">
      <w:pPr>
        <w:pStyle w:val="50"/>
        <w:rPr>
          <w:u w:val="single"/>
          <w:lang w:val="zh-CN"/>
        </w:rPr>
      </w:pPr>
      <w:r>
        <w:rPr>
          <w:rFonts w:hint="eastAsia"/>
          <w:u w:val="single"/>
          <w:lang w:val="zh-CN"/>
        </w:rPr>
        <w:t xml:space="preserve">                                                      </w:t>
      </w:r>
    </w:p>
    <w:p w14:paraId="7A55C99C">
      <w:pPr>
        <w:pStyle w:val="50"/>
        <w:rPr>
          <w:lang w:val="zh-CN"/>
        </w:rPr>
      </w:pPr>
      <w:r>
        <w:rPr>
          <w:rFonts w:hint="eastAsia"/>
          <w:u w:val="single"/>
          <w:lang w:val="zh-CN"/>
        </w:rPr>
        <w:t xml:space="preserve">                                                       </w:t>
      </w:r>
    </w:p>
    <w:p w14:paraId="48246187">
      <w:pPr>
        <w:pStyle w:val="50"/>
        <w:rPr>
          <w:lang w:val="zh-CN"/>
        </w:rPr>
      </w:pPr>
      <w:r>
        <w:rPr>
          <w:rFonts w:hint="eastAsia"/>
          <w:u w:val="single"/>
          <w:lang w:val="zh-CN"/>
        </w:rPr>
        <w:t>采购人/代理机构</w:t>
      </w:r>
      <w:r>
        <w:rPr>
          <w:rFonts w:hint="eastAsia"/>
          <w:lang w:val="zh-CN"/>
        </w:rPr>
        <w:t>于</w:t>
      </w:r>
      <w:r>
        <w:rPr>
          <w:rFonts w:hint="eastAsia"/>
          <w:u w:val="single"/>
        </w:rPr>
        <w:t xml:space="preserve">    </w:t>
      </w:r>
      <w:r>
        <w:rPr>
          <w:rFonts w:hint="eastAsia"/>
          <w:lang w:val="zh-CN"/>
        </w:rPr>
        <w:t>年</w:t>
      </w:r>
      <w:r>
        <w:rPr>
          <w:rFonts w:hint="eastAsia"/>
          <w:u w:val="single"/>
        </w:rPr>
        <w:t xml:space="preserve">    </w:t>
      </w:r>
      <w:r>
        <w:rPr>
          <w:rFonts w:hint="eastAsia"/>
          <w:lang w:val="zh-CN"/>
        </w:rPr>
        <w:t>月</w:t>
      </w:r>
      <w:r>
        <w:rPr>
          <w:rFonts w:hint="eastAsia"/>
          <w:u w:val="single"/>
        </w:rPr>
        <w:t xml:space="preserve">    </w:t>
      </w:r>
      <w:r>
        <w:rPr>
          <w:rFonts w:hint="eastAsia"/>
          <w:lang w:val="zh-CN"/>
        </w:rPr>
        <w:t xml:space="preserve">日，就质疑事项作出了答复/没有在法定期限内作出答复。                               </w:t>
      </w:r>
      <w:r>
        <w:rPr>
          <w:rFonts w:hint="eastAsia"/>
          <w:b/>
          <w:bCs/>
          <w:lang w:val="zh-CN"/>
        </w:rPr>
        <w:t>四、投诉事项具体内容</w:t>
      </w:r>
    </w:p>
    <w:p w14:paraId="36BE5BA0">
      <w:pPr>
        <w:pStyle w:val="50"/>
        <w:rPr>
          <w:u w:val="single"/>
          <w:lang w:val="zh-CN"/>
        </w:rPr>
      </w:pPr>
      <w:r>
        <w:rPr>
          <w:rFonts w:hint="eastAsia"/>
          <w:lang w:val="zh-CN"/>
        </w:rPr>
        <w:t>投诉事项1：</w:t>
      </w:r>
      <w:r>
        <w:rPr>
          <w:rFonts w:hint="eastAsia"/>
          <w:u w:val="single"/>
          <w:lang w:val="zh-CN"/>
        </w:rPr>
        <w:t xml:space="preserve">                                            </w:t>
      </w:r>
    </w:p>
    <w:p w14:paraId="3FCDCBF6">
      <w:pPr>
        <w:pStyle w:val="50"/>
        <w:rPr>
          <w:u w:val="single"/>
          <w:lang w:val="zh-CN"/>
        </w:rPr>
      </w:pPr>
      <w:r>
        <w:rPr>
          <w:rFonts w:hint="eastAsia"/>
          <w:lang w:val="zh-CN"/>
        </w:rPr>
        <w:t>事实依据：</w:t>
      </w:r>
      <w:r>
        <w:rPr>
          <w:rFonts w:hint="eastAsia"/>
          <w:u w:val="single"/>
          <w:lang w:val="zh-CN"/>
        </w:rPr>
        <w:t xml:space="preserve">                                              </w:t>
      </w:r>
    </w:p>
    <w:p w14:paraId="5516771B">
      <w:pPr>
        <w:pStyle w:val="50"/>
        <w:rPr>
          <w:u w:val="single"/>
          <w:lang w:val="zh-CN"/>
        </w:rPr>
      </w:pPr>
      <w:r>
        <w:rPr>
          <w:rFonts w:hint="eastAsia"/>
          <w:u w:val="single"/>
          <w:lang w:val="zh-CN"/>
        </w:rPr>
        <w:t xml:space="preserve">                                                    </w:t>
      </w:r>
      <w:r>
        <w:rPr>
          <w:rFonts w:hint="eastAsia"/>
          <w:u w:val="single"/>
        </w:rPr>
        <w:t xml:space="preserve"> </w:t>
      </w:r>
      <w:r>
        <w:rPr>
          <w:rFonts w:hint="eastAsia"/>
          <w:u w:val="single"/>
          <w:lang w:val="zh-CN"/>
        </w:rPr>
        <w:t xml:space="preserve">  </w:t>
      </w:r>
    </w:p>
    <w:p w14:paraId="59E41F5F">
      <w:pPr>
        <w:pStyle w:val="50"/>
        <w:rPr>
          <w:u w:val="single"/>
          <w:lang w:val="zh-CN"/>
        </w:rPr>
      </w:pPr>
      <w:r>
        <w:rPr>
          <w:rFonts w:hint="eastAsia"/>
          <w:lang w:val="zh-CN"/>
        </w:rPr>
        <w:t>法律依据：</w:t>
      </w:r>
      <w:r>
        <w:rPr>
          <w:rFonts w:hint="eastAsia"/>
          <w:u w:val="single"/>
          <w:lang w:val="zh-CN"/>
        </w:rPr>
        <w:t xml:space="preserve">                                              </w:t>
      </w:r>
    </w:p>
    <w:p w14:paraId="1F94742D">
      <w:pPr>
        <w:pStyle w:val="50"/>
        <w:rPr>
          <w:u w:val="single"/>
          <w:lang w:val="zh-CN"/>
        </w:rPr>
      </w:pPr>
      <w:r>
        <w:rPr>
          <w:rFonts w:hint="eastAsia"/>
          <w:u w:val="single"/>
          <w:lang w:val="zh-CN"/>
        </w:rPr>
        <w:t xml:space="preserve">                                                   </w:t>
      </w:r>
      <w:r>
        <w:rPr>
          <w:rFonts w:hint="eastAsia"/>
          <w:u w:val="single"/>
        </w:rPr>
        <w:t xml:space="preserve"> </w:t>
      </w:r>
      <w:r>
        <w:rPr>
          <w:rFonts w:hint="eastAsia"/>
          <w:u w:val="single"/>
          <w:lang w:val="zh-CN"/>
        </w:rPr>
        <w:t xml:space="preserve">   </w:t>
      </w:r>
    </w:p>
    <w:p w14:paraId="1D39B512">
      <w:pPr>
        <w:pStyle w:val="50"/>
        <w:rPr>
          <w:lang w:val="zh-CN"/>
        </w:rPr>
      </w:pPr>
      <w:r>
        <w:rPr>
          <w:rFonts w:hint="eastAsia"/>
          <w:lang w:val="zh-CN"/>
        </w:rPr>
        <w:t xml:space="preserve">投诉事项2     </w:t>
      </w:r>
    </w:p>
    <w:p w14:paraId="49E43B65">
      <w:pPr>
        <w:pStyle w:val="50"/>
        <w:rPr>
          <w:lang w:val="zh-CN"/>
        </w:rPr>
      </w:pPr>
      <w:r>
        <w:rPr>
          <w:lang w:val="zh-CN"/>
        </w:rPr>
        <w:t>……</w:t>
      </w:r>
    </w:p>
    <w:p w14:paraId="53C772F3">
      <w:pPr>
        <w:rPr>
          <w:b/>
          <w:bCs/>
          <w:lang w:val="zh-CN"/>
        </w:rPr>
      </w:pPr>
      <w:r>
        <w:rPr>
          <w:rFonts w:hint="eastAsia"/>
          <w:b/>
          <w:bCs/>
          <w:lang w:val="zh-CN"/>
        </w:rPr>
        <w:t>五、与投诉事项相关的投诉请求：</w:t>
      </w:r>
    </w:p>
    <w:p w14:paraId="2591A547">
      <w:pPr>
        <w:pStyle w:val="50"/>
        <w:rPr>
          <w:lang w:val="zh-CN"/>
        </w:rPr>
      </w:pPr>
      <w:r>
        <w:rPr>
          <w:rFonts w:hint="eastAsia"/>
          <w:lang w:val="zh-CN"/>
        </w:rPr>
        <w:t>请求：</w:t>
      </w:r>
      <w:r>
        <w:rPr>
          <w:rFonts w:hint="eastAsia"/>
          <w:u w:val="single"/>
          <w:lang w:val="zh-CN"/>
        </w:rPr>
        <w:t xml:space="preserve">                                  </w:t>
      </w:r>
      <w:r>
        <w:rPr>
          <w:rFonts w:hint="eastAsia"/>
          <w:u w:val="single"/>
        </w:rPr>
        <w:t xml:space="preserve">      </w:t>
      </w:r>
      <w:r>
        <w:rPr>
          <w:rFonts w:hint="eastAsia"/>
          <w:u w:val="single"/>
          <w:lang w:val="zh-CN"/>
        </w:rPr>
        <w:t xml:space="preserve">          </w:t>
      </w:r>
      <w:r>
        <w:rPr>
          <w:rFonts w:hint="eastAsia"/>
          <w:lang w:val="zh-CN"/>
        </w:rPr>
        <w:t xml:space="preserve">                     </w:t>
      </w:r>
    </w:p>
    <w:p w14:paraId="5F7E55D4">
      <w:pPr>
        <w:pStyle w:val="50"/>
        <w:rPr>
          <w:lang w:val="zh-CN"/>
        </w:rPr>
      </w:pPr>
      <w:r>
        <w:rPr>
          <w:rFonts w:hint="eastAsia"/>
          <w:lang w:val="zh-CN"/>
        </w:rPr>
        <w:t>签字（签章）：                          公章：</w:t>
      </w:r>
    </w:p>
    <w:p w14:paraId="0CAF9955">
      <w:pPr>
        <w:pStyle w:val="50"/>
        <w:rPr>
          <w:lang w:val="zh-CN"/>
        </w:rPr>
      </w:pPr>
      <w:r>
        <w:rPr>
          <w:rFonts w:hint="eastAsia"/>
          <w:lang w:val="zh-CN"/>
        </w:rPr>
        <w:t>日期：</w:t>
      </w:r>
    </w:p>
    <w:p w14:paraId="479A1A42">
      <w:pPr>
        <w:pStyle w:val="50"/>
        <w:rPr>
          <w:lang w:val="zh-CN"/>
        </w:rPr>
      </w:pPr>
      <w:r>
        <w:rPr>
          <w:rFonts w:hint="eastAsia"/>
          <w:lang w:val="zh-CN"/>
        </w:rPr>
        <w:t xml:space="preserve"> </w:t>
      </w:r>
    </w:p>
    <w:p w14:paraId="7DEE41A5">
      <w:pPr>
        <w:pStyle w:val="50"/>
        <w:ind w:firstLine="0" w:firstLineChars="0"/>
        <w:rPr>
          <w:b/>
          <w:bCs/>
          <w:lang w:val="zh-CN"/>
        </w:rPr>
      </w:pPr>
      <w:r>
        <w:rPr>
          <w:rFonts w:hint="eastAsia"/>
          <w:b/>
          <w:bCs/>
          <w:lang w:val="zh-CN"/>
        </w:rPr>
        <w:t>说明：</w:t>
      </w:r>
    </w:p>
    <w:p w14:paraId="385957D2">
      <w:pPr>
        <w:pStyle w:val="50"/>
        <w:ind w:firstLine="422"/>
        <w:rPr>
          <w:b/>
          <w:bCs/>
        </w:rPr>
      </w:pPr>
      <w:r>
        <w:rPr>
          <w:rFonts w:hint="eastAsia"/>
          <w:b/>
          <w:bCs/>
        </w:rPr>
        <w:t>1.投诉人提起投诉时，应当提交投诉书和必要的证明材料，并按照被投诉人和与投诉事项有关的供应商数量提供投诉书副本。</w:t>
      </w:r>
    </w:p>
    <w:p w14:paraId="568AD6F3">
      <w:pPr>
        <w:pStyle w:val="50"/>
        <w:ind w:firstLine="422"/>
        <w:rPr>
          <w:b/>
          <w:bCs/>
        </w:rPr>
      </w:pPr>
      <w:r>
        <w:rPr>
          <w:rFonts w:hint="eastAsia"/>
          <w:b/>
          <w:bCs/>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276502F1">
      <w:pPr>
        <w:pStyle w:val="50"/>
        <w:ind w:firstLine="422"/>
        <w:rPr>
          <w:b/>
          <w:bCs/>
        </w:rPr>
      </w:pPr>
      <w:r>
        <w:rPr>
          <w:rFonts w:hint="eastAsia"/>
          <w:b/>
          <w:bCs/>
        </w:rPr>
        <w:t>3.投诉书应简要列明质疑事项，质疑函、质疑答复等作为附件材料提供。</w:t>
      </w:r>
    </w:p>
    <w:p w14:paraId="692EA925">
      <w:pPr>
        <w:pStyle w:val="50"/>
        <w:ind w:firstLine="422"/>
        <w:rPr>
          <w:b/>
          <w:bCs/>
        </w:rPr>
      </w:pPr>
      <w:r>
        <w:rPr>
          <w:rFonts w:hint="eastAsia"/>
          <w:b/>
          <w:bCs/>
        </w:rPr>
        <w:t>4.投诉书的投诉事项应具体、明确，并有必要的事实依据和法律依据。</w:t>
      </w:r>
    </w:p>
    <w:p w14:paraId="3E1BE93A">
      <w:pPr>
        <w:pStyle w:val="50"/>
        <w:ind w:firstLine="422"/>
        <w:rPr>
          <w:b/>
          <w:bCs/>
        </w:rPr>
      </w:pPr>
      <w:r>
        <w:rPr>
          <w:rFonts w:hint="eastAsia"/>
          <w:b/>
          <w:bCs/>
        </w:rPr>
        <w:t>5.投诉书的投诉请求应与投诉事项相关。</w:t>
      </w:r>
    </w:p>
    <w:p w14:paraId="4FCF286A">
      <w:pPr>
        <w:pStyle w:val="50"/>
        <w:ind w:firstLine="422"/>
        <w:rPr>
          <w:b/>
          <w:bCs/>
        </w:rPr>
      </w:pPr>
      <w:r>
        <w:rPr>
          <w:rFonts w:hint="eastAsia"/>
          <w:b/>
          <w:bCs/>
        </w:rPr>
        <w:t>6.投诉人为法人或者其他组织的，投诉书应由法定代表人、主要负责人，或者其授权代表签字或者盖章，并加盖公章。</w:t>
      </w:r>
    </w:p>
    <w:p w14:paraId="594E5C3F">
      <w:pPr>
        <w:widowControl/>
        <w:jc w:val="left"/>
        <w:rPr>
          <w:szCs w:val="21"/>
        </w:rPr>
      </w:pPr>
    </w:p>
    <w:sectPr>
      <w:headerReference r:id="rId15" w:type="default"/>
      <w:pgSz w:w="11906" w:h="16838"/>
      <w:pgMar w:top="1418" w:right="1133" w:bottom="1246" w:left="141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5A8EBD5-C1D6-45B0-8830-E6DFEFD3BCE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403DA6DF-9849-45EE-BA56-89C28845B4BD}"/>
  </w:font>
  <w:font w:name="Arial">
    <w:panose1 w:val="020B0604020202020204"/>
    <w:charset w:val="00"/>
    <w:family w:val="swiss"/>
    <w:pitch w:val="default"/>
    <w:sig w:usb0="E0002EFF" w:usb1="C000785B" w:usb2="00000009" w:usb3="00000000" w:csb0="400001FF" w:csb1="FFFF0000"/>
    <w:embedRegular r:id="rId3" w:fontKey="{F8FBCD21-5FEA-4FD8-B607-3A3BAA9E474A}"/>
  </w:font>
  <w:font w:name="仿宋_GB2312">
    <w:altName w:val="仿宋"/>
    <w:panose1 w:val="00000000000000000000"/>
    <w:charset w:val="86"/>
    <w:family w:val="modern"/>
    <w:pitch w:val="default"/>
    <w:sig w:usb0="00000000" w:usb1="00000000" w:usb2="00000000" w:usb3="00000000" w:csb0="00040000" w:csb1="00000000"/>
    <w:embedRegular r:id="rId4" w:fontKey="{81C89AC2-8BC2-42FF-9ADB-DA95A06ABA55}"/>
  </w:font>
  <w:font w:name="仿宋">
    <w:panose1 w:val="02010609060101010101"/>
    <w:charset w:val="86"/>
    <w:family w:val="modern"/>
    <w:pitch w:val="default"/>
    <w:sig w:usb0="800002BF" w:usb1="38CF7CFA" w:usb2="00000016" w:usb3="00000000" w:csb0="00040001" w:csb1="00000000"/>
    <w:embedRegular r:id="rId5" w:fontKey="{93A5FCAE-31B9-4C6F-9294-23C38AA31EAE}"/>
  </w:font>
  <w:font w:name="Courier New">
    <w:panose1 w:val="02070309020205020404"/>
    <w:charset w:val="00"/>
    <w:family w:val="modern"/>
    <w:pitch w:val="default"/>
    <w:sig w:usb0="E0002EFF" w:usb1="C0007843" w:usb2="00000009" w:usb3="00000000" w:csb0="400001FF" w:csb1="FFFF0000"/>
    <w:embedRegular r:id="rId6" w:fontKey="{3B96528A-0FA3-4998-82CD-BFB0A18CD58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Microsoft YaHei UI">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华文楷体">
    <w:panose1 w:val="02010600040101010101"/>
    <w:charset w:val="86"/>
    <w:family w:val="auto"/>
    <w:pitch w:val="default"/>
    <w:sig w:usb0="00000287" w:usb1="080F0000" w:usb2="00000000" w:usb3="00000000" w:csb0="0004009F" w:csb1="DFD70000"/>
  </w:font>
  <w:font w:name="Wingdings 2">
    <w:panose1 w:val="05020102010507070707"/>
    <w:charset w:val="02"/>
    <w:family w:val="roman"/>
    <w:pitch w:val="default"/>
    <w:sig w:usb0="00000000" w:usb1="00000000" w:usb2="00000000" w:usb3="00000000" w:csb0="80000000" w:csb1="00000000"/>
    <w:embedRegular r:id="rId7" w:fontKey="{C815F122-7542-403B-97BB-A1E675B487BA}"/>
  </w:font>
  <w:font w:name="方正小标宋简体">
    <w:altName w:val="方正舒体"/>
    <w:panose1 w:val="00000000000000000000"/>
    <w:charset w:val="86"/>
    <w:family w:val="script"/>
    <w:pitch w:val="default"/>
    <w:sig w:usb0="00000000" w:usb1="00000000" w:usb2="00000000" w:usb3="00000000" w:csb0="00040000" w:csb1="00000000"/>
    <w:embedRegular r:id="rId8" w:fontKey="{290DD7EB-9BB8-4867-8C45-D4C142DB1EB1}"/>
  </w:font>
  <w:font w:name="微软雅黑">
    <w:panose1 w:val="020B0503020204020204"/>
    <w:charset w:val="86"/>
    <w:family w:val="auto"/>
    <w:pitch w:val="default"/>
    <w:sig w:usb0="80000287" w:usb1="2ACF3C50" w:usb2="00000016" w:usb3="00000000" w:csb0="0004001F"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B2B61">
    <w:pPr>
      <w:pStyle w:val="31"/>
      <w:jc w:val="center"/>
    </w:pPr>
    <w:r>
      <w:fldChar w:fldCharType="begin"/>
    </w:r>
    <w:r>
      <w:instrText xml:space="preserve">PAGE   \* MERGEFORMAT</w:instrText>
    </w:r>
    <w:r>
      <w:fldChar w:fldCharType="separate"/>
    </w:r>
    <w:r>
      <w:rPr>
        <w:lang w:val="zh-CN"/>
      </w:rPr>
      <w:t>35</w:t>
    </w:r>
    <w:r>
      <w:fldChar w:fldCharType="end"/>
    </w:r>
  </w:p>
  <w:p w14:paraId="4CCC000E">
    <w:pPr>
      <w:pStyle w:val="3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15610">
    <w:pPr>
      <w:pStyle w:val="31"/>
      <w:ind w:right="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7878E">
    <w:pPr>
      <w:pStyle w:val="31"/>
      <w:ind w:right="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CA2A5">
    <w:pPr>
      <w:pStyle w:val="31"/>
      <w:jc w:val="center"/>
    </w:pPr>
    <w:r>
      <mc:AlternateContent>
        <mc:Choice Requires="wps">
          <w:drawing>
            <wp:anchor distT="0" distB="0" distL="114300" distR="114300" simplePos="0" relativeHeight="251659264" behindDoc="0" locked="0" layoutInCell="1" allowOverlap="1">
              <wp:simplePos x="0" y="0"/>
              <wp:positionH relativeFrom="margin">
                <wp:posOffset>2616200</wp:posOffset>
              </wp:positionH>
              <wp:positionV relativeFrom="paragraph">
                <wp:posOffset>0</wp:posOffset>
              </wp:positionV>
              <wp:extent cx="191135" cy="12954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91135" cy="1295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802600">
                          <w:pPr>
                            <w:pStyle w:val="31"/>
                            <w:jc w:val="center"/>
                          </w:pPr>
                          <w:r>
                            <w:fldChar w:fldCharType="begin"/>
                          </w:r>
                          <w:r>
                            <w:instrText xml:space="preserve">PAGE   \* MERGEFORMAT</w:instrText>
                          </w:r>
                          <w:r>
                            <w:fldChar w:fldCharType="separate"/>
                          </w:r>
                          <w:r>
                            <w:rPr>
                              <w:lang w:val="zh-CN"/>
                            </w:rPr>
                            <w:t>35</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06pt;margin-top:0pt;height:10.2pt;width:15.05pt;mso-position-horizontal-relative:margin;z-index:251659264;mso-width-relative:page;mso-height-relative:page;" filled="f" stroked="f" coordsize="21600,21600" o:gfxdata="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Qt3PhtUAAAAHAQAADwAAAAAAAAABACAAAAAiAAAAZHJzL2Rvd25yZXYueG1sUEsB&#10;AhQAFAAAAAgAh07iQNvcTm4xAgAAVQQAAA4AAAAAAAAAAQAgAAAAJAEAAGRycy9lMm9Eb2MueG1s&#10;UEsFBgAAAAAGAAYAWQEAAMcFAAAAAA==&#10;">
              <v:fill on="f" focussize="0,0"/>
              <v:stroke on="f" weight="0.5pt"/>
              <v:imagedata o:title=""/>
              <o:lock v:ext="edit" aspectratio="f"/>
              <v:textbox inset="0mm,0mm,0mm,0mm">
                <w:txbxContent>
                  <w:p w14:paraId="52802600">
                    <w:pPr>
                      <w:pStyle w:val="31"/>
                      <w:jc w:val="center"/>
                    </w:pPr>
                    <w:r>
                      <w:fldChar w:fldCharType="begin"/>
                    </w:r>
                    <w:r>
                      <w:instrText xml:space="preserve">PAGE   \* MERGEFORMAT</w:instrText>
                    </w:r>
                    <w:r>
                      <w:fldChar w:fldCharType="separate"/>
                    </w:r>
                    <w:r>
                      <w:rPr>
                        <w:lang w:val="zh-CN"/>
                      </w:rPr>
                      <w:t>35</w:t>
                    </w:r>
                    <w:r>
                      <w:fldChar w:fldCharType="end"/>
                    </w:r>
                  </w:p>
                </w:txbxContent>
              </v:textbox>
            </v:shape>
          </w:pict>
        </mc:Fallback>
      </mc:AlternateContent>
    </w:r>
  </w:p>
  <w:p w14:paraId="1E983909">
    <w:pPr>
      <w:pStyle w:val="3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433E0">
    <w:pPr>
      <w:pStyle w:val="31"/>
      <w:ind w:right="36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59E59F">
                          <w:pPr>
                            <w:pStyle w:val="3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0C59E59F">
                    <w:pPr>
                      <w:pStyle w:val="3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1066E">
    <w:pPr>
      <w:pStyle w:val="32"/>
      <w:jc w:val="left"/>
    </w:pPr>
    <w:r>
      <w:rPr>
        <w:rFonts w:hint="eastAsia"/>
      </w:rPr>
      <w:t>广西机电设备招标有限公司招标文件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09C788">
    <w:pPr>
      <w:pStyle w:val="32"/>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33806">
    <w:pPr>
      <w:pStyle w:val="32"/>
      <w:jc w:val="left"/>
    </w:pPr>
    <w:r>
      <w:rPr>
        <w:rFonts w:hint="eastAsia"/>
      </w:rPr>
      <w:t xml:space="preserve">广西机电设备招标有限公司招标文件                                                               </w:t>
    </w:r>
  </w:p>
  <w:p w14:paraId="6EA9481F">
    <w:pPr>
      <w:pStyle w:val="32"/>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12336">
    <w:pPr>
      <w:pStyle w:val="32"/>
      <w:jc w:val="left"/>
    </w:pPr>
    <w:r>
      <w:rPr>
        <w:rFonts w:hint="eastAsia"/>
      </w:rPr>
      <w:t xml:space="preserve">广西机电设备招标有限公司招标文件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FD409">
    <w:pPr>
      <w:pStyle w:val="32"/>
      <w:ind w:left="2790" w:hanging="2790" w:hangingChars="1550"/>
      <w:jc w:val="left"/>
    </w:pPr>
    <w:r>
      <w:rPr>
        <w:rFonts w:hint="eastAsia"/>
      </w:rPr>
      <w:t xml:space="preserve">广西机电设备招标有限公司招标文件  </w:t>
    </w:r>
    <w:r>
      <w:t xml:space="preserve">                                                 </w:t>
    </w:r>
    <w:r>
      <w:rPr>
        <w:rFonts w:hint="eastAsia"/>
      </w:rP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B7D7B">
    <w:pPr>
      <w:rPr>
        <w:sz w:val="18"/>
        <w:szCs w:val="18"/>
        <w:u w:val="single"/>
      </w:rPr>
    </w:pPr>
    <w:r>
      <w:rPr>
        <w:rFonts w:hint="eastAsia"/>
        <w:sz w:val="18"/>
        <w:szCs w:val="18"/>
        <w:u w:val="single"/>
      </w:rPr>
      <w:t xml:space="preserve">广西机电设备招标有限公司招标文件                                                </w:t>
    </w:r>
    <w:r>
      <w:rPr>
        <w:sz w:val="18"/>
        <w:szCs w:val="18"/>
        <w:u w:val="single"/>
      </w:rPr>
      <w:t xml:space="preserve">           </w:t>
    </w:r>
    <w:r>
      <w:rPr>
        <w:rFonts w:hint="eastAsia"/>
        <w:sz w:val="18"/>
        <w:szCs w:val="18"/>
        <w:u w:val="single"/>
      </w:rPr>
      <w:t xml:space="preserve">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B1FA3">
    <w:pPr>
      <w:rPr>
        <w:sz w:val="18"/>
        <w:szCs w:val="18"/>
        <w:u w:val="single"/>
      </w:rPr>
    </w:pPr>
    <w:r>
      <w:rPr>
        <w:rFonts w:hint="eastAsia"/>
        <w:sz w:val="18"/>
        <w:szCs w:val="18"/>
        <w:u w:val="single"/>
      </w:rPr>
      <w:t xml:space="preserve">广西机电设备招标有限公司招标文件                                                </w:t>
    </w:r>
    <w:r>
      <w:rPr>
        <w:sz w:val="18"/>
        <w:szCs w:val="18"/>
        <w:u w:val="single"/>
      </w:rPr>
      <w:t xml:space="preserve">           </w:t>
    </w:r>
    <w:r>
      <w:rPr>
        <w:rFonts w:hint="eastAsia"/>
        <w:sz w:val="18"/>
        <w:szCs w:val="18"/>
        <w:u w:val="single"/>
      </w:rPr>
      <w:t xml:space="preserve">         </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E9FF4">
    <w:pPr>
      <w:rPr>
        <w:sz w:val="18"/>
        <w:szCs w:val="18"/>
        <w:u w:val="single"/>
      </w:rPr>
    </w:pPr>
    <w:r>
      <w:rPr>
        <w:rFonts w:hint="eastAsia"/>
        <w:sz w:val="18"/>
        <w:szCs w:val="18"/>
        <w:u w:val="single"/>
      </w:rPr>
      <w:t xml:space="preserve">广西机电设备招标有限公司招标文件                                             </w:t>
    </w:r>
    <w:r>
      <w:rPr>
        <w:sz w:val="18"/>
        <w:szCs w:val="18"/>
        <w:u w:val="single"/>
      </w:rPr>
      <w:t xml:space="preserve">            </w:t>
    </w:r>
    <w:r>
      <w:rPr>
        <w:rFonts w:hint="eastAsia"/>
        <w:sz w:val="18"/>
        <w:szCs w:val="18"/>
        <w:u w:val="single"/>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3"/>
    <w:multiLevelType w:val="multilevel"/>
    <w:tmpl w:val="00000013"/>
    <w:lvl w:ilvl="0" w:tentative="0">
      <w:start w:val="1"/>
      <w:numFmt w:val="decimal"/>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3B026C45"/>
    <w:multiLevelType w:val="multilevel"/>
    <w:tmpl w:val="3B026C45"/>
    <w:lvl w:ilvl="0" w:tentative="0">
      <w:start w:val="1"/>
      <w:numFmt w:val="decimal"/>
      <w:lvlText w:val="%1"/>
      <w:lvlJc w:val="center"/>
      <w:pPr>
        <w:ind w:left="420" w:hanging="420"/>
      </w:pPr>
      <w:rPr>
        <w:rFonts w:hint="eastAsia"/>
        <w:b w:val="0"/>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1"/>
  <w:embedTrueTypeFonts/>
  <w:saveSubset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noPunctuationKerning w:val="1"/>
  <w:characterSpacingControl w:val="doNotCompress"/>
  <w:compat>
    <w:doNotLeaveBackslashAlon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3B8"/>
    <w:rsid w:val="000003EF"/>
    <w:rsid w:val="00000653"/>
    <w:rsid w:val="000008B9"/>
    <w:rsid w:val="0000091B"/>
    <w:rsid w:val="00000ADC"/>
    <w:rsid w:val="00000D0A"/>
    <w:rsid w:val="00000D19"/>
    <w:rsid w:val="00000E1A"/>
    <w:rsid w:val="000011C3"/>
    <w:rsid w:val="00001B3E"/>
    <w:rsid w:val="00001B68"/>
    <w:rsid w:val="00001CD6"/>
    <w:rsid w:val="00001D8F"/>
    <w:rsid w:val="00001E6F"/>
    <w:rsid w:val="00001FB8"/>
    <w:rsid w:val="000020DA"/>
    <w:rsid w:val="00002AC8"/>
    <w:rsid w:val="00002DDA"/>
    <w:rsid w:val="00002F41"/>
    <w:rsid w:val="00003255"/>
    <w:rsid w:val="000033BC"/>
    <w:rsid w:val="00003428"/>
    <w:rsid w:val="00003544"/>
    <w:rsid w:val="00003C81"/>
    <w:rsid w:val="00003D02"/>
    <w:rsid w:val="00003DAE"/>
    <w:rsid w:val="00003DDF"/>
    <w:rsid w:val="0000436E"/>
    <w:rsid w:val="000046C2"/>
    <w:rsid w:val="000055C3"/>
    <w:rsid w:val="000056BC"/>
    <w:rsid w:val="000058D7"/>
    <w:rsid w:val="00005E55"/>
    <w:rsid w:val="0000644D"/>
    <w:rsid w:val="00006E2C"/>
    <w:rsid w:val="00007315"/>
    <w:rsid w:val="00007501"/>
    <w:rsid w:val="000079FF"/>
    <w:rsid w:val="00007B0D"/>
    <w:rsid w:val="00007F38"/>
    <w:rsid w:val="000102A9"/>
    <w:rsid w:val="00010339"/>
    <w:rsid w:val="000105C3"/>
    <w:rsid w:val="00011B70"/>
    <w:rsid w:val="00011D72"/>
    <w:rsid w:val="00011DE9"/>
    <w:rsid w:val="00012078"/>
    <w:rsid w:val="00012218"/>
    <w:rsid w:val="00012320"/>
    <w:rsid w:val="0001242C"/>
    <w:rsid w:val="00012447"/>
    <w:rsid w:val="000128AC"/>
    <w:rsid w:val="000129EA"/>
    <w:rsid w:val="00013034"/>
    <w:rsid w:val="00013166"/>
    <w:rsid w:val="00013350"/>
    <w:rsid w:val="0001338B"/>
    <w:rsid w:val="00013391"/>
    <w:rsid w:val="000136AF"/>
    <w:rsid w:val="00013748"/>
    <w:rsid w:val="00013AE8"/>
    <w:rsid w:val="00013D41"/>
    <w:rsid w:val="00013D8B"/>
    <w:rsid w:val="000143A3"/>
    <w:rsid w:val="000144F2"/>
    <w:rsid w:val="000145E3"/>
    <w:rsid w:val="00014CA6"/>
    <w:rsid w:val="00014DD6"/>
    <w:rsid w:val="0001532B"/>
    <w:rsid w:val="0001598C"/>
    <w:rsid w:val="00016007"/>
    <w:rsid w:val="000169F3"/>
    <w:rsid w:val="00016C31"/>
    <w:rsid w:val="00016CE3"/>
    <w:rsid w:val="00016D4C"/>
    <w:rsid w:val="0001710D"/>
    <w:rsid w:val="00017504"/>
    <w:rsid w:val="00017758"/>
    <w:rsid w:val="000178D7"/>
    <w:rsid w:val="00017900"/>
    <w:rsid w:val="00017C14"/>
    <w:rsid w:val="00017E50"/>
    <w:rsid w:val="00017F40"/>
    <w:rsid w:val="000204C7"/>
    <w:rsid w:val="0002053C"/>
    <w:rsid w:val="00020670"/>
    <w:rsid w:val="00020861"/>
    <w:rsid w:val="00020BB1"/>
    <w:rsid w:val="00020BF0"/>
    <w:rsid w:val="00020C0B"/>
    <w:rsid w:val="00020F60"/>
    <w:rsid w:val="00020FAF"/>
    <w:rsid w:val="000215B7"/>
    <w:rsid w:val="000217BF"/>
    <w:rsid w:val="00021C98"/>
    <w:rsid w:val="00021CCD"/>
    <w:rsid w:val="00021EE3"/>
    <w:rsid w:val="00022395"/>
    <w:rsid w:val="00022808"/>
    <w:rsid w:val="000228AB"/>
    <w:rsid w:val="00022C7D"/>
    <w:rsid w:val="00022E58"/>
    <w:rsid w:val="00022F2A"/>
    <w:rsid w:val="00022F8B"/>
    <w:rsid w:val="00022FB8"/>
    <w:rsid w:val="00023147"/>
    <w:rsid w:val="00023187"/>
    <w:rsid w:val="000233CA"/>
    <w:rsid w:val="00023436"/>
    <w:rsid w:val="0002351E"/>
    <w:rsid w:val="00023652"/>
    <w:rsid w:val="000236EE"/>
    <w:rsid w:val="00023731"/>
    <w:rsid w:val="00024633"/>
    <w:rsid w:val="0002469F"/>
    <w:rsid w:val="00024D61"/>
    <w:rsid w:val="0002535B"/>
    <w:rsid w:val="0002560A"/>
    <w:rsid w:val="00025B64"/>
    <w:rsid w:val="00025DA0"/>
    <w:rsid w:val="00026003"/>
    <w:rsid w:val="000262BC"/>
    <w:rsid w:val="0002696D"/>
    <w:rsid w:val="0002754D"/>
    <w:rsid w:val="00027666"/>
    <w:rsid w:val="000276B2"/>
    <w:rsid w:val="00027833"/>
    <w:rsid w:val="00027A1D"/>
    <w:rsid w:val="00027A46"/>
    <w:rsid w:val="00027AF3"/>
    <w:rsid w:val="00027C79"/>
    <w:rsid w:val="00030024"/>
    <w:rsid w:val="00030124"/>
    <w:rsid w:val="000302F0"/>
    <w:rsid w:val="000305FD"/>
    <w:rsid w:val="0003081E"/>
    <w:rsid w:val="0003084F"/>
    <w:rsid w:val="00030C2F"/>
    <w:rsid w:val="00031169"/>
    <w:rsid w:val="0003129D"/>
    <w:rsid w:val="00031692"/>
    <w:rsid w:val="00031757"/>
    <w:rsid w:val="00031B37"/>
    <w:rsid w:val="00031DDD"/>
    <w:rsid w:val="00031E69"/>
    <w:rsid w:val="00032686"/>
    <w:rsid w:val="0003274B"/>
    <w:rsid w:val="00032AD8"/>
    <w:rsid w:val="00032ADF"/>
    <w:rsid w:val="00032D8D"/>
    <w:rsid w:val="000331CC"/>
    <w:rsid w:val="0003322E"/>
    <w:rsid w:val="00033856"/>
    <w:rsid w:val="00033927"/>
    <w:rsid w:val="00034443"/>
    <w:rsid w:val="00034833"/>
    <w:rsid w:val="00034947"/>
    <w:rsid w:val="00034A89"/>
    <w:rsid w:val="000352BA"/>
    <w:rsid w:val="000357B7"/>
    <w:rsid w:val="00035840"/>
    <w:rsid w:val="00035844"/>
    <w:rsid w:val="00035A8D"/>
    <w:rsid w:val="00035C94"/>
    <w:rsid w:val="00035F2C"/>
    <w:rsid w:val="00035F8C"/>
    <w:rsid w:val="000360DB"/>
    <w:rsid w:val="00036107"/>
    <w:rsid w:val="0003613D"/>
    <w:rsid w:val="00036383"/>
    <w:rsid w:val="00036BAA"/>
    <w:rsid w:val="00036E33"/>
    <w:rsid w:val="00037101"/>
    <w:rsid w:val="00037C2D"/>
    <w:rsid w:val="00037C63"/>
    <w:rsid w:val="00037CE4"/>
    <w:rsid w:val="00037DB6"/>
    <w:rsid w:val="00037DD8"/>
    <w:rsid w:val="00037FD7"/>
    <w:rsid w:val="00040187"/>
    <w:rsid w:val="000401FD"/>
    <w:rsid w:val="0004079D"/>
    <w:rsid w:val="00040AC1"/>
    <w:rsid w:val="00040ED3"/>
    <w:rsid w:val="0004139C"/>
    <w:rsid w:val="000415E3"/>
    <w:rsid w:val="000418B1"/>
    <w:rsid w:val="00041C02"/>
    <w:rsid w:val="00042280"/>
    <w:rsid w:val="0004231D"/>
    <w:rsid w:val="000424AB"/>
    <w:rsid w:val="00042BF9"/>
    <w:rsid w:val="00042ED7"/>
    <w:rsid w:val="000431D3"/>
    <w:rsid w:val="00043295"/>
    <w:rsid w:val="0004377D"/>
    <w:rsid w:val="00043C71"/>
    <w:rsid w:val="00043FFA"/>
    <w:rsid w:val="00044236"/>
    <w:rsid w:val="00044578"/>
    <w:rsid w:val="00044990"/>
    <w:rsid w:val="00044A8C"/>
    <w:rsid w:val="00044AF1"/>
    <w:rsid w:val="00044D55"/>
    <w:rsid w:val="00045069"/>
    <w:rsid w:val="00045070"/>
    <w:rsid w:val="000450D9"/>
    <w:rsid w:val="000450F6"/>
    <w:rsid w:val="000451CD"/>
    <w:rsid w:val="000453FC"/>
    <w:rsid w:val="00045947"/>
    <w:rsid w:val="000459FB"/>
    <w:rsid w:val="000462A8"/>
    <w:rsid w:val="00046360"/>
    <w:rsid w:val="0004653D"/>
    <w:rsid w:val="000465AB"/>
    <w:rsid w:val="00046E59"/>
    <w:rsid w:val="000472E6"/>
    <w:rsid w:val="000479CD"/>
    <w:rsid w:val="000479FF"/>
    <w:rsid w:val="00047CF5"/>
    <w:rsid w:val="00047FDF"/>
    <w:rsid w:val="000500E6"/>
    <w:rsid w:val="000504FE"/>
    <w:rsid w:val="000513E2"/>
    <w:rsid w:val="00051C80"/>
    <w:rsid w:val="00051D87"/>
    <w:rsid w:val="00051F04"/>
    <w:rsid w:val="00052326"/>
    <w:rsid w:val="000529E7"/>
    <w:rsid w:val="00052DBE"/>
    <w:rsid w:val="00053175"/>
    <w:rsid w:val="000534EE"/>
    <w:rsid w:val="0005359C"/>
    <w:rsid w:val="00053628"/>
    <w:rsid w:val="0005387F"/>
    <w:rsid w:val="00053BFC"/>
    <w:rsid w:val="00053EED"/>
    <w:rsid w:val="0005428F"/>
    <w:rsid w:val="00054331"/>
    <w:rsid w:val="000544F4"/>
    <w:rsid w:val="000545D3"/>
    <w:rsid w:val="00054676"/>
    <w:rsid w:val="000547E4"/>
    <w:rsid w:val="00054870"/>
    <w:rsid w:val="00054AB0"/>
    <w:rsid w:val="00054ABD"/>
    <w:rsid w:val="00054CCC"/>
    <w:rsid w:val="00054D04"/>
    <w:rsid w:val="00054F7D"/>
    <w:rsid w:val="00055230"/>
    <w:rsid w:val="00055279"/>
    <w:rsid w:val="00055557"/>
    <w:rsid w:val="000555EA"/>
    <w:rsid w:val="00055945"/>
    <w:rsid w:val="00055A8A"/>
    <w:rsid w:val="00055AF4"/>
    <w:rsid w:val="00055E6D"/>
    <w:rsid w:val="00055FB0"/>
    <w:rsid w:val="0005625F"/>
    <w:rsid w:val="0005649E"/>
    <w:rsid w:val="0005682D"/>
    <w:rsid w:val="00056945"/>
    <w:rsid w:val="0005700C"/>
    <w:rsid w:val="00057393"/>
    <w:rsid w:val="00057988"/>
    <w:rsid w:val="00057E45"/>
    <w:rsid w:val="0006027F"/>
    <w:rsid w:val="00060523"/>
    <w:rsid w:val="000606B6"/>
    <w:rsid w:val="000609AC"/>
    <w:rsid w:val="0006122E"/>
    <w:rsid w:val="0006148A"/>
    <w:rsid w:val="000618AE"/>
    <w:rsid w:val="00062637"/>
    <w:rsid w:val="0006263C"/>
    <w:rsid w:val="00062653"/>
    <w:rsid w:val="00062949"/>
    <w:rsid w:val="000631AC"/>
    <w:rsid w:val="000631B7"/>
    <w:rsid w:val="000633DD"/>
    <w:rsid w:val="00063420"/>
    <w:rsid w:val="00063894"/>
    <w:rsid w:val="000639D4"/>
    <w:rsid w:val="00063B14"/>
    <w:rsid w:val="00063B29"/>
    <w:rsid w:val="0006408F"/>
    <w:rsid w:val="00064189"/>
    <w:rsid w:val="000642D1"/>
    <w:rsid w:val="000646CC"/>
    <w:rsid w:val="00064840"/>
    <w:rsid w:val="00064882"/>
    <w:rsid w:val="000648B7"/>
    <w:rsid w:val="00064A48"/>
    <w:rsid w:val="00064AEB"/>
    <w:rsid w:val="00064C80"/>
    <w:rsid w:val="00065429"/>
    <w:rsid w:val="00065587"/>
    <w:rsid w:val="000657C2"/>
    <w:rsid w:val="00065AB7"/>
    <w:rsid w:val="00065BFE"/>
    <w:rsid w:val="00065C40"/>
    <w:rsid w:val="00065D71"/>
    <w:rsid w:val="000666D4"/>
    <w:rsid w:val="000673D8"/>
    <w:rsid w:val="000673E7"/>
    <w:rsid w:val="00067DE7"/>
    <w:rsid w:val="00070106"/>
    <w:rsid w:val="0007014F"/>
    <w:rsid w:val="00070517"/>
    <w:rsid w:val="000706AC"/>
    <w:rsid w:val="00070950"/>
    <w:rsid w:val="000709D3"/>
    <w:rsid w:val="00070A7D"/>
    <w:rsid w:val="00070AAB"/>
    <w:rsid w:val="000712F8"/>
    <w:rsid w:val="00071A68"/>
    <w:rsid w:val="00071A6A"/>
    <w:rsid w:val="00071A8B"/>
    <w:rsid w:val="00071C95"/>
    <w:rsid w:val="0007240C"/>
    <w:rsid w:val="00072627"/>
    <w:rsid w:val="00072A95"/>
    <w:rsid w:val="00072AB4"/>
    <w:rsid w:val="00072CEC"/>
    <w:rsid w:val="0007368B"/>
    <w:rsid w:val="00073C3B"/>
    <w:rsid w:val="00074144"/>
    <w:rsid w:val="000744D4"/>
    <w:rsid w:val="000745E9"/>
    <w:rsid w:val="00074674"/>
    <w:rsid w:val="000747B7"/>
    <w:rsid w:val="00074923"/>
    <w:rsid w:val="00074EE8"/>
    <w:rsid w:val="00075092"/>
    <w:rsid w:val="000750EA"/>
    <w:rsid w:val="000750F3"/>
    <w:rsid w:val="0007539D"/>
    <w:rsid w:val="00075562"/>
    <w:rsid w:val="00075A8D"/>
    <w:rsid w:val="00076542"/>
    <w:rsid w:val="000770BC"/>
    <w:rsid w:val="00077359"/>
    <w:rsid w:val="000774F1"/>
    <w:rsid w:val="00077698"/>
    <w:rsid w:val="000777B1"/>
    <w:rsid w:val="00077891"/>
    <w:rsid w:val="0007797E"/>
    <w:rsid w:val="00077C1B"/>
    <w:rsid w:val="0008006B"/>
    <w:rsid w:val="0008017C"/>
    <w:rsid w:val="00080321"/>
    <w:rsid w:val="00080AA6"/>
    <w:rsid w:val="00080BE2"/>
    <w:rsid w:val="00080DA9"/>
    <w:rsid w:val="00080DF6"/>
    <w:rsid w:val="00081BF9"/>
    <w:rsid w:val="00081C1C"/>
    <w:rsid w:val="00081ECB"/>
    <w:rsid w:val="0008224F"/>
    <w:rsid w:val="000822F0"/>
    <w:rsid w:val="000824BD"/>
    <w:rsid w:val="00082611"/>
    <w:rsid w:val="00082617"/>
    <w:rsid w:val="0008264F"/>
    <w:rsid w:val="00082C85"/>
    <w:rsid w:val="0008304A"/>
    <w:rsid w:val="0008372E"/>
    <w:rsid w:val="00083A64"/>
    <w:rsid w:val="00083AC4"/>
    <w:rsid w:val="00083B97"/>
    <w:rsid w:val="000842B5"/>
    <w:rsid w:val="00085560"/>
    <w:rsid w:val="00085A86"/>
    <w:rsid w:val="00085E63"/>
    <w:rsid w:val="00086067"/>
    <w:rsid w:val="000866A9"/>
    <w:rsid w:val="00086975"/>
    <w:rsid w:val="00086EC2"/>
    <w:rsid w:val="000870C0"/>
    <w:rsid w:val="00087358"/>
    <w:rsid w:val="000873F5"/>
    <w:rsid w:val="000876C2"/>
    <w:rsid w:val="0008771A"/>
    <w:rsid w:val="00087736"/>
    <w:rsid w:val="00087B15"/>
    <w:rsid w:val="00087E2E"/>
    <w:rsid w:val="000900DF"/>
    <w:rsid w:val="00090193"/>
    <w:rsid w:val="0009021F"/>
    <w:rsid w:val="00090524"/>
    <w:rsid w:val="00090794"/>
    <w:rsid w:val="000907D1"/>
    <w:rsid w:val="00091332"/>
    <w:rsid w:val="0009134B"/>
    <w:rsid w:val="000919E1"/>
    <w:rsid w:val="00091AE8"/>
    <w:rsid w:val="00091D8D"/>
    <w:rsid w:val="00092F17"/>
    <w:rsid w:val="00093869"/>
    <w:rsid w:val="00093BC0"/>
    <w:rsid w:val="00093D1A"/>
    <w:rsid w:val="00093DF8"/>
    <w:rsid w:val="00093E53"/>
    <w:rsid w:val="000941F6"/>
    <w:rsid w:val="000942AF"/>
    <w:rsid w:val="0009454A"/>
    <w:rsid w:val="000945C5"/>
    <w:rsid w:val="00094ECF"/>
    <w:rsid w:val="00095092"/>
    <w:rsid w:val="000955B6"/>
    <w:rsid w:val="0009592E"/>
    <w:rsid w:val="00095AAF"/>
    <w:rsid w:val="00095B76"/>
    <w:rsid w:val="00095ECB"/>
    <w:rsid w:val="00096D28"/>
    <w:rsid w:val="0009715C"/>
    <w:rsid w:val="00097406"/>
    <w:rsid w:val="000975D5"/>
    <w:rsid w:val="00097D9D"/>
    <w:rsid w:val="00097F93"/>
    <w:rsid w:val="00097F98"/>
    <w:rsid w:val="00097FE0"/>
    <w:rsid w:val="000A062D"/>
    <w:rsid w:val="000A07F9"/>
    <w:rsid w:val="000A0A59"/>
    <w:rsid w:val="000A10DB"/>
    <w:rsid w:val="000A111D"/>
    <w:rsid w:val="000A117F"/>
    <w:rsid w:val="000A128A"/>
    <w:rsid w:val="000A147E"/>
    <w:rsid w:val="000A165F"/>
    <w:rsid w:val="000A21D0"/>
    <w:rsid w:val="000A262B"/>
    <w:rsid w:val="000A27A2"/>
    <w:rsid w:val="000A2960"/>
    <w:rsid w:val="000A2968"/>
    <w:rsid w:val="000A299E"/>
    <w:rsid w:val="000A2AE9"/>
    <w:rsid w:val="000A2C66"/>
    <w:rsid w:val="000A2D6D"/>
    <w:rsid w:val="000A2E12"/>
    <w:rsid w:val="000A2E97"/>
    <w:rsid w:val="000A32CC"/>
    <w:rsid w:val="000A3515"/>
    <w:rsid w:val="000A3518"/>
    <w:rsid w:val="000A3B53"/>
    <w:rsid w:val="000A4852"/>
    <w:rsid w:val="000A4ACE"/>
    <w:rsid w:val="000A4C12"/>
    <w:rsid w:val="000A509A"/>
    <w:rsid w:val="000A56E6"/>
    <w:rsid w:val="000A6C4D"/>
    <w:rsid w:val="000A6C54"/>
    <w:rsid w:val="000A6E22"/>
    <w:rsid w:val="000A6F1D"/>
    <w:rsid w:val="000A707B"/>
    <w:rsid w:val="000A70C7"/>
    <w:rsid w:val="000A7238"/>
    <w:rsid w:val="000A745D"/>
    <w:rsid w:val="000A78BB"/>
    <w:rsid w:val="000A791D"/>
    <w:rsid w:val="000A7931"/>
    <w:rsid w:val="000B034B"/>
    <w:rsid w:val="000B0720"/>
    <w:rsid w:val="000B08E4"/>
    <w:rsid w:val="000B09FE"/>
    <w:rsid w:val="000B0BB1"/>
    <w:rsid w:val="000B15EF"/>
    <w:rsid w:val="000B1F65"/>
    <w:rsid w:val="000B2185"/>
    <w:rsid w:val="000B23BA"/>
    <w:rsid w:val="000B2492"/>
    <w:rsid w:val="000B26D6"/>
    <w:rsid w:val="000B2D1E"/>
    <w:rsid w:val="000B316D"/>
    <w:rsid w:val="000B3194"/>
    <w:rsid w:val="000B3CFE"/>
    <w:rsid w:val="000B40B2"/>
    <w:rsid w:val="000B44CF"/>
    <w:rsid w:val="000B45B1"/>
    <w:rsid w:val="000B49F7"/>
    <w:rsid w:val="000B4EF3"/>
    <w:rsid w:val="000B51CB"/>
    <w:rsid w:val="000B554C"/>
    <w:rsid w:val="000B5D87"/>
    <w:rsid w:val="000B60C6"/>
    <w:rsid w:val="000B6115"/>
    <w:rsid w:val="000B68A5"/>
    <w:rsid w:val="000B6F18"/>
    <w:rsid w:val="000B70DB"/>
    <w:rsid w:val="000B71FC"/>
    <w:rsid w:val="000B76E7"/>
    <w:rsid w:val="000B797D"/>
    <w:rsid w:val="000B7AC2"/>
    <w:rsid w:val="000B7E6D"/>
    <w:rsid w:val="000B7F80"/>
    <w:rsid w:val="000C04DC"/>
    <w:rsid w:val="000C0869"/>
    <w:rsid w:val="000C099A"/>
    <w:rsid w:val="000C0A0F"/>
    <w:rsid w:val="000C1322"/>
    <w:rsid w:val="000C1825"/>
    <w:rsid w:val="000C1979"/>
    <w:rsid w:val="000C19D0"/>
    <w:rsid w:val="000C1DBB"/>
    <w:rsid w:val="000C20B5"/>
    <w:rsid w:val="000C2508"/>
    <w:rsid w:val="000C270D"/>
    <w:rsid w:val="000C2AE8"/>
    <w:rsid w:val="000C2B1E"/>
    <w:rsid w:val="000C2C63"/>
    <w:rsid w:val="000C350A"/>
    <w:rsid w:val="000C3518"/>
    <w:rsid w:val="000C3762"/>
    <w:rsid w:val="000C41CD"/>
    <w:rsid w:val="000C4988"/>
    <w:rsid w:val="000C501B"/>
    <w:rsid w:val="000C5167"/>
    <w:rsid w:val="000C57DD"/>
    <w:rsid w:val="000C59D1"/>
    <w:rsid w:val="000C5C88"/>
    <w:rsid w:val="000C5E1C"/>
    <w:rsid w:val="000C6176"/>
    <w:rsid w:val="000C61B8"/>
    <w:rsid w:val="000C620D"/>
    <w:rsid w:val="000C64D1"/>
    <w:rsid w:val="000C655F"/>
    <w:rsid w:val="000C669B"/>
    <w:rsid w:val="000C66AB"/>
    <w:rsid w:val="000C6872"/>
    <w:rsid w:val="000C6DEA"/>
    <w:rsid w:val="000C7045"/>
    <w:rsid w:val="000C718C"/>
    <w:rsid w:val="000C71D4"/>
    <w:rsid w:val="000C7563"/>
    <w:rsid w:val="000C757A"/>
    <w:rsid w:val="000C77C4"/>
    <w:rsid w:val="000C7D9F"/>
    <w:rsid w:val="000D074C"/>
    <w:rsid w:val="000D0C28"/>
    <w:rsid w:val="000D0F0F"/>
    <w:rsid w:val="000D0F2E"/>
    <w:rsid w:val="000D1788"/>
    <w:rsid w:val="000D17CF"/>
    <w:rsid w:val="000D1ACF"/>
    <w:rsid w:val="000D1C4F"/>
    <w:rsid w:val="000D1D6C"/>
    <w:rsid w:val="000D2D0F"/>
    <w:rsid w:val="000D31CB"/>
    <w:rsid w:val="000D3ACA"/>
    <w:rsid w:val="000D3DCE"/>
    <w:rsid w:val="000D3E1B"/>
    <w:rsid w:val="000D3FBF"/>
    <w:rsid w:val="000D4061"/>
    <w:rsid w:val="000D44A4"/>
    <w:rsid w:val="000D47EF"/>
    <w:rsid w:val="000D4860"/>
    <w:rsid w:val="000D48FB"/>
    <w:rsid w:val="000D4933"/>
    <w:rsid w:val="000D4B4F"/>
    <w:rsid w:val="000D4E0B"/>
    <w:rsid w:val="000D4EC1"/>
    <w:rsid w:val="000D55FD"/>
    <w:rsid w:val="000D562F"/>
    <w:rsid w:val="000D56C7"/>
    <w:rsid w:val="000D672C"/>
    <w:rsid w:val="000D68F4"/>
    <w:rsid w:val="000D6A04"/>
    <w:rsid w:val="000D6A61"/>
    <w:rsid w:val="000D6B49"/>
    <w:rsid w:val="000D6C78"/>
    <w:rsid w:val="000D74B9"/>
    <w:rsid w:val="000D77A9"/>
    <w:rsid w:val="000E01DF"/>
    <w:rsid w:val="000E071A"/>
    <w:rsid w:val="000E1094"/>
    <w:rsid w:val="000E129F"/>
    <w:rsid w:val="000E1838"/>
    <w:rsid w:val="000E18A1"/>
    <w:rsid w:val="000E19D1"/>
    <w:rsid w:val="000E1AC3"/>
    <w:rsid w:val="000E1C04"/>
    <w:rsid w:val="000E20DA"/>
    <w:rsid w:val="000E29CF"/>
    <w:rsid w:val="000E2AD1"/>
    <w:rsid w:val="000E2AD8"/>
    <w:rsid w:val="000E2C47"/>
    <w:rsid w:val="000E2EE3"/>
    <w:rsid w:val="000E2F86"/>
    <w:rsid w:val="000E3D2F"/>
    <w:rsid w:val="000E42EF"/>
    <w:rsid w:val="000E4712"/>
    <w:rsid w:val="000E4723"/>
    <w:rsid w:val="000E4757"/>
    <w:rsid w:val="000E4A4B"/>
    <w:rsid w:val="000E4F47"/>
    <w:rsid w:val="000E508E"/>
    <w:rsid w:val="000E565C"/>
    <w:rsid w:val="000E575A"/>
    <w:rsid w:val="000E612C"/>
    <w:rsid w:val="000E6372"/>
    <w:rsid w:val="000E6C14"/>
    <w:rsid w:val="000E6D38"/>
    <w:rsid w:val="000E6D94"/>
    <w:rsid w:val="000E72E7"/>
    <w:rsid w:val="000E72F6"/>
    <w:rsid w:val="000E7533"/>
    <w:rsid w:val="000E75B3"/>
    <w:rsid w:val="000E75D1"/>
    <w:rsid w:val="000E7C51"/>
    <w:rsid w:val="000E7CC8"/>
    <w:rsid w:val="000F0524"/>
    <w:rsid w:val="000F0608"/>
    <w:rsid w:val="000F0D10"/>
    <w:rsid w:val="000F0DEF"/>
    <w:rsid w:val="000F0E1D"/>
    <w:rsid w:val="000F12E7"/>
    <w:rsid w:val="000F1617"/>
    <w:rsid w:val="000F18D8"/>
    <w:rsid w:val="000F1AF3"/>
    <w:rsid w:val="000F1B78"/>
    <w:rsid w:val="000F1F51"/>
    <w:rsid w:val="000F1FB0"/>
    <w:rsid w:val="000F2181"/>
    <w:rsid w:val="000F238F"/>
    <w:rsid w:val="000F24AC"/>
    <w:rsid w:val="000F253C"/>
    <w:rsid w:val="000F28A5"/>
    <w:rsid w:val="000F2943"/>
    <w:rsid w:val="000F2E97"/>
    <w:rsid w:val="000F2F22"/>
    <w:rsid w:val="000F2F60"/>
    <w:rsid w:val="000F3461"/>
    <w:rsid w:val="000F38FC"/>
    <w:rsid w:val="000F40BA"/>
    <w:rsid w:val="000F4486"/>
    <w:rsid w:val="000F4B3A"/>
    <w:rsid w:val="000F4B82"/>
    <w:rsid w:val="000F500A"/>
    <w:rsid w:val="000F506D"/>
    <w:rsid w:val="000F5331"/>
    <w:rsid w:val="000F55C9"/>
    <w:rsid w:val="000F5CAA"/>
    <w:rsid w:val="000F60C1"/>
    <w:rsid w:val="000F6242"/>
    <w:rsid w:val="000F666F"/>
    <w:rsid w:val="000F6CFE"/>
    <w:rsid w:val="000F6F32"/>
    <w:rsid w:val="000F70DA"/>
    <w:rsid w:val="000F75A8"/>
    <w:rsid w:val="000F76E0"/>
    <w:rsid w:val="000F77B5"/>
    <w:rsid w:val="000F78FB"/>
    <w:rsid w:val="000F79FD"/>
    <w:rsid w:val="00100331"/>
    <w:rsid w:val="00101255"/>
    <w:rsid w:val="001014D2"/>
    <w:rsid w:val="001014F7"/>
    <w:rsid w:val="001016BB"/>
    <w:rsid w:val="001018E0"/>
    <w:rsid w:val="00101989"/>
    <w:rsid w:val="00101A37"/>
    <w:rsid w:val="0010251A"/>
    <w:rsid w:val="00102768"/>
    <w:rsid w:val="00102BC3"/>
    <w:rsid w:val="00102EF2"/>
    <w:rsid w:val="00103458"/>
    <w:rsid w:val="001037BD"/>
    <w:rsid w:val="00103BA3"/>
    <w:rsid w:val="0010425A"/>
    <w:rsid w:val="001047CB"/>
    <w:rsid w:val="00104AFF"/>
    <w:rsid w:val="00104E14"/>
    <w:rsid w:val="0010520D"/>
    <w:rsid w:val="001053EE"/>
    <w:rsid w:val="00105629"/>
    <w:rsid w:val="0010574F"/>
    <w:rsid w:val="00105863"/>
    <w:rsid w:val="0010590B"/>
    <w:rsid w:val="00105996"/>
    <w:rsid w:val="001059FC"/>
    <w:rsid w:val="00105A06"/>
    <w:rsid w:val="00105CCB"/>
    <w:rsid w:val="00105F3E"/>
    <w:rsid w:val="00106050"/>
    <w:rsid w:val="00106171"/>
    <w:rsid w:val="001061C3"/>
    <w:rsid w:val="0010624A"/>
    <w:rsid w:val="001066F6"/>
    <w:rsid w:val="00106DC3"/>
    <w:rsid w:val="00107889"/>
    <w:rsid w:val="001078F4"/>
    <w:rsid w:val="001101C7"/>
    <w:rsid w:val="001105FF"/>
    <w:rsid w:val="00110638"/>
    <w:rsid w:val="00110744"/>
    <w:rsid w:val="00110797"/>
    <w:rsid w:val="00110BFA"/>
    <w:rsid w:val="00110E04"/>
    <w:rsid w:val="00111062"/>
    <w:rsid w:val="0011170E"/>
    <w:rsid w:val="00111849"/>
    <w:rsid w:val="00111A34"/>
    <w:rsid w:val="00111ECD"/>
    <w:rsid w:val="001121DD"/>
    <w:rsid w:val="00112340"/>
    <w:rsid w:val="00112D31"/>
    <w:rsid w:val="00112DBF"/>
    <w:rsid w:val="00113646"/>
    <w:rsid w:val="0011371D"/>
    <w:rsid w:val="001137BE"/>
    <w:rsid w:val="00113A1E"/>
    <w:rsid w:val="00113CD1"/>
    <w:rsid w:val="00113FAA"/>
    <w:rsid w:val="00114359"/>
    <w:rsid w:val="0011487E"/>
    <w:rsid w:val="0011492A"/>
    <w:rsid w:val="00115093"/>
    <w:rsid w:val="00115417"/>
    <w:rsid w:val="00115757"/>
    <w:rsid w:val="00115825"/>
    <w:rsid w:val="00115960"/>
    <w:rsid w:val="001161CA"/>
    <w:rsid w:val="00116258"/>
    <w:rsid w:val="00116494"/>
    <w:rsid w:val="00116529"/>
    <w:rsid w:val="001166D3"/>
    <w:rsid w:val="001167AE"/>
    <w:rsid w:val="001167C6"/>
    <w:rsid w:val="00116BE3"/>
    <w:rsid w:val="001170F8"/>
    <w:rsid w:val="00117A39"/>
    <w:rsid w:val="001202C5"/>
    <w:rsid w:val="0012077F"/>
    <w:rsid w:val="00120813"/>
    <w:rsid w:val="0012099E"/>
    <w:rsid w:val="00120CE3"/>
    <w:rsid w:val="00120E60"/>
    <w:rsid w:val="0012130E"/>
    <w:rsid w:val="001213B0"/>
    <w:rsid w:val="00121741"/>
    <w:rsid w:val="001217BA"/>
    <w:rsid w:val="00121832"/>
    <w:rsid w:val="00122050"/>
    <w:rsid w:val="00122232"/>
    <w:rsid w:val="0012235C"/>
    <w:rsid w:val="00122857"/>
    <w:rsid w:val="001229E1"/>
    <w:rsid w:val="00122A75"/>
    <w:rsid w:val="00122E8B"/>
    <w:rsid w:val="00123529"/>
    <w:rsid w:val="0012388E"/>
    <w:rsid w:val="00123DA5"/>
    <w:rsid w:val="00123E7A"/>
    <w:rsid w:val="001241D1"/>
    <w:rsid w:val="00124271"/>
    <w:rsid w:val="00124457"/>
    <w:rsid w:val="00124669"/>
    <w:rsid w:val="0012466D"/>
    <w:rsid w:val="00124985"/>
    <w:rsid w:val="00124DA6"/>
    <w:rsid w:val="00125609"/>
    <w:rsid w:val="001257A9"/>
    <w:rsid w:val="00125CB3"/>
    <w:rsid w:val="00125D8A"/>
    <w:rsid w:val="001260EE"/>
    <w:rsid w:val="00126655"/>
    <w:rsid w:val="00126707"/>
    <w:rsid w:val="0012679D"/>
    <w:rsid w:val="001269E0"/>
    <w:rsid w:val="00126A92"/>
    <w:rsid w:val="00126F2B"/>
    <w:rsid w:val="00126FC8"/>
    <w:rsid w:val="001270F4"/>
    <w:rsid w:val="001274D7"/>
    <w:rsid w:val="00127514"/>
    <w:rsid w:val="001279A3"/>
    <w:rsid w:val="00127B28"/>
    <w:rsid w:val="00127BB4"/>
    <w:rsid w:val="00130992"/>
    <w:rsid w:val="00130D0F"/>
    <w:rsid w:val="00130D23"/>
    <w:rsid w:val="001311C9"/>
    <w:rsid w:val="001312E1"/>
    <w:rsid w:val="00131335"/>
    <w:rsid w:val="00131627"/>
    <w:rsid w:val="0013168D"/>
    <w:rsid w:val="001318CD"/>
    <w:rsid w:val="0013190A"/>
    <w:rsid w:val="00131955"/>
    <w:rsid w:val="00131C94"/>
    <w:rsid w:val="00131DE6"/>
    <w:rsid w:val="001321CA"/>
    <w:rsid w:val="001323E6"/>
    <w:rsid w:val="001326D3"/>
    <w:rsid w:val="001326DF"/>
    <w:rsid w:val="00132848"/>
    <w:rsid w:val="001329EC"/>
    <w:rsid w:val="00132A53"/>
    <w:rsid w:val="00132A5F"/>
    <w:rsid w:val="00132AD8"/>
    <w:rsid w:val="00132CCE"/>
    <w:rsid w:val="00133BBE"/>
    <w:rsid w:val="00133D01"/>
    <w:rsid w:val="001342A2"/>
    <w:rsid w:val="00134510"/>
    <w:rsid w:val="00134DD2"/>
    <w:rsid w:val="001358D6"/>
    <w:rsid w:val="00135FDA"/>
    <w:rsid w:val="00136073"/>
    <w:rsid w:val="00136198"/>
    <w:rsid w:val="001361F7"/>
    <w:rsid w:val="00136606"/>
    <w:rsid w:val="0013663C"/>
    <w:rsid w:val="001367BA"/>
    <w:rsid w:val="00136806"/>
    <w:rsid w:val="001369A6"/>
    <w:rsid w:val="00136BD6"/>
    <w:rsid w:val="00136BF1"/>
    <w:rsid w:val="00136DBC"/>
    <w:rsid w:val="00136F77"/>
    <w:rsid w:val="001370A8"/>
    <w:rsid w:val="00137507"/>
    <w:rsid w:val="00137856"/>
    <w:rsid w:val="00137966"/>
    <w:rsid w:val="00137B4E"/>
    <w:rsid w:val="00137BD3"/>
    <w:rsid w:val="00137BD8"/>
    <w:rsid w:val="00137CFE"/>
    <w:rsid w:val="00140291"/>
    <w:rsid w:val="00140866"/>
    <w:rsid w:val="00140D22"/>
    <w:rsid w:val="0014226B"/>
    <w:rsid w:val="0014229D"/>
    <w:rsid w:val="001422BC"/>
    <w:rsid w:val="001422D4"/>
    <w:rsid w:val="0014235F"/>
    <w:rsid w:val="0014236F"/>
    <w:rsid w:val="00142705"/>
    <w:rsid w:val="00142853"/>
    <w:rsid w:val="001428FA"/>
    <w:rsid w:val="00142A87"/>
    <w:rsid w:val="00142C3F"/>
    <w:rsid w:val="001433C6"/>
    <w:rsid w:val="00143A59"/>
    <w:rsid w:val="00143B30"/>
    <w:rsid w:val="00143B37"/>
    <w:rsid w:val="00143B9F"/>
    <w:rsid w:val="0014427F"/>
    <w:rsid w:val="001442C2"/>
    <w:rsid w:val="001449E1"/>
    <w:rsid w:val="00144D5F"/>
    <w:rsid w:val="00144DD9"/>
    <w:rsid w:val="001455BA"/>
    <w:rsid w:val="00145DDE"/>
    <w:rsid w:val="00145F78"/>
    <w:rsid w:val="0014621F"/>
    <w:rsid w:val="0014647C"/>
    <w:rsid w:val="00146907"/>
    <w:rsid w:val="00146E85"/>
    <w:rsid w:val="00147916"/>
    <w:rsid w:val="0014795D"/>
    <w:rsid w:val="001479AA"/>
    <w:rsid w:val="00147F00"/>
    <w:rsid w:val="00150146"/>
    <w:rsid w:val="001502FF"/>
    <w:rsid w:val="00150536"/>
    <w:rsid w:val="00150564"/>
    <w:rsid w:val="001506A7"/>
    <w:rsid w:val="0015087C"/>
    <w:rsid w:val="00150882"/>
    <w:rsid w:val="00150A4A"/>
    <w:rsid w:val="00150D1D"/>
    <w:rsid w:val="00150FCC"/>
    <w:rsid w:val="00150FFB"/>
    <w:rsid w:val="00151671"/>
    <w:rsid w:val="001518B5"/>
    <w:rsid w:val="00151BBA"/>
    <w:rsid w:val="00151BDE"/>
    <w:rsid w:val="00151DC1"/>
    <w:rsid w:val="0015252D"/>
    <w:rsid w:val="00152656"/>
    <w:rsid w:val="00152C00"/>
    <w:rsid w:val="00152C2B"/>
    <w:rsid w:val="00152E98"/>
    <w:rsid w:val="00153084"/>
    <w:rsid w:val="00153A54"/>
    <w:rsid w:val="00153B4B"/>
    <w:rsid w:val="00154072"/>
    <w:rsid w:val="00154264"/>
    <w:rsid w:val="00154304"/>
    <w:rsid w:val="00154493"/>
    <w:rsid w:val="001544EE"/>
    <w:rsid w:val="001546EA"/>
    <w:rsid w:val="0015477A"/>
    <w:rsid w:val="00154902"/>
    <w:rsid w:val="00154913"/>
    <w:rsid w:val="00154951"/>
    <w:rsid w:val="001549E4"/>
    <w:rsid w:val="00154BA6"/>
    <w:rsid w:val="00154F0A"/>
    <w:rsid w:val="001551DA"/>
    <w:rsid w:val="001552AE"/>
    <w:rsid w:val="001559DA"/>
    <w:rsid w:val="00156891"/>
    <w:rsid w:val="00156BA3"/>
    <w:rsid w:val="00157320"/>
    <w:rsid w:val="001579B9"/>
    <w:rsid w:val="001602EB"/>
    <w:rsid w:val="0016080B"/>
    <w:rsid w:val="00160853"/>
    <w:rsid w:val="00160D29"/>
    <w:rsid w:val="00160F65"/>
    <w:rsid w:val="001610EB"/>
    <w:rsid w:val="00161216"/>
    <w:rsid w:val="001614D4"/>
    <w:rsid w:val="00161BB8"/>
    <w:rsid w:val="00161C1F"/>
    <w:rsid w:val="00161C2F"/>
    <w:rsid w:val="00161F11"/>
    <w:rsid w:val="001620B6"/>
    <w:rsid w:val="001622BA"/>
    <w:rsid w:val="00162664"/>
    <w:rsid w:val="00162C60"/>
    <w:rsid w:val="00163194"/>
    <w:rsid w:val="00163499"/>
    <w:rsid w:val="001634CD"/>
    <w:rsid w:val="001638DF"/>
    <w:rsid w:val="001639B6"/>
    <w:rsid w:val="00163DB9"/>
    <w:rsid w:val="00163DD8"/>
    <w:rsid w:val="00163EC3"/>
    <w:rsid w:val="001643DB"/>
    <w:rsid w:val="00164F8F"/>
    <w:rsid w:val="00165130"/>
    <w:rsid w:val="0016529F"/>
    <w:rsid w:val="00165645"/>
    <w:rsid w:val="001658F5"/>
    <w:rsid w:val="00165C1E"/>
    <w:rsid w:val="00165F38"/>
    <w:rsid w:val="001661B8"/>
    <w:rsid w:val="00166237"/>
    <w:rsid w:val="00166385"/>
    <w:rsid w:val="0016644D"/>
    <w:rsid w:val="0016655F"/>
    <w:rsid w:val="00166656"/>
    <w:rsid w:val="001666AA"/>
    <w:rsid w:val="00166EE6"/>
    <w:rsid w:val="001672AF"/>
    <w:rsid w:val="00167454"/>
    <w:rsid w:val="00167460"/>
    <w:rsid w:val="00167517"/>
    <w:rsid w:val="0016764C"/>
    <w:rsid w:val="00170307"/>
    <w:rsid w:val="00170377"/>
    <w:rsid w:val="001706B2"/>
    <w:rsid w:val="00170A14"/>
    <w:rsid w:val="00170B33"/>
    <w:rsid w:val="00170B4C"/>
    <w:rsid w:val="00170F8B"/>
    <w:rsid w:val="00171014"/>
    <w:rsid w:val="0017112B"/>
    <w:rsid w:val="0017113C"/>
    <w:rsid w:val="00171185"/>
    <w:rsid w:val="00171C71"/>
    <w:rsid w:val="00172202"/>
    <w:rsid w:val="001726CF"/>
    <w:rsid w:val="00172A27"/>
    <w:rsid w:val="00172A39"/>
    <w:rsid w:val="00172BAF"/>
    <w:rsid w:val="00172D05"/>
    <w:rsid w:val="00172EC0"/>
    <w:rsid w:val="00173191"/>
    <w:rsid w:val="0017339D"/>
    <w:rsid w:val="00173686"/>
    <w:rsid w:val="001737FE"/>
    <w:rsid w:val="00173E1F"/>
    <w:rsid w:val="00173F0C"/>
    <w:rsid w:val="0017426E"/>
    <w:rsid w:val="00174691"/>
    <w:rsid w:val="00175014"/>
    <w:rsid w:val="001751EE"/>
    <w:rsid w:val="001753D1"/>
    <w:rsid w:val="00175B11"/>
    <w:rsid w:val="00175B5B"/>
    <w:rsid w:val="00175F46"/>
    <w:rsid w:val="00176AFA"/>
    <w:rsid w:val="00176B0A"/>
    <w:rsid w:val="00176C25"/>
    <w:rsid w:val="00176D15"/>
    <w:rsid w:val="00176E50"/>
    <w:rsid w:val="0017723E"/>
    <w:rsid w:val="001775DA"/>
    <w:rsid w:val="00177935"/>
    <w:rsid w:val="00177AD0"/>
    <w:rsid w:val="00177B95"/>
    <w:rsid w:val="00180510"/>
    <w:rsid w:val="001807EF"/>
    <w:rsid w:val="00180952"/>
    <w:rsid w:val="0018095E"/>
    <w:rsid w:val="00181019"/>
    <w:rsid w:val="001810ED"/>
    <w:rsid w:val="00181135"/>
    <w:rsid w:val="00181394"/>
    <w:rsid w:val="001813A3"/>
    <w:rsid w:val="001816A8"/>
    <w:rsid w:val="00181C0B"/>
    <w:rsid w:val="00181EF7"/>
    <w:rsid w:val="00181F74"/>
    <w:rsid w:val="001820BF"/>
    <w:rsid w:val="00182382"/>
    <w:rsid w:val="0018274C"/>
    <w:rsid w:val="00182DEB"/>
    <w:rsid w:val="00182DF8"/>
    <w:rsid w:val="00182F66"/>
    <w:rsid w:val="0018315F"/>
    <w:rsid w:val="00183672"/>
    <w:rsid w:val="00183DA3"/>
    <w:rsid w:val="0018495A"/>
    <w:rsid w:val="0018502B"/>
    <w:rsid w:val="0018578E"/>
    <w:rsid w:val="00185DC9"/>
    <w:rsid w:val="00186403"/>
    <w:rsid w:val="00186455"/>
    <w:rsid w:val="00186B76"/>
    <w:rsid w:val="00186C91"/>
    <w:rsid w:val="00186DC9"/>
    <w:rsid w:val="0018707E"/>
    <w:rsid w:val="001872C9"/>
    <w:rsid w:val="0018776D"/>
    <w:rsid w:val="00187892"/>
    <w:rsid w:val="00187DFB"/>
    <w:rsid w:val="00190463"/>
    <w:rsid w:val="00191435"/>
    <w:rsid w:val="00191C69"/>
    <w:rsid w:val="00191F33"/>
    <w:rsid w:val="00192213"/>
    <w:rsid w:val="001927A2"/>
    <w:rsid w:val="00192BD1"/>
    <w:rsid w:val="00192FED"/>
    <w:rsid w:val="00192FF5"/>
    <w:rsid w:val="0019302D"/>
    <w:rsid w:val="0019335B"/>
    <w:rsid w:val="001938DB"/>
    <w:rsid w:val="00193DB1"/>
    <w:rsid w:val="00193EBE"/>
    <w:rsid w:val="001940F4"/>
    <w:rsid w:val="0019423A"/>
    <w:rsid w:val="00194277"/>
    <w:rsid w:val="001945BB"/>
    <w:rsid w:val="0019473A"/>
    <w:rsid w:val="00194FA4"/>
    <w:rsid w:val="00195203"/>
    <w:rsid w:val="00195234"/>
    <w:rsid w:val="00195384"/>
    <w:rsid w:val="0019557A"/>
    <w:rsid w:val="00195648"/>
    <w:rsid w:val="001959DC"/>
    <w:rsid w:val="00195A29"/>
    <w:rsid w:val="00195F44"/>
    <w:rsid w:val="00195FB5"/>
    <w:rsid w:val="00195FC6"/>
    <w:rsid w:val="00196019"/>
    <w:rsid w:val="001963F9"/>
    <w:rsid w:val="00196B1D"/>
    <w:rsid w:val="00196C83"/>
    <w:rsid w:val="00196E92"/>
    <w:rsid w:val="001972D7"/>
    <w:rsid w:val="00197AAA"/>
    <w:rsid w:val="00197C3A"/>
    <w:rsid w:val="00197FDE"/>
    <w:rsid w:val="001A0298"/>
    <w:rsid w:val="001A03EA"/>
    <w:rsid w:val="001A0896"/>
    <w:rsid w:val="001A0BA5"/>
    <w:rsid w:val="001A0F1F"/>
    <w:rsid w:val="001A0F97"/>
    <w:rsid w:val="001A0FF1"/>
    <w:rsid w:val="001A11A2"/>
    <w:rsid w:val="001A172F"/>
    <w:rsid w:val="001A1D22"/>
    <w:rsid w:val="001A2185"/>
    <w:rsid w:val="001A2679"/>
    <w:rsid w:val="001A315B"/>
    <w:rsid w:val="001A334F"/>
    <w:rsid w:val="001A3856"/>
    <w:rsid w:val="001A3954"/>
    <w:rsid w:val="001A3F6D"/>
    <w:rsid w:val="001A4126"/>
    <w:rsid w:val="001A4C94"/>
    <w:rsid w:val="001A4D77"/>
    <w:rsid w:val="001A4F40"/>
    <w:rsid w:val="001A5233"/>
    <w:rsid w:val="001A564C"/>
    <w:rsid w:val="001A56FD"/>
    <w:rsid w:val="001A57C8"/>
    <w:rsid w:val="001A5923"/>
    <w:rsid w:val="001A5AAB"/>
    <w:rsid w:val="001A5DA1"/>
    <w:rsid w:val="001A66E5"/>
    <w:rsid w:val="001A6A4C"/>
    <w:rsid w:val="001A7328"/>
    <w:rsid w:val="001A74D4"/>
    <w:rsid w:val="001A775C"/>
    <w:rsid w:val="001A7CA4"/>
    <w:rsid w:val="001A7CBA"/>
    <w:rsid w:val="001B0DF5"/>
    <w:rsid w:val="001B16E6"/>
    <w:rsid w:val="001B1736"/>
    <w:rsid w:val="001B1AE6"/>
    <w:rsid w:val="001B1CC8"/>
    <w:rsid w:val="001B1F0B"/>
    <w:rsid w:val="001B201D"/>
    <w:rsid w:val="001B2576"/>
    <w:rsid w:val="001B2E4E"/>
    <w:rsid w:val="001B32D3"/>
    <w:rsid w:val="001B32E4"/>
    <w:rsid w:val="001B3778"/>
    <w:rsid w:val="001B3783"/>
    <w:rsid w:val="001B3CB6"/>
    <w:rsid w:val="001B3E30"/>
    <w:rsid w:val="001B43A2"/>
    <w:rsid w:val="001B4634"/>
    <w:rsid w:val="001B4D03"/>
    <w:rsid w:val="001B4ED3"/>
    <w:rsid w:val="001B5091"/>
    <w:rsid w:val="001B50CC"/>
    <w:rsid w:val="001B5355"/>
    <w:rsid w:val="001B5426"/>
    <w:rsid w:val="001B593D"/>
    <w:rsid w:val="001B5D57"/>
    <w:rsid w:val="001B5D62"/>
    <w:rsid w:val="001B6049"/>
    <w:rsid w:val="001B60D4"/>
    <w:rsid w:val="001B618E"/>
    <w:rsid w:val="001B6482"/>
    <w:rsid w:val="001B6B01"/>
    <w:rsid w:val="001B6F4A"/>
    <w:rsid w:val="001B7014"/>
    <w:rsid w:val="001B739D"/>
    <w:rsid w:val="001B7432"/>
    <w:rsid w:val="001B7474"/>
    <w:rsid w:val="001B7C32"/>
    <w:rsid w:val="001B7CBF"/>
    <w:rsid w:val="001B7E06"/>
    <w:rsid w:val="001C0476"/>
    <w:rsid w:val="001C0846"/>
    <w:rsid w:val="001C0FCB"/>
    <w:rsid w:val="001C12CB"/>
    <w:rsid w:val="001C148A"/>
    <w:rsid w:val="001C15DB"/>
    <w:rsid w:val="001C16C8"/>
    <w:rsid w:val="001C17AC"/>
    <w:rsid w:val="001C1814"/>
    <w:rsid w:val="001C1B36"/>
    <w:rsid w:val="001C1F01"/>
    <w:rsid w:val="001C2831"/>
    <w:rsid w:val="001C31AC"/>
    <w:rsid w:val="001C320C"/>
    <w:rsid w:val="001C32D4"/>
    <w:rsid w:val="001C3BCE"/>
    <w:rsid w:val="001C3D5E"/>
    <w:rsid w:val="001C3D80"/>
    <w:rsid w:val="001C4222"/>
    <w:rsid w:val="001C4361"/>
    <w:rsid w:val="001C4AA8"/>
    <w:rsid w:val="001C4C81"/>
    <w:rsid w:val="001C51A3"/>
    <w:rsid w:val="001C5358"/>
    <w:rsid w:val="001C56D1"/>
    <w:rsid w:val="001C5A59"/>
    <w:rsid w:val="001C5E59"/>
    <w:rsid w:val="001C606C"/>
    <w:rsid w:val="001C61E9"/>
    <w:rsid w:val="001C67E7"/>
    <w:rsid w:val="001C6F0D"/>
    <w:rsid w:val="001C7325"/>
    <w:rsid w:val="001C7702"/>
    <w:rsid w:val="001C7A8C"/>
    <w:rsid w:val="001C7DF6"/>
    <w:rsid w:val="001C7F79"/>
    <w:rsid w:val="001C7FBB"/>
    <w:rsid w:val="001D0774"/>
    <w:rsid w:val="001D0AF1"/>
    <w:rsid w:val="001D0B07"/>
    <w:rsid w:val="001D0D82"/>
    <w:rsid w:val="001D0F05"/>
    <w:rsid w:val="001D1136"/>
    <w:rsid w:val="001D13E6"/>
    <w:rsid w:val="001D151F"/>
    <w:rsid w:val="001D15D9"/>
    <w:rsid w:val="001D1912"/>
    <w:rsid w:val="001D1DD7"/>
    <w:rsid w:val="001D1EC2"/>
    <w:rsid w:val="001D215D"/>
    <w:rsid w:val="001D21CD"/>
    <w:rsid w:val="001D23EF"/>
    <w:rsid w:val="001D2608"/>
    <w:rsid w:val="001D273D"/>
    <w:rsid w:val="001D285A"/>
    <w:rsid w:val="001D2A03"/>
    <w:rsid w:val="001D2E8F"/>
    <w:rsid w:val="001D3534"/>
    <w:rsid w:val="001D3652"/>
    <w:rsid w:val="001D4607"/>
    <w:rsid w:val="001D49FD"/>
    <w:rsid w:val="001D4EB1"/>
    <w:rsid w:val="001D5354"/>
    <w:rsid w:val="001D537F"/>
    <w:rsid w:val="001D565B"/>
    <w:rsid w:val="001D592E"/>
    <w:rsid w:val="001D6B8D"/>
    <w:rsid w:val="001D6D80"/>
    <w:rsid w:val="001D723E"/>
    <w:rsid w:val="001D75E1"/>
    <w:rsid w:val="001D7681"/>
    <w:rsid w:val="001D7CDE"/>
    <w:rsid w:val="001E0531"/>
    <w:rsid w:val="001E131D"/>
    <w:rsid w:val="001E15B4"/>
    <w:rsid w:val="001E1FA3"/>
    <w:rsid w:val="001E21AC"/>
    <w:rsid w:val="001E24A4"/>
    <w:rsid w:val="001E2756"/>
    <w:rsid w:val="001E28CC"/>
    <w:rsid w:val="001E28E4"/>
    <w:rsid w:val="001E290A"/>
    <w:rsid w:val="001E2DA9"/>
    <w:rsid w:val="001E317A"/>
    <w:rsid w:val="001E31A6"/>
    <w:rsid w:val="001E321D"/>
    <w:rsid w:val="001E327A"/>
    <w:rsid w:val="001E3315"/>
    <w:rsid w:val="001E33D6"/>
    <w:rsid w:val="001E38B1"/>
    <w:rsid w:val="001E3A2B"/>
    <w:rsid w:val="001E4004"/>
    <w:rsid w:val="001E4100"/>
    <w:rsid w:val="001E478C"/>
    <w:rsid w:val="001E47D9"/>
    <w:rsid w:val="001E4C00"/>
    <w:rsid w:val="001E4D12"/>
    <w:rsid w:val="001E4D56"/>
    <w:rsid w:val="001E4DB4"/>
    <w:rsid w:val="001E532C"/>
    <w:rsid w:val="001E5559"/>
    <w:rsid w:val="001E5BBC"/>
    <w:rsid w:val="001E5F00"/>
    <w:rsid w:val="001E62C7"/>
    <w:rsid w:val="001E6542"/>
    <w:rsid w:val="001E6685"/>
    <w:rsid w:val="001E66CC"/>
    <w:rsid w:val="001E6976"/>
    <w:rsid w:val="001E69FA"/>
    <w:rsid w:val="001E72E0"/>
    <w:rsid w:val="001E7739"/>
    <w:rsid w:val="001E7AB5"/>
    <w:rsid w:val="001E7B04"/>
    <w:rsid w:val="001F0064"/>
    <w:rsid w:val="001F03DE"/>
    <w:rsid w:val="001F0D9E"/>
    <w:rsid w:val="001F16DF"/>
    <w:rsid w:val="001F193B"/>
    <w:rsid w:val="001F1960"/>
    <w:rsid w:val="001F1FBA"/>
    <w:rsid w:val="001F2022"/>
    <w:rsid w:val="001F2202"/>
    <w:rsid w:val="001F2C58"/>
    <w:rsid w:val="001F3066"/>
    <w:rsid w:val="001F327B"/>
    <w:rsid w:val="001F32DA"/>
    <w:rsid w:val="001F3DAE"/>
    <w:rsid w:val="001F4A98"/>
    <w:rsid w:val="001F4C8F"/>
    <w:rsid w:val="001F4F82"/>
    <w:rsid w:val="001F6159"/>
    <w:rsid w:val="001F6680"/>
    <w:rsid w:val="001F6947"/>
    <w:rsid w:val="001F6C51"/>
    <w:rsid w:val="001F6DC6"/>
    <w:rsid w:val="001F6FB6"/>
    <w:rsid w:val="001F736C"/>
    <w:rsid w:val="001F740D"/>
    <w:rsid w:val="001F7432"/>
    <w:rsid w:val="001F792F"/>
    <w:rsid w:val="001F7AC9"/>
    <w:rsid w:val="001F7B9E"/>
    <w:rsid w:val="001F7BE1"/>
    <w:rsid w:val="001F7C97"/>
    <w:rsid w:val="00200A84"/>
    <w:rsid w:val="00200A89"/>
    <w:rsid w:val="00200C40"/>
    <w:rsid w:val="00200D7D"/>
    <w:rsid w:val="00201213"/>
    <w:rsid w:val="00201229"/>
    <w:rsid w:val="002013AF"/>
    <w:rsid w:val="002014F7"/>
    <w:rsid w:val="0020175B"/>
    <w:rsid w:val="00201C9F"/>
    <w:rsid w:val="00202359"/>
    <w:rsid w:val="002023BE"/>
    <w:rsid w:val="0020248C"/>
    <w:rsid w:val="00202576"/>
    <w:rsid w:val="00202583"/>
    <w:rsid w:val="0020269C"/>
    <w:rsid w:val="00202B50"/>
    <w:rsid w:val="00202E5D"/>
    <w:rsid w:val="00202EF9"/>
    <w:rsid w:val="00203204"/>
    <w:rsid w:val="00203236"/>
    <w:rsid w:val="00203395"/>
    <w:rsid w:val="002036E8"/>
    <w:rsid w:val="00203939"/>
    <w:rsid w:val="00203B3F"/>
    <w:rsid w:val="002048AD"/>
    <w:rsid w:val="00204967"/>
    <w:rsid w:val="00204BB7"/>
    <w:rsid w:val="0020511F"/>
    <w:rsid w:val="002051F7"/>
    <w:rsid w:val="0020531C"/>
    <w:rsid w:val="00205693"/>
    <w:rsid w:val="002056B0"/>
    <w:rsid w:val="00205AD3"/>
    <w:rsid w:val="00205B53"/>
    <w:rsid w:val="00205E98"/>
    <w:rsid w:val="002066C1"/>
    <w:rsid w:val="002067D2"/>
    <w:rsid w:val="00206D59"/>
    <w:rsid w:val="00206DC8"/>
    <w:rsid w:val="00206EF3"/>
    <w:rsid w:val="00207026"/>
    <w:rsid w:val="0020708A"/>
    <w:rsid w:val="00207402"/>
    <w:rsid w:val="00207435"/>
    <w:rsid w:val="00207642"/>
    <w:rsid w:val="00207877"/>
    <w:rsid w:val="00207A53"/>
    <w:rsid w:val="00207AAC"/>
    <w:rsid w:val="00207F6A"/>
    <w:rsid w:val="00210191"/>
    <w:rsid w:val="00210256"/>
    <w:rsid w:val="00210394"/>
    <w:rsid w:val="0021051F"/>
    <w:rsid w:val="002105C8"/>
    <w:rsid w:val="0021074D"/>
    <w:rsid w:val="0021076E"/>
    <w:rsid w:val="002107A4"/>
    <w:rsid w:val="002109BC"/>
    <w:rsid w:val="00211511"/>
    <w:rsid w:val="00211A77"/>
    <w:rsid w:val="00211D58"/>
    <w:rsid w:val="00211E23"/>
    <w:rsid w:val="00211F07"/>
    <w:rsid w:val="00211F79"/>
    <w:rsid w:val="0021206E"/>
    <w:rsid w:val="00212451"/>
    <w:rsid w:val="002127B9"/>
    <w:rsid w:val="00212B08"/>
    <w:rsid w:val="00212B38"/>
    <w:rsid w:val="00213289"/>
    <w:rsid w:val="002132ED"/>
    <w:rsid w:val="00213825"/>
    <w:rsid w:val="00213CEF"/>
    <w:rsid w:val="00214189"/>
    <w:rsid w:val="0021432D"/>
    <w:rsid w:val="002143B4"/>
    <w:rsid w:val="00214532"/>
    <w:rsid w:val="00214ADD"/>
    <w:rsid w:val="0021525B"/>
    <w:rsid w:val="002160AD"/>
    <w:rsid w:val="00216356"/>
    <w:rsid w:val="002164F1"/>
    <w:rsid w:val="00216A00"/>
    <w:rsid w:val="00216A50"/>
    <w:rsid w:val="00216B19"/>
    <w:rsid w:val="00216CCC"/>
    <w:rsid w:val="00216E16"/>
    <w:rsid w:val="002172B5"/>
    <w:rsid w:val="0021738B"/>
    <w:rsid w:val="00217EE6"/>
    <w:rsid w:val="00220082"/>
    <w:rsid w:val="002203BD"/>
    <w:rsid w:val="002203F3"/>
    <w:rsid w:val="00220517"/>
    <w:rsid w:val="00220776"/>
    <w:rsid w:val="0022116D"/>
    <w:rsid w:val="002216CC"/>
    <w:rsid w:val="00221ED0"/>
    <w:rsid w:val="002221C3"/>
    <w:rsid w:val="002222FA"/>
    <w:rsid w:val="0022241C"/>
    <w:rsid w:val="0022256B"/>
    <w:rsid w:val="0022299A"/>
    <w:rsid w:val="00222A0B"/>
    <w:rsid w:val="00222B91"/>
    <w:rsid w:val="00222D7D"/>
    <w:rsid w:val="00222DE4"/>
    <w:rsid w:val="002230FD"/>
    <w:rsid w:val="002232B3"/>
    <w:rsid w:val="00223664"/>
    <w:rsid w:val="0022401E"/>
    <w:rsid w:val="00224756"/>
    <w:rsid w:val="002247AB"/>
    <w:rsid w:val="00224878"/>
    <w:rsid w:val="0022514D"/>
    <w:rsid w:val="00225CEE"/>
    <w:rsid w:val="00225E3F"/>
    <w:rsid w:val="00226447"/>
    <w:rsid w:val="002266DB"/>
    <w:rsid w:val="00226894"/>
    <w:rsid w:val="002268B0"/>
    <w:rsid w:val="00226C0B"/>
    <w:rsid w:val="002272F5"/>
    <w:rsid w:val="00227577"/>
    <w:rsid w:val="002277E9"/>
    <w:rsid w:val="00230153"/>
    <w:rsid w:val="002302AF"/>
    <w:rsid w:val="002303A6"/>
    <w:rsid w:val="00230894"/>
    <w:rsid w:val="002308E9"/>
    <w:rsid w:val="00231060"/>
    <w:rsid w:val="0023146B"/>
    <w:rsid w:val="00231B36"/>
    <w:rsid w:val="00231F9E"/>
    <w:rsid w:val="00232498"/>
    <w:rsid w:val="002324E2"/>
    <w:rsid w:val="0023254E"/>
    <w:rsid w:val="00232918"/>
    <w:rsid w:val="00232955"/>
    <w:rsid w:val="00232B27"/>
    <w:rsid w:val="00232E1E"/>
    <w:rsid w:val="0023350C"/>
    <w:rsid w:val="00233698"/>
    <w:rsid w:val="00233981"/>
    <w:rsid w:val="00233E70"/>
    <w:rsid w:val="002340E1"/>
    <w:rsid w:val="00234281"/>
    <w:rsid w:val="00234B9E"/>
    <w:rsid w:val="00234BBE"/>
    <w:rsid w:val="00234DD6"/>
    <w:rsid w:val="00234FD3"/>
    <w:rsid w:val="0023568A"/>
    <w:rsid w:val="00235B0E"/>
    <w:rsid w:val="00236382"/>
    <w:rsid w:val="00236B90"/>
    <w:rsid w:val="00236BCD"/>
    <w:rsid w:val="00236C21"/>
    <w:rsid w:val="00236FF2"/>
    <w:rsid w:val="002371BF"/>
    <w:rsid w:val="002371E1"/>
    <w:rsid w:val="00237249"/>
    <w:rsid w:val="00237662"/>
    <w:rsid w:val="00237A87"/>
    <w:rsid w:val="00237F71"/>
    <w:rsid w:val="00240262"/>
    <w:rsid w:val="002404C3"/>
    <w:rsid w:val="002410C4"/>
    <w:rsid w:val="00241129"/>
    <w:rsid w:val="002411AE"/>
    <w:rsid w:val="00241205"/>
    <w:rsid w:val="00241388"/>
    <w:rsid w:val="00241731"/>
    <w:rsid w:val="00241840"/>
    <w:rsid w:val="00241C36"/>
    <w:rsid w:val="002423E5"/>
    <w:rsid w:val="0024262D"/>
    <w:rsid w:val="002427EB"/>
    <w:rsid w:val="002427F0"/>
    <w:rsid w:val="002428BD"/>
    <w:rsid w:val="00242D15"/>
    <w:rsid w:val="00242E09"/>
    <w:rsid w:val="002432B7"/>
    <w:rsid w:val="002432E9"/>
    <w:rsid w:val="00243D23"/>
    <w:rsid w:val="002440B2"/>
    <w:rsid w:val="00244577"/>
    <w:rsid w:val="002445FE"/>
    <w:rsid w:val="002451B3"/>
    <w:rsid w:val="002458CE"/>
    <w:rsid w:val="002459C5"/>
    <w:rsid w:val="00245A3D"/>
    <w:rsid w:val="00245DE9"/>
    <w:rsid w:val="00245E81"/>
    <w:rsid w:val="00245F09"/>
    <w:rsid w:val="00246513"/>
    <w:rsid w:val="00246851"/>
    <w:rsid w:val="00246B1D"/>
    <w:rsid w:val="00246E71"/>
    <w:rsid w:val="00246F16"/>
    <w:rsid w:val="0024705A"/>
    <w:rsid w:val="002477AE"/>
    <w:rsid w:val="00247BDE"/>
    <w:rsid w:val="00247D10"/>
    <w:rsid w:val="00247D4D"/>
    <w:rsid w:val="00247F3A"/>
    <w:rsid w:val="002504FC"/>
    <w:rsid w:val="00250B11"/>
    <w:rsid w:val="00250D82"/>
    <w:rsid w:val="00250F7C"/>
    <w:rsid w:val="0025120C"/>
    <w:rsid w:val="00251CC2"/>
    <w:rsid w:val="00251EB3"/>
    <w:rsid w:val="00251EE5"/>
    <w:rsid w:val="00252136"/>
    <w:rsid w:val="002523D0"/>
    <w:rsid w:val="00252D18"/>
    <w:rsid w:val="0025329B"/>
    <w:rsid w:val="00253582"/>
    <w:rsid w:val="0025362C"/>
    <w:rsid w:val="002538BA"/>
    <w:rsid w:val="00253AC1"/>
    <w:rsid w:val="00253AE3"/>
    <w:rsid w:val="00253C3E"/>
    <w:rsid w:val="00253EC4"/>
    <w:rsid w:val="0025418A"/>
    <w:rsid w:val="00254240"/>
    <w:rsid w:val="0025425A"/>
    <w:rsid w:val="002547EA"/>
    <w:rsid w:val="0025531B"/>
    <w:rsid w:val="00255536"/>
    <w:rsid w:val="002557BB"/>
    <w:rsid w:val="002558AC"/>
    <w:rsid w:val="00255BC2"/>
    <w:rsid w:val="00255EFE"/>
    <w:rsid w:val="00256298"/>
    <w:rsid w:val="002564CF"/>
    <w:rsid w:val="00256539"/>
    <w:rsid w:val="00256DEA"/>
    <w:rsid w:val="00257117"/>
    <w:rsid w:val="002577B5"/>
    <w:rsid w:val="00257923"/>
    <w:rsid w:val="002579BB"/>
    <w:rsid w:val="00257AB4"/>
    <w:rsid w:val="00257ABE"/>
    <w:rsid w:val="00257C49"/>
    <w:rsid w:val="00260299"/>
    <w:rsid w:val="002603B3"/>
    <w:rsid w:val="0026072F"/>
    <w:rsid w:val="00260952"/>
    <w:rsid w:val="00260B2B"/>
    <w:rsid w:val="00260C11"/>
    <w:rsid w:val="00260F7B"/>
    <w:rsid w:val="002610D7"/>
    <w:rsid w:val="00261192"/>
    <w:rsid w:val="0026131A"/>
    <w:rsid w:val="0026176E"/>
    <w:rsid w:val="00261A11"/>
    <w:rsid w:val="00261CB5"/>
    <w:rsid w:val="00261D8A"/>
    <w:rsid w:val="002625F2"/>
    <w:rsid w:val="00262999"/>
    <w:rsid w:val="00262CA3"/>
    <w:rsid w:val="00262D43"/>
    <w:rsid w:val="00263413"/>
    <w:rsid w:val="00263AEC"/>
    <w:rsid w:val="00263B87"/>
    <w:rsid w:val="00263DE1"/>
    <w:rsid w:val="00263E3B"/>
    <w:rsid w:val="0026408F"/>
    <w:rsid w:val="0026431A"/>
    <w:rsid w:val="002644A4"/>
    <w:rsid w:val="00264634"/>
    <w:rsid w:val="0026485D"/>
    <w:rsid w:val="00264A11"/>
    <w:rsid w:val="00264C8F"/>
    <w:rsid w:val="00265066"/>
    <w:rsid w:val="002650EA"/>
    <w:rsid w:val="00265548"/>
    <w:rsid w:val="00265C93"/>
    <w:rsid w:val="00265CE9"/>
    <w:rsid w:val="00266300"/>
    <w:rsid w:val="002663F1"/>
    <w:rsid w:val="0026641E"/>
    <w:rsid w:val="00266678"/>
    <w:rsid w:val="002669B2"/>
    <w:rsid w:val="00266EE2"/>
    <w:rsid w:val="002674FD"/>
    <w:rsid w:val="0026774B"/>
    <w:rsid w:val="002678CA"/>
    <w:rsid w:val="00267BBD"/>
    <w:rsid w:val="00267EC5"/>
    <w:rsid w:val="00267F3E"/>
    <w:rsid w:val="00270297"/>
    <w:rsid w:val="0027038F"/>
    <w:rsid w:val="002707FA"/>
    <w:rsid w:val="00270DFB"/>
    <w:rsid w:val="00270EAC"/>
    <w:rsid w:val="00270ED2"/>
    <w:rsid w:val="00271150"/>
    <w:rsid w:val="00271DDF"/>
    <w:rsid w:val="0027297F"/>
    <w:rsid w:val="00272EB3"/>
    <w:rsid w:val="00273328"/>
    <w:rsid w:val="00273743"/>
    <w:rsid w:val="0027393F"/>
    <w:rsid w:val="0027438E"/>
    <w:rsid w:val="0027447A"/>
    <w:rsid w:val="00274682"/>
    <w:rsid w:val="002747CC"/>
    <w:rsid w:val="00274830"/>
    <w:rsid w:val="00274AAB"/>
    <w:rsid w:val="00274DF9"/>
    <w:rsid w:val="00275170"/>
    <w:rsid w:val="00275D77"/>
    <w:rsid w:val="00275EAD"/>
    <w:rsid w:val="0027602C"/>
    <w:rsid w:val="002760F9"/>
    <w:rsid w:val="00276A43"/>
    <w:rsid w:val="00276D2F"/>
    <w:rsid w:val="00276D5E"/>
    <w:rsid w:val="00276FBF"/>
    <w:rsid w:val="002775C7"/>
    <w:rsid w:val="002776B3"/>
    <w:rsid w:val="002778F2"/>
    <w:rsid w:val="00277AB9"/>
    <w:rsid w:val="00277F52"/>
    <w:rsid w:val="00277F90"/>
    <w:rsid w:val="002809A3"/>
    <w:rsid w:val="002809CB"/>
    <w:rsid w:val="00280AED"/>
    <w:rsid w:val="00280E91"/>
    <w:rsid w:val="0028107C"/>
    <w:rsid w:val="00281979"/>
    <w:rsid w:val="00281E85"/>
    <w:rsid w:val="0028200C"/>
    <w:rsid w:val="00282011"/>
    <w:rsid w:val="00282469"/>
    <w:rsid w:val="00282533"/>
    <w:rsid w:val="00282622"/>
    <w:rsid w:val="00283221"/>
    <w:rsid w:val="002837F8"/>
    <w:rsid w:val="00283A81"/>
    <w:rsid w:val="00283ACF"/>
    <w:rsid w:val="00283C99"/>
    <w:rsid w:val="00283D11"/>
    <w:rsid w:val="002845EA"/>
    <w:rsid w:val="0028473D"/>
    <w:rsid w:val="00284850"/>
    <w:rsid w:val="00284CEE"/>
    <w:rsid w:val="00284D22"/>
    <w:rsid w:val="00284DB4"/>
    <w:rsid w:val="00284F33"/>
    <w:rsid w:val="002851E8"/>
    <w:rsid w:val="0028529C"/>
    <w:rsid w:val="00285326"/>
    <w:rsid w:val="0028572F"/>
    <w:rsid w:val="00285DE8"/>
    <w:rsid w:val="00287067"/>
    <w:rsid w:val="00290337"/>
    <w:rsid w:val="00290461"/>
    <w:rsid w:val="002904A9"/>
    <w:rsid w:val="0029054D"/>
    <w:rsid w:val="00290891"/>
    <w:rsid w:val="00291DA9"/>
    <w:rsid w:val="00291E40"/>
    <w:rsid w:val="00292552"/>
    <w:rsid w:val="00292661"/>
    <w:rsid w:val="00292773"/>
    <w:rsid w:val="002927AC"/>
    <w:rsid w:val="002928D1"/>
    <w:rsid w:val="00292D88"/>
    <w:rsid w:val="00293689"/>
    <w:rsid w:val="00294241"/>
    <w:rsid w:val="002943E7"/>
    <w:rsid w:val="00294519"/>
    <w:rsid w:val="0029469F"/>
    <w:rsid w:val="0029476B"/>
    <w:rsid w:val="0029515F"/>
    <w:rsid w:val="00295405"/>
    <w:rsid w:val="002954FB"/>
    <w:rsid w:val="00295E06"/>
    <w:rsid w:val="00295E8B"/>
    <w:rsid w:val="0029618D"/>
    <w:rsid w:val="0029658F"/>
    <w:rsid w:val="002965BA"/>
    <w:rsid w:val="00296814"/>
    <w:rsid w:val="00296D48"/>
    <w:rsid w:val="00296EB8"/>
    <w:rsid w:val="00296F5F"/>
    <w:rsid w:val="0029716C"/>
    <w:rsid w:val="002976F2"/>
    <w:rsid w:val="00297A95"/>
    <w:rsid w:val="002A0070"/>
    <w:rsid w:val="002A02A0"/>
    <w:rsid w:val="002A068A"/>
    <w:rsid w:val="002A071D"/>
    <w:rsid w:val="002A076C"/>
    <w:rsid w:val="002A07C4"/>
    <w:rsid w:val="002A0D1C"/>
    <w:rsid w:val="002A0DD4"/>
    <w:rsid w:val="002A2381"/>
    <w:rsid w:val="002A24CF"/>
    <w:rsid w:val="002A2537"/>
    <w:rsid w:val="002A2AB8"/>
    <w:rsid w:val="002A2B8E"/>
    <w:rsid w:val="002A2B92"/>
    <w:rsid w:val="002A3123"/>
    <w:rsid w:val="002A3195"/>
    <w:rsid w:val="002A3789"/>
    <w:rsid w:val="002A399D"/>
    <w:rsid w:val="002A4B7B"/>
    <w:rsid w:val="002A5126"/>
    <w:rsid w:val="002A51EB"/>
    <w:rsid w:val="002A529E"/>
    <w:rsid w:val="002A5948"/>
    <w:rsid w:val="002A5BCC"/>
    <w:rsid w:val="002A5C4F"/>
    <w:rsid w:val="002A6115"/>
    <w:rsid w:val="002A639F"/>
    <w:rsid w:val="002A64F2"/>
    <w:rsid w:val="002A6590"/>
    <w:rsid w:val="002A6708"/>
    <w:rsid w:val="002A6960"/>
    <w:rsid w:val="002A7058"/>
    <w:rsid w:val="002A7478"/>
    <w:rsid w:val="002A7678"/>
    <w:rsid w:val="002A7B26"/>
    <w:rsid w:val="002B01AD"/>
    <w:rsid w:val="002B02F8"/>
    <w:rsid w:val="002B037F"/>
    <w:rsid w:val="002B047F"/>
    <w:rsid w:val="002B0A48"/>
    <w:rsid w:val="002B0B26"/>
    <w:rsid w:val="002B151D"/>
    <w:rsid w:val="002B1824"/>
    <w:rsid w:val="002B182C"/>
    <w:rsid w:val="002B1845"/>
    <w:rsid w:val="002B1A9F"/>
    <w:rsid w:val="002B210C"/>
    <w:rsid w:val="002B2402"/>
    <w:rsid w:val="002B2667"/>
    <w:rsid w:val="002B2847"/>
    <w:rsid w:val="002B2C8F"/>
    <w:rsid w:val="002B2D78"/>
    <w:rsid w:val="002B32B6"/>
    <w:rsid w:val="002B32C9"/>
    <w:rsid w:val="002B35D8"/>
    <w:rsid w:val="002B3736"/>
    <w:rsid w:val="002B4054"/>
    <w:rsid w:val="002B41A8"/>
    <w:rsid w:val="002B427C"/>
    <w:rsid w:val="002B435D"/>
    <w:rsid w:val="002B448D"/>
    <w:rsid w:val="002B46A0"/>
    <w:rsid w:val="002B46FF"/>
    <w:rsid w:val="002B497D"/>
    <w:rsid w:val="002B4BBC"/>
    <w:rsid w:val="002B4D0E"/>
    <w:rsid w:val="002B4D3C"/>
    <w:rsid w:val="002B4EA1"/>
    <w:rsid w:val="002B4F54"/>
    <w:rsid w:val="002B542A"/>
    <w:rsid w:val="002B5495"/>
    <w:rsid w:val="002B54C5"/>
    <w:rsid w:val="002B55DD"/>
    <w:rsid w:val="002B55E5"/>
    <w:rsid w:val="002B6104"/>
    <w:rsid w:val="002B61C9"/>
    <w:rsid w:val="002B653E"/>
    <w:rsid w:val="002B6703"/>
    <w:rsid w:val="002B68A4"/>
    <w:rsid w:val="002B6D69"/>
    <w:rsid w:val="002B6E4E"/>
    <w:rsid w:val="002B6E5B"/>
    <w:rsid w:val="002B6F67"/>
    <w:rsid w:val="002B7411"/>
    <w:rsid w:val="002B7488"/>
    <w:rsid w:val="002B7F1B"/>
    <w:rsid w:val="002C0083"/>
    <w:rsid w:val="002C0186"/>
    <w:rsid w:val="002C0303"/>
    <w:rsid w:val="002C032E"/>
    <w:rsid w:val="002C081A"/>
    <w:rsid w:val="002C087B"/>
    <w:rsid w:val="002C0BA9"/>
    <w:rsid w:val="002C108A"/>
    <w:rsid w:val="002C1553"/>
    <w:rsid w:val="002C1B74"/>
    <w:rsid w:val="002C2035"/>
    <w:rsid w:val="002C231A"/>
    <w:rsid w:val="002C23E0"/>
    <w:rsid w:val="002C24C4"/>
    <w:rsid w:val="002C25D4"/>
    <w:rsid w:val="002C2A2B"/>
    <w:rsid w:val="002C2AB5"/>
    <w:rsid w:val="002C2C95"/>
    <w:rsid w:val="002C2CCD"/>
    <w:rsid w:val="002C2DBF"/>
    <w:rsid w:val="002C2F2D"/>
    <w:rsid w:val="002C2F7F"/>
    <w:rsid w:val="002C2FB4"/>
    <w:rsid w:val="002C2FD3"/>
    <w:rsid w:val="002C3027"/>
    <w:rsid w:val="002C30AA"/>
    <w:rsid w:val="002C3683"/>
    <w:rsid w:val="002C3C31"/>
    <w:rsid w:val="002C4417"/>
    <w:rsid w:val="002C475C"/>
    <w:rsid w:val="002C4AFD"/>
    <w:rsid w:val="002C5516"/>
    <w:rsid w:val="002C5A3A"/>
    <w:rsid w:val="002C5D7E"/>
    <w:rsid w:val="002C654E"/>
    <w:rsid w:val="002C6669"/>
    <w:rsid w:val="002C6A57"/>
    <w:rsid w:val="002C6BB3"/>
    <w:rsid w:val="002C6DC2"/>
    <w:rsid w:val="002C6DDA"/>
    <w:rsid w:val="002C713E"/>
    <w:rsid w:val="002C72FB"/>
    <w:rsid w:val="002C77B0"/>
    <w:rsid w:val="002C77C6"/>
    <w:rsid w:val="002C7C3D"/>
    <w:rsid w:val="002D0068"/>
    <w:rsid w:val="002D0466"/>
    <w:rsid w:val="002D053D"/>
    <w:rsid w:val="002D071B"/>
    <w:rsid w:val="002D0829"/>
    <w:rsid w:val="002D0B99"/>
    <w:rsid w:val="002D0BD0"/>
    <w:rsid w:val="002D1600"/>
    <w:rsid w:val="002D1936"/>
    <w:rsid w:val="002D1CE8"/>
    <w:rsid w:val="002D1F76"/>
    <w:rsid w:val="002D21F0"/>
    <w:rsid w:val="002D22E4"/>
    <w:rsid w:val="002D2403"/>
    <w:rsid w:val="002D2D0D"/>
    <w:rsid w:val="002D2FB2"/>
    <w:rsid w:val="002D3066"/>
    <w:rsid w:val="002D32C1"/>
    <w:rsid w:val="002D34FE"/>
    <w:rsid w:val="002D35EA"/>
    <w:rsid w:val="002D3782"/>
    <w:rsid w:val="002D3B24"/>
    <w:rsid w:val="002D3D02"/>
    <w:rsid w:val="002D3D77"/>
    <w:rsid w:val="002D4837"/>
    <w:rsid w:val="002D48E6"/>
    <w:rsid w:val="002D5331"/>
    <w:rsid w:val="002D55BB"/>
    <w:rsid w:val="002D5B16"/>
    <w:rsid w:val="002D5BC9"/>
    <w:rsid w:val="002D5DDC"/>
    <w:rsid w:val="002D64D5"/>
    <w:rsid w:val="002D67F7"/>
    <w:rsid w:val="002D6DE0"/>
    <w:rsid w:val="002D71F2"/>
    <w:rsid w:val="002D7621"/>
    <w:rsid w:val="002D769A"/>
    <w:rsid w:val="002D7736"/>
    <w:rsid w:val="002D7789"/>
    <w:rsid w:val="002D77B7"/>
    <w:rsid w:val="002D79D9"/>
    <w:rsid w:val="002D7CC4"/>
    <w:rsid w:val="002D7DBC"/>
    <w:rsid w:val="002E00AC"/>
    <w:rsid w:val="002E00DB"/>
    <w:rsid w:val="002E06C1"/>
    <w:rsid w:val="002E0A65"/>
    <w:rsid w:val="002E0C21"/>
    <w:rsid w:val="002E101F"/>
    <w:rsid w:val="002E192A"/>
    <w:rsid w:val="002E2048"/>
    <w:rsid w:val="002E2471"/>
    <w:rsid w:val="002E286E"/>
    <w:rsid w:val="002E2A52"/>
    <w:rsid w:val="002E2B84"/>
    <w:rsid w:val="002E2F11"/>
    <w:rsid w:val="002E300A"/>
    <w:rsid w:val="002E3449"/>
    <w:rsid w:val="002E3543"/>
    <w:rsid w:val="002E3A7E"/>
    <w:rsid w:val="002E3B82"/>
    <w:rsid w:val="002E3C95"/>
    <w:rsid w:val="002E40D7"/>
    <w:rsid w:val="002E4D81"/>
    <w:rsid w:val="002E4E88"/>
    <w:rsid w:val="002E5BC7"/>
    <w:rsid w:val="002E5CA3"/>
    <w:rsid w:val="002E5F0D"/>
    <w:rsid w:val="002E6EE7"/>
    <w:rsid w:val="002E6F4A"/>
    <w:rsid w:val="002E7655"/>
    <w:rsid w:val="002E7750"/>
    <w:rsid w:val="002E7964"/>
    <w:rsid w:val="002E79AB"/>
    <w:rsid w:val="002E7D40"/>
    <w:rsid w:val="002F01E3"/>
    <w:rsid w:val="002F0A52"/>
    <w:rsid w:val="002F0C6B"/>
    <w:rsid w:val="002F0CF2"/>
    <w:rsid w:val="002F0E24"/>
    <w:rsid w:val="002F1686"/>
    <w:rsid w:val="002F1771"/>
    <w:rsid w:val="002F1BD2"/>
    <w:rsid w:val="002F1CD0"/>
    <w:rsid w:val="002F1D5C"/>
    <w:rsid w:val="002F1D62"/>
    <w:rsid w:val="002F1D92"/>
    <w:rsid w:val="002F207F"/>
    <w:rsid w:val="002F23FA"/>
    <w:rsid w:val="002F249E"/>
    <w:rsid w:val="002F24AF"/>
    <w:rsid w:val="002F29E4"/>
    <w:rsid w:val="002F32ED"/>
    <w:rsid w:val="002F3799"/>
    <w:rsid w:val="002F41D5"/>
    <w:rsid w:val="002F43B6"/>
    <w:rsid w:val="002F49F9"/>
    <w:rsid w:val="002F4D5A"/>
    <w:rsid w:val="002F4E54"/>
    <w:rsid w:val="002F515D"/>
    <w:rsid w:val="002F59D7"/>
    <w:rsid w:val="002F5F68"/>
    <w:rsid w:val="002F6028"/>
    <w:rsid w:val="002F6673"/>
    <w:rsid w:val="002F66C9"/>
    <w:rsid w:val="002F66DB"/>
    <w:rsid w:val="002F6A20"/>
    <w:rsid w:val="002F6DE4"/>
    <w:rsid w:val="002F7155"/>
    <w:rsid w:val="002F7700"/>
    <w:rsid w:val="002F778A"/>
    <w:rsid w:val="002F7954"/>
    <w:rsid w:val="002F7C27"/>
    <w:rsid w:val="002F7CCB"/>
    <w:rsid w:val="002F7EB8"/>
    <w:rsid w:val="0030086D"/>
    <w:rsid w:val="00300C25"/>
    <w:rsid w:val="00300D86"/>
    <w:rsid w:val="00300E82"/>
    <w:rsid w:val="00301153"/>
    <w:rsid w:val="003015B5"/>
    <w:rsid w:val="00301655"/>
    <w:rsid w:val="003017E1"/>
    <w:rsid w:val="003021BB"/>
    <w:rsid w:val="00302588"/>
    <w:rsid w:val="00302643"/>
    <w:rsid w:val="00302D5B"/>
    <w:rsid w:val="00302F6A"/>
    <w:rsid w:val="00303061"/>
    <w:rsid w:val="00303314"/>
    <w:rsid w:val="0030359B"/>
    <w:rsid w:val="00303A66"/>
    <w:rsid w:val="00303D62"/>
    <w:rsid w:val="00303F85"/>
    <w:rsid w:val="00303FEF"/>
    <w:rsid w:val="00303FFA"/>
    <w:rsid w:val="00304041"/>
    <w:rsid w:val="003040C0"/>
    <w:rsid w:val="003044AD"/>
    <w:rsid w:val="00304501"/>
    <w:rsid w:val="00304917"/>
    <w:rsid w:val="00304DC8"/>
    <w:rsid w:val="00305040"/>
    <w:rsid w:val="003051FF"/>
    <w:rsid w:val="00305307"/>
    <w:rsid w:val="0030538B"/>
    <w:rsid w:val="00305BB3"/>
    <w:rsid w:val="00305CC7"/>
    <w:rsid w:val="00305F62"/>
    <w:rsid w:val="003067B8"/>
    <w:rsid w:val="003067DB"/>
    <w:rsid w:val="0030688B"/>
    <w:rsid w:val="00306AAF"/>
    <w:rsid w:val="00306E35"/>
    <w:rsid w:val="003074FD"/>
    <w:rsid w:val="00307728"/>
    <w:rsid w:val="00307A2D"/>
    <w:rsid w:val="003100AB"/>
    <w:rsid w:val="00310204"/>
    <w:rsid w:val="00310272"/>
    <w:rsid w:val="003107D8"/>
    <w:rsid w:val="00310BEF"/>
    <w:rsid w:val="00310D86"/>
    <w:rsid w:val="00310EC5"/>
    <w:rsid w:val="00310F34"/>
    <w:rsid w:val="0031157E"/>
    <w:rsid w:val="00312134"/>
    <w:rsid w:val="0031233D"/>
    <w:rsid w:val="003126B1"/>
    <w:rsid w:val="003126F6"/>
    <w:rsid w:val="00312AF6"/>
    <w:rsid w:val="00312CB7"/>
    <w:rsid w:val="00312E68"/>
    <w:rsid w:val="00312F97"/>
    <w:rsid w:val="00313103"/>
    <w:rsid w:val="0031351A"/>
    <w:rsid w:val="003138EC"/>
    <w:rsid w:val="00314039"/>
    <w:rsid w:val="0031460F"/>
    <w:rsid w:val="00314863"/>
    <w:rsid w:val="00314C8A"/>
    <w:rsid w:val="00314E33"/>
    <w:rsid w:val="003153A8"/>
    <w:rsid w:val="00315595"/>
    <w:rsid w:val="00315F66"/>
    <w:rsid w:val="00315FB7"/>
    <w:rsid w:val="003161E5"/>
    <w:rsid w:val="00316520"/>
    <w:rsid w:val="00316884"/>
    <w:rsid w:val="00316C18"/>
    <w:rsid w:val="00317071"/>
    <w:rsid w:val="003170F2"/>
    <w:rsid w:val="003171A9"/>
    <w:rsid w:val="00317767"/>
    <w:rsid w:val="00317F95"/>
    <w:rsid w:val="0032043F"/>
    <w:rsid w:val="003204DA"/>
    <w:rsid w:val="00320582"/>
    <w:rsid w:val="00321282"/>
    <w:rsid w:val="0032130E"/>
    <w:rsid w:val="0032187E"/>
    <w:rsid w:val="003218EA"/>
    <w:rsid w:val="00321A24"/>
    <w:rsid w:val="00321F93"/>
    <w:rsid w:val="0032278A"/>
    <w:rsid w:val="0032279E"/>
    <w:rsid w:val="003229D2"/>
    <w:rsid w:val="00322A25"/>
    <w:rsid w:val="00322C27"/>
    <w:rsid w:val="00322E8B"/>
    <w:rsid w:val="0032318E"/>
    <w:rsid w:val="00323389"/>
    <w:rsid w:val="003233D1"/>
    <w:rsid w:val="0032399E"/>
    <w:rsid w:val="00324067"/>
    <w:rsid w:val="003246F7"/>
    <w:rsid w:val="003248E7"/>
    <w:rsid w:val="00324925"/>
    <w:rsid w:val="00324A14"/>
    <w:rsid w:val="00324FF1"/>
    <w:rsid w:val="00325668"/>
    <w:rsid w:val="00325F1E"/>
    <w:rsid w:val="003260AB"/>
    <w:rsid w:val="003260D7"/>
    <w:rsid w:val="003262AB"/>
    <w:rsid w:val="0032659C"/>
    <w:rsid w:val="0032699B"/>
    <w:rsid w:val="00326D01"/>
    <w:rsid w:val="00326D28"/>
    <w:rsid w:val="00327292"/>
    <w:rsid w:val="003272FD"/>
    <w:rsid w:val="0032744E"/>
    <w:rsid w:val="00327480"/>
    <w:rsid w:val="00327A30"/>
    <w:rsid w:val="00327C6C"/>
    <w:rsid w:val="003300E1"/>
    <w:rsid w:val="00330380"/>
    <w:rsid w:val="003303B7"/>
    <w:rsid w:val="003304A1"/>
    <w:rsid w:val="003309B2"/>
    <w:rsid w:val="00330A37"/>
    <w:rsid w:val="00330A59"/>
    <w:rsid w:val="00330B81"/>
    <w:rsid w:val="003311FC"/>
    <w:rsid w:val="00331300"/>
    <w:rsid w:val="00331713"/>
    <w:rsid w:val="00331820"/>
    <w:rsid w:val="00331AB2"/>
    <w:rsid w:val="00331F6C"/>
    <w:rsid w:val="00332637"/>
    <w:rsid w:val="00332B88"/>
    <w:rsid w:val="00332F69"/>
    <w:rsid w:val="00333A15"/>
    <w:rsid w:val="00333A6D"/>
    <w:rsid w:val="00333D8E"/>
    <w:rsid w:val="00333DF6"/>
    <w:rsid w:val="00333F1D"/>
    <w:rsid w:val="003341BB"/>
    <w:rsid w:val="003341BD"/>
    <w:rsid w:val="003347E1"/>
    <w:rsid w:val="00335021"/>
    <w:rsid w:val="00335387"/>
    <w:rsid w:val="00335776"/>
    <w:rsid w:val="003357FF"/>
    <w:rsid w:val="00335999"/>
    <w:rsid w:val="00335DA6"/>
    <w:rsid w:val="00336075"/>
    <w:rsid w:val="0033623B"/>
    <w:rsid w:val="00336787"/>
    <w:rsid w:val="00336852"/>
    <w:rsid w:val="00337120"/>
    <w:rsid w:val="003371DD"/>
    <w:rsid w:val="003373C1"/>
    <w:rsid w:val="003374B9"/>
    <w:rsid w:val="003375AB"/>
    <w:rsid w:val="003375FE"/>
    <w:rsid w:val="00337717"/>
    <w:rsid w:val="003377A8"/>
    <w:rsid w:val="003378B1"/>
    <w:rsid w:val="003403D8"/>
    <w:rsid w:val="003403FA"/>
    <w:rsid w:val="003408E2"/>
    <w:rsid w:val="00340A5B"/>
    <w:rsid w:val="00340A83"/>
    <w:rsid w:val="00340CB6"/>
    <w:rsid w:val="00340D35"/>
    <w:rsid w:val="00340EE4"/>
    <w:rsid w:val="0034123C"/>
    <w:rsid w:val="003412BF"/>
    <w:rsid w:val="00341384"/>
    <w:rsid w:val="003415A2"/>
    <w:rsid w:val="0034168B"/>
    <w:rsid w:val="003416C0"/>
    <w:rsid w:val="00341CF7"/>
    <w:rsid w:val="00341DFD"/>
    <w:rsid w:val="0034295D"/>
    <w:rsid w:val="00342C62"/>
    <w:rsid w:val="0034312D"/>
    <w:rsid w:val="0034330F"/>
    <w:rsid w:val="0034335B"/>
    <w:rsid w:val="00343669"/>
    <w:rsid w:val="00343773"/>
    <w:rsid w:val="00343C67"/>
    <w:rsid w:val="003440AE"/>
    <w:rsid w:val="0034413A"/>
    <w:rsid w:val="00344BA3"/>
    <w:rsid w:val="00344BDC"/>
    <w:rsid w:val="00344D5E"/>
    <w:rsid w:val="00344E8E"/>
    <w:rsid w:val="00345475"/>
    <w:rsid w:val="0034578E"/>
    <w:rsid w:val="003457A1"/>
    <w:rsid w:val="00346AE5"/>
    <w:rsid w:val="00346C56"/>
    <w:rsid w:val="00347712"/>
    <w:rsid w:val="00347782"/>
    <w:rsid w:val="00347D51"/>
    <w:rsid w:val="00347E11"/>
    <w:rsid w:val="00347F4E"/>
    <w:rsid w:val="003500DB"/>
    <w:rsid w:val="00350268"/>
    <w:rsid w:val="003503A9"/>
    <w:rsid w:val="00350573"/>
    <w:rsid w:val="00350594"/>
    <w:rsid w:val="00350B46"/>
    <w:rsid w:val="0035101C"/>
    <w:rsid w:val="003518DC"/>
    <w:rsid w:val="00351EEA"/>
    <w:rsid w:val="00352012"/>
    <w:rsid w:val="00352542"/>
    <w:rsid w:val="00352668"/>
    <w:rsid w:val="00352677"/>
    <w:rsid w:val="00352780"/>
    <w:rsid w:val="0035326A"/>
    <w:rsid w:val="0035327A"/>
    <w:rsid w:val="003534CB"/>
    <w:rsid w:val="00353803"/>
    <w:rsid w:val="00353832"/>
    <w:rsid w:val="00353C27"/>
    <w:rsid w:val="00353C29"/>
    <w:rsid w:val="00353C8B"/>
    <w:rsid w:val="00353D69"/>
    <w:rsid w:val="00353FC5"/>
    <w:rsid w:val="003541B5"/>
    <w:rsid w:val="003542FC"/>
    <w:rsid w:val="00354407"/>
    <w:rsid w:val="00354730"/>
    <w:rsid w:val="00354C88"/>
    <w:rsid w:val="0035537B"/>
    <w:rsid w:val="003555CF"/>
    <w:rsid w:val="00355B59"/>
    <w:rsid w:val="00355F0D"/>
    <w:rsid w:val="0035620E"/>
    <w:rsid w:val="003562FE"/>
    <w:rsid w:val="003564B6"/>
    <w:rsid w:val="0035669E"/>
    <w:rsid w:val="003574FA"/>
    <w:rsid w:val="00357C05"/>
    <w:rsid w:val="00357DE5"/>
    <w:rsid w:val="00357F44"/>
    <w:rsid w:val="0036007F"/>
    <w:rsid w:val="00360354"/>
    <w:rsid w:val="0036071E"/>
    <w:rsid w:val="00360720"/>
    <w:rsid w:val="00360FEF"/>
    <w:rsid w:val="0036119E"/>
    <w:rsid w:val="00361D18"/>
    <w:rsid w:val="00362D66"/>
    <w:rsid w:val="00362E07"/>
    <w:rsid w:val="00363198"/>
    <w:rsid w:val="003631E0"/>
    <w:rsid w:val="003633CF"/>
    <w:rsid w:val="00363B12"/>
    <w:rsid w:val="00363E69"/>
    <w:rsid w:val="003640DD"/>
    <w:rsid w:val="0036423C"/>
    <w:rsid w:val="003648BB"/>
    <w:rsid w:val="00364C43"/>
    <w:rsid w:val="00364D2C"/>
    <w:rsid w:val="00364D59"/>
    <w:rsid w:val="00364E6A"/>
    <w:rsid w:val="00365433"/>
    <w:rsid w:val="003654BE"/>
    <w:rsid w:val="003654DD"/>
    <w:rsid w:val="003657EE"/>
    <w:rsid w:val="00365B5D"/>
    <w:rsid w:val="00365B9B"/>
    <w:rsid w:val="00365D2E"/>
    <w:rsid w:val="00365DBB"/>
    <w:rsid w:val="00365DF5"/>
    <w:rsid w:val="003668A0"/>
    <w:rsid w:val="0036695E"/>
    <w:rsid w:val="00366A1A"/>
    <w:rsid w:val="00366EE1"/>
    <w:rsid w:val="00367363"/>
    <w:rsid w:val="003673E6"/>
    <w:rsid w:val="003674C3"/>
    <w:rsid w:val="003675F0"/>
    <w:rsid w:val="003678EA"/>
    <w:rsid w:val="00367A90"/>
    <w:rsid w:val="00367E71"/>
    <w:rsid w:val="00370372"/>
    <w:rsid w:val="003703EC"/>
    <w:rsid w:val="003706D5"/>
    <w:rsid w:val="00370769"/>
    <w:rsid w:val="00370865"/>
    <w:rsid w:val="00370963"/>
    <w:rsid w:val="00371009"/>
    <w:rsid w:val="00371252"/>
    <w:rsid w:val="003714DB"/>
    <w:rsid w:val="0037165E"/>
    <w:rsid w:val="0037191D"/>
    <w:rsid w:val="00371AED"/>
    <w:rsid w:val="00371BC4"/>
    <w:rsid w:val="00371EEB"/>
    <w:rsid w:val="00372161"/>
    <w:rsid w:val="003722E8"/>
    <w:rsid w:val="00372733"/>
    <w:rsid w:val="0037280D"/>
    <w:rsid w:val="003728E1"/>
    <w:rsid w:val="00372C4C"/>
    <w:rsid w:val="00372F15"/>
    <w:rsid w:val="0037300F"/>
    <w:rsid w:val="00373198"/>
    <w:rsid w:val="00373B9D"/>
    <w:rsid w:val="00373E06"/>
    <w:rsid w:val="0037445B"/>
    <w:rsid w:val="003745D0"/>
    <w:rsid w:val="0037468A"/>
    <w:rsid w:val="003746A3"/>
    <w:rsid w:val="0037492D"/>
    <w:rsid w:val="00374D3E"/>
    <w:rsid w:val="003755E3"/>
    <w:rsid w:val="00375613"/>
    <w:rsid w:val="00375B8A"/>
    <w:rsid w:val="00375D5B"/>
    <w:rsid w:val="00375E04"/>
    <w:rsid w:val="00376300"/>
    <w:rsid w:val="0037642E"/>
    <w:rsid w:val="00376987"/>
    <w:rsid w:val="00376AF3"/>
    <w:rsid w:val="00376CFA"/>
    <w:rsid w:val="00376DF3"/>
    <w:rsid w:val="00377D45"/>
    <w:rsid w:val="003800E2"/>
    <w:rsid w:val="003801DC"/>
    <w:rsid w:val="00380E15"/>
    <w:rsid w:val="00380F29"/>
    <w:rsid w:val="00380F51"/>
    <w:rsid w:val="003811BA"/>
    <w:rsid w:val="00381993"/>
    <w:rsid w:val="00381AC4"/>
    <w:rsid w:val="00381B3A"/>
    <w:rsid w:val="00381F75"/>
    <w:rsid w:val="00381FAE"/>
    <w:rsid w:val="0038248C"/>
    <w:rsid w:val="00382980"/>
    <w:rsid w:val="00382ABA"/>
    <w:rsid w:val="00382C61"/>
    <w:rsid w:val="00382D1F"/>
    <w:rsid w:val="003830EF"/>
    <w:rsid w:val="00383162"/>
    <w:rsid w:val="00383177"/>
    <w:rsid w:val="003832B6"/>
    <w:rsid w:val="003839BF"/>
    <w:rsid w:val="00383A46"/>
    <w:rsid w:val="00383E24"/>
    <w:rsid w:val="00383F72"/>
    <w:rsid w:val="003840B7"/>
    <w:rsid w:val="003844E0"/>
    <w:rsid w:val="00384837"/>
    <w:rsid w:val="00384D6C"/>
    <w:rsid w:val="003851A1"/>
    <w:rsid w:val="00385367"/>
    <w:rsid w:val="0038549F"/>
    <w:rsid w:val="00385639"/>
    <w:rsid w:val="003856C6"/>
    <w:rsid w:val="0038576D"/>
    <w:rsid w:val="00385B28"/>
    <w:rsid w:val="00385BDE"/>
    <w:rsid w:val="00385DD1"/>
    <w:rsid w:val="00385E50"/>
    <w:rsid w:val="003863F2"/>
    <w:rsid w:val="00386677"/>
    <w:rsid w:val="0038685F"/>
    <w:rsid w:val="00386A40"/>
    <w:rsid w:val="00386B43"/>
    <w:rsid w:val="00386CBA"/>
    <w:rsid w:val="00386E82"/>
    <w:rsid w:val="00386FC4"/>
    <w:rsid w:val="0038728C"/>
    <w:rsid w:val="00387677"/>
    <w:rsid w:val="00387F7C"/>
    <w:rsid w:val="00390088"/>
    <w:rsid w:val="00391901"/>
    <w:rsid w:val="00391AC1"/>
    <w:rsid w:val="00391B2B"/>
    <w:rsid w:val="00391B84"/>
    <w:rsid w:val="00391E1C"/>
    <w:rsid w:val="00391FF2"/>
    <w:rsid w:val="003920C7"/>
    <w:rsid w:val="003923E6"/>
    <w:rsid w:val="0039284A"/>
    <w:rsid w:val="003929A4"/>
    <w:rsid w:val="00392BBB"/>
    <w:rsid w:val="00392FAF"/>
    <w:rsid w:val="00393FE9"/>
    <w:rsid w:val="0039447D"/>
    <w:rsid w:val="0039476B"/>
    <w:rsid w:val="003949BE"/>
    <w:rsid w:val="00394B29"/>
    <w:rsid w:val="00394E45"/>
    <w:rsid w:val="00395146"/>
    <w:rsid w:val="00395205"/>
    <w:rsid w:val="0039571B"/>
    <w:rsid w:val="00396113"/>
    <w:rsid w:val="0039627D"/>
    <w:rsid w:val="00396980"/>
    <w:rsid w:val="003969C2"/>
    <w:rsid w:val="00396F26"/>
    <w:rsid w:val="003970B3"/>
    <w:rsid w:val="003973FD"/>
    <w:rsid w:val="00397413"/>
    <w:rsid w:val="00397432"/>
    <w:rsid w:val="003976E4"/>
    <w:rsid w:val="0039772B"/>
    <w:rsid w:val="003977F5"/>
    <w:rsid w:val="00397A77"/>
    <w:rsid w:val="00397E07"/>
    <w:rsid w:val="00397E21"/>
    <w:rsid w:val="00397FDC"/>
    <w:rsid w:val="003A00BD"/>
    <w:rsid w:val="003A04AE"/>
    <w:rsid w:val="003A0667"/>
    <w:rsid w:val="003A0EA6"/>
    <w:rsid w:val="003A0F7E"/>
    <w:rsid w:val="003A1342"/>
    <w:rsid w:val="003A1719"/>
    <w:rsid w:val="003A18B8"/>
    <w:rsid w:val="003A1935"/>
    <w:rsid w:val="003A19D6"/>
    <w:rsid w:val="003A1AA1"/>
    <w:rsid w:val="003A1AF0"/>
    <w:rsid w:val="003A230D"/>
    <w:rsid w:val="003A269E"/>
    <w:rsid w:val="003A2CEE"/>
    <w:rsid w:val="003A2D4E"/>
    <w:rsid w:val="003A2EF2"/>
    <w:rsid w:val="003A2FE9"/>
    <w:rsid w:val="003A314E"/>
    <w:rsid w:val="003A36DC"/>
    <w:rsid w:val="003A3717"/>
    <w:rsid w:val="003A393F"/>
    <w:rsid w:val="003A3999"/>
    <w:rsid w:val="003A42AC"/>
    <w:rsid w:val="003A436A"/>
    <w:rsid w:val="003A43B8"/>
    <w:rsid w:val="003A4462"/>
    <w:rsid w:val="003A4497"/>
    <w:rsid w:val="003A4663"/>
    <w:rsid w:val="003A4BFF"/>
    <w:rsid w:val="003A4F4E"/>
    <w:rsid w:val="003A5400"/>
    <w:rsid w:val="003A5581"/>
    <w:rsid w:val="003A59CD"/>
    <w:rsid w:val="003A5A0A"/>
    <w:rsid w:val="003A5CFA"/>
    <w:rsid w:val="003A5D90"/>
    <w:rsid w:val="003A5FA4"/>
    <w:rsid w:val="003A6084"/>
    <w:rsid w:val="003A62DA"/>
    <w:rsid w:val="003A6366"/>
    <w:rsid w:val="003A6CC9"/>
    <w:rsid w:val="003A713A"/>
    <w:rsid w:val="003A71E5"/>
    <w:rsid w:val="003A75BB"/>
    <w:rsid w:val="003A77D8"/>
    <w:rsid w:val="003A7A69"/>
    <w:rsid w:val="003A7B14"/>
    <w:rsid w:val="003A7B7B"/>
    <w:rsid w:val="003A7D2A"/>
    <w:rsid w:val="003A7D38"/>
    <w:rsid w:val="003A7ED5"/>
    <w:rsid w:val="003B08CD"/>
    <w:rsid w:val="003B0C92"/>
    <w:rsid w:val="003B0D86"/>
    <w:rsid w:val="003B0E1D"/>
    <w:rsid w:val="003B0F13"/>
    <w:rsid w:val="003B0F7B"/>
    <w:rsid w:val="003B13E9"/>
    <w:rsid w:val="003B14FD"/>
    <w:rsid w:val="003B1539"/>
    <w:rsid w:val="003B16D4"/>
    <w:rsid w:val="003B1BB7"/>
    <w:rsid w:val="003B1E0D"/>
    <w:rsid w:val="003B2427"/>
    <w:rsid w:val="003B28A8"/>
    <w:rsid w:val="003B2904"/>
    <w:rsid w:val="003B2D2B"/>
    <w:rsid w:val="003B2D7D"/>
    <w:rsid w:val="003B2D8C"/>
    <w:rsid w:val="003B2F6C"/>
    <w:rsid w:val="003B3324"/>
    <w:rsid w:val="003B3B97"/>
    <w:rsid w:val="003B3CC4"/>
    <w:rsid w:val="003B3E12"/>
    <w:rsid w:val="003B4696"/>
    <w:rsid w:val="003B4859"/>
    <w:rsid w:val="003B4D81"/>
    <w:rsid w:val="003B4DBD"/>
    <w:rsid w:val="003B4E65"/>
    <w:rsid w:val="003B4EB6"/>
    <w:rsid w:val="003B50E8"/>
    <w:rsid w:val="003B5177"/>
    <w:rsid w:val="003B5200"/>
    <w:rsid w:val="003B53E7"/>
    <w:rsid w:val="003B5482"/>
    <w:rsid w:val="003B5663"/>
    <w:rsid w:val="003B5666"/>
    <w:rsid w:val="003B59DC"/>
    <w:rsid w:val="003B6031"/>
    <w:rsid w:val="003B6178"/>
    <w:rsid w:val="003B6223"/>
    <w:rsid w:val="003B6272"/>
    <w:rsid w:val="003B6294"/>
    <w:rsid w:val="003B638E"/>
    <w:rsid w:val="003B6BF1"/>
    <w:rsid w:val="003B6C19"/>
    <w:rsid w:val="003B6E81"/>
    <w:rsid w:val="003B7160"/>
    <w:rsid w:val="003B7661"/>
    <w:rsid w:val="003B76F3"/>
    <w:rsid w:val="003B7E05"/>
    <w:rsid w:val="003C029F"/>
    <w:rsid w:val="003C0456"/>
    <w:rsid w:val="003C052A"/>
    <w:rsid w:val="003C0590"/>
    <w:rsid w:val="003C0634"/>
    <w:rsid w:val="003C0AE9"/>
    <w:rsid w:val="003C131E"/>
    <w:rsid w:val="003C166B"/>
    <w:rsid w:val="003C19A5"/>
    <w:rsid w:val="003C1C85"/>
    <w:rsid w:val="003C1F69"/>
    <w:rsid w:val="003C2010"/>
    <w:rsid w:val="003C2323"/>
    <w:rsid w:val="003C2BA9"/>
    <w:rsid w:val="003C2C59"/>
    <w:rsid w:val="003C3495"/>
    <w:rsid w:val="003C3895"/>
    <w:rsid w:val="003C3A2A"/>
    <w:rsid w:val="003C3CC7"/>
    <w:rsid w:val="003C3E7F"/>
    <w:rsid w:val="003C4482"/>
    <w:rsid w:val="003C504B"/>
    <w:rsid w:val="003C50B5"/>
    <w:rsid w:val="003C5260"/>
    <w:rsid w:val="003C5936"/>
    <w:rsid w:val="003C5B64"/>
    <w:rsid w:val="003C607D"/>
    <w:rsid w:val="003C612F"/>
    <w:rsid w:val="003C619A"/>
    <w:rsid w:val="003C6468"/>
    <w:rsid w:val="003C64AF"/>
    <w:rsid w:val="003C676E"/>
    <w:rsid w:val="003C7A23"/>
    <w:rsid w:val="003C7A34"/>
    <w:rsid w:val="003C7B28"/>
    <w:rsid w:val="003D0AF6"/>
    <w:rsid w:val="003D0BFD"/>
    <w:rsid w:val="003D0FA5"/>
    <w:rsid w:val="003D1004"/>
    <w:rsid w:val="003D115F"/>
    <w:rsid w:val="003D11D9"/>
    <w:rsid w:val="003D1567"/>
    <w:rsid w:val="003D1E5A"/>
    <w:rsid w:val="003D228C"/>
    <w:rsid w:val="003D22F5"/>
    <w:rsid w:val="003D2939"/>
    <w:rsid w:val="003D2B3F"/>
    <w:rsid w:val="003D2BFE"/>
    <w:rsid w:val="003D2F40"/>
    <w:rsid w:val="003D32AA"/>
    <w:rsid w:val="003D33AE"/>
    <w:rsid w:val="003D3429"/>
    <w:rsid w:val="003D3574"/>
    <w:rsid w:val="003D3990"/>
    <w:rsid w:val="003D3A19"/>
    <w:rsid w:val="003D3C6E"/>
    <w:rsid w:val="003D3FA7"/>
    <w:rsid w:val="003D42CB"/>
    <w:rsid w:val="003D43E2"/>
    <w:rsid w:val="003D4572"/>
    <w:rsid w:val="003D4B62"/>
    <w:rsid w:val="003D4E9A"/>
    <w:rsid w:val="003D51D3"/>
    <w:rsid w:val="003D51F4"/>
    <w:rsid w:val="003D5231"/>
    <w:rsid w:val="003D5345"/>
    <w:rsid w:val="003D5811"/>
    <w:rsid w:val="003D58C5"/>
    <w:rsid w:val="003D5A13"/>
    <w:rsid w:val="003D6316"/>
    <w:rsid w:val="003D6638"/>
    <w:rsid w:val="003D6A51"/>
    <w:rsid w:val="003D6AE1"/>
    <w:rsid w:val="003D7211"/>
    <w:rsid w:val="003D7786"/>
    <w:rsid w:val="003D7FC4"/>
    <w:rsid w:val="003E0354"/>
    <w:rsid w:val="003E0437"/>
    <w:rsid w:val="003E08DC"/>
    <w:rsid w:val="003E10A8"/>
    <w:rsid w:val="003E127A"/>
    <w:rsid w:val="003E184A"/>
    <w:rsid w:val="003E1887"/>
    <w:rsid w:val="003E18C9"/>
    <w:rsid w:val="003E19E2"/>
    <w:rsid w:val="003E1EF3"/>
    <w:rsid w:val="003E2538"/>
    <w:rsid w:val="003E2784"/>
    <w:rsid w:val="003E278F"/>
    <w:rsid w:val="003E2E55"/>
    <w:rsid w:val="003E2F58"/>
    <w:rsid w:val="003E3028"/>
    <w:rsid w:val="003E311C"/>
    <w:rsid w:val="003E3A5D"/>
    <w:rsid w:val="003E3D4A"/>
    <w:rsid w:val="003E4250"/>
    <w:rsid w:val="003E4296"/>
    <w:rsid w:val="003E43C8"/>
    <w:rsid w:val="003E4528"/>
    <w:rsid w:val="003E4B5F"/>
    <w:rsid w:val="003E50BB"/>
    <w:rsid w:val="003E530F"/>
    <w:rsid w:val="003E5A33"/>
    <w:rsid w:val="003E5E27"/>
    <w:rsid w:val="003E5E65"/>
    <w:rsid w:val="003E65FD"/>
    <w:rsid w:val="003E69CF"/>
    <w:rsid w:val="003E6C56"/>
    <w:rsid w:val="003E6DA0"/>
    <w:rsid w:val="003E72DA"/>
    <w:rsid w:val="003E7963"/>
    <w:rsid w:val="003E7C3C"/>
    <w:rsid w:val="003E7C99"/>
    <w:rsid w:val="003F00B9"/>
    <w:rsid w:val="003F031C"/>
    <w:rsid w:val="003F0E59"/>
    <w:rsid w:val="003F0EED"/>
    <w:rsid w:val="003F0F93"/>
    <w:rsid w:val="003F0FBA"/>
    <w:rsid w:val="003F1622"/>
    <w:rsid w:val="003F1AA3"/>
    <w:rsid w:val="003F24EE"/>
    <w:rsid w:val="003F25EF"/>
    <w:rsid w:val="003F28CD"/>
    <w:rsid w:val="003F2A3E"/>
    <w:rsid w:val="003F2D59"/>
    <w:rsid w:val="003F3277"/>
    <w:rsid w:val="003F33C5"/>
    <w:rsid w:val="003F3645"/>
    <w:rsid w:val="003F3B6D"/>
    <w:rsid w:val="003F3BE5"/>
    <w:rsid w:val="003F3EC5"/>
    <w:rsid w:val="003F49D2"/>
    <w:rsid w:val="003F4C79"/>
    <w:rsid w:val="003F4E06"/>
    <w:rsid w:val="003F4FD7"/>
    <w:rsid w:val="003F5383"/>
    <w:rsid w:val="003F58E5"/>
    <w:rsid w:val="003F58F4"/>
    <w:rsid w:val="003F5990"/>
    <w:rsid w:val="003F5E3F"/>
    <w:rsid w:val="003F6068"/>
    <w:rsid w:val="003F6152"/>
    <w:rsid w:val="003F67CB"/>
    <w:rsid w:val="003F6D1A"/>
    <w:rsid w:val="003F6FA1"/>
    <w:rsid w:val="003F759C"/>
    <w:rsid w:val="00400541"/>
    <w:rsid w:val="00400688"/>
    <w:rsid w:val="004018B0"/>
    <w:rsid w:val="00401CD0"/>
    <w:rsid w:val="00402083"/>
    <w:rsid w:val="0040223A"/>
    <w:rsid w:val="0040257A"/>
    <w:rsid w:val="00402608"/>
    <w:rsid w:val="00403542"/>
    <w:rsid w:val="004036AC"/>
    <w:rsid w:val="00403A15"/>
    <w:rsid w:val="00403AD6"/>
    <w:rsid w:val="004042E5"/>
    <w:rsid w:val="00404A7D"/>
    <w:rsid w:val="00405461"/>
    <w:rsid w:val="00405477"/>
    <w:rsid w:val="0040566B"/>
    <w:rsid w:val="004058B9"/>
    <w:rsid w:val="00405AB5"/>
    <w:rsid w:val="00405C5D"/>
    <w:rsid w:val="00405E6C"/>
    <w:rsid w:val="00406079"/>
    <w:rsid w:val="0040654A"/>
    <w:rsid w:val="004066E7"/>
    <w:rsid w:val="004067F1"/>
    <w:rsid w:val="0040689D"/>
    <w:rsid w:val="00406A50"/>
    <w:rsid w:val="00406C91"/>
    <w:rsid w:val="00407363"/>
    <w:rsid w:val="0040798D"/>
    <w:rsid w:val="00407E6E"/>
    <w:rsid w:val="00410179"/>
    <w:rsid w:val="00410441"/>
    <w:rsid w:val="0041074C"/>
    <w:rsid w:val="0041078F"/>
    <w:rsid w:val="00410B78"/>
    <w:rsid w:val="0041102C"/>
    <w:rsid w:val="00411154"/>
    <w:rsid w:val="00411208"/>
    <w:rsid w:val="004114A9"/>
    <w:rsid w:val="004114C9"/>
    <w:rsid w:val="00411645"/>
    <w:rsid w:val="00411863"/>
    <w:rsid w:val="00411BD7"/>
    <w:rsid w:val="00411D31"/>
    <w:rsid w:val="004128FF"/>
    <w:rsid w:val="00412B52"/>
    <w:rsid w:val="00412BDE"/>
    <w:rsid w:val="00413022"/>
    <w:rsid w:val="0041398B"/>
    <w:rsid w:val="00413F0B"/>
    <w:rsid w:val="004143CB"/>
    <w:rsid w:val="00414601"/>
    <w:rsid w:val="004146E5"/>
    <w:rsid w:val="00414828"/>
    <w:rsid w:val="00414C5A"/>
    <w:rsid w:val="00414D14"/>
    <w:rsid w:val="00414DE0"/>
    <w:rsid w:val="00415052"/>
    <w:rsid w:val="004150FE"/>
    <w:rsid w:val="004158A0"/>
    <w:rsid w:val="00415D69"/>
    <w:rsid w:val="00415DEC"/>
    <w:rsid w:val="00415FAD"/>
    <w:rsid w:val="0041600F"/>
    <w:rsid w:val="0041619C"/>
    <w:rsid w:val="004162D3"/>
    <w:rsid w:val="00417377"/>
    <w:rsid w:val="0041747C"/>
    <w:rsid w:val="00417701"/>
    <w:rsid w:val="00417C68"/>
    <w:rsid w:val="00417D7A"/>
    <w:rsid w:val="004203AA"/>
    <w:rsid w:val="00420901"/>
    <w:rsid w:val="00420948"/>
    <w:rsid w:val="00420BA6"/>
    <w:rsid w:val="00420E13"/>
    <w:rsid w:val="00420E32"/>
    <w:rsid w:val="00421063"/>
    <w:rsid w:val="004210D7"/>
    <w:rsid w:val="0042121D"/>
    <w:rsid w:val="0042181C"/>
    <w:rsid w:val="004219E8"/>
    <w:rsid w:val="00421FAA"/>
    <w:rsid w:val="00422508"/>
    <w:rsid w:val="0042267A"/>
    <w:rsid w:val="0042282D"/>
    <w:rsid w:val="00422BE1"/>
    <w:rsid w:val="00422C59"/>
    <w:rsid w:val="00422CFC"/>
    <w:rsid w:val="00423A89"/>
    <w:rsid w:val="00423E35"/>
    <w:rsid w:val="0042409B"/>
    <w:rsid w:val="0042412E"/>
    <w:rsid w:val="0042472D"/>
    <w:rsid w:val="0042505E"/>
    <w:rsid w:val="00425115"/>
    <w:rsid w:val="004257A7"/>
    <w:rsid w:val="00425A22"/>
    <w:rsid w:val="00425A94"/>
    <w:rsid w:val="00425B0B"/>
    <w:rsid w:val="00425E7D"/>
    <w:rsid w:val="00425EF9"/>
    <w:rsid w:val="00426396"/>
    <w:rsid w:val="0042663A"/>
    <w:rsid w:val="004270B5"/>
    <w:rsid w:val="0042770D"/>
    <w:rsid w:val="00427843"/>
    <w:rsid w:val="004279C1"/>
    <w:rsid w:val="00427B37"/>
    <w:rsid w:val="0043009A"/>
    <w:rsid w:val="004303BB"/>
    <w:rsid w:val="004305C5"/>
    <w:rsid w:val="00430C05"/>
    <w:rsid w:val="0043115F"/>
    <w:rsid w:val="004318F9"/>
    <w:rsid w:val="00431BB8"/>
    <w:rsid w:val="004327A9"/>
    <w:rsid w:val="004329E5"/>
    <w:rsid w:val="00432B9E"/>
    <w:rsid w:val="00432BB8"/>
    <w:rsid w:val="00432E66"/>
    <w:rsid w:val="00432F84"/>
    <w:rsid w:val="0043362A"/>
    <w:rsid w:val="0043436F"/>
    <w:rsid w:val="00434374"/>
    <w:rsid w:val="00434476"/>
    <w:rsid w:val="00434A4A"/>
    <w:rsid w:val="00434E4F"/>
    <w:rsid w:val="00435197"/>
    <w:rsid w:val="0043557B"/>
    <w:rsid w:val="0043561C"/>
    <w:rsid w:val="00435BC9"/>
    <w:rsid w:val="00435DF5"/>
    <w:rsid w:val="0043678E"/>
    <w:rsid w:val="0043699B"/>
    <w:rsid w:val="00436DF9"/>
    <w:rsid w:val="00437005"/>
    <w:rsid w:val="00437876"/>
    <w:rsid w:val="00437B57"/>
    <w:rsid w:val="00440068"/>
    <w:rsid w:val="00440418"/>
    <w:rsid w:val="004410BC"/>
    <w:rsid w:val="00441164"/>
    <w:rsid w:val="004414D3"/>
    <w:rsid w:val="004415C2"/>
    <w:rsid w:val="00441A6C"/>
    <w:rsid w:val="004420F9"/>
    <w:rsid w:val="004422EC"/>
    <w:rsid w:val="0044249D"/>
    <w:rsid w:val="004426AD"/>
    <w:rsid w:val="00443250"/>
    <w:rsid w:val="004435D7"/>
    <w:rsid w:val="004436C4"/>
    <w:rsid w:val="00443CFE"/>
    <w:rsid w:val="00443F45"/>
    <w:rsid w:val="0044410A"/>
    <w:rsid w:val="00444188"/>
    <w:rsid w:val="00444473"/>
    <w:rsid w:val="0044482D"/>
    <w:rsid w:val="00444927"/>
    <w:rsid w:val="004449A6"/>
    <w:rsid w:val="00444D84"/>
    <w:rsid w:val="00444FEA"/>
    <w:rsid w:val="0044530D"/>
    <w:rsid w:val="0044536C"/>
    <w:rsid w:val="004458AB"/>
    <w:rsid w:val="00445C9F"/>
    <w:rsid w:val="00445F4E"/>
    <w:rsid w:val="004463E7"/>
    <w:rsid w:val="0044672C"/>
    <w:rsid w:val="00446D64"/>
    <w:rsid w:val="00446FB0"/>
    <w:rsid w:val="00447577"/>
    <w:rsid w:val="004477C4"/>
    <w:rsid w:val="004501E9"/>
    <w:rsid w:val="004503A1"/>
    <w:rsid w:val="0045059B"/>
    <w:rsid w:val="004505E7"/>
    <w:rsid w:val="00450674"/>
    <w:rsid w:val="00450CAE"/>
    <w:rsid w:val="004511C7"/>
    <w:rsid w:val="0045197A"/>
    <w:rsid w:val="00451B26"/>
    <w:rsid w:val="00451C64"/>
    <w:rsid w:val="0045201A"/>
    <w:rsid w:val="0045251E"/>
    <w:rsid w:val="00452687"/>
    <w:rsid w:val="00452691"/>
    <w:rsid w:val="0045283F"/>
    <w:rsid w:val="00453D2C"/>
    <w:rsid w:val="00453DB3"/>
    <w:rsid w:val="00453DC1"/>
    <w:rsid w:val="00453F48"/>
    <w:rsid w:val="00453FCD"/>
    <w:rsid w:val="00454A21"/>
    <w:rsid w:val="00454B72"/>
    <w:rsid w:val="00454B8F"/>
    <w:rsid w:val="00454C05"/>
    <w:rsid w:val="00454C20"/>
    <w:rsid w:val="00454C37"/>
    <w:rsid w:val="00454F4E"/>
    <w:rsid w:val="0045546F"/>
    <w:rsid w:val="004558FA"/>
    <w:rsid w:val="00455CAE"/>
    <w:rsid w:val="00455E9B"/>
    <w:rsid w:val="00456437"/>
    <w:rsid w:val="00456438"/>
    <w:rsid w:val="00456A0A"/>
    <w:rsid w:val="00456D15"/>
    <w:rsid w:val="00456DC0"/>
    <w:rsid w:val="0045725B"/>
    <w:rsid w:val="004578E3"/>
    <w:rsid w:val="00457CF5"/>
    <w:rsid w:val="004602D4"/>
    <w:rsid w:val="0046031D"/>
    <w:rsid w:val="00460657"/>
    <w:rsid w:val="004608BA"/>
    <w:rsid w:val="00460A4B"/>
    <w:rsid w:val="00460AA8"/>
    <w:rsid w:val="00461252"/>
    <w:rsid w:val="004613E4"/>
    <w:rsid w:val="0046159B"/>
    <w:rsid w:val="00461A7C"/>
    <w:rsid w:val="00461A84"/>
    <w:rsid w:val="00461ABF"/>
    <w:rsid w:val="00461E66"/>
    <w:rsid w:val="00461EBB"/>
    <w:rsid w:val="00461FFA"/>
    <w:rsid w:val="00462286"/>
    <w:rsid w:val="00462AAB"/>
    <w:rsid w:val="00462C80"/>
    <w:rsid w:val="00462D87"/>
    <w:rsid w:val="00462D95"/>
    <w:rsid w:val="00462F25"/>
    <w:rsid w:val="004631A1"/>
    <w:rsid w:val="0046330C"/>
    <w:rsid w:val="00463393"/>
    <w:rsid w:val="00463717"/>
    <w:rsid w:val="00463754"/>
    <w:rsid w:val="004637CD"/>
    <w:rsid w:val="00463EC9"/>
    <w:rsid w:val="004646B4"/>
    <w:rsid w:val="00464964"/>
    <w:rsid w:val="00464A75"/>
    <w:rsid w:val="004653AD"/>
    <w:rsid w:val="00465498"/>
    <w:rsid w:val="00465582"/>
    <w:rsid w:val="00465A3C"/>
    <w:rsid w:val="00465A7C"/>
    <w:rsid w:val="00465F55"/>
    <w:rsid w:val="00466093"/>
    <w:rsid w:val="0046615C"/>
    <w:rsid w:val="0046635D"/>
    <w:rsid w:val="00466668"/>
    <w:rsid w:val="004666B2"/>
    <w:rsid w:val="00466742"/>
    <w:rsid w:val="00466A2E"/>
    <w:rsid w:val="00466AE4"/>
    <w:rsid w:val="00467074"/>
    <w:rsid w:val="00467370"/>
    <w:rsid w:val="0046756D"/>
    <w:rsid w:val="0046774B"/>
    <w:rsid w:val="004677AD"/>
    <w:rsid w:val="004677E1"/>
    <w:rsid w:val="00467A1C"/>
    <w:rsid w:val="00467B68"/>
    <w:rsid w:val="00467D8B"/>
    <w:rsid w:val="00467EDD"/>
    <w:rsid w:val="00470D4C"/>
    <w:rsid w:val="0047122D"/>
    <w:rsid w:val="00471361"/>
    <w:rsid w:val="004717F4"/>
    <w:rsid w:val="00471A12"/>
    <w:rsid w:val="00471C14"/>
    <w:rsid w:val="004724CE"/>
    <w:rsid w:val="00472834"/>
    <w:rsid w:val="00472ADA"/>
    <w:rsid w:val="00472AF9"/>
    <w:rsid w:val="00472CA4"/>
    <w:rsid w:val="00472E87"/>
    <w:rsid w:val="004738BC"/>
    <w:rsid w:val="004738E8"/>
    <w:rsid w:val="00473C51"/>
    <w:rsid w:val="00473E89"/>
    <w:rsid w:val="00474322"/>
    <w:rsid w:val="0047443D"/>
    <w:rsid w:val="00474620"/>
    <w:rsid w:val="004746A9"/>
    <w:rsid w:val="004746DA"/>
    <w:rsid w:val="00474A03"/>
    <w:rsid w:val="004751FE"/>
    <w:rsid w:val="00475371"/>
    <w:rsid w:val="0047548C"/>
    <w:rsid w:val="004754C9"/>
    <w:rsid w:val="00475FB6"/>
    <w:rsid w:val="00476446"/>
    <w:rsid w:val="00476479"/>
    <w:rsid w:val="004767BC"/>
    <w:rsid w:val="00476D81"/>
    <w:rsid w:val="0047762B"/>
    <w:rsid w:val="004778B8"/>
    <w:rsid w:val="004779AB"/>
    <w:rsid w:val="00477B96"/>
    <w:rsid w:val="00477C52"/>
    <w:rsid w:val="00477CA1"/>
    <w:rsid w:val="00477FA2"/>
    <w:rsid w:val="004801BA"/>
    <w:rsid w:val="0048028B"/>
    <w:rsid w:val="00480316"/>
    <w:rsid w:val="00480762"/>
    <w:rsid w:val="00480BAF"/>
    <w:rsid w:val="00480C8E"/>
    <w:rsid w:val="00481382"/>
    <w:rsid w:val="00481A19"/>
    <w:rsid w:val="00481BAB"/>
    <w:rsid w:val="00481C87"/>
    <w:rsid w:val="004828B4"/>
    <w:rsid w:val="004829E4"/>
    <w:rsid w:val="00482F94"/>
    <w:rsid w:val="00483314"/>
    <w:rsid w:val="004835ED"/>
    <w:rsid w:val="004836CB"/>
    <w:rsid w:val="004840B7"/>
    <w:rsid w:val="00484D3F"/>
    <w:rsid w:val="004851C3"/>
    <w:rsid w:val="00485352"/>
    <w:rsid w:val="00485B74"/>
    <w:rsid w:val="00486122"/>
    <w:rsid w:val="0048639E"/>
    <w:rsid w:val="004867DA"/>
    <w:rsid w:val="00486EA4"/>
    <w:rsid w:val="00486F65"/>
    <w:rsid w:val="00486FCB"/>
    <w:rsid w:val="004876C2"/>
    <w:rsid w:val="004878B6"/>
    <w:rsid w:val="00487B62"/>
    <w:rsid w:val="00487C76"/>
    <w:rsid w:val="00487E61"/>
    <w:rsid w:val="00487F1E"/>
    <w:rsid w:val="00490130"/>
    <w:rsid w:val="004902C0"/>
    <w:rsid w:val="00490831"/>
    <w:rsid w:val="00490C38"/>
    <w:rsid w:val="00491095"/>
    <w:rsid w:val="00491630"/>
    <w:rsid w:val="004918B1"/>
    <w:rsid w:val="00491B3B"/>
    <w:rsid w:val="00491C5E"/>
    <w:rsid w:val="0049269C"/>
    <w:rsid w:val="004928A8"/>
    <w:rsid w:val="00492B8D"/>
    <w:rsid w:val="00492C56"/>
    <w:rsid w:val="00492D23"/>
    <w:rsid w:val="00492F1A"/>
    <w:rsid w:val="0049304E"/>
    <w:rsid w:val="00493211"/>
    <w:rsid w:val="004932D9"/>
    <w:rsid w:val="00493782"/>
    <w:rsid w:val="004938E0"/>
    <w:rsid w:val="0049398D"/>
    <w:rsid w:val="004939A6"/>
    <w:rsid w:val="00493CF5"/>
    <w:rsid w:val="00493E2D"/>
    <w:rsid w:val="00494B2E"/>
    <w:rsid w:val="00494E4F"/>
    <w:rsid w:val="004952A2"/>
    <w:rsid w:val="00495415"/>
    <w:rsid w:val="00495804"/>
    <w:rsid w:val="0049590C"/>
    <w:rsid w:val="00495CBB"/>
    <w:rsid w:val="00495D9A"/>
    <w:rsid w:val="004963CB"/>
    <w:rsid w:val="004966E0"/>
    <w:rsid w:val="00496FD6"/>
    <w:rsid w:val="0049793F"/>
    <w:rsid w:val="004979FF"/>
    <w:rsid w:val="00497D1D"/>
    <w:rsid w:val="004A05C8"/>
    <w:rsid w:val="004A0697"/>
    <w:rsid w:val="004A0B83"/>
    <w:rsid w:val="004A0ECC"/>
    <w:rsid w:val="004A1163"/>
    <w:rsid w:val="004A1246"/>
    <w:rsid w:val="004A17FA"/>
    <w:rsid w:val="004A1932"/>
    <w:rsid w:val="004A1DAD"/>
    <w:rsid w:val="004A2005"/>
    <w:rsid w:val="004A215B"/>
    <w:rsid w:val="004A23E5"/>
    <w:rsid w:val="004A25D9"/>
    <w:rsid w:val="004A270B"/>
    <w:rsid w:val="004A29C7"/>
    <w:rsid w:val="004A2B71"/>
    <w:rsid w:val="004A2CD5"/>
    <w:rsid w:val="004A321F"/>
    <w:rsid w:val="004A3429"/>
    <w:rsid w:val="004A3644"/>
    <w:rsid w:val="004A38A5"/>
    <w:rsid w:val="004A38D6"/>
    <w:rsid w:val="004A3A41"/>
    <w:rsid w:val="004A3A47"/>
    <w:rsid w:val="004A3ABF"/>
    <w:rsid w:val="004A3CB7"/>
    <w:rsid w:val="004A3F18"/>
    <w:rsid w:val="004A3F2E"/>
    <w:rsid w:val="004A42CE"/>
    <w:rsid w:val="004A43DF"/>
    <w:rsid w:val="004A441D"/>
    <w:rsid w:val="004A44DF"/>
    <w:rsid w:val="004A45FD"/>
    <w:rsid w:val="004A471D"/>
    <w:rsid w:val="004A493E"/>
    <w:rsid w:val="004A4D06"/>
    <w:rsid w:val="004A4FC8"/>
    <w:rsid w:val="004A50BC"/>
    <w:rsid w:val="004A5232"/>
    <w:rsid w:val="004A55BE"/>
    <w:rsid w:val="004A657D"/>
    <w:rsid w:val="004A664D"/>
    <w:rsid w:val="004A6825"/>
    <w:rsid w:val="004A69DA"/>
    <w:rsid w:val="004A6D5C"/>
    <w:rsid w:val="004A723F"/>
    <w:rsid w:val="004A7296"/>
    <w:rsid w:val="004A72DD"/>
    <w:rsid w:val="004A74C3"/>
    <w:rsid w:val="004A76F0"/>
    <w:rsid w:val="004A76FD"/>
    <w:rsid w:val="004A7922"/>
    <w:rsid w:val="004B0033"/>
    <w:rsid w:val="004B04F1"/>
    <w:rsid w:val="004B0624"/>
    <w:rsid w:val="004B06D0"/>
    <w:rsid w:val="004B0A5F"/>
    <w:rsid w:val="004B0B6E"/>
    <w:rsid w:val="004B11AD"/>
    <w:rsid w:val="004B140D"/>
    <w:rsid w:val="004B15CE"/>
    <w:rsid w:val="004B1687"/>
    <w:rsid w:val="004B20E2"/>
    <w:rsid w:val="004B2575"/>
    <w:rsid w:val="004B2630"/>
    <w:rsid w:val="004B27E3"/>
    <w:rsid w:val="004B2918"/>
    <w:rsid w:val="004B29F6"/>
    <w:rsid w:val="004B34DD"/>
    <w:rsid w:val="004B358D"/>
    <w:rsid w:val="004B40A7"/>
    <w:rsid w:val="004B4249"/>
    <w:rsid w:val="004B4A60"/>
    <w:rsid w:val="004B4BC7"/>
    <w:rsid w:val="004B50E3"/>
    <w:rsid w:val="004B51A3"/>
    <w:rsid w:val="004B534E"/>
    <w:rsid w:val="004B5393"/>
    <w:rsid w:val="004B5551"/>
    <w:rsid w:val="004B59CB"/>
    <w:rsid w:val="004B625B"/>
    <w:rsid w:val="004B64D4"/>
    <w:rsid w:val="004B6901"/>
    <w:rsid w:val="004B6F05"/>
    <w:rsid w:val="004B702B"/>
    <w:rsid w:val="004B768B"/>
    <w:rsid w:val="004B774C"/>
    <w:rsid w:val="004B7AD9"/>
    <w:rsid w:val="004B7E64"/>
    <w:rsid w:val="004C0244"/>
    <w:rsid w:val="004C0712"/>
    <w:rsid w:val="004C0962"/>
    <w:rsid w:val="004C0EC9"/>
    <w:rsid w:val="004C0F0D"/>
    <w:rsid w:val="004C0FBF"/>
    <w:rsid w:val="004C142D"/>
    <w:rsid w:val="004C175A"/>
    <w:rsid w:val="004C1838"/>
    <w:rsid w:val="004C19D2"/>
    <w:rsid w:val="004C1AA7"/>
    <w:rsid w:val="004C1CE3"/>
    <w:rsid w:val="004C2AD4"/>
    <w:rsid w:val="004C2B40"/>
    <w:rsid w:val="004C2C19"/>
    <w:rsid w:val="004C2C95"/>
    <w:rsid w:val="004C2CAC"/>
    <w:rsid w:val="004C3539"/>
    <w:rsid w:val="004C381C"/>
    <w:rsid w:val="004C3F0D"/>
    <w:rsid w:val="004C3FD7"/>
    <w:rsid w:val="004C4648"/>
    <w:rsid w:val="004C48E5"/>
    <w:rsid w:val="004C4971"/>
    <w:rsid w:val="004C50C0"/>
    <w:rsid w:val="004C55E8"/>
    <w:rsid w:val="004C5AA1"/>
    <w:rsid w:val="004C5BBD"/>
    <w:rsid w:val="004C5D10"/>
    <w:rsid w:val="004C600D"/>
    <w:rsid w:val="004C6374"/>
    <w:rsid w:val="004C64D0"/>
    <w:rsid w:val="004C6641"/>
    <w:rsid w:val="004C683A"/>
    <w:rsid w:val="004C6B4F"/>
    <w:rsid w:val="004C6D63"/>
    <w:rsid w:val="004C6DF5"/>
    <w:rsid w:val="004C7754"/>
    <w:rsid w:val="004C784B"/>
    <w:rsid w:val="004C79D9"/>
    <w:rsid w:val="004D059B"/>
    <w:rsid w:val="004D0705"/>
    <w:rsid w:val="004D0EBA"/>
    <w:rsid w:val="004D14E1"/>
    <w:rsid w:val="004D199D"/>
    <w:rsid w:val="004D1E35"/>
    <w:rsid w:val="004D21E5"/>
    <w:rsid w:val="004D2237"/>
    <w:rsid w:val="004D259F"/>
    <w:rsid w:val="004D25E2"/>
    <w:rsid w:val="004D26A0"/>
    <w:rsid w:val="004D2844"/>
    <w:rsid w:val="004D3A17"/>
    <w:rsid w:val="004D3E36"/>
    <w:rsid w:val="004D4588"/>
    <w:rsid w:val="004D4AC2"/>
    <w:rsid w:val="004D4B5B"/>
    <w:rsid w:val="004D4CAE"/>
    <w:rsid w:val="004D5038"/>
    <w:rsid w:val="004D50DC"/>
    <w:rsid w:val="004D51D4"/>
    <w:rsid w:val="004D5251"/>
    <w:rsid w:val="004D53F8"/>
    <w:rsid w:val="004D5D9E"/>
    <w:rsid w:val="004D5EBD"/>
    <w:rsid w:val="004D6314"/>
    <w:rsid w:val="004D68BE"/>
    <w:rsid w:val="004D68ED"/>
    <w:rsid w:val="004D6A67"/>
    <w:rsid w:val="004D6D7B"/>
    <w:rsid w:val="004D7312"/>
    <w:rsid w:val="004D7420"/>
    <w:rsid w:val="004D7576"/>
    <w:rsid w:val="004E00E6"/>
    <w:rsid w:val="004E01C0"/>
    <w:rsid w:val="004E0242"/>
    <w:rsid w:val="004E054D"/>
    <w:rsid w:val="004E0569"/>
    <w:rsid w:val="004E06B0"/>
    <w:rsid w:val="004E07DA"/>
    <w:rsid w:val="004E08E7"/>
    <w:rsid w:val="004E0A8F"/>
    <w:rsid w:val="004E111B"/>
    <w:rsid w:val="004E1454"/>
    <w:rsid w:val="004E1E3E"/>
    <w:rsid w:val="004E1EA8"/>
    <w:rsid w:val="004E2459"/>
    <w:rsid w:val="004E26C8"/>
    <w:rsid w:val="004E2822"/>
    <w:rsid w:val="004E2921"/>
    <w:rsid w:val="004E2BC5"/>
    <w:rsid w:val="004E2FD4"/>
    <w:rsid w:val="004E305F"/>
    <w:rsid w:val="004E368E"/>
    <w:rsid w:val="004E3834"/>
    <w:rsid w:val="004E3C85"/>
    <w:rsid w:val="004E3FB6"/>
    <w:rsid w:val="004E41AF"/>
    <w:rsid w:val="004E4277"/>
    <w:rsid w:val="004E46EE"/>
    <w:rsid w:val="004E49BD"/>
    <w:rsid w:val="004E4E85"/>
    <w:rsid w:val="004E4F95"/>
    <w:rsid w:val="004E53FC"/>
    <w:rsid w:val="004E578F"/>
    <w:rsid w:val="004E5CB9"/>
    <w:rsid w:val="004E5CF5"/>
    <w:rsid w:val="004E63EE"/>
    <w:rsid w:val="004E650B"/>
    <w:rsid w:val="004E6510"/>
    <w:rsid w:val="004E6593"/>
    <w:rsid w:val="004E6BC9"/>
    <w:rsid w:val="004E6CBA"/>
    <w:rsid w:val="004E73E8"/>
    <w:rsid w:val="004E7540"/>
    <w:rsid w:val="004E7FC0"/>
    <w:rsid w:val="004F0148"/>
    <w:rsid w:val="004F04C9"/>
    <w:rsid w:val="004F0564"/>
    <w:rsid w:val="004F056A"/>
    <w:rsid w:val="004F0571"/>
    <w:rsid w:val="004F05B8"/>
    <w:rsid w:val="004F06B9"/>
    <w:rsid w:val="004F083D"/>
    <w:rsid w:val="004F0C3F"/>
    <w:rsid w:val="004F0DF9"/>
    <w:rsid w:val="004F1A7E"/>
    <w:rsid w:val="004F2715"/>
    <w:rsid w:val="004F28AA"/>
    <w:rsid w:val="004F2A1D"/>
    <w:rsid w:val="004F2BB1"/>
    <w:rsid w:val="004F2F35"/>
    <w:rsid w:val="004F304A"/>
    <w:rsid w:val="004F30BF"/>
    <w:rsid w:val="004F34AC"/>
    <w:rsid w:val="004F37EE"/>
    <w:rsid w:val="004F3BE6"/>
    <w:rsid w:val="004F3BF4"/>
    <w:rsid w:val="004F3D20"/>
    <w:rsid w:val="004F3FD2"/>
    <w:rsid w:val="004F40AD"/>
    <w:rsid w:val="004F41C8"/>
    <w:rsid w:val="004F4978"/>
    <w:rsid w:val="004F4F47"/>
    <w:rsid w:val="004F56ED"/>
    <w:rsid w:val="004F588D"/>
    <w:rsid w:val="004F59FF"/>
    <w:rsid w:val="004F5C58"/>
    <w:rsid w:val="004F5D56"/>
    <w:rsid w:val="004F5F23"/>
    <w:rsid w:val="004F5FA0"/>
    <w:rsid w:val="004F6045"/>
    <w:rsid w:val="004F6147"/>
    <w:rsid w:val="004F614F"/>
    <w:rsid w:val="004F6677"/>
    <w:rsid w:val="004F6782"/>
    <w:rsid w:val="004F69FE"/>
    <w:rsid w:val="004F6ED6"/>
    <w:rsid w:val="004F6EE4"/>
    <w:rsid w:val="004F752A"/>
    <w:rsid w:val="004F781C"/>
    <w:rsid w:val="004F7918"/>
    <w:rsid w:val="004F7F31"/>
    <w:rsid w:val="0050098F"/>
    <w:rsid w:val="00500CC6"/>
    <w:rsid w:val="005017AF"/>
    <w:rsid w:val="00501A5D"/>
    <w:rsid w:val="00501C1C"/>
    <w:rsid w:val="00502190"/>
    <w:rsid w:val="005022AE"/>
    <w:rsid w:val="005034E2"/>
    <w:rsid w:val="00503738"/>
    <w:rsid w:val="00503797"/>
    <w:rsid w:val="005038CB"/>
    <w:rsid w:val="0050398F"/>
    <w:rsid w:val="005039EE"/>
    <w:rsid w:val="00503F6D"/>
    <w:rsid w:val="00504CF2"/>
    <w:rsid w:val="005051C5"/>
    <w:rsid w:val="00505714"/>
    <w:rsid w:val="005057FE"/>
    <w:rsid w:val="00505827"/>
    <w:rsid w:val="00505B35"/>
    <w:rsid w:val="0050634D"/>
    <w:rsid w:val="00506441"/>
    <w:rsid w:val="005067EB"/>
    <w:rsid w:val="00506A1E"/>
    <w:rsid w:val="00506B64"/>
    <w:rsid w:val="00506C00"/>
    <w:rsid w:val="00506E42"/>
    <w:rsid w:val="00507749"/>
    <w:rsid w:val="00507A41"/>
    <w:rsid w:val="00510162"/>
    <w:rsid w:val="005106A0"/>
    <w:rsid w:val="00510A77"/>
    <w:rsid w:val="00510B78"/>
    <w:rsid w:val="00510FFA"/>
    <w:rsid w:val="005111E1"/>
    <w:rsid w:val="00511586"/>
    <w:rsid w:val="0051180D"/>
    <w:rsid w:val="0051227C"/>
    <w:rsid w:val="0051254F"/>
    <w:rsid w:val="005125B3"/>
    <w:rsid w:val="005125B6"/>
    <w:rsid w:val="005129F7"/>
    <w:rsid w:val="00512AF0"/>
    <w:rsid w:val="00512E59"/>
    <w:rsid w:val="005130A1"/>
    <w:rsid w:val="005133C9"/>
    <w:rsid w:val="0051367A"/>
    <w:rsid w:val="005137A4"/>
    <w:rsid w:val="00513E25"/>
    <w:rsid w:val="0051430B"/>
    <w:rsid w:val="005144B5"/>
    <w:rsid w:val="00514710"/>
    <w:rsid w:val="00514CF7"/>
    <w:rsid w:val="00514E75"/>
    <w:rsid w:val="0051524A"/>
    <w:rsid w:val="0051535D"/>
    <w:rsid w:val="005158FB"/>
    <w:rsid w:val="00515A03"/>
    <w:rsid w:val="0051601C"/>
    <w:rsid w:val="005162F1"/>
    <w:rsid w:val="005162FB"/>
    <w:rsid w:val="00516603"/>
    <w:rsid w:val="0051788F"/>
    <w:rsid w:val="00517E75"/>
    <w:rsid w:val="0052095A"/>
    <w:rsid w:val="00520E0A"/>
    <w:rsid w:val="0052125B"/>
    <w:rsid w:val="00521565"/>
    <w:rsid w:val="00521745"/>
    <w:rsid w:val="005219BF"/>
    <w:rsid w:val="005221B4"/>
    <w:rsid w:val="005224A4"/>
    <w:rsid w:val="00522B66"/>
    <w:rsid w:val="00523055"/>
    <w:rsid w:val="005232C3"/>
    <w:rsid w:val="005234BC"/>
    <w:rsid w:val="00523D53"/>
    <w:rsid w:val="00523D66"/>
    <w:rsid w:val="00523F12"/>
    <w:rsid w:val="00523FCF"/>
    <w:rsid w:val="0052446A"/>
    <w:rsid w:val="00524490"/>
    <w:rsid w:val="005244CA"/>
    <w:rsid w:val="005248DC"/>
    <w:rsid w:val="005249CF"/>
    <w:rsid w:val="00524A48"/>
    <w:rsid w:val="00524ACF"/>
    <w:rsid w:val="005251FB"/>
    <w:rsid w:val="00525285"/>
    <w:rsid w:val="0052543F"/>
    <w:rsid w:val="0052553B"/>
    <w:rsid w:val="00525A58"/>
    <w:rsid w:val="00525A6A"/>
    <w:rsid w:val="00525BBB"/>
    <w:rsid w:val="00525DF6"/>
    <w:rsid w:val="00526118"/>
    <w:rsid w:val="005263EB"/>
    <w:rsid w:val="00526534"/>
    <w:rsid w:val="005267CF"/>
    <w:rsid w:val="0052699C"/>
    <w:rsid w:val="00526AE6"/>
    <w:rsid w:val="00526CF2"/>
    <w:rsid w:val="0052700A"/>
    <w:rsid w:val="005272A2"/>
    <w:rsid w:val="005275E5"/>
    <w:rsid w:val="00527868"/>
    <w:rsid w:val="00527A5E"/>
    <w:rsid w:val="00527B27"/>
    <w:rsid w:val="00527BA9"/>
    <w:rsid w:val="00530166"/>
    <w:rsid w:val="00530771"/>
    <w:rsid w:val="00530783"/>
    <w:rsid w:val="00530833"/>
    <w:rsid w:val="00530DE9"/>
    <w:rsid w:val="00530EBF"/>
    <w:rsid w:val="00531469"/>
    <w:rsid w:val="005314FB"/>
    <w:rsid w:val="0053199B"/>
    <w:rsid w:val="00531B9E"/>
    <w:rsid w:val="005320EA"/>
    <w:rsid w:val="00532EED"/>
    <w:rsid w:val="00533561"/>
    <w:rsid w:val="00533C9D"/>
    <w:rsid w:val="005348CE"/>
    <w:rsid w:val="00534A7B"/>
    <w:rsid w:val="00534FA1"/>
    <w:rsid w:val="0053567B"/>
    <w:rsid w:val="005356D8"/>
    <w:rsid w:val="0053578C"/>
    <w:rsid w:val="00535955"/>
    <w:rsid w:val="00535DC9"/>
    <w:rsid w:val="0053625D"/>
    <w:rsid w:val="00536816"/>
    <w:rsid w:val="00536F59"/>
    <w:rsid w:val="00537507"/>
    <w:rsid w:val="00537A32"/>
    <w:rsid w:val="00537F17"/>
    <w:rsid w:val="00540376"/>
    <w:rsid w:val="0054077E"/>
    <w:rsid w:val="00540889"/>
    <w:rsid w:val="00540997"/>
    <w:rsid w:val="005412F3"/>
    <w:rsid w:val="00541413"/>
    <w:rsid w:val="005414EF"/>
    <w:rsid w:val="005420CD"/>
    <w:rsid w:val="00542366"/>
    <w:rsid w:val="005424AA"/>
    <w:rsid w:val="005425AD"/>
    <w:rsid w:val="00542A02"/>
    <w:rsid w:val="005431F0"/>
    <w:rsid w:val="005431FC"/>
    <w:rsid w:val="00543B50"/>
    <w:rsid w:val="00543E78"/>
    <w:rsid w:val="00544329"/>
    <w:rsid w:val="00544453"/>
    <w:rsid w:val="005446AA"/>
    <w:rsid w:val="0054481C"/>
    <w:rsid w:val="005448CD"/>
    <w:rsid w:val="00545158"/>
    <w:rsid w:val="00545440"/>
    <w:rsid w:val="005454E8"/>
    <w:rsid w:val="00545C69"/>
    <w:rsid w:val="00546132"/>
    <w:rsid w:val="00546319"/>
    <w:rsid w:val="00546C4D"/>
    <w:rsid w:val="00546E90"/>
    <w:rsid w:val="00546FEB"/>
    <w:rsid w:val="0054766B"/>
    <w:rsid w:val="00547E0F"/>
    <w:rsid w:val="005501CE"/>
    <w:rsid w:val="00550242"/>
    <w:rsid w:val="00550733"/>
    <w:rsid w:val="00550AA6"/>
    <w:rsid w:val="00550BAA"/>
    <w:rsid w:val="00550D0E"/>
    <w:rsid w:val="005516BD"/>
    <w:rsid w:val="0055172A"/>
    <w:rsid w:val="00551A54"/>
    <w:rsid w:val="005520B1"/>
    <w:rsid w:val="00552731"/>
    <w:rsid w:val="0055280C"/>
    <w:rsid w:val="00552833"/>
    <w:rsid w:val="00552941"/>
    <w:rsid w:val="005529BB"/>
    <w:rsid w:val="00552F06"/>
    <w:rsid w:val="005530E3"/>
    <w:rsid w:val="00553198"/>
    <w:rsid w:val="00553457"/>
    <w:rsid w:val="0055347B"/>
    <w:rsid w:val="00553797"/>
    <w:rsid w:val="005539BE"/>
    <w:rsid w:val="005539EC"/>
    <w:rsid w:val="00553A0B"/>
    <w:rsid w:val="00553FFB"/>
    <w:rsid w:val="0055421A"/>
    <w:rsid w:val="005542EE"/>
    <w:rsid w:val="00554329"/>
    <w:rsid w:val="00554607"/>
    <w:rsid w:val="00554627"/>
    <w:rsid w:val="0055475C"/>
    <w:rsid w:val="005547FF"/>
    <w:rsid w:val="00554D86"/>
    <w:rsid w:val="00554E74"/>
    <w:rsid w:val="00554F04"/>
    <w:rsid w:val="00554F9C"/>
    <w:rsid w:val="00555E12"/>
    <w:rsid w:val="00556136"/>
    <w:rsid w:val="005563C9"/>
    <w:rsid w:val="005566AA"/>
    <w:rsid w:val="00556B93"/>
    <w:rsid w:val="00556D00"/>
    <w:rsid w:val="0055711B"/>
    <w:rsid w:val="0055738E"/>
    <w:rsid w:val="005574F9"/>
    <w:rsid w:val="0055758F"/>
    <w:rsid w:val="0055770D"/>
    <w:rsid w:val="00557DAC"/>
    <w:rsid w:val="00560031"/>
    <w:rsid w:val="00560194"/>
    <w:rsid w:val="005602C8"/>
    <w:rsid w:val="005602EA"/>
    <w:rsid w:val="00560404"/>
    <w:rsid w:val="00560469"/>
    <w:rsid w:val="00560624"/>
    <w:rsid w:val="00560748"/>
    <w:rsid w:val="00560881"/>
    <w:rsid w:val="00560978"/>
    <w:rsid w:val="00560A37"/>
    <w:rsid w:val="00560B65"/>
    <w:rsid w:val="00560C38"/>
    <w:rsid w:val="00560D2B"/>
    <w:rsid w:val="00560DE2"/>
    <w:rsid w:val="00560FAC"/>
    <w:rsid w:val="005611B9"/>
    <w:rsid w:val="005612D4"/>
    <w:rsid w:val="005613A3"/>
    <w:rsid w:val="005613A7"/>
    <w:rsid w:val="00561710"/>
    <w:rsid w:val="00561975"/>
    <w:rsid w:val="005619B7"/>
    <w:rsid w:val="00561AEE"/>
    <w:rsid w:val="00561C1C"/>
    <w:rsid w:val="00561CCE"/>
    <w:rsid w:val="00561D3C"/>
    <w:rsid w:val="00562A5F"/>
    <w:rsid w:val="00562BE5"/>
    <w:rsid w:val="00562D7E"/>
    <w:rsid w:val="00562E3D"/>
    <w:rsid w:val="005634BA"/>
    <w:rsid w:val="005639B1"/>
    <w:rsid w:val="00563ADB"/>
    <w:rsid w:val="00563EC3"/>
    <w:rsid w:val="00563F75"/>
    <w:rsid w:val="005640EB"/>
    <w:rsid w:val="00564600"/>
    <w:rsid w:val="0056495D"/>
    <w:rsid w:val="00564DA3"/>
    <w:rsid w:val="00564EB4"/>
    <w:rsid w:val="005651DE"/>
    <w:rsid w:val="00565514"/>
    <w:rsid w:val="0056557A"/>
    <w:rsid w:val="00565A48"/>
    <w:rsid w:val="00565FCB"/>
    <w:rsid w:val="00566076"/>
    <w:rsid w:val="00566282"/>
    <w:rsid w:val="00566571"/>
    <w:rsid w:val="005666B9"/>
    <w:rsid w:val="00566766"/>
    <w:rsid w:val="00566845"/>
    <w:rsid w:val="00566A6C"/>
    <w:rsid w:val="00566F82"/>
    <w:rsid w:val="00567218"/>
    <w:rsid w:val="00567646"/>
    <w:rsid w:val="00567851"/>
    <w:rsid w:val="00567B69"/>
    <w:rsid w:val="00570072"/>
    <w:rsid w:val="0057013D"/>
    <w:rsid w:val="0057031E"/>
    <w:rsid w:val="00570584"/>
    <w:rsid w:val="005705C8"/>
    <w:rsid w:val="0057094E"/>
    <w:rsid w:val="00570A00"/>
    <w:rsid w:val="00570E16"/>
    <w:rsid w:val="005712D6"/>
    <w:rsid w:val="00571812"/>
    <w:rsid w:val="00571DCD"/>
    <w:rsid w:val="0057218C"/>
    <w:rsid w:val="005723F9"/>
    <w:rsid w:val="00572C81"/>
    <w:rsid w:val="00572E70"/>
    <w:rsid w:val="00572EB6"/>
    <w:rsid w:val="00573348"/>
    <w:rsid w:val="00573369"/>
    <w:rsid w:val="0057337D"/>
    <w:rsid w:val="0057354E"/>
    <w:rsid w:val="005737C9"/>
    <w:rsid w:val="00573C20"/>
    <w:rsid w:val="00574098"/>
    <w:rsid w:val="0057418A"/>
    <w:rsid w:val="005747F1"/>
    <w:rsid w:val="00574923"/>
    <w:rsid w:val="005749F3"/>
    <w:rsid w:val="00574D59"/>
    <w:rsid w:val="0057512E"/>
    <w:rsid w:val="00575146"/>
    <w:rsid w:val="0057535A"/>
    <w:rsid w:val="00575641"/>
    <w:rsid w:val="00575BF7"/>
    <w:rsid w:val="00575C24"/>
    <w:rsid w:val="00576226"/>
    <w:rsid w:val="005762EA"/>
    <w:rsid w:val="005767AE"/>
    <w:rsid w:val="00576933"/>
    <w:rsid w:val="005773EC"/>
    <w:rsid w:val="00577AD2"/>
    <w:rsid w:val="00580390"/>
    <w:rsid w:val="00580491"/>
    <w:rsid w:val="00580C3F"/>
    <w:rsid w:val="00580D79"/>
    <w:rsid w:val="00580F52"/>
    <w:rsid w:val="0058137E"/>
    <w:rsid w:val="00581624"/>
    <w:rsid w:val="005816EE"/>
    <w:rsid w:val="005817B2"/>
    <w:rsid w:val="005819CB"/>
    <w:rsid w:val="005819F7"/>
    <w:rsid w:val="00581A20"/>
    <w:rsid w:val="00581BC4"/>
    <w:rsid w:val="00581C35"/>
    <w:rsid w:val="00581C62"/>
    <w:rsid w:val="0058204A"/>
    <w:rsid w:val="005820CE"/>
    <w:rsid w:val="005820EC"/>
    <w:rsid w:val="0058220C"/>
    <w:rsid w:val="00582265"/>
    <w:rsid w:val="005823A5"/>
    <w:rsid w:val="005824C6"/>
    <w:rsid w:val="00582629"/>
    <w:rsid w:val="00582674"/>
    <w:rsid w:val="0058267C"/>
    <w:rsid w:val="005826EE"/>
    <w:rsid w:val="0058271E"/>
    <w:rsid w:val="0058283F"/>
    <w:rsid w:val="00582ECE"/>
    <w:rsid w:val="00583198"/>
    <w:rsid w:val="005831BF"/>
    <w:rsid w:val="005834BC"/>
    <w:rsid w:val="00583930"/>
    <w:rsid w:val="00583BFE"/>
    <w:rsid w:val="00583D8A"/>
    <w:rsid w:val="00583DBE"/>
    <w:rsid w:val="005840EB"/>
    <w:rsid w:val="005840EF"/>
    <w:rsid w:val="005843BE"/>
    <w:rsid w:val="005845A3"/>
    <w:rsid w:val="005848F8"/>
    <w:rsid w:val="00584E2F"/>
    <w:rsid w:val="005850F8"/>
    <w:rsid w:val="00585151"/>
    <w:rsid w:val="0058523B"/>
    <w:rsid w:val="0058525B"/>
    <w:rsid w:val="00585AAE"/>
    <w:rsid w:val="00585C03"/>
    <w:rsid w:val="00585F1C"/>
    <w:rsid w:val="005863B2"/>
    <w:rsid w:val="005863F7"/>
    <w:rsid w:val="00586637"/>
    <w:rsid w:val="005868AB"/>
    <w:rsid w:val="005868C2"/>
    <w:rsid w:val="00587229"/>
    <w:rsid w:val="00587C46"/>
    <w:rsid w:val="00587F56"/>
    <w:rsid w:val="00587FD9"/>
    <w:rsid w:val="0059001E"/>
    <w:rsid w:val="005900B9"/>
    <w:rsid w:val="005902C9"/>
    <w:rsid w:val="005908B9"/>
    <w:rsid w:val="00591265"/>
    <w:rsid w:val="00591282"/>
    <w:rsid w:val="00591283"/>
    <w:rsid w:val="005915A4"/>
    <w:rsid w:val="005924D3"/>
    <w:rsid w:val="005924F1"/>
    <w:rsid w:val="005925E3"/>
    <w:rsid w:val="00592CF0"/>
    <w:rsid w:val="0059304D"/>
    <w:rsid w:val="00593058"/>
    <w:rsid w:val="005933AE"/>
    <w:rsid w:val="005934A8"/>
    <w:rsid w:val="0059382B"/>
    <w:rsid w:val="00593CBE"/>
    <w:rsid w:val="00593F5D"/>
    <w:rsid w:val="0059404E"/>
    <w:rsid w:val="0059406A"/>
    <w:rsid w:val="005944F1"/>
    <w:rsid w:val="005946CA"/>
    <w:rsid w:val="005948E1"/>
    <w:rsid w:val="005948F3"/>
    <w:rsid w:val="00594B14"/>
    <w:rsid w:val="00594CD9"/>
    <w:rsid w:val="00595156"/>
    <w:rsid w:val="005962ED"/>
    <w:rsid w:val="005965C9"/>
    <w:rsid w:val="005966C9"/>
    <w:rsid w:val="00596790"/>
    <w:rsid w:val="005967C0"/>
    <w:rsid w:val="00596832"/>
    <w:rsid w:val="00596CCB"/>
    <w:rsid w:val="00596DB6"/>
    <w:rsid w:val="005970CD"/>
    <w:rsid w:val="00597459"/>
    <w:rsid w:val="00597753"/>
    <w:rsid w:val="005979C3"/>
    <w:rsid w:val="00597D8A"/>
    <w:rsid w:val="00597E6F"/>
    <w:rsid w:val="00597F9D"/>
    <w:rsid w:val="005A0203"/>
    <w:rsid w:val="005A03BD"/>
    <w:rsid w:val="005A052F"/>
    <w:rsid w:val="005A05DF"/>
    <w:rsid w:val="005A0C7F"/>
    <w:rsid w:val="005A0ECA"/>
    <w:rsid w:val="005A0EFC"/>
    <w:rsid w:val="005A1018"/>
    <w:rsid w:val="005A1099"/>
    <w:rsid w:val="005A10AE"/>
    <w:rsid w:val="005A12EF"/>
    <w:rsid w:val="005A1396"/>
    <w:rsid w:val="005A13B0"/>
    <w:rsid w:val="005A1586"/>
    <w:rsid w:val="005A15BB"/>
    <w:rsid w:val="005A15D8"/>
    <w:rsid w:val="005A1980"/>
    <w:rsid w:val="005A1A26"/>
    <w:rsid w:val="005A1BC8"/>
    <w:rsid w:val="005A1C64"/>
    <w:rsid w:val="005A1CFF"/>
    <w:rsid w:val="005A1D75"/>
    <w:rsid w:val="005A1F74"/>
    <w:rsid w:val="005A207E"/>
    <w:rsid w:val="005A2293"/>
    <w:rsid w:val="005A2593"/>
    <w:rsid w:val="005A2FFB"/>
    <w:rsid w:val="005A3196"/>
    <w:rsid w:val="005A339E"/>
    <w:rsid w:val="005A35CE"/>
    <w:rsid w:val="005A3858"/>
    <w:rsid w:val="005A3993"/>
    <w:rsid w:val="005A3CF7"/>
    <w:rsid w:val="005A3E4B"/>
    <w:rsid w:val="005A3F81"/>
    <w:rsid w:val="005A408B"/>
    <w:rsid w:val="005A4142"/>
    <w:rsid w:val="005A414B"/>
    <w:rsid w:val="005A48B4"/>
    <w:rsid w:val="005A48BD"/>
    <w:rsid w:val="005A581C"/>
    <w:rsid w:val="005A5872"/>
    <w:rsid w:val="005A5A88"/>
    <w:rsid w:val="005A6A8A"/>
    <w:rsid w:val="005A6E32"/>
    <w:rsid w:val="005A6F80"/>
    <w:rsid w:val="005A7215"/>
    <w:rsid w:val="005A726F"/>
    <w:rsid w:val="005A7550"/>
    <w:rsid w:val="005A782E"/>
    <w:rsid w:val="005A793B"/>
    <w:rsid w:val="005A79AE"/>
    <w:rsid w:val="005A7A5C"/>
    <w:rsid w:val="005A7EBC"/>
    <w:rsid w:val="005B00B5"/>
    <w:rsid w:val="005B0168"/>
    <w:rsid w:val="005B01B7"/>
    <w:rsid w:val="005B05E7"/>
    <w:rsid w:val="005B0774"/>
    <w:rsid w:val="005B080D"/>
    <w:rsid w:val="005B0A29"/>
    <w:rsid w:val="005B0E02"/>
    <w:rsid w:val="005B1595"/>
    <w:rsid w:val="005B1731"/>
    <w:rsid w:val="005B1878"/>
    <w:rsid w:val="005B18B2"/>
    <w:rsid w:val="005B1965"/>
    <w:rsid w:val="005B1CF5"/>
    <w:rsid w:val="005B203F"/>
    <w:rsid w:val="005B2054"/>
    <w:rsid w:val="005B247D"/>
    <w:rsid w:val="005B2561"/>
    <w:rsid w:val="005B25AA"/>
    <w:rsid w:val="005B2607"/>
    <w:rsid w:val="005B26FD"/>
    <w:rsid w:val="005B2BC5"/>
    <w:rsid w:val="005B2E63"/>
    <w:rsid w:val="005B3176"/>
    <w:rsid w:val="005B39D8"/>
    <w:rsid w:val="005B3EF1"/>
    <w:rsid w:val="005B3F34"/>
    <w:rsid w:val="005B429E"/>
    <w:rsid w:val="005B42A7"/>
    <w:rsid w:val="005B44D0"/>
    <w:rsid w:val="005B4CD8"/>
    <w:rsid w:val="005B55D6"/>
    <w:rsid w:val="005B5B11"/>
    <w:rsid w:val="005B5C27"/>
    <w:rsid w:val="005B5C4A"/>
    <w:rsid w:val="005B5EDF"/>
    <w:rsid w:val="005B5FC3"/>
    <w:rsid w:val="005B60BD"/>
    <w:rsid w:val="005B61BF"/>
    <w:rsid w:val="005B668D"/>
    <w:rsid w:val="005B6717"/>
    <w:rsid w:val="005B67FE"/>
    <w:rsid w:val="005B6837"/>
    <w:rsid w:val="005B6913"/>
    <w:rsid w:val="005B6AD3"/>
    <w:rsid w:val="005B705F"/>
    <w:rsid w:val="005B72EF"/>
    <w:rsid w:val="005B799E"/>
    <w:rsid w:val="005B7A53"/>
    <w:rsid w:val="005B7C8C"/>
    <w:rsid w:val="005C0178"/>
    <w:rsid w:val="005C02BC"/>
    <w:rsid w:val="005C0423"/>
    <w:rsid w:val="005C0607"/>
    <w:rsid w:val="005C0873"/>
    <w:rsid w:val="005C0A76"/>
    <w:rsid w:val="005C0F3A"/>
    <w:rsid w:val="005C0F51"/>
    <w:rsid w:val="005C0FA9"/>
    <w:rsid w:val="005C0FE5"/>
    <w:rsid w:val="005C11E6"/>
    <w:rsid w:val="005C147A"/>
    <w:rsid w:val="005C1490"/>
    <w:rsid w:val="005C19D6"/>
    <w:rsid w:val="005C1F3B"/>
    <w:rsid w:val="005C208C"/>
    <w:rsid w:val="005C20F7"/>
    <w:rsid w:val="005C2469"/>
    <w:rsid w:val="005C28E4"/>
    <w:rsid w:val="005C2A7E"/>
    <w:rsid w:val="005C2E67"/>
    <w:rsid w:val="005C35ED"/>
    <w:rsid w:val="005C35FA"/>
    <w:rsid w:val="005C37F2"/>
    <w:rsid w:val="005C414B"/>
    <w:rsid w:val="005C42EA"/>
    <w:rsid w:val="005C4457"/>
    <w:rsid w:val="005C4616"/>
    <w:rsid w:val="005C4AD1"/>
    <w:rsid w:val="005C4AF0"/>
    <w:rsid w:val="005C4D24"/>
    <w:rsid w:val="005C4DD7"/>
    <w:rsid w:val="005C5284"/>
    <w:rsid w:val="005C539A"/>
    <w:rsid w:val="005C5693"/>
    <w:rsid w:val="005C59A0"/>
    <w:rsid w:val="005C5A2A"/>
    <w:rsid w:val="005C5BA0"/>
    <w:rsid w:val="005C5C9E"/>
    <w:rsid w:val="005C5D0A"/>
    <w:rsid w:val="005C60B1"/>
    <w:rsid w:val="005C6C12"/>
    <w:rsid w:val="005C6F04"/>
    <w:rsid w:val="005C74F8"/>
    <w:rsid w:val="005C75B9"/>
    <w:rsid w:val="005C778A"/>
    <w:rsid w:val="005C794A"/>
    <w:rsid w:val="005C7B1F"/>
    <w:rsid w:val="005C7E97"/>
    <w:rsid w:val="005D065D"/>
    <w:rsid w:val="005D070B"/>
    <w:rsid w:val="005D0C8D"/>
    <w:rsid w:val="005D12BF"/>
    <w:rsid w:val="005D14B2"/>
    <w:rsid w:val="005D14E9"/>
    <w:rsid w:val="005D19D4"/>
    <w:rsid w:val="005D1A3C"/>
    <w:rsid w:val="005D1B75"/>
    <w:rsid w:val="005D1B9B"/>
    <w:rsid w:val="005D1C71"/>
    <w:rsid w:val="005D1E86"/>
    <w:rsid w:val="005D21A6"/>
    <w:rsid w:val="005D29D5"/>
    <w:rsid w:val="005D29F6"/>
    <w:rsid w:val="005D383D"/>
    <w:rsid w:val="005D3947"/>
    <w:rsid w:val="005D3D18"/>
    <w:rsid w:val="005D3E4A"/>
    <w:rsid w:val="005D3E97"/>
    <w:rsid w:val="005D3F76"/>
    <w:rsid w:val="005D4095"/>
    <w:rsid w:val="005D4641"/>
    <w:rsid w:val="005D4750"/>
    <w:rsid w:val="005D49A2"/>
    <w:rsid w:val="005D49FF"/>
    <w:rsid w:val="005D4ACD"/>
    <w:rsid w:val="005D4C36"/>
    <w:rsid w:val="005D4D0A"/>
    <w:rsid w:val="005D4E41"/>
    <w:rsid w:val="005D526E"/>
    <w:rsid w:val="005D5625"/>
    <w:rsid w:val="005D5672"/>
    <w:rsid w:val="005D5695"/>
    <w:rsid w:val="005D5A82"/>
    <w:rsid w:val="005D5D34"/>
    <w:rsid w:val="005D6151"/>
    <w:rsid w:val="005D6156"/>
    <w:rsid w:val="005D6309"/>
    <w:rsid w:val="005D635A"/>
    <w:rsid w:val="005D63D6"/>
    <w:rsid w:val="005D64BF"/>
    <w:rsid w:val="005D6BF4"/>
    <w:rsid w:val="005D6CA0"/>
    <w:rsid w:val="005D72C3"/>
    <w:rsid w:val="005D7ED3"/>
    <w:rsid w:val="005D7FFC"/>
    <w:rsid w:val="005E06C9"/>
    <w:rsid w:val="005E0862"/>
    <w:rsid w:val="005E08CF"/>
    <w:rsid w:val="005E0E57"/>
    <w:rsid w:val="005E129D"/>
    <w:rsid w:val="005E1375"/>
    <w:rsid w:val="005E147F"/>
    <w:rsid w:val="005E14D8"/>
    <w:rsid w:val="005E178A"/>
    <w:rsid w:val="005E19FF"/>
    <w:rsid w:val="005E1CEB"/>
    <w:rsid w:val="005E2576"/>
    <w:rsid w:val="005E27F6"/>
    <w:rsid w:val="005E2A30"/>
    <w:rsid w:val="005E2BDE"/>
    <w:rsid w:val="005E2FF1"/>
    <w:rsid w:val="005E312D"/>
    <w:rsid w:val="005E3850"/>
    <w:rsid w:val="005E3B4D"/>
    <w:rsid w:val="005E3B5B"/>
    <w:rsid w:val="005E3C1A"/>
    <w:rsid w:val="005E3DEF"/>
    <w:rsid w:val="005E41A6"/>
    <w:rsid w:val="005E4266"/>
    <w:rsid w:val="005E427F"/>
    <w:rsid w:val="005E4E97"/>
    <w:rsid w:val="005E54F0"/>
    <w:rsid w:val="005E57F7"/>
    <w:rsid w:val="005E5C65"/>
    <w:rsid w:val="005E5DFA"/>
    <w:rsid w:val="005E609A"/>
    <w:rsid w:val="005E682E"/>
    <w:rsid w:val="005E68F3"/>
    <w:rsid w:val="005E6A57"/>
    <w:rsid w:val="005E6BB3"/>
    <w:rsid w:val="005E6F86"/>
    <w:rsid w:val="005E70D9"/>
    <w:rsid w:val="005E71E1"/>
    <w:rsid w:val="005E7479"/>
    <w:rsid w:val="005E756A"/>
    <w:rsid w:val="005E7892"/>
    <w:rsid w:val="005E78BB"/>
    <w:rsid w:val="005E7CCA"/>
    <w:rsid w:val="005F0245"/>
    <w:rsid w:val="005F0652"/>
    <w:rsid w:val="005F07BE"/>
    <w:rsid w:val="005F0AE1"/>
    <w:rsid w:val="005F0DE4"/>
    <w:rsid w:val="005F1146"/>
    <w:rsid w:val="005F191F"/>
    <w:rsid w:val="005F1997"/>
    <w:rsid w:val="005F1D63"/>
    <w:rsid w:val="005F1D68"/>
    <w:rsid w:val="005F28D5"/>
    <w:rsid w:val="005F2BC2"/>
    <w:rsid w:val="005F2FB8"/>
    <w:rsid w:val="005F3B11"/>
    <w:rsid w:val="005F3C0A"/>
    <w:rsid w:val="005F3CEA"/>
    <w:rsid w:val="005F44DE"/>
    <w:rsid w:val="005F4587"/>
    <w:rsid w:val="005F4A97"/>
    <w:rsid w:val="005F4E85"/>
    <w:rsid w:val="005F4EB2"/>
    <w:rsid w:val="005F5255"/>
    <w:rsid w:val="005F546F"/>
    <w:rsid w:val="005F5479"/>
    <w:rsid w:val="005F567B"/>
    <w:rsid w:val="005F5B32"/>
    <w:rsid w:val="005F6065"/>
    <w:rsid w:val="005F66AA"/>
    <w:rsid w:val="005F66DC"/>
    <w:rsid w:val="005F7084"/>
    <w:rsid w:val="005F7097"/>
    <w:rsid w:val="005F731B"/>
    <w:rsid w:val="005F786A"/>
    <w:rsid w:val="005F79F6"/>
    <w:rsid w:val="005F7AC1"/>
    <w:rsid w:val="005F7EA3"/>
    <w:rsid w:val="00600DA1"/>
    <w:rsid w:val="006013FB"/>
    <w:rsid w:val="00601583"/>
    <w:rsid w:val="00601CE8"/>
    <w:rsid w:val="00601CFD"/>
    <w:rsid w:val="00601DFB"/>
    <w:rsid w:val="00601F1A"/>
    <w:rsid w:val="00601F8B"/>
    <w:rsid w:val="0060259D"/>
    <w:rsid w:val="00602746"/>
    <w:rsid w:val="00602911"/>
    <w:rsid w:val="0060294C"/>
    <w:rsid w:val="00602FB1"/>
    <w:rsid w:val="00603073"/>
    <w:rsid w:val="00603105"/>
    <w:rsid w:val="00603128"/>
    <w:rsid w:val="006036E2"/>
    <w:rsid w:val="00603705"/>
    <w:rsid w:val="006037C5"/>
    <w:rsid w:val="00603976"/>
    <w:rsid w:val="00603A7A"/>
    <w:rsid w:val="00604319"/>
    <w:rsid w:val="00604485"/>
    <w:rsid w:val="00604861"/>
    <w:rsid w:val="00604C19"/>
    <w:rsid w:val="00604C32"/>
    <w:rsid w:val="00604D76"/>
    <w:rsid w:val="00604E89"/>
    <w:rsid w:val="00604F87"/>
    <w:rsid w:val="0060508A"/>
    <w:rsid w:val="006052B9"/>
    <w:rsid w:val="00605607"/>
    <w:rsid w:val="006059A8"/>
    <w:rsid w:val="00605E4D"/>
    <w:rsid w:val="00606002"/>
    <w:rsid w:val="00606458"/>
    <w:rsid w:val="00606720"/>
    <w:rsid w:val="00606841"/>
    <w:rsid w:val="00606CC5"/>
    <w:rsid w:val="00606E65"/>
    <w:rsid w:val="00607141"/>
    <w:rsid w:val="00607385"/>
    <w:rsid w:val="0060754F"/>
    <w:rsid w:val="00607B23"/>
    <w:rsid w:val="00610057"/>
    <w:rsid w:val="006109AE"/>
    <w:rsid w:val="00610BA7"/>
    <w:rsid w:val="00610C20"/>
    <w:rsid w:val="00611189"/>
    <w:rsid w:val="006116F6"/>
    <w:rsid w:val="00611765"/>
    <w:rsid w:val="00611FD0"/>
    <w:rsid w:val="0061233F"/>
    <w:rsid w:val="006125C5"/>
    <w:rsid w:val="006126E2"/>
    <w:rsid w:val="00612766"/>
    <w:rsid w:val="0061278B"/>
    <w:rsid w:val="00612B0D"/>
    <w:rsid w:val="00612EE9"/>
    <w:rsid w:val="0061385B"/>
    <w:rsid w:val="00613AB5"/>
    <w:rsid w:val="00614153"/>
    <w:rsid w:val="006144BB"/>
    <w:rsid w:val="00614667"/>
    <w:rsid w:val="0061489F"/>
    <w:rsid w:val="006149AD"/>
    <w:rsid w:val="00614CAC"/>
    <w:rsid w:val="00615189"/>
    <w:rsid w:val="0061549B"/>
    <w:rsid w:val="00616089"/>
    <w:rsid w:val="006160EF"/>
    <w:rsid w:val="00616900"/>
    <w:rsid w:val="00616A41"/>
    <w:rsid w:val="00616ACC"/>
    <w:rsid w:val="00616B2A"/>
    <w:rsid w:val="0061744E"/>
    <w:rsid w:val="0061747F"/>
    <w:rsid w:val="006174AA"/>
    <w:rsid w:val="0061799E"/>
    <w:rsid w:val="00617B9D"/>
    <w:rsid w:val="00617CDA"/>
    <w:rsid w:val="00620102"/>
    <w:rsid w:val="0062032D"/>
    <w:rsid w:val="006204D9"/>
    <w:rsid w:val="0062057F"/>
    <w:rsid w:val="006205AD"/>
    <w:rsid w:val="00620BE6"/>
    <w:rsid w:val="00620CA8"/>
    <w:rsid w:val="00620E5D"/>
    <w:rsid w:val="0062122F"/>
    <w:rsid w:val="0062165E"/>
    <w:rsid w:val="00621934"/>
    <w:rsid w:val="00621C89"/>
    <w:rsid w:val="00621D6D"/>
    <w:rsid w:val="00621FA9"/>
    <w:rsid w:val="00622007"/>
    <w:rsid w:val="00622079"/>
    <w:rsid w:val="0062237E"/>
    <w:rsid w:val="00622782"/>
    <w:rsid w:val="00622874"/>
    <w:rsid w:val="00622A90"/>
    <w:rsid w:val="006239A3"/>
    <w:rsid w:val="00623D94"/>
    <w:rsid w:val="00623F1D"/>
    <w:rsid w:val="00624529"/>
    <w:rsid w:val="00624544"/>
    <w:rsid w:val="00624CA0"/>
    <w:rsid w:val="00624D93"/>
    <w:rsid w:val="006250CF"/>
    <w:rsid w:val="006254B1"/>
    <w:rsid w:val="00625671"/>
    <w:rsid w:val="006261D9"/>
    <w:rsid w:val="006261E6"/>
    <w:rsid w:val="006265AF"/>
    <w:rsid w:val="006265BD"/>
    <w:rsid w:val="006265D8"/>
    <w:rsid w:val="00626AAB"/>
    <w:rsid w:val="00626BD8"/>
    <w:rsid w:val="0062797D"/>
    <w:rsid w:val="00627A7E"/>
    <w:rsid w:val="00630007"/>
    <w:rsid w:val="00630115"/>
    <w:rsid w:val="006305AE"/>
    <w:rsid w:val="00630770"/>
    <w:rsid w:val="00630940"/>
    <w:rsid w:val="00630B6A"/>
    <w:rsid w:val="006310C3"/>
    <w:rsid w:val="006312F7"/>
    <w:rsid w:val="00631B50"/>
    <w:rsid w:val="00631C3E"/>
    <w:rsid w:val="006320CB"/>
    <w:rsid w:val="006321A5"/>
    <w:rsid w:val="00632209"/>
    <w:rsid w:val="00632656"/>
    <w:rsid w:val="00632991"/>
    <w:rsid w:val="00632F67"/>
    <w:rsid w:val="006331E5"/>
    <w:rsid w:val="006333DD"/>
    <w:rsid w:val="006335DE"/>
    <w:rsid w:val="006339B8"/>
    <w:rsid w:val="00633CDD"/>
    <w:rsid w:val="00633FD6"/>
    <w:rsid w:val="0063450F"/>
    <w:rsid w:val="006345ED"/>
    <w:rsid w:val="006345EE"/>
    <w:rsid w:val="00634C72"/>
    <w:rsid w:val="00634E95"/>
    <w:rsid w:val="0063515E"/>
    <w:rsid w:val="00635D61"/>
    <w:rsid w:val="00635E30"/>
    <w:rsid w:val="006361DC"/>
    <w:rsid w:val="00636330"/>
    <w:rsid w:val="00636B1C"/>
    <w:rsid w:val="00636E2D"/>
    <w:rsid w:val="006370ED"/>
    <w:rsid w:val="0063731C"/>
    <w:rsid w:val="00637C31"/>
    <w:rsid w:val="00640005"/>
    <w:rsid w:val="00640169"/>
    <w:rsid w:val="0064043A"/>
    <w:rsid w:val="006407E9"/>
    <w:rsid w:val="0064099A"/>
    <w:rsid w:val="00640B61"/>
    <w:rsid w:val="00640EE9"/>
    <w:rsid w:val="00640FBA"/>
    <w:rsid w:val="0064166A"/>
    <w:rsid w:val="00641758"/>
    <w:rsid w:val="00641B57"/>
    <w:rsid w:val="00641CD9"/>
    <w:rsid w:val="00641DF1"/>
    <w:rsid w:val="00641E4F"/>
    <w:rsid w:val="006420AB"/>
    <w:rsid w:val="006420D7"/>
    <w:rsid w:val="00642128"/>
    <w:rsid w:val="006428DF"/>
    <w:rsid w:val="00642978"/>
    <w:rsid w:val="00642B83"/>
    <w:rsid w:val="0064341D"/>
    <w:rsid w:val="00644429"/>
    <w:rsid w:val="00644462"/>
    <w:rsid w:val="00644634"/>
    <w:rsid w:val="00644E33"/>
    <w:rsid w:val="00644FA1"/>
    <w:rsid w:val="00645164"/>
    <w:rsid w:val="006455FE"/>
    <w:rsid w:val="00645C8C"/>
    <w:rsid w:val="00645CDC"/>
    <w:rsid w:val="00646291"/>
    <w:rsid w:val="00646441"/>
    <w:rsid w:val="006469A2"/>
    <w:rsid w:val="00646AB8"/>
    <w:rsid w:val="00646D0D"/>
    <w:rsid w:val="006470E5"/>
    <w:rsid w:val="006471F9"/>
    <w:rsid w:val="006475CA"/>
    <w:rsid w:val="0064776F"/>
    <w:rsid w:val="0064782E"/>
    <w:rsid w:val="006479EC"/>
    <w:rsid w:val="00647A3C"/>
    <w:rsid w:val="0065045B"/>
    <w:rsid w:val="00650635"/>
    <w:rsid w:val="00650760"/>
    <w:rsid w:val="006507E9"/>
    <w:rsid w:val="00650822"/>
    <w:rsid w:val="00650A98"/>
    <w:rsid w:val="00650E05"/>
    <w:rsid w:val="00650E20"/>
    <w:rsid w:val="006516E7"/>
    <w:rsid w:val="006517A8"/>
    <w:rsid w:val="00651DE4"/>
    <w:rsid w:val="006521E6"/>
    <w:rsid w:val="006525F9"/>
    <w:rsid w:val="0065271E"/>
    <w:rsid w:val="00652863"/>
    <w:rsid w:val="0065290E"/>
    <w:rsid w:val="00652921"/>
    <w:rsid w:val="00652950"/>
    <w:rsid w:val="00652E02"/>
    <w:rsid w:val="006532FB"/>
    <w:rsid w:val="006533A9"/>
    <w:rsid w:val="00653C4B"/>
    <w:rsid w:val="00653D6D"/>
    <w:rsid w:val="006548AD"/>
    <w:rsid w:val="00654978"/>
    <w:rsid w:val="0065544C"/>
    <w:rsid w:val="006555F3"/>
    <w:rsid w:val="00655962"/>
    <w:rsid w:val="006559C6"/>
    <w:rsid w:val="00655E4B"/>
    <w:rsid w:val="006560A2"/>
    <w:rsid w:val="00656401"/>
    <w:rsid w:val="00656989"/>
    <w:rsid w:val="006572C7"/>
    <w:rsid w:val="00657372"/>
    <w:rsid w:val="00657575"/>
    <w:rsid w:val="00657674"/>
    <w:rsid w:val="0065775E"/>
    <w:rsid w:val="006578FA"/>
    <w:rsid w:val="0066025F"/>
    <w:rsid w:val="006602A6"/>
    <w:rsid w:val="0066041F"/>
    <w:rsid w:val="00660473"/>
    <w:rsid w:val="0066047B"/>
    <w:rsid w:val="00660D04"/>
    <w:rsid w:val="00660E13"/>
    <w:rsid w:val="0066141F"/>
    <w:rsid w:val="006614D8"/>
    <w:rsid w:val="006615CE"/>
    <w:rsid w:val="00661B9D"/>
    <w:rsid w:val="006624EE"/>
    <w:rsid w:val="006628C1"/>
    <w:rsid w:val="00662A84"/>
    <w:rsid w:val="00662C39"/>
    <w:rsid w:val="00662E8A"/>
    <w:rsid w:val="00663136"/>
    <w:rsid w:val="0066364A"/>
    <w:rsid w:val="006636ED"/>
    <w:rsid w:val="006637D3"/>
    <w:rsid w:val="00663BB8"/>
    <w:rsid w:val="00663CD7"/>
    <w:rsid w:val="00663E10"/>
    <w:rsid w:val="00663EBA"/>
    <w:rsid w:val="00663F2E"/>
    <w:rsid w:val="0066419D"/>
    <w:rsid w:val="0066434A"/>
    <w:rsid w:val="00664404"/>
    <w:rsid w:val="00664716"/>
    <w:rsid w:val="00664879"/>
    <w:rsid w:val="006655C3"/>
    <w:rsid w:val="00665E1E"/>
    <w:rsid w:val="006661AE"/>
    <w:rsid w:val="006661E7"/>
    <w:rsid w:val="00666763"/>
    <w:rsid w:val="0066694C"/>
    <w:rsid w:val="00666EAA"/>
    <w:rsid w:val="0066711D"/>
    <w:rsid w:val="006671D6"/>
    <w:rsid w:val="00667451"/>
    <w:rsid w:val="006674AF"/>
    <w:rsid w:val="00667861"/>
    <w:rsid w:val="00667B14"/>
    <w:rsid w:val="00667CE2"/>
    <w:rsid w:val="00667EF3"/>
    <w:rsid w:val="00667FEE"/>
    <w:rsid w:val="00670175"/>
    <w:rsid w:val="006701A1"/>
    <w:rsid w:val="00670560"/>
    <w:rsid w:val="006707CC"/>
    <w:rsid w:val="006708F6"/>
    <w:rsid w:val="00670DF0"/>
    <w:rsid w:val="00670E7B"/>
    <w:rsid w:val="00670ECD"/>
    <w:rsid w:val="0067129F"/>
    <w:rsid w:val="006714BB"/>
    <w:rsid w:val="00671629"/>
    <w:rsid w:val="00671766"/>
    <w:rsid w:val="00671A26"/>
    <w:rsid w:val="00671AF8"/>
    <w:rsid w:val="00671D87"/>
    <w:rsid w:val="00671D8A"/>
    <w:rsid w:val="00671E40"/>
    <w:rsid w:val="00672050"/>
    <w:rsid w:val="00672427"/>
    <w:rsid w:val="006729A4"/>
    <w:rsid w:val="00672F7D"/>
    <w:rsid w:val="0067356B"/>
    <w:rsid w:val="0067362A"/>
    <w:rsid w:val="00673669"/>
    <w:rsid w:val="00673A3B"/>
    <w:rsid w:val="00673BEE"/>
    <w:rsid w:val="00673D65"/>
    <w:rsid w:val="00673DCA"/>
    <w:rsid w:val="00673E42"/>
    <w:rsid w:val="006740EF"/>
    <w:rsid w:val="006741B8"/>
    <w:rsid w:val="006746D0"/>
    <w:rsid w:val="00675115"/>
    <w:rsid w:val="00675489"/>
    <w:rsid w:val="00675502"/>
    <w:rsid w:val="00675796"/>
    <w:rsid w:val="00675847"/>
    <w:rsid w:val="00675FA0"/>
    <w:rsid w:val="006770C5"/>
    <w:rsid w:val="006775D3"/>
    <w:rsid w:val="00677B79"/>
    <w:rsid w:val="00677E62"/>
    <w:rsid w:val="00677FAC"/>
    <w:rsid w:val="00680190"/>
    <w:rsid w:val="006805AC"/>
    <w:rsid w:val="006809EC"/>
    <w:rsid w:val="00680B1F"/>
    <w:rsid w:val="00680E20"/>
    <w:rsid w:val="00680E4A"/>
    <w:rsid w:val="00681209"/>
    <w:rsid w:val="00681436"/>
    <w:rsid w:val="006815F6"/>
    <w:rsid w:val="00681A6F"/>
    <w:rsid w:val="00681C2D"/>
    <w:rsid w:val="00681D97"/>
    <w:rsid w:val="00681E83"/>
    <w:rsid w:val="00681E9C"/>
    <w:rsid w:val="00681F0B"/>
    <w:rsid w:val="00681F24"/>
    <w:rsid w:val="006820A6"/>
    <w:rsid w:val="006821AB"/>
    <w:rsid w:val="00682324"/>
    <w:rsid w:val="006826D6"/>
    <w:rsid w:val="00682B55"/>
    <w:rsid w:val="00682D13"/>
    <w:rsid w:val="00682DEB"/>
    <w:rsid w:val="00682E6A"/>
    <w:rsid w:val="00682F49"/>
    <w:rsid w:val="006838FF"/>
    <w:rsid w:val="00683A08"/>
    <w:rsid w:val="00683C33"/>
    <w:rsid w:val="00683F65"/>
    <w:rsid w:val="0068401C"/>
    <w:rsid w:val="006840C7"/>
    <w:rsid w:val="0068441B"/>
    <w:rsid w:val="0068476F"/>
    <w:rsid w:val="00684C89"/>
    <w:rsid w:val="00685196"/>
    <w:rsid w:val="0068553C"/>
    <w:rsid w:val="006856C2"/>
    <w:rsid w:val="006857F9"/>
    <w:rsid w:val="006866BE"/>
    <w:rsid w:val="00686933"/>
    <w:rsid w:val="00686F72"/>
    <w:rsid w:val="0068744E"/>
    <w:rsid w:val="006875BF"/>
    <w:rsid w:val="00687644"/>
    <w:rsid w:val="00687A58"/>
    <w:rsid w:val="00687C95"/>
    <w:rsid w:val="00687CF6"/>
    <w:rsid w:val="00687D00"/>
    <w:rsid w:val="00687EA8"/>
    <w:rsid w:val="00687EE8"/>
    <w:rsid w:val="006900B3"/>
    <w:rsid w:val="0069098B"/>
    <w:rsid w:val="00691108"/>
    <w:rsid w:val="00691115"/>
    <w:rsid w:val="006914F0"/>
    <w:rsid w:val="006915D4"/>
    <w:rsid w:val="006915DB"/>
    <w:rsid w:val="00691734"/>
    <w:rsid w:val="00691C10"/>
    <w:rsid w:val="006923EA"/>
    <w:rsid w:val="006926D4"/>
    <w:rsid w:val="00692BB5"/>
    <w:rsid w:val="00692D1A"/>
    <w:rsid w:val="00692DC6"/>
    <w:rsid w:val="006930F8"/>
    <w:rsid w:val="006932A5"/>
    <w:rsid w:val="00693310"/>
    <w:rsid w:val="00693359"/>
    <w:rsid w:val="006935A3"/>
    <w:rsid w:val="00693912"/>
    <w:rsid w:val="00693BDB"/>
    <w:rsid w:val="00693D13"/>
    <w:rsid w:val="006940D3"/>
    <w:rsid w:val="006940F0"/>
    <w:rsid w:val="00694113"/>
    <w:rsid w:val="0069465F"/>
    <w:rsid w:val="006947F6"/>
    <w:rsid w:val="006949CD"/>
    <w:rsid w:val="00694D72"/>
    <w:rsid w:val="00694FE0"/>
    <w:rsid w:val="006957DE"/>
    <w:rsid w:val="00695A3D"/>
    <w:rsid w:val="00695C9D"/>
    <w:rsid w:val="006962AA"/>
    <w:rsid w:val="006966DF"/>
    <w:rsid w:val="00696FF1"/>
    <w:rsid w:val="006972F7"/>
    <w:rsid w:val="00697918"/>
    <w:rsid w:val="00697AC1"/>
    <w:rsid w:val="00697ED5"/>
    <w:rsid w:val="00697F3F"/>
    <w:rsid w:val="006A030E"/>
    <w:rsid w:val="006A0405"/>
    <w:rsid w:val="006A0534"/>
    <w:rsid w:val="006A0747"/>
    <w:rsid w:val="006A0942"/>
    <w:rsid w:val="006A0D24"/>
    <w:rsid w:val="006A120D"/>
    <w:rsid w:val="006A14AC"/>
    <w:rsid w:val="006A14EC"/>
    <w:rsid w:val="006A1640"/>
    <w:rsid w:val="006A1679"/>
    <w:rsid w:val="006A16A8"/>
    <w:rsid w:val="006A18E6"/>
    <w:rsid w:val="006A1DBF"/>
    <w:rsid w:val="006A273B"/>
    <w:rsid w:val="006A28CF"/>
    <w:rsid w:val="006A29F8"/>
    <w:rsid w:val="006A3097"/>
    <w:rsid w:val="006A3187"/>
    <w:rsid w:val="006A356D"/>
    <w:rsid w:val="006A3734"/>
    <w:rsid w:val="006A3786"/>
    <w:rsid w:val="006A39FB"/>
    <w:rsid w:val="006A3E95"/>
    <w:rsid w:val="006A4344"/>
    <w:rsid w:val="006A43FD"/>
    <w:rsid w:val="006A48EB"/>
    <w:rsid w:val="006A4E28"/>
    <w:rsid w:val="006A50E1"/>
    <w:rsid w:val="006A55B0"/>
    <w:rsid w:val="006A562D"/>
    <w:rsid w:val="006A5946"/>
    <w:rsid w:val="006A5A36"/>
    <w:rsid w:val="006A5BE3"/>
    <w:rsid w:val="006A5C43"/>
    <w:rsid w:val="006A5C90"/>
    <w:rsid w:val="006A6023"/>
    <w:rsid w:val="006A683D"/>
    <w:rsid w:val="006A693A"/>
    <w:rsid w:val="006A6C1F"/>
    <w:rsid w:val="006A6CA6"/>
    <w:rsid w:val="006A77AB"/>
    <w:rsid w:val="006A77B3"/>
    <w:rsid w:val="006A78B9"/>
    <w:rsid w:val="006A7A4D"/>
    <w:rsid w:val="006A7B27"/>
    <w:rsid w:val="006A7D09"/>
    <w:rsid w:val="006A7E1D"/>
    <w:rsid w:val="006B00FD"/>
    <w:rsid w:val="006B0723"/>
    <w:rsid w:val="006B0794"/>
    <w:rsid w:val="006B0B91"/>
    <w:rsid w:val="006B0EF2"/>
    <w:rsid w:val="006B1213"/>
    <w:rsid w:val="006B14B4"/>
    <w:rsid w:val="006B1692"/>
    <w:rsid w:val="006B1A4C"/>
    <w:rsid w:val="006B1B31"/>
    <w:rsid w:val="006B1B70"/>
    <w:rsid w:val="006B2203"/>
    <w:rsid w:val="006B2257"/>
    <w:rsid w:val="006B249D"/>
    <w:rsid w:val="006B253D"/>
    <w:rsid w:val="006B25B8"/>
    <w:rsid w:val="006B26C9"/>
    <w:rsid w:val="006B27DB"/>
    <w:rsid w:val="006B2CF1"/>
    <w:rsid w:val="006B31D8"/>
    <w:rsid w:val="006B3642"/>
    <w:rsid w:val="006B38F2"/>
    <w:rsid w:val="006B3E1A"/>
    <w:rsid w:val="006B3F37"/>
    <w:rsid w:val="006B4124"/>
    <w:rsid w:val="006B490F"/>
    <w:rsid w:val="006B4968"/>
    <w:rsid w:val="006B49F5"/>
    <w:rsid w:val="006B4DB0"/>
    <w:rsid w:val="006B51B9"/>
    <w:rsid w:val="006B54D8"/>
    <w:rsid w:val="006B6130"/>
    <w:rsid w:val="006B624D"/>
    <w:rsid w:val="006B632A"/>
    <w:rsid w:val="006B657B"/>
    <w:rsid w:val="006B66A3"/>
    <w:rsid w:val="006B6E38"/>
    <w:rsid w:val="006B7123"/>
    <w:rsid w:val="006B75B6"/>
    <w:rsid w:val="006B7772"/>
    <w:rsid w:val="006B7983"/>
    <w:rsid w:val="006B7A80"/>
    <w:rsid w:val="006C0484"/>
    <w:rsid w:val="006C05A9"/>
    <w:rsid w:val="006C0F83"/>
    <w:rsid w:val="006C0F9C"/>
    <w:rsid w:val="006C1165"/>
    <w:rsid w:val="006C179E"/>
    <w:rsid w:val="006C1850"/>
    <w:rsid w:val="006C192B"/>
    <w:rsid w:val="006C1A5F"/>
    <w:rsid w:val="006C1C99"/>
    <w:rsid w:val="006C1D4C"/>
    <w:rsid w:val="006C1F6C"/>
    <w:rsid w:val="006C2157"/>
    <w:rsid w:val="006C25DD"/>
    <w:rsid w:val="006C2910"/>
    <w:rsid w:val="006C2CB1"/>
    <w:rsid w:val="006C2D53"/>
    <w:rsid w:val="006C2DAE"/>
    <w:rsid w:val="006C3606"/>
    <w:rsid w:val="006C3AB5"/>
    <w:rsid w:val="006C3C49"/>
    <w:rsid w:val="006C47A7"/>
    <w:rsid w:val="006C495F"/>
    <w:rsid w:val="006C562C"/>
    <w:rsid w:val="006C5775"/>
    <w:rsid w:val="006C580C"/>
    <w:rsid w:val="006C588E"/>
    <w:rsid w:val="006C61A8"/>
    <w:rsid w:val="006C65A0"/>
    <w:rsid w:val="006C66A6"/>
    <w:rsid w:val="006C6782"/>
    <w:rsid w:val="006C6E7A"/>
    <w:rsid w:val="006C7394"/>
    <w:rsid w:val="006C76C7"/>
    <w:rsid w:val="006C7AA6"/>
    <w:rsid w:val="006C7BAC"/>
    <w:rsid w:val="006C7EC3"/>
    <w:rsid w:val="006D036D"/>
    <w:rsid w:val="006D0760"/>
    <w:rsid w:val="006D0793"/>
    <w:rsid w:val="006D0B8E"/>
    <w:rsid w:val="006D0E1D"/>
    <w:rsid w:val="006D0F97"/>
    <w:rsid w:val="006D101E"/>
    <w:rsid w:val="006D130E"/>
    <w:rsid w:val="006D1A28"/>
    <w:rsid w:val="006D1ABC"/>
    <w:rsid w:val="006D1B1C"/>
    <w:rsid w:val="006D1B4E"/>
    <w:rsid w:val="006D2146"/>
    <w:rsid w:val="006D217E"/>
    <w:rsid w:val="006D21C1"/>
    <w:rsid w:val="006D2699"/>
    <w:rsid w:val="006D2BDA"/>
    <w:rsid w:val="006D2DBC"/>
    <w:rsid w:val="006D2FED"/>
    <w:rsid w:val="006D348B"/>
    <w:rsid w:val="006D3522"/>
    <w:rsid w:val="006D3530"/>
    <w:rsid w:val="006D3751"/>
    <w:rsid w:val="006D4415"/>
    <w:rsid w:val="006D47F4"/>
    <w:rsid w:val="006D48BD"/>
    <w:rsid w:val="006D4C5C"/>
    <w:rsid w:val="006D4DAD"/>
    <w:rsid w:val="006D52D5"/>
    <w:rsid w:val="006D5683"/>
    <w:rsid w:val="006D60C9"/>
    <w:rsid w:val="006D6123"/>
    <w:rsid w:val="006D6772"/>
    <w:rsid w:val="006D6F11"/>
    <w:rsid w:val="006D716B"/>
    <w:rsid w:val="006D72A3"/>
    <w:rsid w:val="006D7E02"/>
    <w:rsid w:val="006D7EAC"/>
    <w:rsid w:val="006E03A8"/>
    <w:rsid w:val="006E04A0"/>
    <w:rsid w:val="006E0520"/>
    <w:rsid w:val="006E0CFF"/>
    <w:rsid w:val="006E0F5E"/>
    <w:rsid w:val="006E17E8"/>
    <w:rsid w:val="006E1A47"/>
    <w:rsid w:val="006E1B36"/>
    <w:rsid w:val="006E1EAC"/>
    <w:rsid w:val="006E21F4"/>
    <w:rsid w:val="006E23AB"/>
    <w:rsid w:val="006E255D"/>
    <w:rsid w:val="006E2E6A"/>
    <w:rsid w:val="006E3379"/>
    <w:rsid w:val="006E3648"/>
    <w:rsid w:val="006E38CF"/>
    <w:rsid w:val="006E3B32"/>
    <w:rsid w:val="006E40E4"/>
    <w:rsid w:val="006E4494"/>
    <w:rsid w:val="006E4844"/>
    <w:rsid w:val="006E48CC"/>
    <w:rsid w:val="006E49E7"/>
    <w:rsid w:val="006E4E59"/>
    <w:rsid w:val="006E551D"/>
    <w:rsid w:val="006E566A"/>
    <w:rsid w:val="006E566E"/>
    <w:rsid w:val="006E5CD9"/>
    <w:rsid w:val="006E6B3F"/>
    <w:rsid w:val="006E6F67"/>
    <w:rsid w:val="006E7035"/>
    <w:rsid w:val="006E737E"/>
    <w:rsid w:val="006E74B5"/>
    <w:rsid w:val="006E783E"/>
    <w:rsid w:val="006E7889"/>
    <w:rsid w:val="006E7CBD"/>
    <w:rsid w:val="006E7E39"/>
    <w:rsid w:val="006E7FC2"/>
    <w:rsid w:val="006F000F"/>
    <w:rsid w:val="006F003B"/>
    <w:rsid w:val="006F021B"/>
    <w:rsid w:val="006F0608"/>
    <w:rsid w:val="006F090F"/>
    <w:rsid w:val="006F0ED3"/>
    <w:rsid w:val="006F0F4F"/>
    <w:rsid w:val="006F1238"/>
    <w:rsid w:val="006F1358"/>
    <w:rsid w:val="006F1F39"/>
    <w:rsid w:val="006F2254"/>
    <w:rsid w:val="006F2668"/>
    <w:rsid w:val="006F26CE"/>
    <w:rsid w:val="006F27E3"/>
    <w:rsid w:val="006F28FB"/>
    <w:rsid w:val="006F2EE7"/>
    <w:rsid w:val="006F310C"/>
    <w:rsid w:val="006F316D"/>
    <w:rsid w:val="006F3298"/>
    <w:rsid w:val="006F337A"/>
    <w:rsid w:val="006F3593"/>
    <w:rsid w:val="006F3918"/>
    <w:rsid w:val="006F39CD"/>
    <w:rsid w:val="006F3A0F"/>
    <w:rsid w:val="006F3A12"/>
    <w:rsid w:val="006F3DAA"/>
    <w:rsid w:val="006F491F"/>
    <w:rsid w:val="006F4F72"/>
    <w:rsid w:val="006F529F"/>
    <w:rsid w:val="006F5643"/>
    <w:rsid w:val="006F5FB6"/>
    <w:rsid w:val="006F60C3"/>
    <w:rsid w:val="006F7DDF"/>
    <w:rsid w:val="00700123"/>
    <w:rsid w:val="007004A0"/>
    <w:rsid w:val="00700E5B"/>
    <w:rsid w:val="0070109F"/>
    <w:rsid w:val="00701447"/>
    <w:rsid w:val="007016A8"/>
    <w:rsid w:val="007016D3"/>
    <w:rsid w:val="00701979"/>
    <w:rsid w:val="00701F65"/>
    <w:rsid w:val="007021FC"/>
    <w:rsid w:val="00702260"/>
    <w:rsid w:val="007023A5"/>
    <w:rsid w:val="00702672"/>
    <w:rsid w:val="0070281F"/>
    <w:rsid w:val="00702CCE"/>
    <w:rsid w:val="00702F78"/>
    <w:rsid w:val="00702F7F"/>
    <w:rsid w:val="00703156"/>
    <w:rsid w:val="0070326E"/>
    <w:rsid w:val="00703425"/>
    <w:rsid w:val="0070369A"/>
    <w:rsid w:val="00703706"/>
    <w:rsid w:val="00703C9A"/>
    <w:rsid w:val="00703CFD"/>
    <w:rsid w:val="00703E2E"/>
    <w:rsid w:val="00703FAC"/>
    <w:rsid w:val="00704A0E"/>
    <w:rsid w:val="00704A76"/>
    <w:rsid w:val="00704B01"/>
    <w:rsid w:val="00704E72"/>
    <w:rsid w:val="00705320"/>
    <w:rsid w:val="0070538E"/>
    <w:rsid w:val="00705495"/>
    <w:rsid w:val="007055DE"/>
    <w:rsid w:val="007056E8"/>
    <w:rsid w:val="0070661B"/>
    <w:rsid w:val="0070698D"/>
    <w:rsid w:val="00706A08"/>
    <w:rsid w:val="00706F45"/>
    <w:rsid w:val="00706FCE"/>
    <w:rsid w:val="00707282"/>
    <w:rsid w:val="00707892"/>
    <w:rsid w:val="00707926"/>
    <w:rsid w:val="00707992"/>
    <w:rsid w:val="00707ACC"/>
    <w:rsid w:val="007102CB"/>
    <w:rsid w:val="00710376"/>
    <w:rsid w:val="007104DD"/>
    <w:rsid w:val="00710809"/>
    <w:rsid w:val="007108D9"/>
    <w:rsid w:val="00710A5C"/>
    <w:rsid w:val="00711196"/>
    <w:rsid w:val="00711564"/>
    <w:rsid w:val="00711B3F"/>
    <w:rsid w:val="00711D8C"/>
    <w:rsid w:val="00712024"/>
    <w:rsid w:val="007121B4"/>
    <w:rsid w:val="00712886"/>
    <w:rsid w:val="007129A2"/>
    <w:rsid w:val="00713423"/>
    <w:rsid w:val="00713D1E"/>
    <w:rsid w:val="00713DE8"/>
    <w:rsid w:val="00714306"/>
    <w:rsid w:val="00714870"/>
    <w:rsid w:val="007150D4"/>
    <w:rsid w:val="0071544C"/>
    <w:rsid w:val="00715633"/>
    <w:rsid w:val="00715664"/>
    <w:rsid w:val="00715A72"/>
    <w:rsid w:val="00715BF6"/>
    <w:rsid w:val="00715EA4"/>
    <w:rsid w:val="00716220"/>
    <w:rsid w:val="00716994"/>
    <w:rsid w:val="007177FC"/>
    <w:rsid w:val="00717B75"/>
    <w:rsid w:val="00717ECB"/>
    <w:rsid w:val="00717FE8"/>
    <w:rsid w:val="00720025"/>
    <w:rsid w:val="007203E3"/>
    <w:rsid w:val="0072064C"/>
    <w:rsid w:val="00720710"/>
    <w:rsid w:val="00720C72"/>
    <w:rsid w:val="00720FE8"/>
    <w:rsid w:val="007213E4"/>
    <w:rsid w:val="0072154F"/>
    <w:rsid w:val="0072161F"/>
    <w:rsid w:val="0072163E"/>
    <w:rsid w:val="007218C4"/>
    <w:rsid w:val="007219FB"/>
    <w:rsid w:val="00721B66"/>
    <w:rsid w:val="00721D3E"/>
    <w:rsid w:val="00722F64"/>
    <w:rsid w:val="00723F70"/>
    <w:rsid w:val="00723F81"/>
    <w:rsid w:val="007241E9"/>
    <w:rsid w:val="007244D5"/>
    <w:rsid w:val="007245DB"/>
    <w:rsid w:val="00724A61"/>
    <w:rsid w:val="00724F5C"/>
    <w:rsid w:val="00724F8A"/>
    <w:rsid w:val="0072521E"/>
    <w:rsid w:val="00725385"/>
    <w:rsid w:val="0072578A"/>
    <w:rsid w:val="00725F9F"/>
    <w:rsid w:val="007261CA"/>
    <w:rsid w:val="00726329"/>
    <w:rsid w:val="0072662E"/>
    <w:rsid w:val="00726C8F"/>
    <w:rsid w:val="00726CB3"/>
    <w:rsid w:val="00726DAC"/>
    <w:rsid w:val="0072715C"/>
    <w:rsid w:val="00727C11"/>
    <w:rsid w:val="00727FF0"/>
    <w:rsid w:val="00730355"/>
    <w:rsid w:val="00730825"/>
    <w:rsid w:val="00730894"/>
    <w:rsid w:val="00730A5F"/>
    <w:rsid w:val="00730D1A"/>
    <w:rsid w:val="00730E75"/>
    <w:rsid w:val="007311D1"/>
    <w:rsid w:val="00731544"/>
    <w:rsid w:val="0073158E"/>
    <w:rsid w:val="007315F4"/>
    <w:rsid w:val="00731679"/>
    <w:rsid w:val="0073172A"/>
    <w:rsid w:val="00732773"/>
    <w:rsid w:val="00732905"/>
    <w:rsid w:val="0073299D"/>
    <w:rsid w:val="00732EBC"/>
    <w:rsid w:val="00733672"/>
    <w:rsid w:val="0073379C"/>
    <w:rsid w:val="007339DE"/>
    <w:rsid w:val="00733B01"/>
    <w:rsid w:val="00733C84"/>
    <w:rsid w:val="00733E91"/>
    <w:rsid w:val="00733FAF"/>
    <w:rsid w:val="00733FFC"/>
    <w:rsid w:val="0073414D"/>
    <w:rsid w:val="00734191"/>
    <w:rsid w:val="00734289"/>
    <w:rsid w:val="007345C7"/>
    <w:rsid w:val="00734947"/>
    <w:rsid w:val="00734C17"/>
    <w:rsid w:val="00734DB4"/>
    <w:rsid w:val="00734EF6"/>
    <w:rsid w:val="00734F10"/>
    <w:rsid w:val="00735263"/>
    <w:rsid w:val="00735626"/>
    <w:rsid w:val="00735893"/>
    <w:rsid w:val="007358CC"/>
    <w:rsid w:val="007359D7"/>
    <w:rsid w:val="00735B47"/>
    <w:rsid w:val="00735C2D"/>
    <w:rsid w:val="00735E32"/>
    <w:rsid w:val="0073630A"/>
    <w:rsid w:val="00736733"/>
    <w:rsid w:val="00736A2F"/>
    <w:rsid w:val="00736AA2"/>
    <w:rsid w:val="007371A6"/>
    <w:rsid w:val="00737264"/>
    <w:rsid w:val="007379E4"/>
    <w:rsid w:val="00737B6E"/>
    <w:rsid w:val="00737BA6"/>
    <w:rsid w:val="00737C8A"/>
    <w:rsid w:val="00740267"/>
    <w:rsid w:val="007409B2"/>
    <w:rsid w:val="007409C1"/>
    <w:rsid w:val="00740BA0"/>
    <w:rsid w:val="00740DBC"/>
    <w:rsid w:val="00741015"/>
    <w:rsid w:val="00741510"/>
    <w:rsid w:val="0074157A"/>
    <w:rsid w:val="007417E5"/>
    <w:rsid w:val="00741DBC"/>
    <w:rsid w:val="00742506"/>
    <w:rsid w:val="00742D9E"/>
    <w:rsid w:val="00742DC6"/>
    <w:rsid w:val="007433F0"/>
    <w:rsid w:val="00743A40"/>
    <w:rsid w:val="00743AB9"/>
    <w:rsid w:val="00743ADC"/>
    <w:rsid w:val="00743CE3"/>
    <w:rsid w:val="00743E67"/>
    <w:rsid w:val="0074404B"/>
    <w:rsid w:val="00744416"/>
    <w:rsid w:val="00744493"/>
    <w:rsid w:val="00744649"/>
    <w:rsid w:val="007446F8"/>
    <w:rsid w:val="0074484C"/>
    <w:rsid w:val="00744C97"/>
    <w:rsid w:val="007455FE"/>
    <w:rsid w:val="00745C69"/>
    <w:rsid w:val="007461FF"/>
    <w:rsid w:val="007462EC"/>
    <w:rsid w:val="00746589"/>
    <w:rsid w:val="0074663B"/>
    <w:rsid w:val="007472AA"/>
    <w:rsid w:val="00747A23"/>
    <w:rsid w:val="00747C62"/>
    <w:rsid w:val="00747DCF"/>
    <w:rsid w:val="0075090A"/>
    <w:rsid w:val="00750B94"/>
    <w:rsid w:val="00750BEE"/>
    <w:rsid w:val="00751195"/>
    <w:rsid w:val="007514A9"/>
    <w:rsid w:val="00751657"/>
    <w:rsid w:val="00751720"/>
    <w:rsid w:val="007519BA"/>
    <w:rsid w:val="00751A88"/>
    <w:rsid w:val="00751FC9"/>
    <w:rsid w:val="0075215B"/>
    <w:rsid w:val="0075224C"/>
    <w:rsid w:val="007522AF"/>
    <w:rsid w:val="007532F4"/>
    <w:rsid w:val="007533C9"/>
    <w:rsid w:val="007539BF"/>
    <w:rsid w:val="007539CB"/>
    <w:rsid w:val="00753F62"/>
    <w:rsid w:val="007541A4"/>
    <w:rsid w:val="007544A9"/>
    <w:rsid w:val="00754C49"/>
    <w:rsid w:val="00755096"/>
    <w:rsid w:val="007550EE"/>
    <w:rsid w:val="00755901"/>
    <w:rsid w:val="00755D9A"/>
    <w:rsid w:val="00755FCE"/>
    <w:rsid w:val="0075689B"/>
    <w:rsid w:val="00756B31"/>
    <w:rsid w:val="00757425"/>
    <w:rsid w:val="0075771E"/>
    <w:rsid w:val="00757887"/>
    <w:rsid w:val="0075790F"/>
    <w:rsid w:val="00757AE7"/>
    <w:rsid w:val="00757DB6"/>
    <w:rsid w:val="0076077A"/>
    <w:rsid w:val="007613CB"/>
    <w:rsid w:val="00761795"/>
    <w:rsid w:val="00761AC8"/>
    <w:rsid w:val="00761AEE"/>
    <w:rsid w:val="00761DB1"/>
    <w:rsid w:val="0076206F"/>
    <w:rsid w:val="00762226"/>
    <w:rsid w:val="00762400"/>
    <w:rsid w:val="007624F5"/>
    <w:rsid w:val="00762CF0"/>
    <w:rsid w:val="00762D38"/>
    <w:rsid w:val="007632E0"/>
    <w:rsid w:val="0076345B"/>
    <w:rsid w:val="007634AC"/>
    <w:rsid w:val="00763566"/>
    <w:rsid w:val="00764453"/>
    <w:rsid w:val="0076449D"/>
    <w:rsid w:val="00764801"/>
    <w:rsid w:val="00764C4A"/>
    <w:rsid w:val="0076515D"/>
    <w:rsid w:val="007651D6"/>
    <w:rsid w:val="007652CA"/>
    <w:rsid w:val="007655FA"/>
    <w:rsid w:val="007658E5"/>
    <w:rsid w:val="00765AA7"/>
    <w:rsid w:val="00765B1B"/>
    <w:rsid w:val="00765C16"/>
    <w:rsid w:val="00765C3D"/>
    <w:rsid w:val="00765EC0"/>
    <w:rsid w:val="00766003"/>
    <w:rsid w:val="00766523"/>
    <w:rsid w:val="007669D7"/>
    <w:rsid w:val="00766FEB"/>
    <w:rsid w:val="00767397"/>
    <w:rsid w:val="007679EB"/>
    <w:rsid w:val="007704CA"/>
    <w:rsid w:val="00770C8A"/>
    <w:rsid w:val="00770D94"/>
    <w:rsid w:val="007715F2"/>
    <w:rsid w:val="0077160D"/>
    <w:rsid w:val="00771631"/>
    <w:rsid w:val="00771F9B"/>
    <w:rsid w:val="0077230E"/>
    <w:rsid w:val="007723F1"/>
    <w:rsid w:val="00772559"/>
    <w:rsid w:val="0077261D"/>
    <w:rsid w:val="00772656"/>
    <w:rsid w:val="0077271B"/>
    <w:rsid w:val="00772ADE"/>
    <w:rsid w:val="00772D6E"/>
    <w:rsid w:val="00772F01"/>
    <w:rsid w:val="0077306D"/>
    <w:rsid w:val="0077311A"/>
    <w:rsid w:val="007732F1"/>
    <w:rsid w:val="007738EC"/>
    <w:rsid w:val="00773F7A"/>
    <w:rsid w:val="00774114"/>
    <w:rsid w:val="007741FF"/>
    <w:rsid w:val="0077546B"/>
    <w:rsid w:val="007756C3"/>
    <w:rsid w:val="00775A2C"/>
    <w:rsid w:val="00775ACF"/>
    <w:rsid w:val="00775FCE"/>
    <w:rsid w:val="00776033"/>
    <w:rsid w:val="0077621D"/>
    <w:rsid w:val="007762CD"/>
    <w:rsid w:val="0077643C"/>
    <w:rsid w:val="0077684B"/>
    <w:rsid w:val="00777020"/>
    <w:rsid w:val="0077726D"/>
    <w:rsid w:val="00777290"/>
    <w:rsid w:val="007772E8"/>
    <w:rsid w:val="00777721"/>
    <w:rsid w:val="00780273"/>
    <w:rsid w:val="00780355"/>
    <w:rsid w:val="00780956"/>
    <w:rsid w:val="00780981"/>
    <w:rsid w:val="0078148C"/>
    <w:rsid w:val="00781552"/>
    <w:rsid w:val="00781619"/>
    <w:rsid w:val="00781725"/>
    <w:rsid w:val="007818C2"/>
    <w:rsid w:val="00781AC2"/>
    <w:rsid w:val="00781C82"/>
    <w:rsid w:val="0078233F"/>
    <w:rsid w:val="00782692"/>
    <w:rsid w:val="007828D5"/>
    <w:rsid w:val="00782A08"/>
    <w:rsid w:val="00782D8F"/>
    <w:rsid w:val="00782F00"/>
    <w:rsid w:val="00782FC5"/>
    <w:rsid w:val="00783263"/>
    <w:rsid w:val="00783345"/>
    <w:rsid w:val="0078357E"/>
    <w:rsid w:val="00783633"/>
    <w:rsid w:val="0078385A"/>
    <w:rsid w:val="007839E7"/>
    <w:rsid w:val="007841FF"/>
    <w:rsid w:val="00785009"/>
    <w:rsid w:val="007853D9"/>
    <w:rsid w:val="0078599A"/>
    <w:rsid w:val="00785A63"/>
    <w:rsid w:val="00785E26"/>
    <w:rsid w:val="00785EFF"/>
    <w:rsid w:val="00786824"/>
    <w:rsid w:val="00786C1E"/>
    <w:rsid w:val="0078724C"/>
    <w:rsid w:val="0078751E"/>
    <w:rsid w:val="00787C9D"/>
    <w:rsid w:val="0079013E"/>
    <w:rsid w:val="007906CA"/>
    <w:rsid w:val="00790D49"/>
    <w:rsid w:val="00791503"/>
    <w:rsid w:val="00791816"/>
    <w:rsid w:val="00791C4B"/>
    <w:rsid w:val="00791E96"/>
    <w:rsid w:val="0079215A"/>
    <w:rsid w:val="00792460"/>
    <w:rsid w:val="007934D4"/>
    <w:rsid w:val="0079377C"/>
    <w:rsid w:val="0079394A"/>
    <w:rsid w:val="0079399A"/>
    <w:rsid w:val="007939BD"/>
    <w:rsid w:val="00793A05"/>
    <w:rsid w:val="00793A0E"/>
    <w:rsid w:val="00793C16"/>
    <w:rsid w:val="00793FBD"/>
    <w:rsid w:val="00794725"/>
    <w:rsid w:val="00794AEE"/>
    <w:rsid w:val="007952E5"/>
    <w:rsid w:val="00795610"/>
    <w:rsid w:val="0079574C"/>
    <w:rsid w:val="00795792"/>
    <w:rsid w:val="00795B10"/>
    <w:rsid w:val="00795BA2"/>
    <w:rsid w:val="00795D98"/>
    <w:rsid w:val="0079663A"/>
    <w:rsid w:val="00796AC3"/>
    <w:rsid w:val="00796C5E"/>
    <w:rsid w:val="00796F84"/>
    <w:rsid w:val="00796F8B"/>
    <w:rsid w:val="007970F4"/>
    <w:rsid w:val="007974EC"/>
    <w:rsid w:val="0079775B"/>
    <w:rsid w:val="00797C38"/>
    <w:rsid w:val="00797E54"/>
    <w:rsid w:val="007A0692"/>
    <w:rsid w:val="007A0B62"/>
    <w:rsid w:val="007A0C8C"/>
    <w:rsid w:val="007A11B0"/>
    <w:rsid w:val="007A1236"/>
    <w:rsid w:val="007A125D"/>
    <w:rsid w:val="007A1760"/>
    <w:rsid w:val="007A1B02"/>
    <w:rsid w:val="007A1D32"/>
    <w:rsid w:val="007A21A0"/>
    <w:rsid w:val="007A2818"/>
    <w:rsid w:val="007A28A4"/>
    <w:rsid w:val="007A2A69"/>
    <w:rsid w:val="007A2A6F"/>
    <w:rsid w:val="007A3386"/>
    <w:rsid w:val="007A39D3"/>
    <w:rsid w:val="007A3BDD"/>
    <w:rsid w:val="007A3D3F"/>
    <w:rsid w:val="007A3E4D"/>
    <w:rsid w:val="007A4506"/>
    <w:rsid w:val="007A45AB"/>
    <w:rsid w:val="007A4BE7"/>
    <w:rsid w:val="007A4C59"/>
    <w:rsid w:val="007A518D"/>
    <w:rsid w:val="007A57AE"/>
    <w:rsid w:val="007A5BDB"/>
    <w:rsid w:val="007A6648"/>
    <w:rsid w:val="007A6B70"/>
    <w:rsid w:val="007A6E20"/>
    <w:rsid w:val="007A6FD8"/>
    <w:rsid w:val="007A7136"/>
    <w:rsid w:val="007A73DA"/>
    <w:rsid w:val="007A7498"/>
    <w:rsid w:val="007A74B2"/>
    <w:rsid w:val="007A771E"/>
    <w:rsid w:val="007A7C64"/>
    <w:rsid w:val="007B0037"/>
    <w:rsid w:val="007B0571"/>
    <w:rsid w:val="007B06B8"/>
    <w:rsid w:val="007B07C4"/>
    <w:rsid w:val="007B0B94"/>
    <w:rsid w:val="007B0C12"/>
    <w:rsid w:val="007B109A"/>
    <w:rsid w:val="007B11EC"/>
    <w:rsid w:val="007B139D"/>
    <w:rsid w:val="007B16E5"/>
    <w:rsid w:val="007B1F57"/>
    <w:rsid w:val="007B2135"/>
    <w:rsid w:val="007B216F"/>
    <w:rsid w:val="007B25D1"/>
    <w:rsid w:val="007B2616"/>
    <w:rsid w:val="007B2926"/>
    <w:rsid w:val="007B3057"/>
    <w:rsid w:val="007B3E8D"/>
    <w:rsid w:val="007B418D"/>
    <w:rsid w:val="007B41B5"/>
    <w:rsid w:val="007B4597"/>
    <w:rsid w:val="007B47A0"/>
    <w:rsid w:val="007B5174"/>
    <w:rsid w:val="007B5255"/>
    <w:rsid w:val="007B5336"/>
    <w:rsid w:val="007B55C5"/>
    <w:rsid w:val="007B561D"/>
    <w:rsid w:val="007B57D2"/>
    <w:rsid w:val="007B5E43"/>
    <w:rsid w:val="007B5F3C"/>
    <w:rsid w:val="007B6B9D"/>
    <w:rsid w:val="007B6CC6"/>
    <w:rsid w:val="007B6F4D"/>
    <w:rsid w:val="007B70FB"/>
    <w:rsid w:val="007B72CD"/>
    <w:rsid w:val="007B74DB"/>
    <w:rsid w:val="007B7566"/>
    <w:rsid w:val="007B7A47"/>
    <w:rsid w:val="007B7A6C"/>
    <w:rsid w:val="007B7B3D"/>
    <w:rsid w:val="007C0482"/>
    <w:rsid w:val="007C0E18"/>
    <w:rsid w:val="007C0E80"/>
    <w:rsid w:val="007C123C"/>
    <w:rsid w:val="007C1637"/>
    <w:rsid w:val="007C1DC9"/>
    <w:rsid w:val="007C1E1A"/>
    <w:rsid w:val="007C20FE"/>
    <w:rsid w:val="007C2343"/>
    <w:rsid w:val="007C24BB"/>
    <w:rsid w:val="007C2678"/>
    <w:rsid w:val="007C3435"/>
    <w:rsid w:val="007C351D"/>
    <w:rsid w:val="007C35A9"/>
    <w:rsid w:val="007C35F6"/>
    <w:rsid w:val="007C360B"/>
    <w:rsid w:val="007C376A"/>
    <w:rsid w:val="007C3888"/>
    <w:rsid w:val="007C4526"/>
    <w:rsid w:val="007C49F2"/>
    <w:rsid w:val="007C4A77"/>
    <w:rsid w:val="007C4AC1"/>
    <w:rsid w:val="007C4ACA"/>
    <w:rsid w:val="007C4F4F"/>
    <w:rsid w:val="007C5084"/>
    <w:rsid w:val="007C5577"/>
    <w:rsid w:val="007C55A5"/>
    <w:rsid w:val="007C55BE"/>
    <w:rsid w:val="007C5686"/>
    <w:rsid w:val="007C5AB5"/>
    <w:rsid w:val="007C5DB4"/>
    <w:rsid w:val="007C62D0"/>
    <w:rsid w:val="007C6E2F"/>
    <w:rsid w:val="007C7506"/>
    <w:rsid w:val="007C7663"/>
    <w:rsid w:val="007C766F"/>
    <w:rsid w:val="007C7AD6"/>
    <w:rsid w:val="007C7C59"/>
    <w:rsid w:val="007C7D51"/>
    <w:rsid w:val="007C7DC7"/>
    <w:rsid w:val="007D033A"/>
    <w:rsid w:val="007D03B3"/>
    <w:rsid w:val="007D0816"/>
    <w:rsid w:val="007D0B72"/>
    <w:rsid w:val="007D132F"/>
    <w:rsid w:val="007D136E"/>
    <w:rsid w:val="007D15F0"/>
    <w:rsid w:val="007D178B"/>
    <w:rsid w:val="007D1AAA"/>
    <w:rsid w:val="007D1B64"/>
    <w:rsid w:val="007D1CE7"/>
    <w:rsid w:val="007D1F73"/>
    <w:rsid w:val="007D226F"/>
    <w:rsid w:val="007D22CE"/>
    <w:rsid w:val="007D2B9F"/>
    <w:rsid w:val="007D2C50"/>
    <w:rsid w:val="007D2FE3"/>
    <w:rsid w:val="007D3398"/>
    <w:rsid w:val="007D33FA"/>
    <w:rsid w:val="007D363F"/>
    <w:rsid w:val="007D3A86"/>
    <w:rsid w:val="007D3B12"/>
    <w:rsid w:val="007D3BC5"/>
    <w:rsid w:val="007D3CE9"/>
    <w:rsid w:val="007D3DF7"/>
    <w:rsid w:val="007D3F75"/>
    <w:rsid w:val="007D40F5"/>
    <w:rsid w:val="007D440A"/>
    <w:rsid w:val="007D457B"/>
    <w:rsid w:val="007D46D8"/>
    <w:rsid w:val="007D4832"/>
    <w:rsid w:val="007D4892"/>
    <w:rsid w:val="007D48E9"/>
    <w:rsid w:val="007D4A1A"/>
    <w:rsid w:val="007D4D44"/>
    <w:rsid w:val="007D4DC5"/>
    <w:rsid w:val="007D53CB"/>
    <w:rsid w:val="007D561F"/>
    <w:rsid w:val="007D5857"/>
    <w:rsid w:val="007D5BB4"/>
    <w:rsid w:val="007D6246"/>
    <w:rsid w:val="007D68DB"/>
    <w:rsid w:val="007D6A54"/>
    <w:rsid w:val="007D6CE6"/>
    <w:rsid w:val="007D6E43"/>
    <w:rsid w:val="007D6F86"/>
    <w:rsid w:val="007D72CB"/>
    <w:rsid w:val="007D72EB"/>
    <w:rsid w:val="007D735A"/>
    <w:rsid w:val="007D7CDD"/>
    <w:rsid w:val="007D7F37"/>
    <w:rsid w:val="007E016B"/>
    <w:rsid w:val="007E0416"/>
    <w:rsid w:val="007E08C9"/>
    <w:rsid w:val="007E0A12"/>
    <w:rsid w:val="007E0D35"/>
    <w:rsid w:val="007E0F8F"/>
    <w:rsid w:val="007E13A8"/>
    <w:rsid w:val="007E1A71"/>
    <w:rsid w:val="007E1AAD"/>
    <w:rsid w:val="007E2236"/>
    <w:rsid w:val="007E273A"/>
    <w:rsid w:val="007E296A"/>
    <w:rsid w:val="007E2A9F"/>
    <w:rsid w:val="007E317C"/>
    <w:rsid w:val="007E3456"/>
    <w:rsid w:val="007E35D0"/>
    <w:rsid w:val="007E3A03"/>
    <w:rsid w:val="007E3E82"/>
    <w:rsid w:val="007E44F9"/>
    <w:rsid w:val="007E4701"/>
    <w:rsid w:val="007E47D5"/>
    <w:rsid w:val="007E4C3C"/>
    <w:rsid w:val="007E4DA6"/>
    <w:rsid w:val="007E4F53"/>
    <w:rsid w:val="007E502A"/>
    <w:rsid w:val="007E5268"/>
    <w:rsid w:val="007E53AF"/>
    <w:rsid w:val="007E5725"/>
    <w:rsid w:val="007E5937"/>
    <w:rsid w:val="007E5A2C"/>
    <w:rsid w:val="007E5E82"/>
    <w:rsid w:val="007E5ED9"/>
    <w:rsid w:val="007E5EDC"/>
    <w:rsid w:val="007E6646"/>
    <w:rsid w:val="007E67D9"/>
    <w:rsid w:val="007E6902"/>
    <w:rsid w:val="007E691D"/>
    <w:rsid w:val="007E6A96"/>
    <w:rsid w:val="007E6C51"/>
    <w:rsid w:val="007E6D20"/>
    <w:rsid w:val="007E7232"/>
    <w:rsid w:val="007E72AB"/>
    <w:rsid w:val="007E735E"/>
    <w:rsid w:val="007E7D5D"/>
    <w:rsid w:val="007E7E0F"/>
    <w:rsid w:val="007E7EC0"/>
    <w:rsid w:val="007F0378"/>
    <w:rsid w:val="007F0684"/>
    <w:rsid w:val="007F06B6"/>
    <w:rsid w:val="007F06E8"/>
    <w:rsid w:val="007F0AF8"/>
    <w:rsid w:val="007F0E4C"/>
    <w:rsid w:val="007F1933"/>
    <w:rsid w:val="007F1B94"/>
    <w:rsid w:val="007F1F1C"/>
    <w:rsid w:val="007F219A"/>
    <w:rsid w:val="007F2444"/>
    <w:rsid w:val="007F2C78"/>
    <w:rsid w:val="007F3088"/>
    <w:rsid w:val="007F3130"/>
    <w:rsid w:val="007F35B8"/>
    <w:rsid w:val="007F37EA"/>
    <w:rsid w:val="007F3D80"/>
    <w:rsid w:val="007F3F16"/>
    <w:rsid w:val="007F42F0"/>
    <w:rsid w:val="007F4748"/>
    <w:rsid w:val="007F4906"/>
    <w:rsid w:val="007F4981"/>
    <w:rsid w:val="007F4D34"/>
    <w:rsid w:val="007F56FC"/>
    <w:rsid w:val="007F62FD"/>
    <w:rsid w:val="007F6340"/>
    <w:rsid w:val="007F65DB"/>
    <w:rsid w:val="007F6761"/>
    <w:rsid w:val="007F6BC4"/>
    <w:rsid w:val="007F6C0E"/>
    <w:rsid w:val="007F6DA9"/>
    <w:rsid w:val="007F70D4"/>
    <w:rsid w:val="007F752E"/>
    <w:rsid w:val="007F76B6"/>
    <w:rsid w:val="007F7ABF"/>
    <w:rsid w:val="007F7CA1"/>
    <w:rsid w:val="0080059B"/>
    <w:rsid w:val="0080073F"/>
    <w:rsid w:val="00800917"/>
    <w:rsid w:val="00800DBB"/>
    <w:rsid w:val="00801607"/>
    <w:rsid w:val="00801713"/>
    <w:rsid w:val="0080176E"/>
    <w:rsid w:val="00801B94"/>
    <w:rsid w:val="00801CB1"/>
    <w:rsid w:val="00801DC9"/>
    <w:rsid w:val="0080238B"/>
    <w:rsid w:val="00802758"/>
    <w:rsid w:val="00802A50"/>
    <w:rsid w:val="00802A7A"/>
    <w:rsid w:val="00802AA7"/>
    <w:rsid w:val="00802B6F"/>
    <w:rsid w:val="00803003"/>
    <w:rsid w:val="008038AE"/>
    <w:rsid w:val="008039DB"/>
    <w:rsid w:val="00803AAC"/>
    <w:rsid w:val="00803ACE"/>
    <w:rsid w:val="00803F4E"/>
    <w:rsid w:val="008057B1"/>
    <w:rsid w:val="00805834"/>
    <w:rsid w:val="00805B99"/>
    <w:rsid w:val="00805D3E"/>
    <w:rsid w:val="00805EEC"/>
    <w:rsid w:val="00806026"/>
    <w:rsid w:val="008061C2"/>
    <w:rsid w:val="00806E9B"/>
    <w:rsid w:val="00807090"/>
    <w:rsid w:val="008074F3"/>
    <w:rsid w:val="00807926"/>
    <w:rsid w:val="0080796B"/>
    <w:rsid w:val="00807A15"/>
    <w:rsid w:val="00807AB5"/>
    <w:rsid w:val="00807EBB"/>
    <w:rsid w:val="00807FC3"/>
    <w:rsid w:val="008100A2"/>
    <w:rsid w:val="008104A0"/>
    <w:rsid w:val="008107F5"/>
    <w:rsid w:val="00810A75"/>
    <w:rsid w:val="00810D27"/>
    <w:rsid w:val="00810E30"/>
    <w:rsid w:val="00810ED7"/>
    <w:rsid w:val="00810F56"/>
    <w:rsid w:val="00811057"/>
    <w:rsid w:val="0081169E"/>
    <w:rsid w:val="00811914"/>
    <w:rsid w:val="00811A86"/>
    <w:rsid w:val="00811EE2"/>
    <w:rsid w:val="008123D4"/>
    <w:rsid w:val="00812B2D"/>
    <w:rsid w:val="00812C4E"/>
    <w:rsid w:val="0081353B"/>
    <w:rsid w:val="0081378B"/>
    <w:rsid w:val="00813AEB"/>
    <w:rsid w:val="00814049"/>
    <w:rsid w:val="008140B8"/>
    <w:rsid w:val="0081466A"/>
    <w:rsid w:val="008149A6"/>
    <w:rsid w:val="00814CAD"/>
    <w:rsid w:val="00814E29"/>
    <w:rsid w:val="0081580E"/>
    <w:rsid w:val="00815914"/>
    <w:rsid w:val="00815A49"/>
    <w:rsid w:val="00815BB1"/>
    <w:rsid w:val="00815BFA"/>
    <w:rsid w:val="00815CE0"/>
    <w:rsid w:val="0081623E"/>
    <w:rsid w:val="00816340"/>
    <w:rsid w:val="0081701B"/>
    <w:rsid w:val="0081716E"/>
    <w:rsid w:val="008177AE"/>
    <w:rsid w:val="00817C6C"/>
    <w:rsid w:val="00817D96"/>
    <w:rsid w:val="00817E6F"/>
    <w:rsid w:val="00817F9A"/>
    <w:rsid w:val="00820896"/>
    <w:rsid w:val="00820A62"/>
    <w:rsid w:val="008211B5"/>
    <w:rsid w:val="00821912"/>
    <w:rsid w:val="0082194F"/>
    <w:rsid w:val="00821A07"/>
    <w:rsid w:val="0082222E"/>
    <w:rsid w:val="008222D8"/>
    <w:rsid w:val="0082242F"/>
    <w:rsid w:val="008227FA"/>
    <w:rsid w:val="008229A2"/>
    <w:rsid w:val="00822CDF"/>
    <w:rsid w:val="008235B7"/>
    <w:rsid w:val="008236A9"/>
    <w:rsid w:val="00823A6D"/>
    <w:rsid w:val="00823AA9"/>
    <w:rsid w:val="00823FF7"/>
    <w:rsid w:val="008240FA"/>
    <w:rsid w:val="008242B3"/>
    <w:rsid w:val="0082443D"/>
    <w:rsid w:val="00824A9E"/>
    <w:rsid w:val="00824E44"/>
    <w:rsid w:val="008255CE"/>
    <w:rsid w:val="00825966"/>
    <w:rsid w:val="00825ED1"/>
    <w:rsid w:val="00825EDB"/>
    <w:rsid w:val="00825F58"/>
    <w:rsid w:val="008264EB"/>
    <w:rsid w:val="00826635"/>
    <w:rsid w:val="008267E6"/>
    <w:rsid w:val="008268CF"/>
    <w:rsid w:val="00826DEF"/>
    <w:rsid w:val="008270EE"/>
    <w:rsid w:val="00827265"/>
    <w:rsid w:val="008272A7"/>
    <w:rsid w:val="008273A3"/>
    <w:rsid w:val="0082744A"/>
    <w:rsid w:val="00827497"/>
    <w:rsid w:val="008275A9"/>
    <w:rsid w:val="0083026B"/>
    <w:rsid w:val="008307F9"/>
    <w:rsid w:val="00830845"/>
    <w:rsid w:val="0083098F"/>
    <w:rsid w:val="008309E1"/>
    <w:rsid w:val="00830DA4"/>
    <w:rsid w:val="00831472"/>
    <w:rsid w:val="0083171A"/>
    <w:rsid w:val="00831ABE"/>
    <w:rsid w:val="008320C3"/>
    <w:rsid w:val="008322DF"/>
    <w:rsid w:val="008322F6"/>
    <w:rsid w:val="008327F0"/>
    <w:rsid w:val="00832922"/>
    <w:rsid w:val="008329FF"/>
    <w:rsid w:val="00832ECB"/>
    <w:rsid w:val="0083302B"/>
    <w:rsid w:val="00833526"/>
    <w:rsid w:val="008336EE"/>
    <w:rsid w:val="008340EC"/>
    <w:rsid w:val="00834B47"/>
    <w:rsid w:val="00835195"/>
    <w:rsid w:val="00835459"/>
    <w:rsid w:val="00835C3C"/>
    <w:rsid w:val="00835EE4"/>
    <w:rsid w:val="00836259"/>
    <w:rsid w:val="00836AC7"/>
    <w:rsid w:val="00836C77"/>
    <w:rsid w:val="00836E1B"/>
    <w:rsid w:val="008376CD"/>
    <w:rsid w:val="0083793C"/>
    <w:rsid w:val="00837BB6"/>
    <w:rsid w:val="00837C92"/>
    <w:rsid w:val="00837F0F"/>
    <w:rsid w:val="00837FEE"/>
    <w:rsid w:val="008404E0"/>
    <w:rsid w:val="008416E5"/>
    <w:rsid w:val="00841A00"/>
    <w:rsid w:val="00841ED7"/>
    <w:rsid w:val="0084210C"/>
    <w:rsid w:val="00842BBA"/>
    <w:rsid w:val="00842D41"/>
    <w:rsid w:val="00842E56"/>
    <w:rsid w:val="00843029"/>
    <w:rsid w:val="00843420"/>
    <w:rsid w:val="00843B5D"/>
    <w:rsid w:val="00843BE2"/>
    <w:rsid w:val="00843C5D"/>
    <w:rsid w:val="00843F87"/>
    <w:rsid w:val="00844448"/>
    <w:rsid w:val="008447D4"/>
    <w:rsid w:val="0084506C"/>
    <w:rsid w:val="008454BD"/>
    <w:rsid w:val="0084570E"/>
    <w:rsid w:val="00845B66"/>
    <w:rsid w:val="00846126"/>
    <w:rsid w:val="008463AA"/>
    <w:rsid w:val="008463F3"/>
    <w:rsid w:val="00846509"/>
    <w:rsid w:val="008467CB"/>
    <w:rsid w:val="008467D3"/>
    <w:rsid w:val="00846845"/>
    <w:rsid w:val="00846D76"/>
    <w:rsid w:val="00847650"/>
    <w:rsid w:val="008476DC"/>
    <w:rsid w:val="00847829"/>
    <w:rsid w:val="008479B1"/>
    <w:rsid w:val="0085005F"/>
    <w:rsid w:val="008500F5"/>
    <w:rsid w:val="0085030C"/>
    <w:rsid w:val="0085062F"/>
    <w:rsid w:val="00850CBE"/>
    <w:rsid w:val="00851307"/>
    <w:rsid w:val="008515B1"/>
    <w:rsid w:val="008518F3"/>
    <w:rsid w:val="00851C40"/>
    <w:rsid w:val="00851F2D"/>
    <w:rsid w:val="00852239"/>
    <w:rsid w:val="00852508"/>
    <w:rsid w:val="00852578"/>
    <w:rsid w:val="008525B6"/>
    <w:rsid w:val="00852E5B"/>
    <w:rsid w:val="0085323E"/>
    <w:rsid w:val="008535EB"/>
    <w:rsid w:val="00853677"/>
    <w:rsid w:val="00853943"/>
    <w:rsid w:val="00853A88"/>
    <w:rsid w:val="00853ACD"/>
    <w:rsid w:val="00853ACF"/>
    <w:rsid w:val="00853CA6"/>
    <w:rsid w:val="00853F1F"/>
    <w:rsid w:val="008544D3"/>
    <w:rsid w:val="00854AD2"/>
    <w:rsid w:val="00855089"/>
    <w:rsid w:val="0085525C"/>
    <w:rsid w:val="008558A1"/>
    <w:rsid w:val="00855A1E"/>
    <w:rsid w:val="00855DEB"/>
    <w:rsid w:val="0085642F"/>
    <w:rsid w:val="0085645A"/>
    <w:rsid w:val="00856554"/>
    <w:rsid w:val="0085717F"/>
    <w:rsid w:val="008573AF"/>
    <w:rsid w:val="008573F8"/>
    <w:rsid w:val="00857645"/>
    <w:rsid w:val="00857798"/>
    <w:rsid w:val="008577D9"/>
    <w:rsid w:val="00857BEA"/>
    <w:rsid w:val="00857D80"/>
    <w:rsid w:val="00857EAB"/>
    <w:rsid w:val="008602FC"/>
    <w:rsid w:val="0086045C"/>
    <w:rsid w:val="008607FA"/>
    <w:rsid w:val="00860989"/>
    <w:rsid w:val="00860CF9"/>
    <w:rsid w:val="008614A8"/>
    <w:rsid w:val="00861DEF"/>
    <w:rsid w:val="008622D3"/>
    <w:rsid w:val="0086268A"/>
    <w:rsid w:val="00862BD4"/>
    <w:rsid w:val="00862BFA"/>
    <w:rsid w:val="00862D35"/>
    <w:rsid w:val="00862DC6"/>
    <w:rsid w:val="00862EE5"/>
    <w:rsid w:val="008639A2"/>
    <w:rsid w:val="00863BBB"/>
    <w:rsid w:val="008640FD"/>
    <w:rsid w:val="0086426C"/>
    <w:rsid w:val="00864321"/>
    <w:rsid w:val="008644D5"/>
    <w:rsid w:val="00864A96"/>
    <w:rsid w:val="00864E19"/>
    <w:rsid w:val="00864FDD"/>
    <w:rsid w:val="00865020"/>
    <w:rsid w:val="0086526F"/>
    <w:rsid w:val="00865385"/>
    <w:rsid w:val="0086564F"/>
    <w:rsid w:val="00865676"/>
    <w:rsid w:val="00865681"/>
    <w:rsid w:val="00865A34"/>
    <w:rsid w:val="00865AF5"/>
    <w:rsid w:val="00865C9A"/>
    <w:rsid w:val="00866618"/>
    <w:rsid w:val="00866770"/>
    <w:rsid w:val="00867578"/>
    <w:rsid w:val="008678FC"/>
    <w:rsid w:val="00867B6B"/>
    <w:rsid w:val="00867FDD"/>
    <w:rsid w:val="0087000F"/>
    <w:rsid w:val="0087020C"/>
    <w:rsid w:val="008706D6"/>
    <w:rsid w:val="00870788"/>
    <w:rsid w:val="00870923"/>
    <w:rsid w:val="00870A8A"/>
    <w:rsid w:val="00870AFC"/>
    <w:rsid w:val="00870F67"/>
    <w:rsid w:val="00870F6E"/>
    <w:rsid w:val="00871028"/>
    <w:rsid w:val="008715CC"/>
    <w:rsid w:val="008717FE"/>
    <w:rsid w:val="00872589"/>
    <w:rsid w:val="00872770"/>
    <w:rsid w:val="00872A89"/>
    <w:rsid w:val="00872C07"/>
    <w:rsid w:val="00873125"/>
    <w:rsid w:val="008731F2"/>
    <w:rsid w:val="00873754"/>
    <w:rsid w:val="00873CF3"/>
    <w:rsid w:val="008746D7"/>
    <w:rsid w:val="00874D5D"/>
    <w:rsid w:val="0087502F"/>
    <w:rsid w:val="008752FC"/>
    <w:rsid w:val="008755BD"/>
    <w:rsid w:val="00875FA4"/>
    <w:rsid w:val="00876313"/>
    <w:rsid w:val="008763C8"/>
    <w:rsid w:val="0087656D"/>
    <w:rsid w:val="0087672D"/>
    <w:rsid w:val="00876902"/>
    <w:rsid w:val="00876E33"/>
    <w:rsid w:val="00877745"/>
    <w:rsid w:val="008779E9"/>
    <w:rsid w:val="00877ADA"/>
    <w:rsid w:val="00877D2C"/>
    <w:rsid w:val="00877D6E"/>
    <w:rsid w:val="00877E35"/>
    <w:rsid w:val="0088014E"/>
    <w:rsid w:val="008807CE"/>
    <w:rsid w:val="00880AA4"/>
    <w:rsid w:val="00880B6B"/>
    <w:rsid w:val="00880BAB"/>
    <w:rsid w:val="00880C8D"/>
    <w:rsid w:val="008812A7"/>
    <w:rsid w:val="00881646"/>
    <w:rsid w:val="008817FF"/>
    <w:rsid w:val="0088239C"/>
    <w:rsid w:val="00882745"/>
    <w:rsid w:val="008828F7"/>
    <w:rsid w:val="00882946"/>
    <w:rsid w:val="00882A65"/>
    <w:rsid w:val="00882C4D"/>
    <w:rsid w:val="00882D67"/>
    <w:rsid w:val="00882E58"/>
    <w:rsid w:val="00882F94"/>
    <w:rsid w:val="0088318D"/>
    <w:rsid w:val="008835B1"/>
    <w:rsid w:val="00883B3F"/>
    <w:rsid w:val="00883EE0"/>
    <w:rsid w:val="00883EFA"/>
    <w:rsid w:val="008840AD"/>
    <w:rsid w:val="008841BF"/>
    <w:rsid w:val="008846E2"/>
    <w:rsid w:val="00884A91"/>
    <w:rsid w:val="00884E92"/>
    <w:rsid w:val="008851BE"/>
    <w:rsid w:val="00885538"/>
    <w:rsid w:val="00885960"/>
    <w:rsid w:val="00885A63"/>
    <w:rsid w:val="00885ADA"/>
    <w:rsid w:val="00885B81"/>
    <w:rsid w:val="00886188"/>
    <w:rsid w:val="00886263"/>
    <w:rsid w:val="00886342"/>
    <w:rsid w:val="0088651F"/>
    <w:rsid w:val="00886632"/>
    <w:rsid w:val="00886EC6"/>
    <w:rsid w:val="00887063"/>
    <w:rsid w:val="008876D5"/>
    <w:rsid w:val="00887798"/>
    <w:rsid w:val="0088796B"/>
    <w:rsid w:val="00887D83"/>
    <w:rsid w:val="00887F1B"/>
    <w:rsid w:val="008900CF"/>
    <w:rsid w:val="008903F8"/>
    <w:rsid w:val="008905B9"/>
    <w:rsid w:val="00890709"/>
    <w:rsid w:val="00890F94"/>
    <w:rsid w:val="00891AE3"/>
    <w:rsid w:val="00891D67"/>
    <w:rsid w:val="0089203B"/>
    <w:rsid w:val="00892165"/>
    <w:rsid w:val="008922CF"/>
    <w:rsid w:val="008923D1"/>
    <w:rsid w:val="008925B9"/>
    <w:rsid w:val="00892827"/>
    <w:rsid w:val="00892AEE"/>
    <w:rsid w:val="008937AC"/>
    <w:rsid w:val="008937CB"/>
    <w:rsid w:val="00893EA3"/>
    <w:rsid w:val="00893FF7"/>
    <w:rsid w:val="0089427B"/>
    <w:rsid w:val="008942A5"/>
    <w:rsid w:val="008943FD"/>
    <w:rsid w:val="0089483C"/>
    <w:rsid w:val="00894A6B"/>
    <w:rsid w:val="00894A7F"/>
    <w:rsid w:val="00895214"/>
    <w:rsid w:val="00895670"/>
    <w:rsid w:val="008956F3"/>
    <w:rsid w:val="00895DCC"/>
    <w:rsid w:val="00895E5A"/>
    <w:rsid w:val="008962BC"/>
    <w:rsid w:val="008973BA"/>
    <w:rsid w:val="00897502"/>
    <w:rsid w:val="00897602"/>
    <w:rsid w:val="0089773D"/>
    <w:rsid w:val="00897855"/>
    <w:rsid w:val="00897A17"/>
    <w:rsid w:val="00897BAC"/>
    <w:rsid w:val="008A03C3"/>
    <w:rsid w:val="008A045F"/>
    <w:rsid w:val="008A0555"/>
    <w:rsid w:val="008A097F"/>
    <w:rsid w:val="008A0994"/>
    <w:rsid w:val="008A0B6D"/>
    <w:rsid w:val="008A0E02"/>
    <w:rsid w:val="008A0E63"/>
    <w:rsid w:val="008A0F85"/>
    <w:rsid w:val="008A148F"/>
    <w:rsid w:val="008A14BA"/>
    <w:rsid w:val="008A14F8"/>
    <w:rsid w:val="008A173F"/>
    <w:rsid w:val="008A1EFD"/>
    <w:rsid w:val="008A1F90"/>
    <w:rsid w:val="008A210B"/>
    <w:rsid w:val="008A211F"/>
    <w:rsid w:val="008A2385"/>
    <w:rsid w:val="008A2790"/>
    <w:rsid w:val="008A279B"/>
    <w:rsid w:val="008A2830"/>
    <w:rsid w:val="008A2987"/>
    <w:rsid w:val="008A2ACB"/>
    <w:rsid w:val="008A2C5D"/>
    <w:rsid w:val="008A30BD"/>
    <w:rsid w:val="008A34B6"/>
    <w:rsid w:val="008A3C32"/>
    <w:rsid w:val="008A444A"/>
    <w:rsid w:val="008A46CB"/>
    <w:rsid w:val="008A4876"/>
    <w:rsid w:val="008A4B83"/>
    <w:rsid w:val="008A4CFD"/>
    <w:rsid w:val="008A4F57"/>
    <w:rsid w:val="008A52CE"/>
    <w:rsid w:val="008A5432"/>
    <w:rsid w:val="008A544C"/>
    <w:rsid w:val="008A574C"/>
    <w:rsid w:val="008A5800"/>
    <w:rsid w:val="008A5BC7"/>
    <w:rsid w:val="008A5E2C"/>
    <w:rsid w:val="008A5E8C"/>
    <w:rsid w:val="008A67A1"/>
    <w:rsid w:val="008A6A25"/>
    <w:rsid w:val="008A6ED8"/>
    <w:rsid w:val="008A720F"/>
    <w:rsid w:val="008A77BD"/>
    <w:rsid w:val="008A7949"/>
    <w:rsid w:val="008A7A03"/>
    <w:rsid w:val="008A7AF1"/>
    <w:rsid w:val="008A7B45"/>
    <w:rsid w:val="008A7EC0"/>
    <w:rsid w:val="008B0BA7"/>
    <w:rsid w:val="008B0E9B"/>
    <w:rsid w:val="008B103F"/>
    <w:rsid w:val="008B1130"/>
    <w:rsid w:val="008B12FC"/>
    <w:rsid w:val="008B19DC"/>
    <w:rsid w:val="008B1C8C"/>
    <w:rsid w:val="008B1DFA"/>
    <w:rsid w:val="008B1E06"/>
    <w:rsid w:val="008B200F"/>
    <w:rsid w:val="008B20A4"/>
    <w:rsid w:val="008B2520"/>
    <w:rsid w:val="008B2582"/>
    <w:rsid w:val="008B2720"/>
    <w:rsid w:val="008B2F1A"/>
    <w:rsid w:val="008B31AD"/>
    <w:rsid w:val="008B329A"/>
    <w:rsid w:val="008B331F"/>
    <w:rsid w:val="008B3960"/>
    <w:rsid w:val="008B3A87"/>
    <w:rsid w:val="008B3B8E"/>
    <w:rsid w:val="008B3C1B"/>
    <w:rsid w:val="008B3C1F"/>
    <w:rsid w:val="008B3D7A"/>
    <w:rsid w:val="008B4243"/>
    <w:rsid w:val="008B4700"/>
    <w:rsid w:val="008B47F4"/>
    <w:rsid w:val="008B4953"/>
    <w:rsid w:val="008B4BFD"/>
    <w:rsid w:val="008B4C60"/>
    <w:rsid w:val="008B4E19"/>
    <w:rsid w:val="008B4F72"/>
    <w:rsid w:val="008B58E4"/>
    <w:rsid w:val="008B5A61"/>
    <w:rsid w:val="008B5F19"/>
    <w:rsid w:val="008B5F58"/>
    <w:rsid w:val="008B6190"/>
    <w:rsid w:val="008B6231"/>
    <w:rsid w:val="008B6367"/>
    <w:rsid w:val="008B63AD"/>
    <w:rsid w:val="008B6939"/>
    <w:rsid w:val="008B6A05"/>
    <w:rsid w:val="008B6ADB"/>
    <w:rsid w:val="008B74A7"/>
    <w:rsid w:val="008B7546"/>
    <w:rsid w:val="008B757C"/>
    <w:rsid w:val="008B77EC"/>
    <w:rsid w:val="008B7C5A"/>
    <w:rsid w:val="008B7ECB"/>
    <w:rsid w:val="008C048E"/>
    <w:rsid w:val="008C052D"/>
    <w:rsid w:val="008C0557"/>
    <w:rsid w:val="008C0771"/>
    <w:rsid w:val="008C0845"/>
    <w:rsid w:val="008C08B7"/>
    <w:rsid w:val="008C0D3F"/>
    <w:rsid w:val="008C15BB"/>
    <w:rsid w:val="008C1779"/>
    <w:rsid w:val="008C186A"/>
    <w:rsid w:val="008C1DC1"/>
    <w:rsid w:val="008C21A0"/>
    <w:rsid w:val="008C287C"/>
    <w:rsid w:val="008C28B3"/>
    <w:rsid w:val="008C292B"/>
    <w:rsid w:val="008C34C1"/>
    <w:rsid w:val="008C3591"/>
    <w:rsid w:val="008C3853"/>
    <w:rsid w:val="008C3982"/>
    <w:rsid w:val="008C3A88"/>
    <w:rsid w:val="008C3AC1"/>
    <w:rsid w:val="008C3B2A"/>
    <w:rsid w:val="008C3D73"/>
    <w:rsid w:val="008C41CD"/>
    <w:rsid w:val="008C4270"/>
    <w:rsid w:val="008C44FA"/>
    <w:rsid w:val="008C482E"/>
    <w:rsid w:val="008C4BB0"/>
    <w:rsid w:val="008C4E7C"/>
    <w:rsid w:val="008C4E96"/>
    <w:rsid w:val="008C4EB8"/>
    <w:rsid w:val="008C4F08"/>
    <w:rsid w:val="008C4FFE"/>
    <w:rsid w:val="008C51AD"/>
    <w:rsid w:val="008C52AE"/>
    <w:rsid w:val="008C5A8B"/>
    <w:rsid w:val="008C5EAC"/>
    <w:rsid w:val="008C5F93"/>
    <w:rsid w:val="008C61B0"/>
    <w:rsid w:val="008C627C"/>
    <w:rsid w:val="008C6BA6"/>
    <w:rsid w:val="008C6E3D"/>
    <w:rsid w:val="008C6FD3"/>
    <w:rsid w:val="008C70EB"/>
    <w:rsid w:val="008C71DE"/>
    <w:rsid w:val="008C78EA"/>
    <w:rsid w:val="008C7C23"/>
    <w:rsid w:val="008C7FA7"/>
    <w:rsid w:val="008D0E8E"/>
    <w:rsid w:val="008D1047"/>
    <w:rsid w:val="008D155D"/>
    <w:rsid w:val="008D1566"/>
    <w:rsid w:val="008D15E6"/>
    <w:rsid w:val="008D21BB"/>
    <w:rsid w:val="008D229E"/>
    <w:rsid w:val="008D24C5"/>
    <w:rsid w:val="008D24FA"/>
    <w:rsid w:val="008D24FF"/>
    <w:rsid w:val="008D2F91"/>
    <w:rsid w:val="008D34B0"/>
    <w:rsid w:val="008D36D2"/>
    <w:rsid w:val="008D3E05"/>
    <w:rsid w:val="008D3FE4"/>
    <w:rsid w:val="008D415F"/>
    <w:rsid w:val="008D463D"/>
    <w:rsid w:val="008D4D84"/>
    <w:rsid w:val="008D5099"/>
    <w:rsid w:val="008D536E"/>
    <w:rsid w:val="008D5506"/>
    <w:rsid w:val="008D5659"/>
    <w:rsid w:val="008D57A3"/>
    <w:rsid w:val="008D5C9A"/>
    <w:rsid w:val="008D5D6F"/>
    <w:rsid w:val="008D5DAB"/>
    <w:rsid w:val="008D638E"/>
    <w:rsid w:val="008D6641"/>
    <w:rsid w:val="008D6847"/>
    <w:rsid w:val="008D6968"/>
    <w:rsid w:val="008D6C68"/>
    <w:rsid w:val="008D71F3"/>
    <w:rsid w:val="008D746A"/>
    <w:rsid w:val="008D75FA"/>
    <w:rsid w:val="008D7AFD"/>
    <w:rsid w:val="008D7DEB"/>
    <w:rsid w:val="008D7E3E"/>
    <w:rsid w:val="008D7EA6"/>
    <w:rsid w:val="008E0029"/>
    <w:rsid w:val="008E01BA"/>
    <w:rsid w:val="008E0219"/>
    <w:rsid w:val="008E030F"/>
    <w:rsid w:val="008E03B3"/>
    <w:rsid w:val="008E0535"/>
    <w:rsid w:val="008E054A"/>
    <w:rsid w:val="008E08F2"/>
    <w:rsid w:val="008E0ABF"/>
    <w:rsid w:val="008E0D33"/>
    <w:rsid w:val="008E0DE2"/>
    <w:rsid w:val="008E0EF1"/>
    <w:rsid w:val="008E19E9"/>
    <w:rsid w:val="008E1A0B"/>
    <w:rsid w:val="008E1CA4"/>
    <w:rsid w:val="008E22E0"/>
    <w:rsid w:val="008E2338"/>
    <w:rsid w:val="008E260B"/>
    <w:rsid w:val="008E288B"/>
    <w:rsid w:val="008E2BCC"/>
    <w:rsid w:val="008E2EE9"/>
    <w:rsid w:val="008E3A18"/>
    <w:rsid w:val="008E4157"/>
    <w:rsid w:val="008E46F6"/>
    <w:rsid w:val="008E4E17"/>
    <w:rsid w:val="008E52E7"/>
    <w:rsid w:val="008E53DB"/>
    <w:rsid w:val="008E55C1"/>
    <w:rsid w:val="008E5757"/>
    <w:rsid w:val="008E5909"/>
    <w:rsid w:val="008E5A4E"/>
    <w:rsid w:val="008E5C8F"/>
    <w:rsid w:val="008E5F66"/>
    <w:rsid w:val="008E646A"/>
    <w:rsid w:val="008E68B9"/>
    <w:rsid w:val="008E6D37"/>
    <w:rsid w:val="008E6E86"/>
    <w:rsid w:val="008E6F52"/>
    <w:rsid w:val="008E6F6B"/>
    <w:rsid w:val="008E6FF7"/>
    <w:rsid w:val="008E702F"/>
    <w:rsid w:val="008E712B"/>
    <w:rsid w:val="008E7155"/>
    <w:rsid w:val="008E71FB"/>
    <w:rsid w:val="008E7365"/>
    <w:rsid w:val="008E78ED"/>
    <w:rsid w:val="008F0248"/>
    <w:rsid w:val="008F0288"/>
    <w:rsid w:val="008F0671"/>
    <w:rsid w:val="008F07B8"/>
    <w:rsid w:val="008F080D"/>
    <w:rsid w:val="008F0932"/>
    <w:rsid w:val="008F0945"/>
    <w:rsid w:val="008F0A86"/>
    <w:rsid w:val="008F0AB8"/>
    <w:rsid w:val="008F0AED"/>
    <w:rsid w:val="008F0BD8"/>
    <w:rsid w:val="008F0D11"/>
    <w:rsid w:val="008F0EF5"/>
    <w:rsid w:val="008F0F0D"/>
    <w:rsid w:val="008F108B"/>
    <w:rsid w:val="008F1238"/>
    <w:rsid w:val="008F1351"/>
    <w:rsid w:val="008F13E9"/>
    <w:rsid w:val="008F14CA"/>
    <w:rsid w:val="008F14E8"/>
    <w:rsid w:val="008F1C6B"/>
    <w:rsid w:val="008F20E0"/>
    <w:rsid w:val="008F24BD"/>
    <w:rsid w:val="008F257A"/>
    <w:rsid w:val="008F2A47"/>
    <w:rsid w:val="008F2FA5"/>
    <w:rsid w:val="008F35D9"/>
    <w:rsid w:val="008F3793"/>
    <w:rsid w:val="008F3F41"/>
    <w:rsid w:val="008F412A"/>
    <w:rsid w:val="008F438C"/>
    <w:rsid w:val="008F43D6"/>
    <w:rsid w:val="008F45AC"/>
    <w:rsid w:val="008F45BC"/>
    <w:rsid w:val="008F48C6"/>
    <w:rsid w:val="008F49F3"/>
    <w:rsid w:val="008F5138"/>
    <w:rsid w:val="008F525C"/>
    <w:rsid w:val="008F5309"/>
    <w:rsid w:val="008F540C"/>
    <w:rsid w:val="008F58A7"/>
    <w:rsid w:val="008F6060"/>
    <w:rsid w:val="008F6426"/>
    <w:rsid w:val="008F6607"/>
    <w:rsid w:val="008F6AB0"/>
    <w:rsid w:val="008F6B8B"/>
    <w:rsid w:val="008F6BEC"/>
    <w:rsid w:val="00900077"/>
    <w:rsid w:val="0090097F"/>
    <w:rsid w:val="00900D92"/>
    <w:rsid w:val="0090146E"/>
    <w:rsid w:val="009015F4"/>
    <w:rsid w:val="00901E4D"/>
    <w:rsid w:val="0090296B"/>
    <w:rsid w:val="00902972"/>
    <w:rsid w:val="00903424"/>
    <w:rsid w:val="00904206"/>
    <w:rsid w:val="0090441B"/>
    <w:rsid w:val="00904551"/>
    <w:rsid w:val="0090516B"/>
    <w:rsid w:val="00905456"/>
    <w:rsid w:val="00905BE3"/>
    <w:rsid w:val="0090621C"/>
    <w:rsid w:val="00906618"/>
    <w:rsid w:val="0090662F"/>
    <w:rsid w:val="00906BB6"/>
    <w:rsid w:val="00906C4A"/>
    <w:rsid w:val="00907397"/>
    <w:rsid w:val="00907986"/>
    <w:rsid w:val="00907A72"/>
    <w:rsid w:val="00907D90"/>
    <w:rsid w:val="00910078"/>
    <w:rsid w:val="0091026F"/>
    <w:rsid w:val="009104AB"/>
    <w:rsid w:val="00910866"/>
    <w:rsid w:val="0091095D"/>
    <w:rsid w:val="00910D99"/>
    <w:rsid w:val="00910E2C"/>
    <w:rsid w:val="009110AD"/>
    <w:rsid w:val="009111CC"/>
    <w:rsid w:val="009114FF"/>
    <w:rsid w:val="00911A79"/>
    <w:rsid w:val="00911D8B"/>
    <w:rsid w:val="00911DAD"/>
    <w:rsid w:val="0091244E"/>
    <w:rsid w:val="00912464"/>
    <w:rsid w:val="00912662"/>
    <w:rsid w:val="009127CC"/>
    <w:rsid w:val="00912D42"/>
    <w:rsid w:val="009133DD"/>
    <w:rsid w:val="00913BE6"/>
    <w:rsid w:val="009141D1"/>
    <w:rsid w:val="00914234"/>
    <w:rsid w:val="00914525"/>
    <w:rsid w:val="00914722"/>
    <w:rsid w:val="009151EB"/>
    <w:rsid w:val="00915465"/>
    <w:rsid w:val="009158B9"/>
    <w:rsid w:val="00915A71"/>
    <w:rsid w:val="009160F5"/>
    <w:rsid w:val="0091620A"/>
    <w:rsid w:val="00916242"/>
    <w:rsid w:val="00916301"/>
    <w:rsid w:val="00916863"/>
    <w:rsid w:val="0091688E"/>
    <w:rsid w:val="00916F1E"/>
    <w:rsid w:val="00917458"/>
    <w:rsid w:val="00917CA8"/>
    <w:rsid w:val="0092096D"/>
    <w:rsid w:val="00920975"/>
    <w:rsid w:val="009214FB"/>
    <w:rsid w:val="009217B9"/>
    <w:rsid w:val="00921D9C"/>
    <w:rsid w:val="00921E56"/>
    <w:rsid w:val="009221ED"/>
    <w:rsid w:val="0092259C"/>
    <w:rsid w:val="009227F6"/>
    <w:rsid w:val="009228A9"/>
    <w:rsid w:val="00923385"/>
    <w:rsid w:val="009234E2"/>
    <w:rsid w:val="00923EDA"/>
    <w:rsid w:val="009243BC"/>
    <w:rsid w:val="00925099"/>
    <w:rsid w:val="009261AF"/>
    <w:rsid w:val="00926AD0"/>
    <w:rsid w:val="00926F12"/>
    <w:rsid w:val="00927055"/>
    <w:rsid w:val="0092771A"/>
    <w:rsid w:val="009278B2"/>
    <w:rsid w:val="009278EB"/>
    <w:rsid w:val="00927984"/>
    <w:rsid w:val="00927C90"/>
    <w:rsid w:val="00927DE3"/>
    <w:rsid w:val="00930591"/>
    <w:rsid w:val="00930609"/>
    <w:rsid w:val="00930B72"/>
    <w:rsid w:val="0093110E"/>
    <w:rsid w:val="0093122C"/>
    <w:rsid w:val="009315FC"/>
    <w:rsid w:val="009316A9"/>
    <w:rsid w:val="009316C7"/>
    <w:rsid w:val="0093196E"/>
    <w:rsid w:val="00931A58"/>
    <w:rsid w:val="00932027"/>
    <w:rsid w:val="00932113"/>
    <w:rsid w:val="00932670"/>
    <w:rsid w:val="00932AD7"/>
    <w:rsid w:val="00932AFD"/>
    <w:rsid w:val="00932DAC"/>
    <w:rsid w:val="00932E71"/>
    <w:rsid w:val="009332E0"/>
    <w:rsid w:val="00933669"/>
    <w:rsid w:val="00933690"/>
    <w:rsid w:val="00933AC3"/>
    <w:rsid w:val="0093423C"/>
    <w:rsid w:val="00934641"/>
    <w:rsid w:val="00934A83"/>
    <w:rsid w:val="00934DE7"/>
    <w:rsid w:val="00934E11"/>
    <w:rsid w:val="00935130"/>
    <w:rsid w:val="00935153"/>
    <w:rsid w:val="009352C5"/>
    <w:rsid w:val="00935534"/>
    <w:rsid w:val="0093562F"/>
    <w:rsid w:val="00935727"/>
    <w:rsid w:val="0093573A"/>
    <w:rsid w:val="00935929"/>
    <w:rsid w:val="009359EE"/>
    <w:rsid w:val="00935D1C"/>
    <w:rsid w:val="00935DD0"/>
    <w:rsid w:val="00935F61"/>
    <w:rsid w:val="009360BB"/>
    <w:rsid w:val="00936493"/>
    <w:rsid w:val="009366CE"/>
    <w:rsid w:val="00936981"/>
    <w:rsid w:val="00936B1F"/>
    <w:rsid w:val="0093775C"/>
    <w:rsid w:val="00937887"/>
    <w:rsid w:val="009379F0"/>
    <w:rsid w:val="00937A54"/>
    <w:rsid w:val="00937A67"/>
    <w:rsid w:val="00937BEC"/>
    <w:rsid w:val="00940258"/>
    <w:rsid w:val="00940463"/>
    <w:rsid w:val="0094055F"/>
    <w:rsid w:val="009405FA"/>
    <w:rsid w:val="00940757"/>
    <w:rsid w:val="009407D4"/>
    <w:rsid w:val="00940DC6"/>
    <w:rsid w:val="00941639"/>
    <w:rsid w:val="00941A0C"/>
    <w:rsid w:val="00941A8A"/>
    <w:rsid w:val="00941B4B"/>
    <w:rsid w:val="00941FF5"/>
    <w:rsid w:val="009424D8"/>
    <w:rsid w:val="0094282B"/>
    <w:rsid w:val="00942B2E"/>
    <w:rsid w:val="00942DF0"/>
    <w:rsid w:val="00943238"/>
    <w:rsid w:val="00943429"/>
    <w:rsid w:val="00943463"/>
    <w:rsid w:val="00943464"/>
    <w:rsid w:val="009434EB"/>
    <w:rsid w:val="00943572"/>
    <w:rsid w:val="00943CFE"/>
    <w:rsid w:val="00943D56"/>
    <w:rsid w:val="00943EE9"/>
    <w:rsid w:val="00943F5C"/>
    <w:rsid w:val="00943F96"/>
    <w:rsid w:val="00943FA2"/>
    <w:rsid w:val="00944494"/>
    <w:rsid w:val="0094494D"/>
    <w:rsid w:val="00944BA5"/>
    <w:rsid w:val="00944E59"/>
    <w:rsid w:val="00944FD3"/>
    <w:rsid w:val="009451D2"/>
    <w:rsid w:val="00945401"/>
    <w:rsid w:val="009456F4"/>
    <w:rsid w:val="009459F4"/>
    <w:rsid w:val="00945ABE"/>
    <w:rsid w:val="00945D0F"/>
    <w:rsid w:val="00945E58"/>
    <w:rsid w:val="00945F58"/>
    <w:rsid w:val="00946127"/>
    <w:rsid w:val="009465FE"/>
    <w:rsid w:val="009466A9"/>
    <w:rsid w:val="0094689D"/>
    <w:rsid w:val="00946907"/>
    <w:rsid w:val="00946991"/>
    <w:rsid w:val="00947607"/>
    <w:rsid w:val="009477F9"/>
    <w:rsid w:val="00947F6B"/>
    <w:rsid w:val="009505EB"/>
    <w:rsid w:val="00950CAE"/>
    <w:rsid w:val="00951164"/>
    <w:rsid w:val="009512EC"/>
    <w:rsid w:val="009517B8"/>
    <w:rsid w:val="00951807"/>
    <w:rsid w:val="009522A9"/>
    <w:rsid w:val="00952767"/>
    <w:rsid w:val="00952E7D"/>
    <w:rsid w:val="0095315A"/>
    <w:rsid w:val="009534DD"/>
    <w:rsid w:val="009535C2"/>
    <w:rsid w:val="0095369D"/>
    <w:rsid w:val="00953A73"/>
    <w:rsid w:val="0095432C"/>
    <w:rsid w:val="00954747"/>
    <w:rsid w:val="00954BB2"/>
    <w:rsid w:val="00954D5A"/>
    <w:rsid w:val="009551A8"/>
    <w:rsid w:val="00955540"/>
    <w:rsid w:val="00955665"/>
    <w:rsid w:val="00955A76"/>
    <w:rsid w:val="00955BFB"/>
    <w:rsid w:val="00955C1A"/>
    <w:rsid w:val="00956116"/>
    <w:rsid w:val="009562CC"/>
    <w:rsid w:val="00956984"/>
    <w:rsid w:val="009569BE"/>
    <w:rsid w:val="009569E3"/>
    <w:rsid w:val="00956B6C"/>
    <w:rsid w:val="00957031"/>
    <w:rsid w:val="00957932"/>
    <w:rsid w:val="00957B5B"/>
    <w:rsid w:val="009601CB"/>
    <w:rsid w:val="00960349"/>
    <w:rsid w:val="0096059A"/>
    <w:rsid w:val="0096081E"/>
    <w:rsid w:val="0096095E"/>
    <w:rsid w:val="00960C64"/>
    <w:rsid w:val="00960D39"/>
    <w:rsid w:val="00960F7E"/>
    <w:rsid w:val="009611A5"/>
    <w:rsid w:val="00961279"/>
    <w:rsid w:val="0096193B"/>
    <w:rsid w:val="00961B25"/>
    <w:rsid w:val="00961BB2"/>
    <w:rsid w:val="009622A5"/>
    <w:rsid w:val="0096267A"/>
    <w:rsid w:val="0096270D"/>
    <w:rsid w:val="00962879"/>
    <w:rsid w:val="009629FE"/>
    <w:rsid w:val="00963188"/>
    <w:rsid w:val="00963240"/>
    <w:rsid w:val="00963957"/>
    <w:rsid w:val="00963B82"/>
    <w:rsid w:val="00964475"/>
    <w:rsid w:val="00964A6E"/>
    <w:rsid w:val="00964FB4"/>
    <w:rsid w:val="00965713"/>
    <w:rsid w:val="0096582E"/>
    <w:rsid w:val="00965DAE"/>
    <w:rsid w:val="009662BB"/>
    <w:rsid w:val="00966514"/>
    <w:rsid w:val="009666BD"/>
    <w:rsid w:val="00966B91"/>
    <w:rsid w:val="00966BE3"/>
    <w:rsid w:val="00966BFB"/>
    <w:rsid w:val="00966CC2"/>
    <w:rsid w:val="00966FF8"/>
    <w:rsid w:val="0096744A"/>
    <w:rsid w:val="0096749A"/>
    <w:rsid w:val="00967CDA"/>
    <w:rsid w:val="00970048"/>
    <w:rsid w:val="00970549"/>
    <w:rsid w:val="00970999"/>
    <w:rsid w:val="009713C4"/>
    <w:rsid w:val="00971647"/>
    <w:rsid w:val="00971831"/>
    <w:rsid w:val="00971CAF"/>
    <w:rsid w:val="00971F8D"/>
    <w:rsid w:val="0097216D"/>
    <w:rsid w:val="0097218A"/>
    <w:rsid w:val="00972D8F"/>
    <w:rsid w:val="00973C2B"/>
    <w:rsid w:val="00974255"/>
    <w:rsid w:val="0097437B"/>
    <w:rsid w:val="0097441E"/>
    <w:rsid w:val="00975466"/>
    <w:rsid w:val="00975740"/>
    <w:rsid w:val="00975756"/>
    <w:rsid w:val="009758AA"/>
    <w:rsid w:val="00975990"/>
    <w:rsid w:val="00975AF6"/>
    <w:rsid w:val="00975BED"/>
    <w:rsid w:val="00975FB0"/>
    <w:rsid w:val="009762C7"/>
    <w:rsid w:val="0097670F"/>
    <w:rsid w:val="00976BD6"/>
    <w:rsid w:val="00976C61"/>
    <w:rsid w:val="00976E84"/>
    <w:rsid w:val="00977057"/>
    <w:rsid w:val="0097710C"/>
    <w:rsid w:val="009775E0"/>
    <w:rsid w:val="00977AA1"/>
    <w:rsid w:val="009801B1"/>
    <w:rsid w:val="009803EC"/>
    <w:rsid w:val="00980BC3"/>
    <w:rsid w:val="00980DC7"/>
    <w:rsid w:val="00981215"/>
    <w:rsid w:val="009812AC"/>
    <w:rsid w:val="009812FC"/>
    <w:rsid w:val="009813BF"/>
    <w:rsid w:val="009816E3"/>
    <w:rsid w:val="009819CD"/>
    <w:rsid w:val="00981AC2"/>
    <w:rsid w:val="00982032"/>
    <w:rsid w:val="00982332"/>
    <w:rsid w:val="009824DD"/>
    <w:rsid w:val="00982C0D"/>
    <w:rsid w:val="00983028"/>
    <w:rsid w:val="009834ED"/>
    <w:rsid w:val="00983D98"/>
    <w:rsid w:val="00984295"/>
    <w:rsid w:val="009844B4"/>
    <w:rsid w:val="0098453B"/>
    <w:rsid w:val="0098461D"/>
    <w:rsid w:val="009849BE"/>
    <w:rsid w:val="00984BB9"/>
    <w:rsid w:val="00984D82"/>
    <w:rsid w:val="00985587"/>
    <w:rsid w:val="0098568D"/>
    <w:rsid w:val="0098572B"/>
    <w:rsid w:val="00985AEC"/>
    <w:rsid w:val="00985BC0"/>
    <w:rsid w:val="00985CB0"/>
    <w:rsid w:val="00985CDA"/>
    <w:rsid w:val="0098603A"/>
    <w:rsid w:val="00986137"/>
    <w:rsid w:val="00986B96"/>
    <w:rsid w:val="0098740B"/>
    <w:rsid w:val="00987506"/>
    <w:rsid w:val="00987512"/>
    <w:rsid w:val="009876D3"/>
    <w:rsid w:val="00987985"/>
    <w:rsid w:val="00987C6F"/>
    <w:rsid w:val="00990117"/>
    <w:rsid w:val="0099018C"/>
    <w:rsid w:val="00990708"/>
    <w:rsid w:val="00990718"/>
    <w:rsid w:val="00990C3D"/>
    <w:rsid w:val="00990F5C"/>
    <w:rsid w:val="00991200"/>
    <w:rsid w:val="009914A3"/>
    <w:rsid w:val="0099199D"/>
    <w:rsid w:val="00991AE9"/>
    <w:rsid w:val="00991B9A"/>
    <w:rsid w:val="00991D9A"/>
    <w:rsid w:val="00992110"/>
    <w:rsid w:val="0099238D"/>
    <w:rsid w:val="0099242C"/>
    <w:rsid w:val="0099244D"/>
    <w:rsid w:val="009927D8"/>
    <w:rsid w:val="00992837"/>
    <w:rsid w:val="00992A01"/>
    <w:rsid w:val="00993499"/>
    <w:rsid w:val="009934DB"/>
    <w:rsid w:val="009939CB"/>
    <w:rsid w:val="00993B07"/>
    <w:rsid w:val="00993D95"/>
    <w:rsid w:val="00994409"/>
    <w:rsid w:val="009945C0"/>
    <w:rsid w:val="00994879"/>
    <w:rsid w:val="009948FE"/>
    <w:rsid w:val="009949AE"/>
    <w:rsid w:val="00994D20"/>
    <w:rsid w:val="00994D3D"/>
    <w:rsid w:val="00995267"/>
    <w:rsid w:val="009952D8"/>
    <w:rsid w:val="009952F4"/>
    <w:rsid w:val="00995756"/>
    <w:rsid w:val="00995B58"/>
    <w:rsid w:val="00995B8C"/>
    <w:rsid w:val="00995C53"/>
    <w:rsid w:val="00995E08"/>
    <w:rsid w:val="00995E5A"/>
    <w:rsid w:val="009961EF"/>
    <w:rsid w:val="00996468"/>
    <w:rsid w:val="009966AD"/>
    <w:rsid w:val="009967AF"/>
    <w:rsid w:val="00996D27"/>
    <w:rsid w:val="00997125"/>
    <w:rsid w:val="00997D21"/>
    <w:rsid w:val="00997F39"/>
    <w:rsid w:val="009A0208"/>
    <w:rsid w:val="009A03AC"/>
    <w:rsid w:val="009A0574"/>
    <w:rsid w:val="009A0B05"/>
    <w:rsid w:val="009A0BE4"/>
    <w:rsid w:val="009A0C34"/>
    <w:rsid w:val="009A0DCD"/>
    <w:rsid w:val="009A1089"/>
    <w:rsid w:val="009A15C0"/>
    <w:rsid w:val="009A19DF"/>
    <w:rsid w:val="009A19F4"/>
    <w:rsid w:val="009A1B80"/>
    <w:rsid w:val="009A1D3F"/>
    <w:rsid w:val="009A1DCF"/>
    <w:rsid w:val="009A1F44"/>
    <w:rsid w:val="009A1F79"/>
    <w:rsid w:val="009A21EE"/>
    <w:rsid w:val="009A24A0"/>
    <w:rsid w:val="009A253B"/>
    <w:rsid w:val="009A2A20"/>
    <w:rsid w:val="009A3205"/>
    <w:rsid w:val="009A346F"/>
    <w:rsid w:val="009A3C6E"/>
    <w:rsid w:val="009A3CC7"/>
    <w:rsid w:val="009A3DA2"/>
    <w:rsid w:val="009A49BD"/>
    <w:rsid w:val="009A4B92"/>
    <w:rsid w:val="009A4E70"/>
    <w:rsid w:val="009A54A0"/>
    <w:rsid w:val="009A5F39"/>
    <w:rsid w:val="009A640C"/>
    <w:rsid w:val="009A671A"/>
    <w:rsid w:val="009A6A04"/>
    <w:rsid w:val="009A6A34"/>
    <w:rsid w:val="009A707C"/>
    <w:rsid w:val="009A74C7"/>
    <w:rsid w:val="009A7805"/>
    <w:rsid w:val="009A78A6"/>
    <w:rsid w:val="009A7BB0"/>
    <w:rsid w:val="009B01AE"/>
    <w:rsid w:val="009B04F2"/>
    <w:rsid w:val="009B0A43"/>
    <w:rsid w:val="009B0EAE"/>
    <w:rsid w:val="009B123D"/>
    <w:rsid w:val="009B12D4"/>
    <w:rsid w:val="009B19AB"/>
    <w:rsid w:val="009B1C1B"/>
    <w:rsid w:val="009B1DC8"/>
    <w:rsid w:val="009B1E55"/>
    <w:rsid w:val="009B1FF8"/>
    <w:rsid w:val="009B22AC"/>
    <w:rsid w:val="009B23BE"/>
    <w:rsid w:val="009B2486"/>
    <w:rsid w:val="009B2D28"/>
    <w:rsid w:val="009B2DE4"/>
    <w:rsid w:val="009B35B9"/>
    <w:rsid w:val="009B35BF"/>
    <w:rsid w:val="009B438B"/>
    <w:rsid w:val="009B4530"/>
    <w:rsid w:val="009B4C28"/>
    <w:rsid w:val="009B4C3E"/>
    <w:rsid w:val="009B4D2F"/>
    <w:rsid w:val="009B5038"/>
    <w:rsid w:val="009B56BE"/>
    <w:rsid w:val="009B573C"/>
    <w:rsid w:val="009B5A89"/>
    <w:rsid w:val="009B5C8F"/>
    <w:rsid w:val="009B6071"/>
    <w:rsid w:val="009B624C"/>
    <w:rsid w:val="009B6563"/>
    <w:rsid w:val="009B65D5"/>
    <w:rsid w:val="009B6E0F"/>
    <w:rsid w:val="009B6EF9"/>
    <w:rsid w:val="009B7356"/>
    <w:rsid w:val="009B75BD"/>
    <w:rsid w:val="009B78A7"/>
    <w:rsid w:val="009B7A30"/>
    <w:rsid w:val="009B7A8A"/>
    <w:rsid w:val="009B7CFD"/>
    <w:rsid w:val="009C03A2"/>
    <w:rsid w:val="009C0439"/>
    <w:rsid w:val="009C099B"/>
    <w:rsid w:val="009C0B86"/>
    <w:rsid w:val="009C113F"/>
    <w:rsid w:val="009C1832"/>
    <w:rsid w:val="009C1937"/>
    <w:rsid w:val="009C1978"/>
    <w:rsid w:val="009C1ADB"/>
    <w:rsid w:val="009C21E3"/>
    <w:rsid w:val="009C27DB"/>
    <w:rsid w:val="009C353A"/>
    <w:rsid w:val="009C36D1"/>
    <w:rsid w:val="009C37BF"/>
    <w:rsid w:val="009C3803"/>
    <w:rsid w:val="009C38AD"/>
    <w:rsid w:val="009C398A"/>
    <w:rsid w:val="009C39D9"/>
    <w:rsid w:val="009C407C"/>
    <w:rsid w:val="009C4676"/>
    <w:rsid w:val="009C4ADF"/>
    <w:rsid w:val="009C5220"/>
    <w:rsid w:val="009C5263"/>
    <w:rsid w:val="009C576C"/>
    <w:rsid w:val="009C5BB9"/>
    <w:rsid w:val="009C5FC3"/>
    <w:rsid w:val="009C60E9"/>
    <w:rsid w:val="009C6629"/>
    <w:rsid w:val="009C671C"/>
    <w:rsid w:val="009C6881"/>
    <w:rsid w:val="009C6EB9"/>
    <w:rsid w:val="009C77CA"/>
    <w:rsid w:val="009C7896"/>
    <w:rsid w:val="009C79FD"/>
    <w:rsid w:val="009C7E85"/>
    <w:rsid w:val="009D014A"/>
    <w:rsid w:val="009D0530"/>
    <w:rsid w:val="009D0843"/>
    <w:rsid w:val="009D0C23"/>
    <w:rsid w:val="009D0CF4"/>
    <w:rsid w:val="009D0D52"/>
    <w:rsid w:val="009D140A"/>
    <w:rsid w:val="009D16C5"/>
    <w:rsid w:val="009D1A74"/>
    <w:rsid w:val="009D1A85"/>
    <w:rsid w:val="009D1C65"/>
    <w:rsid w:val="009D1E9D"/>
    <w:rsid w:val="009D21D4"/>
    <w:rsid w:val="009D228D"/>
    <w:rsid w:val="009D2B87"/>
    <w:rsid w:val="009D2C76"/>
    <w:rsid w:val="009D2CDC"/>
    <w:rsid w:val="009D3079"/>
    <w:rsid w:val="009D313C"/>
    <w:rsid w:val="009D39E1"/>
    <w:rsid w:val="009D3D90"/>
    <w:rsid w:val="009D4060"/>
    <w:rsid w:val="009D43C4"/>
    <w:rsid w:val="009D4549"/>
    <w:rsid w:val="009D47C3"/>
    <w:rsid w:val="009D4831"/>
    <w:rsid w:val="009D4AF8"/>
    <w:rsid w:val="009D4C5D"/>
    <w:rsid w:val="009D5B6B"/>
    <w:rsid w:val="009D5C28"/>
    <w:rsid w:val="009D60AC"/>
    <w:rsid w:val="009D645F"/>
    <w:rsid w:val="009D6D3F"/>
    <w:rsid w:val="009D6FC5"/>
    <w:rsid w:val="009D7410"/>
    <w:rsid w:val="009D7601"/>
    <w:rsid w:val="009D7622"/>
    <w:rsid w:val="009E0004"/>
    <w:rsid w:val="009E055D"/>
    <w:rsid w:val="009E060E"/>
    <w:rsid w:val="009E085A"/>
    <w:rsid w:val="009E09DF"/>
    <w:rsid w:val="009E0AA4"/>
    <w:rsid w:val="009E0BE2"/>
    <w:rsid w:val="009E0BF9"/>
    <w:rsid w:val="009E0D0F"/>
    <w:rsid w:val="009E137C"/>
    <w:rsid w:val="009E188B"/>
    <w:rsid w:val="009E1908"/>
    <w:rsid w:val="009E1A9B"/>
    <w:rsid w:val="009E1DA0"/>
    <w:rsid w:val="009E2016"/>
    <w:rsid w:val="009E2463"/>
    <w:rsid w:val="009E2611"/>
    <w:rsid w:val="009E262E"/>
    <w:rsid w:val="009E2A52"/>
    <w:rsid w:val="009E2A77"/>
    <w:rsid w:val="009E2B4C"/>
    <w:rsid w:val="009E2C55"/>
    <w:rsid w:val="009E2E3F"/>
    <w:rsid w:val="009E2FAC"/>
    <w:rsid w:val="009E3E24"/>
    <w:rsid w:val="009E44A4"/>
    <w:rsid w:val="009E4A34"/>
    <w:rsid w:val="009E4DC4"/>
    <w:rsid w:val="009E4E3B"/>
    <w:rsid w:val="009E5187"/>
    <w:rsid w:val="009E59F4"/>
    <w:rsid w:val="009E5C70"/>
    <w:rsid w:val="009E5DD3"/>
    <w:rsid w:val="009E5EDA"/>
    <w:rsid w:val="009E610A"/>
    <w:rsid w:val="009E61B0"/>
    <w:rsid w:val="009E622E"/>
    <w:rsid w:val="009E62A8"/>
    <w:rsid w:val="009E6387"/>
    <w:rsid w:val="009E63F0"/>
    <w:rsid w:val="009E7209"/>
    <w:rsid w:val="009E75F6"/>
    <w:rsid w:val="009E760A"/>
    <w:rsid w:val="009E7BB1"/>
    <w:rsid w:val="009E7BCD"/>
    <w:rsid w:val="009E7BFC"/>
    <w:rsid w:val="009E7CC4"/>
    <w:rsid w:val="009E7D13"/>
    <w:rsid w:val="009F012F"/>
    <w:rsid w:val="009F0217"/>
    <w:rsid w:val="009F05AC"/>
    <w:rsid w:val="009F0707"/>
    <w:rsid w:val="009F086C"/>
    <w:rsid w:val="009F09BE"/>
    <w:rsid w:val="009F1191"/>
    <w:rsid w:val="009F11E5"/>
    <w:rsid w:val="009F1443"/>
    <w:rsid w:val="009F1448"/>
    <w:rsid w:val="009F1656"/>
    <w:rsid w:val="009F1778"/>
    <w:rsid w:val="009F1949"/>
    <w:rsid w:val="009F1EB0"/>
    <w:rsid w:val="009F1EEE"/>
    <w:rsid w:val="009F1F3F"/>
    <w:rsid w:val="009F2131"/>
    <w:rsid w:val="009F239C"/>
    <w:rsid w:val="009F274F"/>
    <w:rsid w:val="009F2E88"/>
    <w:rsid w:val="009F2F51"/>
    <w:rsid w:val="009F39A1"/>
    <w:rsid w:val="009F3EDA"/>
    <w:rsid w:val="009F3FE4"/>
    <w:rsid w:val="009F43DD"/>
    <w:rsid w:val="009F4740"/>
    <w:rsid w:val="009F4825"/>
    <w:rsid w:val="009F49FF"/>
    <w:rsid w:val="009F5594"/>
    <w:rsid w:val="009F560B"/>
    <w:rsid w:val="009F583E"/>
    <w:rsid w:val="009F58DD"/>
    <w:rsid w:val="009F5AC4"/>
    <w:rsid w:val="009F5CE6"/>
    <w:rsid w:val="009F60E0"/>
    <w:rsid w:val="009F6200"/>
    <w:rsid w:val="009F68A3"/>
    <w:rsid w:val="009F6B75"/>
    <w:rsid w:val="009F6F03"/>
    <w:rsid w:val="009F6F3D"/>
    <w:rsid w:val="009F7178"/>
    <w:rsid w:val="009F71A2"/>
    <w:rsid w:val="009F71FD"/>
    <w:rsid w:val="009F74DB"/>
    <w:rsid w:val="009F77DF"/>
    <w:rsid w:val="009F7813"/>
    <w:rsid w:val="009F7930"/>
    <w:rsid w:val="009F7F8E"/>
    <w:rsid w:val="00A00140"/>
    <w:rsid w:val="00A00221"/>
    <w:rsid w:val="00A00437"/>
    <w:rsid w:val="00A00792"/>
    <w:rsid w:val="00A00BCB"/>
    <w:rsid w:val="00A00DDA"/>
    <w:rsid w:val="00A012A7"/>
    <w:rsid w:val="00A01385"/>
    <w:rsid w:val="00A016A9"/>
    <w:rsid w:val="00A01A18"/>
    <w:rsid w:val="00A01B9D"/>
    <w:rsid w:val="00A01E84"/>
    <w:rsid w:val="00A0201C"/>
    <w:rsid w:val="00A0231A"/>
    <w:rsid w:val="00A02C0A"/>
    <w:rsid w:val="00A03068"/>
    <w:rsid w:val="00A03652"/>
    <w:rsid w:val="00A03A2A"/>
    <w:rsid w:val="00A03AFF"/>
    <w:rsid w:val="00A03E4B"/>
    <w:rsid w:val="00A03EB2"/>
    <w:rsid w:val="00A047DA"/>
    <w:rsid w:val="00A0480E"/>
    <w:rsid w:val="00A04844"/>
    <w:rsid w:val="00A04982"/>
    <w:rsid w:val="00A04AA0"/>
    <w:rsid w:val="00A051EA"/>
    <w:rsid w:val="00A0588A"/>
    <w:rsid w:val="00A05CA6"/>
    <w:rsid w:val="00A05CF4"/>
    <w:rsid w:val="00A063F5"/>
    <w:rsid w:val="00A06990"/>
    <w:rsid w:val="00A06DC4"/>
    <w:rsid w:val="00A06ED8"/>
    <w:rsid w:val="00A06F9D"/>
    <w:rsid w:val="00A070D9"/>
    <w:rsid w:val="00A07301"/>
    <w:rsid w:val="00A0738D"/>
    <w:rsid w:val="00A07570"/>
    <w:rsid w:val="00A10103"/>
    <w:rsid w:val="00A1054B"/>
    <w:rsid w:val="00A10BC9"/>
    <w:rsid w:val="00A11137"/>
    <w:rsid w:val="00A111EA"/>
    <w:rsid w:val="00A1135E"/>
    <w:rsid w:val="00A11447"/>
    <w:rsid w:val="00A11555"/>
    <w:rsid w:val="00A115D6"/>
    <w:rsid w:val="00A1193E"/>
    <w:rsid w:val="00A11993"/>
    <w:rsid w:val="00A11A81"/>
    <w:rsid w:val="00A11B67"/>
    <w:rsid w:val="00A11D49"/>
    <w:rsid w:val="00A11DEE"/>
    <w:rsid w:val="00A120EE"/>
    <w:rsid w:val="00A12A38"/>
    <w:rsid w:val="00A12A97"/>
    <w:rsid w:val="00A12B28"/>
    <w:rsid w:val="00A13177"/>
    <w:rsid w:val="00A136F2"/>
    <w:rsid w:val="00A1374B"/>
    <w:rsid w:val="00A13EAB"/>
    <w:rsid w:val="00A14E33"/>
    <w:rsid w:val="00A1520C"/>
    <w:rsid w:val="00A15545"/>
    <w:rsid w:val="00A1602B"/>
    <w:rsid w:val="00A162DF"/>
    <w:rsid w:val="00A16324"/>
    <w:rsid w:val="00A17013"/>
    <w:rsid w:val="00A17140"/>
    <w:rsid w:val="00A179FB"/>
    <w:rsid w:val="00A17AF1"/>
    <w:rsid w:val="00A17B4D"/>
    <w:rsid w:val="00A17B91"/>
    <w:rsid w:val="00A17BE0"/>
    <w:rsid w:val="00A2008D"/>
    <w:rsid w:val="00A20220"/>
    <w:rsid w:val="00A2055E"/>
    <w:rsid w:val="00A20CAE"/>
    <w:rsid w:val="00A21676"/>
    <w:rsid w:val="00A21C7C"/>
    <w:rsid w:val="00A22532"/>
    <w:rsid w:val="00A225DB"/>
    <w:rsid w:val="00A23269"/>
    <w:rsid w:val="00A23DCC"/>
    <w:rsid w:val="00A23F95"/>
    <w:rsid w:val="00A24090"/>
    <w:rsid w:val="00A24C51"/>
    <w:rsid w:val="00A252DC"/>
    <w:rsid w:val="00A253BE"/>
    <w:rsid w:val="00A256A9"/>
    <w:rsid w:val="00A25A23"/>
    <w:rsid w:val="00A25DBE"/>
    <w:rsid w:val="00A25E6E"/>
    <w:rsid w:val="00A26159"/>
    <w:rsid w:val="00A26462"/>
    <w:rsid w:val="00A26700"/>
    <w:rsid w:val="00A26B21"/>
    <w:rsid w:val="00A26E73"/>
    <w:rsid w:val="00A274D4"/>
    <w:rsid w:val="00A274E2"/>
    <w:rsid w:val="00A27A34"/>
    <w:rsid w:val="00A27A8A"/>
    <w:rsid w:val="00A27BE4"/>
    <w:rsid w:val="00A303FB"/>
    <w:rsid w:val="00A30527"/>
    <w:rsid w:val="00A3072C"/>
    <w:rsid w:val="00A30B16"/>
    <w:rsid w:val="00A30B97"/>
    <w:rsid w:val="00A30DFC"/>
    <w:rsid w:val="00A31193"/>
    <w:rsid w:val="00A312FC"/>
    <w:rsid w:val="00A31361"/>
    <w:rsid w:val="00A3170B"/>
    <w:rsid w:val="00A31782"/>
    <w:rsid w:val="00A3194F"/>
    <w:rsid w:val="00A31F9A"/>
    <w:rsid w:val="00A31FF4"/>
    <w:rsid w:val="00A32429"/>
    <w:rsid w:val="00A3288D"/>
    <w:rsid w:val="00A3300A"/>
    <w:rsid w:val="00A3307A"/>
    <w:rsid w:val="00A33111"/>
    <w:rsid w:val="00A33A21"/>
    <w:rsid w:val="00A33B8A"/>
    <w:rsid w:val="00A344D2"/>
    <w:rsid w:val="00A34BDA"/>
    <w:rsid w:val="00A35896"/>
    <w:rsid w:val="00A358DC"/>
    <w:rsid w:val="00A35A91"/>
    <w:rsid w:val="00A35C57"/>
    <w:rsid w:val="00A35DEC"/>
    <w:rsid w:val="00A35FDB"/>
    <w:rsid w:val="00A362FE"/>
    <w:rsid w:val="00A36EC0"/>
    <w:rsid w:val="00A37357"/>
    <w:rsid w:val="00A373D8"/>
    <w:rsid w:val="00A374BC"/>
    <w:rsid w:val="00A375B5"/>
    <w:rsid w:val="00A37704"/>
    <w:rsid w:val="00A37719"/>
    <w:rsid w:val="00A37AA5"/>
    <w:rsid w:val="00A37D1B"/>
    <w:rsid w:val="00A37DD6"/>
    <w:rsid w:val="00A40089"/>
    <w:rsid w:val="00A402F9"/>
    <w:rsid w:val="00A40459"/>
    <w:rsid w:val="00A4088D"/>
    <w:rsid w:val="00A408A1"/>
    <w:rsid w:val="00A40E5F"/>
    <w:rsid w:val="00A40EC0"/>
    <w:rsid w:val="00A411CC"/>
    <w:rsid w:val="00A4164A"/>
    <w:rsid w:val="00A41C3D"/>
    <w:rsid w:val="00A41F2E"/>
    <w:rsid w:val="00A42055"/>
    <w:rsid w:val="00A42883"/>
    <w:rsid w:val="00A42F47"/>
    <w:rsid w:val="00A432A0"/>
    <w:rsid w:val="00A4354B"/>
    <w:rsid w:val="00A43A5C"/>
    <w:rsid w:val="00A43F0A"/>
    <w:rsid w:val="00A43F61"/>
    <w:rsid w:val="00A43FF9"/>
    <w:rsid w:val="00A44082"/>
    <w:rsid w:val="00A44220"/>
    <w:rsid w:val="00A44FC7"/>
    <w:rsid w:val="00A45207"/>
    <w:rsid w:val="00A454DA"/>
    <w:rsid w:val="00A457C1"/>
    <w:rsid w:val="00A457E2"/>
    <w:rsid w:val="00A45944"/>
    <w:rsid w:val="00A46084"/>
    <w:rsid w:val="00A46305"/>
    <w:rsid w:val="00A465E9"/>
    <w:rsid w:val="00A468F2"/>
    <w:rsid w:val="00A46A4B"/>
    <w:rsid w:val="00A46AD0"/>
    <w:rsid w:val="00A46EDA"/>
    <w:rsid w:val="00A470C6"/>
    <w:rsid w:val="00A47757"/>
    <w:rsid w:val="00A47774"/>
    <w:rsid w:val="00A4784D"/>
    <w:rsid w:val="00A47BC1"/>
    <w:rsid w:val="00A47D14"/>
    <w:rsid w:val="00A50702"/>
    <w:rsid w:val="00A5077D"/>
    <w:rsid w:val="00A50899"/>
    <w:rsid w:val="00A50C78"/>
    <w:rsid w:val="00A50D1E"/>
    <w:rsid w:val="00A51049"/>
    <w:rsid w:val="00A51084"/>
    <w:rsid w:val="00A51124"/>
    <w:rsid w:val="00A512A2"/>
    <w:rsid w:val="00A5175F"/>
    <w:rsid w:val="00A51875"/>
    <w:rsid w:val="00A518F7"/>
    <w:rsid w:val="00A51996"/>
    <w:rsid w:val="00A51A4B"/>
    <w:rsid w:val="00A5216F"/>
    <w:rsid w:val="00A52254"/>
    <w:rsid w:val="00A52401"/>
    <w:rsid w:val="00A52761"/>
    <w:rsid w:val="00A5287D"/>
    <w:rsid w:val="00A529D4"/>
    <w:rsid w:val="00A52A27"/>
    <w:rsid w:val="00A52C1C"/>
    <w:rsid w:val="00A52D7C"/>
    <w:rsid w:val="00A52E0E"/>
    <w:rsid w:val="00A52ECC"/>
    <w:rsid w:val="00A53131"/>
    <w:rsid w:val="00A536FC"/>
    <w:rsid w:val="00A5419C"/>
    <w:rsid w:val="00A54370"/>
    <w:rsid w:val="00A54C42"/>
    <w:rsid w:val="00A550F7"/>
    <w:rsid w:val="00A5567D"/>
    <w:rsid w:val="00A55BF7"/>
    <w:rsid w:val="00A562BE"/>
    <w:rsid w:val="00A568ED"/>
    <w:rsid w:val="00A56A4F"/>
    <w:rsid w:val="00A56DDE"/>
    <w:rsid w:val="00A5746C"/>
    <w:rsid w:val="00A5773B"/>
    <w:rsid w:val="00A5787F"/>
    <w:rsid w:val="00A57C06"/>
    <w:rsid w:val="00A57E73"/>
    <w:rsid w:val="00A600F7"/>
    <w:rsid w:val="00A601FA"/>
    <w:rsid w:val="00A603C5"/>
    <w:rsid w:val="00A60436"/>
    <w:rsid w:val="00A6052E"/>
    <w:rsid w:val="00A60601"/>
    <w:rsid w:val="00A607D9"/>
    <w:rsid w:val="00A6080A"/>
    <w:rsid w:val="00A60A03"/>
    <w:rsid w:val="00A60C3A"/>
    <w:rsid w:val="00A6104C"/>
    <w:rsid w:val="00A61C35"/>
    <w:rsid w:val="00A621B7"/>
    <w:rsid w:val="00A62DC7"/>
    <w:rsid w:val="00A63037"/>
    <w:rsid w:val="00A6323E"/>
    <w:rsid w:val="00A63277"/>
    <w:rsid w:val="00A633D2"/>
    <w:rsid w:val="00A6351C"/>
    <w:rsid w:val="00A638B4"/>
    <w:rsid w:val="00A63914"/>
    <w:rsid w:val="00A63ADC"/>
    <w:rsid w:val="00A63AF3"/>
    <w:rsid w:val="00A63C03"/>
    <w:rsid w:val="00A64173"/>
    <w:rsid w:val="00A6419E"/>
    <w:rsid w:val="00A64E32"/>
    <w:rsid w:val="00A64E8C"/>
    <w:rsid w:val="00A64EF8"/>
    <w:rsid w:val="00A65B0A"/>
    <w:rsid w:val="00A65CE4"/>
    <w:rsid w:val="00A65E01"/>
    <w:rsid w:val="00A6619D"/>
    <w:rsid w:val="00A66203"/>
    <w:rsid w:val="00A664B6"/>
    <w:rsid w:val="00A6677B"/>
    <w:rsid w:val="00A66B3F"/>
    <w:rsid w:val="00A66CE9"/>
    <w:rsid w:val="00A67D1C"/>
    <w:rsid w:val="00A67F0E"/>
    <w:rsid w:val="00A702BB"/>
    <w:rsid w:val="00A703DF"/>
    <w:rsid w:val="00A70BB5"/>
    <w:rsid w:val="00A70F1D"/>
    <w:rsid w:val="00A70FB9"/>
    <w:rsid w:val="00A70FE6"/>
    <w:rsid w:val="00A710AC"/>
    <w:rsid w:val="00A71316"/>
    <w:rsid w:val="00A7177F"/>
    <w:rsid w:val="00A717AD"/>
    <w:rsid w:val="00A7186E"/>
    <w:rsid w:val="00A71CBF"/>
    <w:rsid w:val="00A71E09"/>
    <w:rsid w:val="00A71FC9"/>
    <w:rsid w:val="00A7218D"/>
    <w:rsid w:val="00A725DB"/>
    <w:rsid w:val="00A72980"/>
    <w:rsid w:val="00A729FA"/>
    <w:rsid w:val="00A72A6F"/>
    <w:rsid w:val="00A72C03"/>
    <w:rsid w:val="00A733FB"/>
    <w:rsid w:val="00A73564"/>
    <w:rsid w:val="00A73738"/>
    <w:rsid w:val="00A73D7C"/>
    <w:rsid w:val="00A73E8F"/>
    <w:rsid w:val="00A747DC"/>
    <w:rsid w:val="00A74A82"/>
    <w:rsid w:val="00A74D4E"/>
    <w:rsid w:val="00A74DFA"/>
    <w:rsid w:val="00A752A2"/>
    <w:rsid w:val="00A75301"/>
    <w:rsid w:val="00A753BD"/>
    <w:rsid w:val="00A758BE"/>
    <w:rsid w:val="00A758EA"/>
    <w:rsid w:val="00A7598F"/>
    <w:rsid w:val="00A75D0C"/>
    <w:rsid w:val="00A75D7A"/>
    <w:rsid w:val="00A761EE"/>
    <w:rsid w:val="00A766DD"/>
    <w:rsid w:val="00A76A99"/>
    <w:rsid w:val="00A76B33"/>
    <w:rsid w:val="00A76FA4"/>
    <w:rsid w:val="00A77279"/>
    <w:rsid w:val="00A777C4"/>
    <w:rsid w:val="00A7783C"/>
    <w:rsid w:val="00A77840"/>
    <w:rsid w:val="00A77933"/>
    <w:rsid w:val="00A77F98"/>
    <w:rsid w:val="00A77FCB"/>
    <w:rsid w:val="00A80559"/>
    <w:rsid w:val="00A80813"/>
    <w:rsid w:val="00A80BF3"/>
    <w:rsid w:val="00A80EA4"/>
    <w:rsid w:val="00A8115F"/>
    <w:rsid w:val="00A819DD"/>
    <w:rsid w:val="00A81C95"/>
    <w:rsid w:val="00A81DE0"/>
    <w:rsid w:val="00A81F01"/>
    <w:rsid w:val="00A827D6"/>
    <w:rsid w:val="00A8297E"/>
    <w:rsid w:val="00A82D4D"/>
    <w:rsid w:val="00A8367F"/>
    <w:rsid w:val="00A83A16"/>
    <w:rsid w:val="00A83CA5"/>
    <w:rsid w:val="00A83DCF"/>
    <w:rsid w:val="00A83ECA"/>
    <w:rsid w:val="00A84336"/>
    <w:rsid w:val="00A8457A"/>
    <w:rsid w:val="00A846D6"/>
    <w:rsid w:val="00A84863"/>
    <w:rsid w:val="00A84EAD"/>
    <w:rsid w:val="00A84EBD"/>
    <w:rsid w:val="00A84EDD"/>
    <w:rsid w:val="00A84F34"/>
    <w:rsid w:val="00A856EE"/>
    <w:rsid w:val="00A8620E"/>
    <w:rsid w:val="00A86499"/>
    <w:rsid w:val="00A864E9"/>
    <w:rsid w:val="00A86521"/>
    <w:rsid w:val="00A86827"/>
    <w:rsid w:val="00A86CC9"/>
    <w:rsid w:val="00A8730E"/>
    <w:rsid w:val="00A8749C"/>
    <w:rsid w:val="00A87673"/>
    <w:rsid w:val="00A87906"/>
    <w:rsid w:val="00A87958"/>
    <w:rsid w:val="00A87AA5"/>
    <w:rsid w:val="00A87E75"/>
    <w:rsid w:val="00A87E9E"/>
    <w:rsid w:val="00A901BE"/>
    <w:rsid w:val="00A904E2"/>
    <w:rsid w:val="00A90B99"/>
    <w:rsid w:val="00A90D2E"/>
    <w:rsid w:val="00A911B5"/>
    <w:rsid w:val="00A912E7"/>
    <w:rsid w:val="00A91B6C"/>
    <w:rsid w:val="00A91E97"/>
    <w:rsid w:val="00A928A6"/>
    <w:rsid w:val="00A92BCF"/>
    <w:rsid w:val="00A92C1A"/>
    <w:rsid w:val="00A92E80"/>
    <w:rsid w:val="00A92EB3"/>
    <w:rsid w:val="00A93095"/>
    <w:rsid w:val="00A93309"/>
    <w:rsid w:val="00A933C8"/>
    <w:rsid w:val="00A934AA"/>
    <w:rsid w:val="00A938A8"/>
    <w:rsid w:val="00A939EB"/>
    <w:rsid w:val="00A93C28"/>
    <w:rsid w:val="00A9448F"/>
    <w:rsid w:val="00A94F32"/>
    <w:rsid w:val="00A95326"/>
    <w:rsid w:val="00A9542D"/>
    <w:rsid w:val="00A954FD"/>
    <w:rsid w:val="00A95612"/>
    <w:rsid w:val="00A957DD"/>
    <w:rsid w:val="00A95C73"/>
    <w:rsid w:val="00A95E2B"/>
    <w:rsid w:val="00A96085"/>
    <w:rsid w:val="00A96151"/>
    <w:rsid w:val="00A96424"/>
    <w:rsid w:val="00A965A2"/>
    <w:rsid w:val="00A96734"/>
    <w:rsid w:val="00A96A1C"/>
    <w:rsid w:val="00A96E3A"/>
    <w:rsid w:val="00A97616"/>
    <w:rsid w:val="00A9797D"/>
    <w:rsid w:val="00A9798C"/>
    <w:rsid w:val="00A97AC3"/>
    <w:rsid w:val="00A97F12"/>
    <w:rsid w:val="00AA0125"/>
    <w:rsid w:val="00AA0297"/>
    <w:rsid w:val="00AA0C9E"/>
    <w:rsid w:val="00AA0D18"/>
    <w:rsid w:val="00AA0F9E"/>
    <w:rsid w:val="00AA139E"/>
    <w:rsid w:val="00AA170D"/>
    <w:rsid w:val="00AA19A6"/>
    <w:rsid w:val="00AA1AED"/>
    <w:rsid w:val="00AA1DA2"/>
    <w:rsid w:val="00AA1EE1"/>
    <w:rsid w:val="00AA20B1"/>
    <w:rsid w:val="00AA25BA"/>
    <w:rsid w:val="00AA262E"/>
    <w:rsid w:val="00AA2AA1"/>
    <w:rsid w:val="00AA2BA2"/>
    <w:rsid w:val="00AA2C89"/>
    <w:rsid w:val="00AA3451"/>
    <w:rsid w:val="00AA3C1A"/>
    <w:rsid w:val="00AA43BD"/>
    <w:rsid w:val="00AA46E6"/>
    <w:rsid w:val="00AA48B6"/>
    <w:rsid w:val="00AA48C1"/>
    <w:rsid w:val="00AA58C2"/>
    <w:rsid w:val="00AA5DCF"/>
    <w:rsid w:val="00AA5EC1"/>
    <w:rsid w:val="00AA5F05"/>
    <w:rsid w:val="00AA60A4"/>
    <w:rsid w:val="00AA62BE"/>
    <w:rsid w:val="00AA63B1"/>
    <w:rsid w:val="00AA67C3"/>
    <w:rsid w:val="00AA6AB5"/>
    <w:rsid w:val="00AA712F"/>
    <w:rsid w:val="00AA714D"/>
    <w:rsid w:val="00AA73A8"/>
    <w:rsid w:val="00AA771D"/>
    <w:rsid w:val="00AA7ADF"/>
    <w:rsid w:val="00AA7C13"/>
    <w:rsid w:val="00AA7D1E"/>
    <w:rsid w:val="00AA7E0A"/>
    <w:rsid w:val="00AB006F"/>
    <w:rsid w:val="00AB0317"/>
    <w:rsid w:val="00AB0BEA"/>
    <w:rsid w:val="00AB12F3"/>
    <w:rsid w:val="00AB171C"/>
    <w:rsid w:val="00AB1A9F"/>
    <w:rsid w:val="00AB200F"/>
    <w:rsid w:val="00AB3037"/>
    <w:rsid w:val="00AB3184"/>
    <w:rsid w:val="00AB33CF"/>
    <w:rsid w:val="00AB33F5"/>
    <w:rsid w:val="00AB33F9"/>
    <w:rsid w:val="00AB35B0"/>
    <w:rsid w:val="00AB3B50"/>
    <w:rsid w:val="00AB3CEC"/>
    <w:rsid w:val="00AB3E8B"/>
    <w:rsid w:val="00AB415A"/>
    <w:rsid w:val="00AB4A5A"/>
    <w:rsid w:val="00AB4AFF"/>
    <w:rsid w:val="00AB537C"/>
    <w:rsid w:val="00AB5487"/>
    <w:rsid w:val="00AB562E"/>
    <w:rsid w:val="00AB5887"/>
    <w:rsid w:val="00AB5B81"/>
    <w:rsid w:val="00AB5C13"/>
    <w:rsid w:val="00AB5CD5"/>
    <w:rsid w:val="00AB5D24"/>
    <w:rsid w:val="00AB5EF2"/>
    <w:rsid w:val="00AB617F"/>
    <w:rsid w:val="00AB6276"/>
    <w:rsid w:val="00AB64D6"/>
    <w:rsid w:val="00AB64E5"/>
    <w:rsid w:val="00AB65F3"/>
    <w:rsid w:val="00AB6C31"/>
    <w:rsid w:val="00AB7002"/>
    <w:rsid w:val="00AB7213"/>
    <w:rsid w:val="00AB7442"/>
    <w:rsid w:val="00AB74CF"/>
    <w:rsid w:val="00AC0712"/>
    <w:rsid w:val="00AC0717"/>
    <w:rsid w:val="00AC11ED"/>
    <w:rsid w:val="00AC1226"/>
    <w:rsid w:val="00AC146B"/>
    <w:rsid w:val="00AC1481"/>
    <w:rsid w:val="00AC1686"/>
    <w:rsid w:val="00AC179A"/>
    <w:rsid w:val="00AC18EF"/>
    <w:rsid w:val="00AC1DC3"/>
    <w:rsid w:val="00AC24F6"/>
    <w:rsid w:val="00AC2888"/>
    <w:rsid w:val="00AC299E"/>
    <w:rsid w:val="00AC2A25"/>
    <w:rsid w:val="00AC2A54"/>
    <w:rsid w:val="00AC2CAF"/>
    <w:rsid w:val="00AC3987"/>
    <w:rsid w:val="00AC3B0B"/>
    <w:rsid w:val="00AC44AF"/>
    <w:rsid w:val="00AC47E0"/>
    <w:rsid w:val="00AC4838"/>
    <w:rsid w:val="00AC550D"/>
    <w:rsid w:val="00AC585F"/>
    <w:rsid w:val="00AC598F"/>
    <w:rsid w:val="00AC5C6A"/>
    <w:rsid w:val="00AC5CC5"/>
    <w:rsid w:val="00AC5EB5"/>
    <w:rsid w:val="00AC60D6"/>
    <w:rsid w:val="00AC635D"/>
    <w:rsid w:val="00AC6484"/>
    <w:rsid w:val="00AC65AF"/>
    <w:rsid w:val="00AC679E"/>
    <w:rsid w:val="00AC7052"/>
    <w:rsid w:val="00AC7703"/>
    <w:rsid w:val="00AC7A73"/>
    <w:rsid w:val="00AC7D7F"/>
    <w:rsid w:val="00AC7DBA"/>
    <w:rsid w:val="00AC7E57"/>
    <w:rsid w:val="00AC7F32"/>
    <w:rsid w:val="00AD00CD"/>
    <w:rsid w:val="00AD01A3"/>
    <w:rsid w:val="00AD0558"/>
    <w:rsid w:val="00AD0FEB"/>
    <w:rsid w:val="00AD10E5"/>
    <w:rsid w:val="00AD1383"/>
    <w:rsid w:val="00AD13A8"/>
    <w:rsid w:val="00AD1674"/>
    <w:rsid w:val="00AD1A75"/>
    <w:rsid w:val="00AD1D97"/>
    <w:rsid w:val="00AD1FF4"/>
    <w:rsid w:val="00AD21D6"/>
    <w:rsid w:val="00AD23CC"/>
    <w:rsid w:val="00AD2479"/>
    <w:rsid w:val="00AD248F"/>
    <w:rsid w:val="00AD31EC"/>
    <w:rsid w:val="00AD32BE"/>
    <w:rsid w:val="00AD35A4"/>
    <w:rsid w:val="00AD37F0"/>
    <w:rsid w:val="00AD3C2A"/>
    <w:rsid w:val="00AD3E6B"/>
    <w:rsid w:val="00AD4028"/>
    <w:rsid w:val="00AD4379"/>
    <w:rsid w:val="00AD43A0"/>
    <w:rsid w:val="00AD45C7"/>
    <w:rsid w:val="00AD4652"/>
    <w:rsid w:val="00AD4A21"/>
    <w:rsid w:val="00AD4DAE"/>
    <w:rsid w:val="00AD4FB3"/>
    <w:rsid w:val="00AD580F"/>
    <w:rsid w:val="00AD59D8"/>
    <w:rsid w:val="00AD5D1F"/>
    <w:rsid w:val="00AD5D67"/>
    <w:rsid w:val="00AD5D9A"/>
    <w:rsid w:val="00AD5E26"/>
    <w:rsid w:val="00AD6676"/>
    <w:rsid w:val="00AD6833"/>
    <w:rsid w:val="00AD6D41"/>
    <w:rsid w:val="00AD715B"/>
    <w:rsid w:val="00AD7356"/>
    <w:rsid w:val="00AD745C"/>
    <w:rsid w:val="00AD76B1"/>
    <w:rsid w:val="00AD7763"/>
    <w:rsid w:val="00AD77FA"/>
    <w:rsid w:val="00AE035E"/>
    <w:rsid w:val="00AE06F7"/>
    <w:rsid w:val="00AE0914"/>
    <w:rsid w:val="00AE0E20"/>
    <w:rsid w:val="00AE1220"/>
    <w:rsid w:val="00AE14B9"/>
    <w:rsid w:val="00AE1923"/>
    <w:rsid w:val="00AE1CFC"/>
    <w:rsid w:val="00AE1D4C"/>
    <w:rsid w:val="00AE203F"/>
    <w:rsid w:val="00AE23AB"/>
    <w:rsid w:val="00AE252A"/>
    <w:rsid w:val="00AE29AA"/>
    <w:rsid w:val="00AE2CFF"/>
    <w:rsid w:val="00AE2D43"/>
    <w:rsid w:val="00AE2DE2"/>
    <w:rsid w:val="00AE30A1"/>
    <w:rsid w:val="00AE31C3"/>
    <w:rsid w:val="00AE31EF"/>
    <w:rsid w:val="00AE329C"/>
    <w:rsid w:val="00AE32D3"/>
    <w:rsid w:val="00AE3D0F"/>
    <w:rsid w:val="00AE3E1D"/>
    <w:rsid w:val="00AE3EC3"/>
    <w:rsid w:val="00AE41C8"/>
    <w:rsid w:val="00AE4513"/>
    <w:rsid w:val="00AE48A4"/>
    <w:rsid w:val="00AE4D24"/>
    <w:rsid w:val="00AE4F24"/>
    <w:rsid w:val="00AE4F38"/>
    <w:rsid w:val="00AE507F"/>
    <w:rsid w:val="00AE5095"/>
    <w:rsid w:val="00AE521A"/>
    <w:rsid w:val="00AE5380"/>
    <w:rsid w:val="00AE5AEC"/>
    <w:rsid w:val="00AE600B"/>
    <w:rsid w:val="00AE6602"/>
    <w:rsid w:val="00AE6873"/>
    <w:rsid w:val="00AE6D21"/>
    <w:rsid w:val="00AE6D50"/>
    <w:rsid w:val="00AE75C3"/>
    <w:rsid w:val="00AE7736"/>
    <w:rsid w:val="00AE7F9B"/>
    <w:rsid w:val="00AF03AA"/>
    <w:rsid w:val="00AF0D9E"/>
    <w:rsid w:val="00AF0E76"/>
    <w:rsid w:val="00AF106D"/>
    <w:rsid w:val="00AF1099"/>
    <w:rsid w:val="00AF1220"/>
    <w:rsid w:val="00AF1DE2"/>
    <w:rsid w:val="00AF26A0"/>
    <w:rsid w:val="00AF278C"/>
    <w:rsid w:val="00AF2806"/>
    <w:rsid w:val="00AF3042"/>
    <w:rsid w:val="00AF34EA"/>
    <w:rsid w:val="00AF362D"/>
    <w:rsid w:val="00AF3632"/>
    <w:rsid w:val="00AF406C"/>
    <w:rsid w:val="00AF428A"/>
    <w:rsid w:val="00AF430F"/>
    <w:rsid w:val="00AF498E"/>
    <w:rsid w:val="00AF49D2"/>
    <w:rsid w:val="00AF4AF0"/>
    <w:rsid w:val="00AF4E90"/>
    <w:rsid w:val="00AF4FDE"/>
    <w:rsid w:val="00AF5391"/>
    <w:rsid w:val="00AF5912"/>
    <w:rsid w:val="00AF5D43"/>
    <w:rsid w:val="00AF5D8B"/>
    <w:rsid w:val="00AF62E0"/>
    <w:rsid w:val="00AF6574"/>
    <w:rsid w:val="00AF698E"/>
    <w:rsid w:val="00AF6A75"/>
    <w:rsid w:val="00AF6EE6"/>
    <w:rsid w:val="00AF7341"/>
    <w:rsid w:val="00AF7555"/>
    <w:rsid w:val="00AF7BA6"/>
    <w:rsid w:val="00AF7CA3"/>
    <w:rsid w:val="00AF7CBE"/>
    <w:rsid w:val="00B0063B"/>
    <w:rsid w:val="00B007F3"/>
    <w:rsid w:val="00B00A76"/>
    <w:rsid w:val="00B00C2F"/>
    <w:rsid w:val="00B00EA1"/>
    <w:rsid w:val="00B00F17"/>
    <w:rsid w:val="00B00FB6"/>
    <w:rsid w:val="00B01324"/>
    <w:rsid w:val="00B0133A"/>
    <w:rsid w:val="00B01ABC"/>
    <w:rsid w:val="00B01DB9"/>
    <w:rsid w:val="00B01E36"/>
    <w:rsid w:val="00B01F6C"/>
    <w:rsid w:val="00B025A1"/>
    <w:rsid w:val="00B0264A"/>
    <w:rsid w:val="00B02EE2"/>
    <w:rsid w:val="00B0308E"/>
    <w:rsid w:val="00B03526"/>
    <w:rsid w:val="00B03DEE"/>
    <w:rsid w:val="00B04053"/>
    <w:rsid w:val="00B04B8B"/>
    <w:rsid w:val="00B04BF9"/>
    <w:rsid w:val="00B04C10"/>
    <w:rsid w:val="00B04D6B"/>
    <w:rsid w:val="00B04F0F"/>
    <w:rsid w:val="00B05053"/>
    <w:rsid w:val="00B05330"/>
    <w:rsid w:val="00B0575B"/>
    <w:rsid w:val="00B068E4"/>
    <w:rsid w:val="00B068FF"/>
    <w:rsid w:val="00B069DE"/>
    <w:rsid w:val="00B06A46"/>
    <w:rsid w:val="00B06ED6"/>
    <w:rsid w:val="00B078AE"/>
    <w:rsid w:val="00B1063A"/>
    <w:rsid w:val="00B10684"/>
    <w:rsid w:val="00B10802"/>
    <w:rsid w:val="00B10D68"/>
    <w:rsid w:val="00B10E88"/>
    <w:rsid w:val="00B11083"/>
    <w:rsid w:val="00B11114"/>
    <w:rsid w:val="00B1147E"/>
    <w:rsid w:val="00B115ED"/>
    <w:rsid w:val="00B117CB"/>
    <w:rsid w:val="00B117D7"/>
    <w:rsid w:val="00B11E1F"/>
    <w:rsid w:val="00B12047"/>
    <w:rsid w:val="00B1236B"/>
    <w:rsid w:val="00B12732"/>
    <w:rsid w:val="00B12859"/>
    <w:rsid w:val="00B12A49"/>
    <w:rsid w:val="00B12E82"/>
    <w:rsid w:val="00B12FD8"/>
    <w:rsid w:val="00B134D1"/>
    <w:rsid w:val="00B13785"/>
    <w:rsid w:val="00B13979"/>
    <w:rsid w:val="00B13B16"/>
    <w:rsid w:val="00B13B75"/>
    <w:rsid w:val="00B13B8E"/>
    <w:rsid w:val="00B13BC6"/>
    <w:rsid w:val="00B13FB4"/>
    <w:rsid w:val="00B13FFE"/>
    <w:rsid w:val="00B142E0"/>
    <w:rsid w:val="00B14429"/>
    <w:rsid w:val="00B15237"/>
    <w:rsid w:val="00B156A9"/>
    <w:rsid w:val="00B1598D"/>
    <w:rsid w:val="00B15E04"/>
    <w:rsid w:val="00B1616E"/>
    <w:rsid w:val="00B16360"/>
    <w:rsid w:val="00B166F6"/>
    <w:rsid w:val="00B172FE"/>
    <w:rsid w:val="00B17A6F"/>
    <w:rsid w:val="00B17F5C"/>
    <w:rsid w:val="00B202F8"/>
    <w:rsid w:val="00B2074F"/>
    <w:rsid w:val="00B210CC"/>
    <w:rsid w:val="00B21E4C"/>
    <w:rsid w:val="00B22088"/>
    <w:rsid w:val="00B22359"/>
    <w:rsid w:val="00B22475"/>
    <w:rsid w:val="00B22831"/>
    <w:rsid w:val="00B22BC5"/>
    <w:rsid w:val="00B230D8"/>
    <w:rsid w:val="00B231BC"/>
    <w:rsid w:val="00B232FF"/>
    <w:rsid w:val="00B23573"/>
    <w:rsid w:val="00B23ABE"/>
    <w:rsid w:val="00B23B67"/>
    <w:rsid w:val="00B23F6D"/>
    <w:rsid w:val="00B24B6A"/>
    <w:rsid w:val="00B24B78"/>
    <w:rsid w:val="00B24F9A"/>
    <w:rsid w:val="00B2537B"/>
    <w:rsid w:val="00B2547B"/>
    <w:rsid w:val="00B25FB1"/>
    <w:rsid w:val="00B26797"/>
    <w:rsid w:val="00B26C98"/>
    <w:rsid w:val="00B26E4F"/>
    <w:rsid w:val="00B26F77"/>
    <w:rsid w:val="00B27027"/>
    <w:rsid w:val="00B271E8"/>
    <w:rsid w:val="00B275D8"/>
    <w:rsid w:val="00B27981"/>
    <w:rsid w:val="00B27B3E"/>
    <w:rsid w:val="00B3007E"/>
    <w:rsid w:val="00B300C3"/>
    <w:rsid w:val="00B3024D"/>
    <w:rsid w:val="00B306F6"/>
    <w:rsid w:val="00B30871"/>
    <w:rsid w:val="00B30AD6"/>
    <w:rsid w:val="00B3135E"/>
    <w:rsid w:val="00B313F6"/>
    <w:rsid w:val="00B3147F"/>
    <w:rsid w:val="00B314BB"/>
    <w:rsid w:val="00B31DC7"/>
    <w:rsid w:val="00B31E63"/>
    <w:rsid w:val="00B32506"/>
    <w:rsid w:val="00B32920"/>
    <w:rsid w:val="00B32CCD"/>
    <w:rsid w:val="00B32F66"/>
    <w:rsid w:val="00B33678"/>
    <w:rsid w:val="00B33B9B"/>
    <w:rsid w:val="00B33E58"/>
    <w:rsid w:val="00B33FD6"/>
    <w:rsid w:val="00B3407B"/>
    <w:rsid w:val="00B340B5"/>
    <w:rsid w:val="00B348D2"/>
    <w:rsid w:val="00B34AFD"/>
    <w:rsid w:val="00B34CAA"/>
    <w:rsid w:val="00B3512D"/>
    <w:rsid w:val="00B354E2"/>
    <w:rsid w:val="00B358C1"/>
    <w:rsid w:val="00B35C85"/>
    <w:rsid w:val="00B361AC"/>
    <w:rsid w:val="00B36224"/>
    <w:rsid w:val="00B36630"/>
    <w:rsid w:val="00B36705"/>
    <w:rsid w:val="00B36B2F"/>
    <w:rsid w:val="00B36F8C"/>
    <w:rsid w:val="00B37073"/>
    <w:rsid w:val="00B3708C"/>
    <w:rsid w:val="00B371B2"/>
    <w:rsid w:val="00B37391"/>
    <w:rsid w:val="00B3757C"/>
    <w:rsid w:val="00B37D98"/>
    <w:rsid w:val="00B40037"/>
    <w:rsid w:val="00B405F4"/>
    <w:rsid w:val="00B413F6"/>
    <w:rsid w:val="00B4141C"/>
    <w:rsid w:val="00B414E0"/>
    <w:rsid w:val="00B41861"/>
    <w:rsid w:val="00B41A1A"/>
    <w:rsid w:val="00B41D7E"/>
    <w:rsid w:val="00B42107"/>
    <w:rsid w:val="00B42704"/>
    <w:rsid w:val="00B427F8"/>
    <w:rsid w:val="00B439E2"/>
    <w:rsid w:val="00B43A1C"/>
    <w:rsid w:val="00B43D6F"/>
    <w:rsid w:val="00B43F14"/>
    <w:rsid w:val="00B440D1"/>
    <w:rsid w:val="00B442CD"/>
    <w:rsid w:val="00B443DF"/>
    <w:rsid w:val="00B4492B"/>
    <w:rsid w:val="00B44A28"/>
    <w:rsid w:val="00B44CB0"/>
    <w:rsid w:val="00B45047"/>
    <w:rsid w:val="00B453BC"/>
    <w:rsid w:val="00B45538"/>
    <w:rsid w:val="00B457F9"/>
    <w:rsid w:val="00B45B91"/>
    <w:rsid w:val="00B45BA8"/>
    <w:rsid w:val="00B45BBA"/>
    <w:rsid w:val="00B462D8"/>
    <w:rsid w:val="00B46347"/>
    <w:rsid w:val="00B46444"/>
    <w:rsid w:val="00B46775"/>
    <w:rsid w:val="00B46C8E"/>
    <w:rsid w:val="00B47117"/>
    <w:rsid w:val="00B47236"/>
    <w:rsid w:val="00B475E1"/>
    <w:rsid w:val="00B4762E"/>
    <w:rsid w:val="00B47D1C"/>
    <w:rsid w:val="00B47D23"/>
    <w:rsid w:val="00B507E3"/>
    <w:rsid w:val="00B509ED"/>
    <w:rsid w:val="00B5155A"/>
    <w:rsid w:val="00B516EC"/>
    <w:rsid w:val="00B51800"/>
    <w:rsid w:val="00B51E22"/>
    <w:rsid w:val="00B51E5E"/>
    <w:rsid w:val="00B51F70"/>
    <w:rsid w:val="00B521AD"/>
    <w:rsid w:val="00B52425"/>
    <w:rsid w:val="00B52B7A"/>
    <w:rsid w:val="00B52E89"/>
    <w:rsid w:val="00B52EAD"/>
    <w:rsid w:val="00B52EEC"/>
    <w:rsid w:val="00B52F36"/>
    <w:rsid w:val="00B54093"/>
    <w:rsid w:val="00B542AE"/>
    <w:rsid w:val="00B5436B"/>
    <w:rsid w:val="00B543F1"/>
    <w:rsid w:val="00B546AB"/>
    <w:rsid w:val="00B5474A"/>
    <w:rsid w:val="00B54772"/>
    <w:rsid w:val="00B547C5"/>
    <w:rsid w:val="00B54851"/>
    <w:rsid w:val="00B54B97"/>
    <w:rsid w:val="00B54C7E"/>
    <w:rsid w:val="00B554B1"/>
    <w:rsid w:val="00B554EB"/>
    <w:rsid w:val="00B55825"/>
    <w:rsid w:val="00B55A00"/>
    <w:rsid w:val="00B55C56"/>
    <w:rsid w:val="00B55E02"/>
    <w:rsid w:val="00B55E9E"/>
    <w:rsid w:val="00B566ED"/>
    <w:rsid w:val="00B56B70"/>
    <w:rsid w:val="00B56CFF"/>
    <w:rsid w:val="00B56EB0"/>
    <w:rsid w:val="00B57168"/>
    <w:rsid w:val="00B57205"/>
    <w:rsid w:val="00B57320"/>
    <w:rsid w:val="00B574FC"/>
    <w:rsid w:val="00B57669"/>
    <w:rsid w:val="00B603D4"/>
    <w:rsid w:val="00B604C7"/>
    <w:rsid w:val="00B60CC4"/>
    <w:rsid w:val="00B60D02"/>
    <w:rsid w:val="00B60E24"/>
    <w:rsid w:val="00B61068"/>
    <w:rsid w:val="00B6118D"/>
    <w:rsid w:val="00B61F6B"/>
    <w:rsid w:val="00B62104"/>
    <w:rsid w:val="00B6233A"/>
    <w:rsid w:val="00B62AFD"/>
    <w:rsid w:val="00B62CD1"/>
    <w:rsid w:val="00B6312A"/>
    <w:rsid w:val="00B63594"/>
    <w:rsid w:val="00B63815"/>
    <w:rsid w:val="00B6385C"/>
    <w:rsid w:val="00B63CE9"/>
    <w:rsid w:val="00B6435F"/>
    <w:rsid w:val="00B64FF2"/>
    <w:rsid w:val="00B650FB"/>
    <w:rsid w:val="00B651B7"/>
    <w:rsid w:val="00B65553"/>
    <w:rsid w:val="00B65643"/>
    <w:rsid w:val="00B658B7"/>
    <w:rsid w:val="00B65B2F"/>
    <w:rsid w:val="00B65CD2"/>
    <w:rsid w:val="00B66381"/>
    <w:rsid w:val="00B668FE"/>
    <w:rsid w:val="00B66D46"/>
    <w:rsid w:val="00B66D63"/>
    <w:rsid w:val="00B66E77"/>
    <w:rsid w:val="00B6719B"/>
    <w:rsid w:val="00B674BE"/>
    <w:rsid w:val="00B6777E"/>
    <w:rsid w:val="00B677C5"/>
    <w:rsid w:val="00B67953"/>
    <w:rsid w:val="00B6799D"/>
    <w:rsid w:val="00B67A5D"/>
    <w:rsid w:val="00B67BF5"/>
    <w:rsid w:val="00B67FDE"/>
    <w:rsid w:val="00B70106"/>
    <w:rsid w:val="00B70240"/>
    <w:rsid w:val="00B702B7"/>
    <w:rsid w:val="00B7038A"/>
    <w:rsid w:val="00B706E0"/>
    <w:rsid w:val="00B70C07"/>
    <w:rsid w:val="00B70E68"/>
    <w:rsid w:val="00B71721"/>
    <w:rsid w:val="00B71BEA"/>
    <w:rsid w:val="00B71C5E"/>
    <w:rsid w:val="00B71D0E"/>
    <w:rsid w:val="00B71D57"/>
    <w:rsid w:val="00B71F43"/>
    <w:rsid w:val="00B7212F"/>
    <w:rsid w:val="00B7222F"/>
    <w:rsid w:val="00B72616"/>
    <w:rsid w:val="00B72622"/>
    <w:rsid w:val="00B72695"/>
    <w:rsid w:val="00B726B9"/>
    <w:rsid w:val="00B72A69"/>
    <w:rsid w:val="00B72C21"/>
    <w:rsid w:val="00B730B7"/>
    <w:rsid w:val="00B7316F"/>
    <w:rsid w:val="00B73287"/>
    <w:rsid w:val="00B7338B"/>
    <w:rsid w:val="00B7351F"/>
    <w:rsid w:val="00B73814"/>
    <w:rsid w:val="00B7397F"/>
    <w:rsid w:val="00B73D20"/>
    <w:rsid w:val="00B73D5E"/>
    <w:rsid w:val="00B73F56"/>
    <w:rsid w:val="00B743DE"/>
    <w:rsid w:val="00B743DF"/>
    <w:rsid w:val="00B74B6F"/>
    <w:rsid w:val="00B74D21"/>
    <w:rsid w:val="00B752A3"/>
    <w:rsid w:val="00B752B1"/>
    <w:rsid w:val="00B7532F"/>
    <w:rsid w:val="00B75640"/>
    <w:rsid w:val="00B75690"/>
    <w:rsid w:val="00B759E3"/>
    <w:rsid w:val="00B75F97"/>
    <w:rsid w:val="00B76B9D"/>
    <w:rsid w:val="00B77355"/>
    <w:rsid w:val="00B776A8"/>
    <w:rsid w:val="00B77A84"/>
    <w:rsid w:val="00B77E94"/>
    <w:rsid w:val="00B80321"/>
    <w:rsid w:val="00B80573"/>
    <w:rsid w:val="00B8116E"/>
    <w:rsid w:val="00B8139C"/>
    <w:rsid w:val="00B815EB"/>
    <w:rsid w:val="00B818BB"/>
    <w:rsid w:val="00B81BCF"/>
    <w:rsid w:val="00B81C69"/>
    <w:rsid w:val="00B81ECB"/>
    <w:rsid w:val="00B821B7"/>
    <w:rsid w:val="00B82451"/>
    <w:rsid w:val="00B8298F"/>
    <w:rsid w:val="00B8299B"/>
    <w:rsid w:val="00B82B9A"/>
    <w:rsid w:val="00B82F98"/>
    <w:rsid w:val="00B83503"/>
    <w:rsid w:val="00B836B1"/>
    <w:rsid w:val="00B8389E"/>
    <w:rsid w:val="00B84095"/>
    <w:rsid w:val="00B84D02"/>
    <w:rsid w:val="00B84ED5"/>
    <w:rsid w:val="00B85018"/>
    <w:rsid w:val="00B858B4"/>
    <w:rsid w:val="00B8590E"/>
    <w:rsid w:val="00B8596D"/>
    <w:rsid w:val="00B863E7"/>
    <w:rsid w:val="00B86CD2"/>
    <w:rsid w:val="00B8702D"/>
    <w:rsid w:val="00B8778B"/>
    <w:rsid w:val="00B9031C"/>
    <w:rsid w:val="00B90348"/>
    <w:rsid w:val="00B903D1"/>
    <w:rsid w:val="00B90653"/>
    <w:rsid w:val="00B90FAF"/>
    <w:rsid w:val="00B912EE"/>
    <w:rsid w:val="00B91A75"/>
    <w:rsid w:val="00B925DB"/>
    <w:rsid w:val="00B928E5"/>
    <w:rsid w:val="00B92BDF"/>
    <w:rsid w:val="00B93163"/>
    <w:rsid w:val="00B93299"/>
    <w:rsid w:val="00B9333B"/>
    <w:rsid w:val="00B938E4"/>
    <w:rsid w:val="00B93D40"/>
    <w:rsid w:val="00B947BF"/>
    <w:rsid w:val="00B94811"/>
    <w:rsid w:val="00B94BC2"/>
    <w:rsid w:val="00B94E55"/>
    <w:rsid w:val="00B94F87"/>
    <w:rsid w:val="00B951C1"/>
    <w:rsid w:val="00B95414"/>
    <w:rsid w:val="00B9544A"/>
    <w:rsid w:val="00B9556E"/>
    <w:rsid w:val="00B95619"/>
    <w:rsid w:val="00B95DA7"/>
    <w:rsid w:val="00B95DC7"/>
    <w:rsid w:val="00B96335"/>
    <w:rsid w:val="00B96A63"/>
    <w:rsid w:val="00B96C53"/>
    <w:rsid w:val="00B975CF"/>
    <w:rsid w:val="00B97784"/>
    <w:rsid w:val="00B97EBA"/>
    <w:rsid w:val="00BA0103"/>
    <w:rsid w:val="00BA0587"/>
    <w:rsid w:val="00BA0DF2"/>
    <w:rsid w:val="00BA0E5B"/>
    <w:rsid w:val="00BA0F89"/>
    <w:rsid w:val="00BA1049"/>
    <w:rsid w:val="00BA108A"/>
    <w:rsid w:val="00BA179D"/>
    <w:rsid w:val="00BA181F"/>
    <w:rsid w:val="00BA1AFD"/>
    <w:rsid w:val="00BA217B"/>
    <w:rsid w:val="00BA2A85"/>
    <w:rsid w:val="00BA2DFD"/>
    <w:rsid w:val="00BA3074"/>
    <w:rsid w:val="00BA3094"/>
    <w:rsid w:val="00BA37F0"/>
    <w:rsid w:val="00BA3CC9"/>
    <w:rsid w:val="00BA4214"/>
    <w:rsid w:val="00BA42EA"/>
    <w:rsid w:val="00BA43F3"/>
    <w:rsid w:val="00BA4418"/>
    <w:rsid w:val="00BA4525"/>
    <w:rsid w:val="00BA4AAE"/>
    <w:rsid w:val="00BA4BFB"/>
    <w:rsid w:val="00BA4D60"/>
    <w:rsid w:val="00BA4E2C"/>
    <w:rsid w:val="00BA509D"/>
    <w:rsid w:val="00BA51F6"/>
    <w:rsid w:val="00BA5B47"/>
    <w:rsid w:val="00BA5E43"/>
    <w:rsid w:val="00BA5ED6"/>
    <w:rsid w:val="00BA63D5"/>
    <w:rsid w:val="00BA648B"/>
    <w:rsid w:val="00BA6818"/>
    <w:rsid w:val="00BA6E28"/>
    <w:rsid w:val="00BA74ED"/>
    <w:rsid w:val="00BA771E"/>
    <w:rsid w:val="00BA77DE"/>
    <w:rsid w:val="00BA782E"/>
    <w:rsid w:val="00BA7A25"/>
    <w:rsid w:val="00BA7C2F"/>
    <w:rsid w:val="00BB0599"/>
    <w:rsid w:val="00BB05F4"/>
    <w:rsid w:val="00BB0630"/>
    <w:rsid w:val="00BB064E"/>
    <w:rsid w:val="00BB11B2"/>
    <w:rsid w:val="00BB12F6"/>
    <w:rsid w:val="00BB13AC"/>
    <w:rsid w:val="00BB14C3"/>
    <w:rsid w:val="00BB1CAB"/>
    <w:rsid w:val="00BB1DBF"/>
    <w:rsid w:val="00BB2322"/>
    <w:rsid w:val="00BB2333"/>
    <w:rsid w:val="00BB2405"/>
    <w:rsid w:val="00BB25E1"/>
    <w:rsid w:val="00BB2DFE"/>
    <w:rsid w:val="00BB3436"/>
    <w:rsid w:val="00BB34B7"/>
    <w:rsid w:val="00BB3828"/>
    <w:rsid w:val="00BB3A7C"/>
    <w:rsid w:val="00BB3D9E"/>
    <w:rsid w:val="00BB40D9"/>
    <w:rsid w:val="00BB4199"/>
    <w:rsid w:val="00BB48F9"/>
    <w:rsid w:val="00BB4D2D"/>
    <w:rsid w:val="00BB4D97"/>
    <w:rsid w:val="00BB51DC"/>
    <w:rsid w:val="00BB53DF"/>
    <w:rsid w:val="00BB56C4"/>
    <w:rsid w:val="00BB5776"/>
    <w:rsid w:val="00BB5B56"/>
    <w:rsid w:val="00BB5E0F"/>
    <w:rsid w:val="00BB6030"/>
    <w:rsid w:val="00BB6067"/>
    <w:rsid w:val="00BB6172"/>
    <w:rsid w:val="00BB6853"/>
    <w:rsid w:val="00BB6B0B"/>
    <w:rsid w:val="00BB6C0B"/>
    <w:rsid w:val="00BB6DEB"/>
    <w:rsid w:val="00BB6E7F"/>
    <w:rsid w:val="00BB6F1C"/>
    <w:rsid w:val="00BB716B"/>
    <w:rsid w:val="00BB7651"/>
    <w:rsid w:val="00BB772D"/>
    <w:rsid w:val="00BB7826"/>
    <w:rsid w:val="00BB78B8"/>
    <w:rsid w:val="00BB7E75"/>
    <w:rsid w:val="00BC0321"/>
    <w:rsid w:val="00BC04A5"/>
    <w:rsid w:val="00BC0725"/>
    <w:rsid w:val="00BC07F6"/>
    <w:rsid w:val="00BC091B"/>
    <w:rsid w:val="00BC0967"/>
    <w:rsid w:val="00BC13E1"/>
    <w:rsid w:val="00BC1A7C"/>
    <w:rsid w:val="00BC1BF9"/>
    <w:rsid w:val="00BC23C0"/>
    <w:rsid w:val="00BC25A3"/>
    <w:rsid w:val="00BC265E"/>
    <w:rsid w:val="00BC2932"/>
    <w:rsid w:val="00BC2978"/>
    <w:rsid w:val="00BC2E1D"/>
    <w:rsid w:val="00BC3140"/>
    <w:rsid w:val="00BC3563"/>
    <w:rsid w:val="00BC3677"/>
    <w:rsid w:val="00BC38CC"/>
    <w:rsid w:val="00BC3CF5"/>
    <w:rsid w:val="00BC4118"/>
    <w:rsid w:val="00BC466E"/>
    <w:rsid w:val="00BC47B9"/>
    <w:rsid w:val="00BC484F"/>
    <w:rsid w:val="00BC4D34"/>
    <w:rsid w:val="00BC4E08"/>
    <w:rsid w:val="00BC6291"/>
    <w:rsid w:val="00BC6335"/>
    <w:rsid w:val="00BC6794"/>
    <w:rsid w:val="00BC6862"/>
    <w:rsid w:val="00BC71C9"/>
    <w:rsid w:val="00BC71F5"/>
    <w:rsid w:val="00BC730B"/>
    <w:rsid w:val="00BC7530"/>
    <w:rsid w:val="00BC77E9"/>
    <w:rsid w:val="00BC77EA"/>
    <w:rsid w:val="00BC7B71"/>
    <w:rsid w:val="00BC7C23"/>
    <w:rsid w:val="00BD0264"/>
    <w:rsid w:val="00BD0297"/>
    <w:rsid w:val="00BD039C"/>
    <w:rsid w:val="00BD070A"/>
    <w:rsid w:val="00BD0750"/>
    <w:rsid w:val="00BD08AA"/>
    <w:rsid w:val="00BD0B7D"/>
    <w:rsid w:val="00BD0E33"/>
    <w:rsid w:val="00BD0F89"/>
    <w:rsid w:val="00BD14A8"/>
    <w:rsid w:val="00BD181E"/>
    <w:rsid w:val="00BD1D83"/>
    <w:rsid w:val="00BD21B8"/>
    <w:rsid w:val="00BD26A7"/>
    <w:rsid w:val="00BD35F1"/>
    <w:rsid w:val="00BD369A"/>
    <w:rsid w:val="00BD37BA"/>
    <w:rsid w:val="00BD383C"/>
    <w:rsid w:val="00BD3A57"/>
    <w:rsid w:val="00BD410E"/>
    <w:rsid w:val="00BD4CCC"/>
    <w:rsid w:val="00BD51DF"/>
    <w:rsid w:val="00BD577E"/>
    <w:rsid w:val="00BD578B"/>
    <w:rsid w:val="00BD58C0"/>
    <w:rsid w:val="00BD58CD"/>
    <w:rsid w:val="00BD59F6"/>
    <w:rsid w:val="00BD5FD1"/>
    <w:rsid w:val="00BD601C"/>
    <w:rsid w:val="00BD6B3A"/>
    <w:rsid w:val="00BD6E31"/>
    <w:rsid w:val="00BD70AE"/>
    <w:rsid w:val="00BD7110"/>
    <w:rsid w:val="00BD7A78"/>
    <w:rsid w:val="00BE024B"/>
    <w:rsid w:val="00BE0254"/>
    <w:rsid w:val="00BE05AF"/>
    <w:rsid w:val="00BE0693"/>
    <w:rsid w:val="00BE0CB7"/>
    <w:rsid w:val="00BE0DCB"/>
    <w:rsid w:val="00BE14AB"/>
    <w:rsid w:val="00BE172B"/>
    <w:rsid w:val="00BE1859"/>
    <w:rsid w:val="00BE1C87"/>
    <w:rsid w:val="00BE21B6"/>
    <w:rsid w:val="00BE24E9"/>
    <w:rsid w:val="00BE259F"/>
    <w:rsid w:val="00BE2BD5"/>
    <w:rsid w:val="00BE2D0C"/>
    <w:rsid w:val="00BE2E40"/>
    <w:rsid w:val="00BE2EA5"/>
    <w:rsid w:val="00BE2EBD"/>
    <w:rsid w:val="00BE2F37"/>
    <w:rsid w:val="00BE32A6"/>
    <w:rsid w:val="00BE3535"/>
    <w:rsid w:val="00BE368E"/>
    <w:rsid w:val="00BE39BD"/>
    <w:rsid w:val="00BE3A7B"/>
    <w:rsid w:val="00BE3BC8"/>
    <w:rsid w:val="00BE3D93"/>
    <w:rsid w:val="00BE3F30"/>
    <w:rsid w:val="00BE4090"/>
    <w:rsid w:val="00BE40B0"/>
    <w:rsid w:val="00BE428C"/>
    <w:rsid w:val="00BE4398"/>
    <w:rsid w:val="00BE4A81"/>
    <w:rsid w:val="00BE4C2F"/>
    <w:rsid w:val="00BE4CE9"/>
    <w:rsid w:val="00BE507B"/>
    <w:rsid w:val="00BE50AB"/>
    <w:rsid w:val="00BE538C"/>
    <w:rsid w:val="00BE55E1"/>
    <w:rsid w:val="00BE5711"/>
    <w:rsid w:val="00BE5B2D"/>
    <w:rsid w:val="00BE6556"/>
    <w:rsid w:val="00BE65FA"/>
    <w:rsid w:val="00BE6738"/>
    <w:rsid w:val="00BE6DD4"/>
    <w:rsid w:val="00BE72B2"/>
    <w:rsid w:val="00BE756C"/>
    <w:rsid w:val="00BE7822"/>
    <w:rsid w:val="00BE7888"/>
    <w:rsid w:val="00BE7934"/>
    <w:rsid w:val="00BE79B8"/>
    <w:rsid w:val="00BE7AC2"/>
    <w:rsid w:val="00BE7C43"/>
    <w:rsid w:val="00BF003B"/>
    <w:rsid w:val="00BF00B4"/>
    <w:rsid w:val="00BF0123"/>
    <w:rsid w:val="00BF01F1"/>
    <w:rsid w:val="00BF04AD"/>
    <w:rsid w:val="00BF05A0"/>
    <w:rsid w:val="00BF07D6"/>
    <w:rsid w:val="00BF0BDC"/>
    <w:rsid w:val="00BF10ED"/>
    <w:rsid w:val="00BF12DD"/>
    <w:rsid w:val="00BF1740"/>
    <w:rsid w:val="00BF19B3"/>
    <w:rsid w:val="00BF2146"/>
    <w:rsid w:val="00BF2184"/>
    <w:rsid w:val="00BF2BBE"/>
    <w:rsid w:val="00BF2E19"/>
    <w:rsid w:val="00BF36F1"/>
    <w:rsid w:val="00BF381C"/>
    <w:rsid w:val="00BF3A74"/>
    <w:rsid w:val="00BF3C80"/>
    <w:rsid w:val="00BF3E7D"/>
    <w:rsid w:val="00BF3F81"/>
    <w:rsid w:val="00BF4606"/>
    <w:rsid w:val="00BF4733"/>
    <w:rsid w:val="00BF498B"/>
    <w:rsid w:val="00BF4ADB"/>
    <w:rsid w:val="00BF4E4A"/>
    <w:rsid w:val="00BF4EB8"/>
    <w:rsid w:val="00BF554A"/>
    <w:rsid w:val="00BF579B"/>
    <w:rsid w:val="00BF5D42"/>
    <w:rsid w:val="00BF6690"/>
    <w:rsid w:val="00BF6A28"/>
    <w:rsid w:val="00BF6D6E"/>
    <w:rsid w:val="00BF6E5D"/>
    <w:rsid w:val="00BF71A6"/>
    <w:rsid w:val="00BF7E99"/>
    <w:rsid w:val="00C0021D"/>
    <w:rsid w:val="00C00469"/>
    <w:rsid w:val="00C0047B"/>
    <w:rsid w:val="00C00B5E"/>
    <w:rsid w:val="00C00BA2"/>
    <w:rsid w:val="00C010FA"/>
    <w:rsid w:val="00C015EB"/>
    <w:rsid w:val="00C01675"/>
    <w:rsid w:val="00C016EC"/>
    <w:rsid w:val="00C01A05"/>
    <w:rsid w:val="00C01AF6"/>
    <w:rsid w:val="00C01BB0"/>
    <w:rsid w:val="00C01C75"/>
    <w:rsid w:val="00C01E29"/>
    <w:rsid w:val="00C02121"/>
    <w:rsid w:val="00C02210"/>
    <w:rsid w:val="00C02714"/>
    <w:rsid w:val="00C027E2"/>
    <w:rsid w:val="00C034F4"/>
    <w:rsid w:val="00C037AE"/>
    <w:rsid w:val="00C037FC"/>
    <w:rsid w:val="00C03B7A"/>
    <w:rsid w:val="00C03BCA"/>
    <w:rsid w:val="00C03E34"/>
    <w:rsid w:val="00C03FC3"/>
    <w:rsid w:val="00C042FB"/>
    <w:rsid w:val="00C0440C"/>
    <w:rsid w:val="00C04568"/>
    <w:rsid w:val="00C04A9A"/>
    <w:rsid w:val="00C04B40"/>
    <w:rsid w:val="00C05057"/>
    <w:rsid w:val="00C05098"/>
    <w:rsid w:val="00C05267"/>
    <w:rsid w:val="00C05422"/>
    <w:rsid w:val="00C0546D"/>
    <w:rsid w:val="00C05541"/>
    <w:rsid w:val="00C05611"/>
    <w:rsid w:val="00C0564C"/>
    <w:rsid w:val="00C0591B"/>
    <w:rsid w:val="00C05CF7"/>
    <w:rsid w:val="00C0615B"/>
    <w:rsid w:val="00C0643E"/>
    <w:rsid w:val="00C06508"/>
    <w:rsid w:val="00C066F3"/>
    <w:rsid w:val="00C06A28"/>
    <w:rsid w:val="00C06BA7"/>
    <w:rsid w:val="00C06FD8"/>
    <w:rsid w:val="00C0728B"/>
    <w:rsid w:val="00C07889"/>
    <w:rsid w:val="00C07AE4"/>
    <w:rsid w:val="00C07DAF"/>
    <w:rsid w:val="00C07EE8"/>
    <w:rsid w:val="00C07FCA"/>
    <w:rsid w:val="00C1019C"/>
    <w:rsid w:val="00C1029D"/>
    <w:rsid w:val="00C10716"/>
    <w:rsid w:val="00C10DEE"/>
    <w:rsid w:val="00C10E4A"/>
    <w:rsid w:val="00C10F84"/>
    <w:rsid w:val="00C1106B"/>
    <w:rsid w:val="00C111C4"/>
    <w:rsid w:val="00C115D3"/>
    <w:rsid w:val="00C11958"/>
    <w:rsid w:val="00C11E2F"/>
    <w:rsid w:val="00C11E76"/>
    <w:rsid w:val="00C121C4"/>
    <w:rsid w:val="00C12233"/>
    <w:rsid w:val="00C1230A"/>
    <w:rsid w:val="00C1238B"/>
    <w:rsid w:val="00C12458"/>
    <w:rsid w:val="00C125A7"/>
    <w:rsid w:val="00C129C1"/>
    <w:rsid w:val="00C13ACD"/>
    <w:rsid w:val="00C13E3A"/>
    <w:rsid w:val="00C13EC6"/>
    <w:rsid w:val="00C13FF1"/>
    <w:rsid w:val="00C14145"/>
    <w:rsid w:val="00C14C67"/>
    <w:rsid w:val="00C14D49"/>
    <w:rsid w:val="00C15220"/>
    <w:rsid w:val="00C15346"/>
    <w:rsid w:val="00C15E18"/>
    <w:rsid w:val="00C161A7"/>
    <w:rsid w:val="00C163E9"/>
    <w:rsid w:val="00C164F7"/>
    <w:rsid w:val="00C168AC"/>
    <w:rsid w:val="00C16B83"/>
    <w:rsid w:val="00C16DA8"/>
    <w:rsid w:val="00C1739A"/>
    <w:rsid w:val="00C17D16"/>
    <w:rsid w:val="00C17FD9"/>
    <w:rsid w:val="00C202DC"/>
    <w:rsid w:val="00C20364"/>
    <w:rsid w:val="00C203F0"/>
    <w:rsid w:val="00C20431"/>
    <w:rsid w:val="00C204BF"/>
    <w:rsid w:val="00C20959"/>
    <w:rsid w:val="00C20977"/>
    <w:rsid w:val="00C20C2D"/>
    <w:rsid w:val="00C20D32"/>
    <w:rsid w:val="00C20DA8"/>
    <w:rsid w:val="00C20DF3"/>
    <w:rsid w:val="00C20E60"/>
    <w:rsid w:val="00C21022"/>
    <w:rsid w:val="00C21563"/>
    <w:rsid w:val="00C215CB"/>
    <w:rsid w:val="00C21792"/>
    <w:rsid w:val="00C217E6"/>
    <w:rsid w:val="00C21910"/>
    <w:rsid w:val="00C21C7C"/>
    <w:rsid w:val="00C21DB6"/>
    <w:rsid w:val="00C21FED"/>
    <w:rsid w:val="00C2200C"/>
    <w:rsid w:val="00C221A6"/>
    <w:rsid w:val="00C224BA"/>
    <w:rsid w:val="00C224D0"/>
    <w:rsid w:val="00C22655"/>
    <w:rsid w:val="00C226DB"/>
    <w:rsid w:val="00C2285B"/>
    <w:rsid w:val="00C22E4B"/>
    <w:rsid w:val="00C22FD7"/>
    <w:rsid w:val="00C23397"/>
    <w:rsid w:val="00C233C0"/>
    <w:rsid w:val="00C23610"/>
    <w:rsid w:val="00C238FD"/>
    <w:rsid w:val="00C23ADC"/>
    <w:rsid w:val="00C23CB8"/>
    <w:rsid w:val="00C23E65"/>
    <w:rsid w:val="00C23F44"/>
    <w:rsid w:val="00C240D2"/>
    <w:rsid w:val="00C241C5"/>
    <w:rsid w:val="00C24368"/>
    <w:rsid w:val="00C2442D"/>
    <w:rsid w:val="00C24886"/>
    <w:rsid w:val="00C24A19"/>
    <w:rsid w:val="00C24A20"/>
    <w:rsid w:val="00C24D83"/>
    <w:rsid w:val="00C25361"/>
    <w:rsid w:val="00C25770"/>
    <w:rsid w:val="00C25931"/>
    <w:rsid w:val="00C25C60"/>
    <w:rsid w:val="00C2636E"/>
    <w:rsid w:val="00C268C6"/>
    <w:rsid w:val="00C26A2F"/>
    <w:rsid w:val="00C270A5"/>
    <w:rsid w:val="00C274F3"/>
    <w:rsid w:val="00C276CA"/>
    <w:rsid w:val="00C27871"/>
    <w:rsid w:val="00C27EAE"/>
    <w:rsid w:val="00C27F83"/>
    <w:rsid w:val="00C3074B"/>
    <w:rsid w:val="00C30757"/>
    <w:rsid w:val="00C30904"/>
    <w:rsid w:val="00C30957"/>
    <w:rsid w:val="00C30D5A"/>
    <w:rsid w:val="00C3188D"/>
    <w:rsid w:val="00C318A2"/>
    <w:rsid w:val="00C318AF"/>
    <w:rsid w:val="00C31A94"/>
    <w:rsid w:val="00C321FC"/>
    <w:rsid w:val="00C324F0"/>
    <w:rsid w:val="00C3267E"/>
    <w:rsid w:val="00C327BC"/>
    <w:rsid w:val="00C32B6C"/>
    <w:rsid w:val="00C32D84"/>
    <w:rsid w:val="00C32E23"/>
    <w:rsid w:val="00C3327C"/>
    <w:rsid w:val="00C33498"/>
    <w:rsid w:val="00C336EC"/>
    <w:rsid w:val="00C3385B"/>
    <w:rsid w:val="00C33BE1"/>
    <w:rsid w:val="00C34193"/>
    <w:rsid w:val="00C342E8"/>
    <w:rsid w:val="00C34B20"/>
    <w:rsid w:val="00C35323"/>
    <w:rsid w:val="00C354FC"/>
    <w:rsid w:val="00C35747"/>
    <w:rsid w:val="00C35780"/>
    <w:rsid w:val="00C358CC"/>
    <w:rsid w:val="00C35A2D"/>
    <w:rsid w:val="00C35CE5"/>
    <w:rsid w:val="00C3607D"/>
    <w:rsid w:val="00C36157"/>
    <w:rsid w:val="00C361B5"/>
    <w:rsid w:val="00C36394"/>
    <w:rsid w:val="00C3671C"/>
    <w:rsid w:val="00C368B2"/>
    <w:rsid w:val="00C369C5"/>
    <w:rsid w:val="00C36C40"/>
    <w:rsid w:val="00C36E59"/>
    <w:rsid w:val="00C36FB7"/>
    <w:rsid w:val="00C37102"/>
    <w:rsid w:val="00C378BB"/>
    <w:rsid w:val="00C37A49"/>
    <w:rsid w:val="00C37C66"/>
    <w:rsid w:val="00C4004B"/>
    <w:rsid w:val="00C400D6"/>
    <w:rsid w:val="00C40326"/>
    <w:rsid w:val="00C40584"/>
    <w:rsid w:val="00C40C65"/>
    <w:rsid w:val="00C40D7A"/>
    <w:rsid w:val="00C411C6"/>
    <w:rsid w:val="00C411E8"/>
    <w:rsid w:val="00C41B47"/>
    <w:rsid w:val="00C42009"/>
    <w:rsid w:val="00C42028"/>
    <w:rsid w:val="00C42089"/>
    <w:rsid w:val="00C4208C"/>
    <w:rsid w:val="00C42278"/>
    <w:rsid w:val="00C4227F"/>
    <w:rsid w:val="00C425B1"/>
    <w:rsid w:val="00C435A8"/>
    <w:rsid w:val="00C43733"/>
    <w:rsid w:val="00C43770"/>
    <w:rsid w:val="00C43996"/>
    <w:rsid w:val="00C43D1B"/>
    <w:rsid w:val="00C43DB2"/>
    <w:rsid w:val="00C43F3C"/>
    <w:rsid w:val="00C448AE"/>
    <w:rsid w:val="00C44997"/>
    <w:rsid w:val="00C44AD1"/>
    <w:rsid w:val="00C44B2F"/>
    <w:rsid w:val="00C44B92"/>
    <w:rsid w:val="00C44D9B"/>
    <w:rsid w:val="00C44E74"/>
    <w:rsid w:val="00C44FF2"/>
    <w:rsid w:val="00C4508E"/>
    <w:rsid w:val="00C45CAE"/>
    <w:rsid w:val="00C45F1A"/>
    <w:rsid w:val="00C45FCA"/>
    <w:rsid w:val="00C46097"/>
    <w:rsid w:val="00C4632E"/>
    <w:rsid w:val="00C46358"/>
    <w:rsid w:val="00C46905"/>
    <w:rsid w:val="00C46E0F"/>
    <w:rsid w:val="00C46FC4"/>
    <w:rsid w:val="00C47598"/>
    <w:rsid w:val="00C4786D"/>
    <w:rsid w:val="00C47A35"/>
    <w:rsid w:val="00C47CB1"/>
    <w:rsid w:val="00C47D8F"/>
    <w:rsid w:val="00C47DE2"/>
    <w:rsid w:val="00C503D7"/>
    <w:rsid w:val="00C50543"/>
    <w:rsid w:val="00C505BA"/>
    <w:rsid w:val="00C508DA"/>
    <w:rsid w:val="00C50ADB"/>
    <w:rsid w:val="00C50B3A"/>
    <w:rsid w:val="00C51470"/>
    <w:rsid w:val="00C5157D"/>
    <w:rsid w:val="00C519DA"/>
    <w:rsid w:val="00C51A3B"/>
    <w:rsid w:val="00C51BEA"/>
    <w:rsid w:val="00C51C54"/>
    <w:rsid w:val="00C522FC"/>
    <w:rsid w:val="00C5236A"/>
    <w:rsid w:val="00C5257B"/>
    <w:rsid w:val="00C52CEE"/>
    <w:rsid w:val="00C530B7"/>
    <w:rsid w:val="00C5356A"/>
    <w:rsid w:val="00C53C97"/>
    <w:rsid w:val="00C54490"/>
    <w:rsid w:val="00C5472F"/>
    <w:rsid w:val="00C54D41"/>
    <w:rsid w:val="00C5514C"/>
    <w:rsid w:val="00C55988"/>
    <w:rsid w:val="00C5632C"/>
    <w:rsid w:val="00C56443"/>
    <w:rsid w:val="00C56DA3"/>
    <w:rsid w:val="00C56DA7"/>
    <w:rsid w:val="00C56EA1"/>
    <w:rsid w:val="00C5733B"/>
    <w:rsid w:val="00C575A5"/>
    <w:rsid w:val="00C57721"/>
    <w:rsid w:val="00C57A60"/>
    <w:rsid w:val="00C57C31"/>
    <w:rsid w:val="00C57D85"/>
    <w:rsid w:val="00C602E7"/>
    <w:rsid w:val="00C603F9"/>
    <w:rsid w:val="00C608DB"/>
    <w:rsid w:val="00C60AE1"/>
    <w:rsid w:val="00C60B88"/>
    <w:rsid w:val="00C61102"/>
    <w:rsid w:val="00C616FD"/>
    <w:rsid w:val="00C620C3"/>
    <w:rsid w:val="00C6241B"/>
    <w:rsid w:val="00C624A9"/>
    <w:rsid w:val="00C62B22"/>
    <w:rsid w:val="00C62C3F"/>
    <w:rsid w:val="00C62DFF"/>
    <w:rsid w:val="00C63304"/>
    <w:rsid w:val="00C63305"/>
    <w:rsid w:val="00C635F9"/>
    <w:rsid w:val="00C63926"/>
    <w:rsid w:val="00C63BC0"/>
    <w:rsid w:val="00C63D7F"/>
    <w:rsid w:val="00C63FCC"/>
    <w:rsid w:val="00C63FEC"/>
    <w:rsid w:val="00C6410E"/>
    <w:rsid w:val="00C644DE"/>
    <w:rsid w:val="00C646D9"/>
    <w:rsid w:val="00C64AEF"/>
    <w:rsid w:val="00C64C69"/>
    <w:rsid w:val="00C64D09"/>
    <w:rsid w:val="00C65951"/>
    <w:rsid w:val="00C6597D"/>
    <w:rsid w:val="00C65A73"/>
    <w:rsid w:val="00C65AE0"/>
    <w:rsid w:val="00C65E33"/>
    <w:rsid w:val="00C661CD"/>
    <w:rsid w:val="00C66203"/>
    <w:rsid w:val="00C66409"/>
    <w:rsid w:val="00C66523"/>
    <w:rsid w:val="00C66925"/>
    <w:rsid w:val="00C66FFA"/>
    <w:rsid w:val="00C671E2"/>
    <w:rsid w:val="00C67745"/>
    <w:rsid w:val="00C6779C"/>
    <w:rsid w:val="00C67881"/>
    <w:rsid w:val="00C67ADB"/>
    <w:rsid w:val="00C67BA4"/>
    <w:rsid w:val="00C67C07"/>
    <w:rsid w:val="00C67EC4"/>
    <w:rsid w:val="00C700B4"/>
    <w:rsid w:val="00C703AA"/>
    <w:rsid w:val="00C70412"/>
    <w:rsid w:val="00C7112E"/>
    <w:rsid w:val="00C71A7E"/>
    <w:rsid w:val="00C71C06"/>
    <w:rsid w:val="00C7254D"/>
    <w:rsid w:val="00C7268E"/>
    <w:rsid w:val="00C72A44"/>
    <w:rsid w:val="00C72A72"/>
    <w:rsid w:val="00C72B54"/>
    <w:rsid w:val="00C72CA9"/>
    <w:rsid w:val="00C72CCE"/>
    <w:rsid w:val="00C72F5F"/>
    <w:rsid w:val="00C73184"/>
    <w:rsid w:val="00C7332A"/>
    <w:rsid w:val="00C733D9"/>
    <w:rsid w:val="00C73401"/>
    <w:rsid w:val="00C7346A"/>
    <w:rsid w:val="00C73543"/>
    <w:rsid w:val="00C736A6"/>
    <w:rsid w:val="00C73906"/>
    <w:rsid w:val="00C73BEB"/>
    <w:rsid w:val="00C73DFE"/>
    <w:rsid w:val="00C73E4B"/>
    <w:rsid w:val="00C73F09"/>
    <w:rsid w:val="00C744F3"/>
    <w:rsid w:val="00C74825"/>
    <w:rsid w:val="00C74AA4"/>
    <w:rsid w:val="00C7524C"/>
    <w:rsid w:val="00C76508"/>
    <w:rsid w:val="00C765DF"/>
    <w:rsid w:val="00C766FC"/>
    <w:rsid w:val="00C76735"/>
    <w:rsid w:val="00C76B4B"/>
    <w:rsid w:val="00C76BCA"/>
    <w:rsid w:val="00C76D6D"/>
    <w:rsid w:val="00C76F59"/>
    <w:rsid w:val="00C773AF"/>
    <w:rsid w:val="00C775FD"/>
    <w:rsid w:val="00C776FD"/>
    <w:rsid w:val="00C8020F"/>
    <w:rsid w:val="00C804E2"/>
    <w:rsid w:val="00C80562"/>
    <w:rsid w:val="00C808E2"/>
    <w:rsid w:val="00C80B8B"/>
    <w:rsid w:val="00C81705"/>
    <w:rsid w:val="00C81842"/>
    <w:rsid w:val="00C81CF0"/>
    <w:rsid w:val="00C82240"/>
    <w:rsid w:val="00C8225E"/>
    <w:rsid w:val="00C82B49"/>
    <w:rsid w:val="00C82BD2"/>
    <w:rsid w:val="00C82D8D"/>
    <w:rsid w:val="00C836FC"/>
    <w:rsid w:val="00C8376C"/>
    <w:rsid w:val="00C83948"/>
    <w:rsid w:val="00C83AF5"/>
    <w:rsid w:val="00C83C4A"/>
    <w:rsid w:val="00C83E7A"/>
    <w:rsid w:val="00C83FC0"/>
    <w:rsid w:val="00C84351"/>
    <w:rsid w:val="00C844D7"/>
    <w:rsid w:val="00C848BA"/>
    <w:rsid w:val="00C84F98"/>
    <w:rsid w:val="00C852CD"/>
    <w:rsid w:val="00C856EC"/>
    <w:rsid w:val="00C85810"/>
    <w:rsid w:val="00C85969"/>
    <w:rsid w:val="00C85CA7"/>
    <w:rsid w:val="00C85E14"/>
    <w:rsid w:val="00C8627D"/>
    <w:rsid w:val="00C865E4"/>
    <w:rsid w:val="00C86643"/>
    <w:rsid w:val="00C86A07"/>
    <w:rsid w:val="00C86B6F"/>
    <w:rsid w:val="00C86BB4"/>
    <w:rsid w:val="00C8799A"/>
    <w:rsid w:val="00C900E3"/>
    <w:rsid w:val="00C9029B"/>
    <w:rsid w:val="00C903B9"/>
    <w:rsid w:val="00C909E3"/>
    <w:rsid w:val="00C90CD8"/>
    <w:rsid w:val="00C90DC8"/>
    <w:rsid w:val="00C90DD2"/>
    <w:rsid w:val="00C91C46"/>
    <w:rsid w:val="00C92418"/>
    <w:rsid w:val="00C9269F"/>
    <w:rsid w:val="00C93087"/>
    <w:rsid w:val="00C93512"/>
    <w:rsid w:val="00C935FF"/>
    <w:rsid w:val="00C93944"/>
    <w:rsid w:val="00C93964"/>
    <w:rsid w:val="00C93BBF"/>
    <w:rsid w:val="00C94149"/>
    <w:rsid w:val="00C9424C"/>
    <w:rsid w:val="00C944E6"/>
    <w:rsid w:val="00C945FB"/>
    <w:rsid w:val="00C94660"/>
    <w:rsid w:val="00C94796"/>
    <w:rsid w:val="00C94C8D"/>
    <w:rsid w:val="00C94D1F"/>
    <w:rsid w:val="00C9516A"/>
    <w:rsid w:val="00C9545B"/>
    <w:rsid w:val="00C955D7"/>
    <w:rsid w:val="00C95D0E"/>
    <w:rsid w:val="00C95F4E"/>
    <w:rsid w:val="00C964A6"/>
    <w:rsid w:val="00C96502"/>
    <w:rsid w:val="00C965F0"/>
    <w:rsid w:val="00C9681F"/>
    <w:rsid w:val="00C96C61"/>
    <w:rsid w:val="00C96D5B"/>
    <w:rsid w:val="00C971AB"/>
    <w:rsid w:val="00C9755E"/>
    <w:rsid w:val="00C97617"/>
    <w:rsid w:val="00C97D7C"/>
    <w:rsid w:val="00C97DCE"/>
    <w:rsid w:val="00C97E18"/>
    <w:rsid w:val="00CA00A8"/>
    <w:rsid w:val="00CA0274"/>
    <w:rsid w:val="00CA043B"/>
    <w:rsid w:val="00CA0503"/>
    <w:rsid w:val="00CA062B"/>
    <w:rsid w:val="00CA0CAC"/>
    <w:rsid w:val="00CA0CF1"/>
    <w:rsid w:val="00CA0CFC"/>
    <w:rsid w:val="00CA121B"/>
    <w:rsid w:val="00CA1283"/>
    <w:rsid w:val="00CA1510"/>
    <w:rsid w:val="00CA19A4"/>
    <w:rsid w:val="00CA1ACA"/>
    <w:rsid w:val="00CA1D40"/>
    <w:rsid w:val="00CA1E6F"/>
    <w:rsid w:val="00CA1EDA"/>
    <w:rsid w:val="00CA2076"/>
    <w:rsid w:val="00CA2D72"/>
    <w:rsid w:val="00CA2D77"/>
    <w:rsid w:val="00CA2E6A"/>
    <w:rsid w:val="00CA301A"/>
    <w:rsid w:val="00CA31EF"/>
    <w:rsid w:val="00CA3374"/>
    <w:rsid w:val="00CA3771"/>
    <w:rsid w:val="00CA3981"/>
    <w:rsid w:val="00CA3BE4"/>
    <w:rsid w:val="00CA429C"/>
    <w:rsid w:val="00CA461D"/>
    <w:rsid w:val="00CA46A4"/>
    <w:rsid w:val="00CA487F"/>
    <w:rsid w:val="00CA4B8E"/>
    <w:rsid w:val="00CA4CB1"/>
    <w:rsid w:val="00CA4EB4"/>
    <w:rsid w:val="00CA5644"/>
    <w:rsid w:val="00CA5A78"/>
    <w:rsid w:val="00CA5B84"/>
    <w:rsid w:val="00CA5F9E"/>
    <w:rsid w:val="00CA5FEC"/>
    <w:rsid w:val="00CA62AE"/>
    <w:rsid w:val="00CA6830"/>
    <w:rsid w:val="00CA68B3"/>
    <w:rsid w:val="00CA68D4"/>
    <w:rsid w:val="00CA698A"/>
    <w:rsid w:val="00CA698E"/>
    <w:rsid w:val="00CA7404"/>
    <w:rsid w:val="00CA75EB"/>
    <w:rsid w:val="00CA7645"/>
    <w:rsid w:val="00CA776F"/>
    <w:rsid w:val="00CA7775"/>
    <w:rsid w:val="00CA7CF2"/>
    <w:rsid w:val="00CB0479"/>
    <w:rsid w:val="00CB0A16"/>
    <w:rsid w:val="00CB0A84"/>
    <w:rsid w:val="00CB0F0C"/>
    <w:rsid w:val="00CB10F5"/>
    <w:rsid w:val="00CB1696"/>
    <w:rsid w:val="00CB1C09"/>
    <w:rsid w:val="00CB1DCD"/>
    <w:rsid w:val="00CB1E3C"/>
    <w:rsid w:val="00CB2363"/>
    <w:rsid w:val="00CB2434"/>
    <w:rsid w:val="00CB2469"/>
    <w:rsid w:val="00CB2774"/>
    <w:rsid w:val="00CB2A32"/>
    <w:rsid w:val="00CB2A50"/>
    <w:rsid w:val="00CB2E1D"/>
    <w:rsid w:val="00CB2F05"/>
    <w:rsid w:val="00CB2FC2"/>
    <w:rsid w:val="00CB30CA"/>
    <w:rsid w:val="00CB3118"/>
    <w:rsid w:val="00CB3172"/>
    <w:rsid w:val="00CB4022"/>
    <w:rsid w:val="00CB4562"/>
    <w:rsid w:val="00CB471F"/>
    <w:rsid w:val="00CB47F9"/>
    <w:rsid w:val="00CB4FA0"/>
    <w:rsid w:val="00CB5679"/>
    <w:rsid w:val="00CB5713"/>
    <w:rsid w:val="00CB5AAB"/>
    <w:rsid w:val="00CB6792"/>
    <w:rsid w:val="00CB68A2"/>
    <w:rsid w:val="00CB6E4F"/>
    <w:rsid w:val="00CB7040"/>
    <w:rsid w:val="00CB70E1"/>
    <w:rsid w:val="00CB72B4"/>
    <w:rsid w:val="00CB731B"/>
    <w:rsid w:val="00CB73E5"/>
    <w:rsid w:val="00CB7F3B"/>
    <w:rsid w:val="00CC01EB"/>
    <w:rsid w:val="00CC0A7F"/>
    <w:rsid w:val="00CC0FCF"/>
    <w:rsid w:val="00CC10DE"/>
    <w:rsid w:val="00CC1147"/>
    <w:rsid w:val="00CC150E"/>
    <w:rsid w:val="00CC1768"/>
    <w:rsid w:val="00CC18AD"/>
    <w:rsid w:val="00CC1F89"/>
    <w:rsid w:val="00CC2314"/>
    <w:rsid w:val="00CC23A6"/>
    <w:rsid w:val="00CC2408"/>
    <w:rsid w:val="00CC258C"/>
    <w:rsid w:val="00CC25FD"/>
    <w:rsid w:val="00CC2CA2"/>
    <w:rsid w:val="00CC327F"/>
    <w:rsid w:val="00CC333C"/>
    <w:rsid w:val="00CC34CB"/>
    <w:rsid w:val="00CC385A"/>
    <w:rsid w:val="00CC3A15"/>
    <w:rsid w:val="00CC3EF1"/>
    <w:rsid w:val="00CC474A"/>
    <w:rsid w:val="00CC47D7"/>
    <w:rsid w:val="00CC4905"/>
    <w:rsid w:val="00CC49B9"/>
    <w:rsid w:val="00CC4C03"/>
    <w:rsid w:val="00CC60F5"/>
    <w:rsid w:val="00CC6145"/>
    <w:rsid w:val="00CC61AA"/>
    <w:rsid w:val="00CC6515"/>
    <w:rsid w:val="00CC6C49"/>
    <w:rsid w:val="00CC6E85"/>
    <w:rsid w:val="00CC71A0"/>
    <w:rsid w:val="00CC7238"/>
    <w:rsid w:val="00CC75C2"/>
    <w:rsid w:val="00CC778A"/>
    <w:rsid w:val="00CC7E8F"/>
    <w:rsid w:val="00CC7F04"/>
    <w:rsid w:val="00CC7F41"/>
    <w:rsid w:val="00CD000D"/>
    <w:rsid w:val="00CD016C"/>
    <w:rsid w:val="00CD0246"/>
    <w:rsid w:val="00CD0253"/>
    <w:rsid w:val="00CD0842"/>
    <w:rsid w:val="00CD08DE"/>
    <w:rsid w:val="00CD1074"/>
    <w:rsid w:val="00CD14F0"/>
    <w:rsid w:val="00CD157B"/>
    <w:rsid w:val="00CD173D"/>
    <w:rsid w:val="00CD1A0D"/>
    <w:rsid w:val="00CD23D6"/>
    <w:rsid w:val="00CD2656"/>
    <w:rsid w:val="00CD2E0A"/>
    <w:rsid w:val="00CD3078"/>
    <w:rsid w:val="00CD3318"/>
    <w:rsid w:val="00CD365A"/>
    <w:rsid w:val="00CD3A18"/>
    <w:rsid w:val="00CD3B31"/>
    <w:rsid w:val="00CD3F18"/>
    <w:rsid w:val="00CD3FFB"/>
    <w:rsid w:val="00CD43B1"/>
    <w:rsid w:val="00CD45E3"/>
    <w:rsid w:val="00CD483F"/>
    <w:rsid w:val="00CD48E4"/>
    <w:rsid w:val="00CD49CC"/>
    <w:rsid w:val="00CD4A1D"/>
    <w:rsid w:val="00CD4B8D"/>
    <w:rsid w:val="00CD4FBF"/>
    <w:rsid w:val="00CD55A2"/>
    <w:rsid w:val="00CD55AF"/>
    <w:rsid w:val="00CD5857"/>
    <w:rsid w:val="00CD58E5"/>
    <w:rsid w:val="00CD5B2D"/>
    <w:rsid w:val="00CD5E1F"/>
    <w:rsid w:val="00CD5FFD"/>
    <w:rsid w:val="00CD6874"/>
    <w:rsid w:val="00CD688F"/>
    <w:rsid w:val="00CD6E3B"/>
    <w:rsid w:val="00CD7002"/>
    <w:rsid w:val="00CD7104"/>
    <w:rsid w:val="00CD72EA"/>
    <w:rsid w:val="00CD73A3"/>
    <w:rsid w:val="00CD73BC"/>
    <w:rsid w:val="00CD7FB3"/>
    <w:rsid w:val="00CE0055"/>
    <w:rsid w:val="00CE00EB"/>
    <w:rsid w:val="00CE02A8"/>
    <w:rsid w:val="00CE02E6"/>
    <w:rsid w:val="00CE088E"/>
    <w:rsid w:val="00CE0912"/>
    <w:rsid w:val="00CE0B32"/>
    <w:rsid w:val="00CE0C8D"/>
    <w:rsid w:val="00CE1043"/>
    <w:rsid w:val="00CE14DF"/>
    <w:rsid w:val="00CE1570"/>
    <w:rsid w:val="00CE1B40"/>
    <w:rsid w:val="00CE1CE6"/>
    <w:rsid w:val="00CE1DEC"/>
    <w:rsid w:val="00CE1F54"/>
    <w:rsid w:val="00CE22BC"/>
    <w:rsid w:val="00CE25E7"/>
    <w:rsid w:val="00CE270A"/>
    <w:rsid w:val="00CE29BD"/>
    <w:rsid w:val="00CE2B49"/>
    <w:rsid w:val="00CE2BED"/>
    <w:rsid w:val="00CE2E1B"/>
    <w:rsid w:val="00CE301A"/>
    <w:rsid w:val="00CE31E5"/>
    <w:rsid w:val="00CE3234"/>
    <w:rsid w:val="00CE3428"/>
    <w:rsid w:val="00CE3564"/>
    <w:rsid w:val="00CE37F8"/>
    <w:rsid w:val="00CE39A7"/>
    <w:rsid w:val="00CE4204"/>
    <w:rsid w:val="00CE42F6"/>
    <w:rsid w:val="00CE48FB"/>
    <w:rsid w:val="00CE4E97"/>
    <w:rsid w:val="00CE5085"/>
    <w:rsid w:val="00CE5186"/>
    <w:rsid w:val="00CE53AD"/>
    <w:rsid w:val="00CE5760"/>
    <w:rsid w:val="00CE5A59"/>
    <w:rsid w:val="00CE60F0"/>
    <w:rsid w:val="00CE616B"/>
    <w:rsid w:val="00CE629E"/>
    <w:rsid w:val="00CE62B8"/>
    <w:rsid w:val="00CE63A8"/>
    <w:rsid w:val="00CE6528"/>
    <w:rsid w:val="00CE6B16"/>
    <w:rsid w:val="00CE6BB0"/>
    <w:rsid w:val="00CE6F27"/>
    <w:rsid w:val="00CE6F96"/>
    <w:rsid w:val="00CE7672"/>
    <w:rsid w:val="00CE7687"/>
    <w:rsid w:val="00CE76B5"/>
    <w:rsid w:val="00CE79FE"/>
    <w:rsid w:val="00CE7A31"/>
    <w:rsid w:val="00CE7DD6"/>
    <w:rsid w:val="00CE7E16"/>
    <w:rsid w:val="00CF010F"/>
    <w:rsid w:val="00CF0423"/>
    <w:rsid w:val="00CF072B"/>
    <w:rsid w:val="00CF08F6"/>
    <w:rsid w:val="00CF0ADD"/>
    <w:rsid w:val="00CF0AFE"/>
    <w:rsid w:val="00CF0D20"/>
    <w:rsid w:val="00CF19EB"/>
    <w:rsid w:val="00CF19EE"/>
    <w:rsid w:val="00CF2753"/>
    <w:rsid w:val="00CF28EE"/>
    <w:rsid w:val="00CF2CAC"/>
    <w:rsid w:val="00CF2FA8"/>
    <w:rsid w:val="00CF3159"/>
    <w:rsid w:val="00CF3885"/>
    <w:rsid w:val="00CF3B92"/>
    <w:rsid w:val="00CF402D"/>
    <w:rsid w:val="00CF431B"/>
    <w:rsid w:val="00CF4333"/>
    <w:rsid w:val="00CF5577"/>
    <w:rsid w:val="00CF5BE3"/>
    <w:rsid w:val="00CF6150"/>
    <w:rsid w:val="00CF620E"/>
    <w:rsid w:val="00CF62A8"/>
    <w:rsid w:val="00CF6CD1"/>
    <w:rsid w:val="00CF6DDA"/>
    <w:rsid w:val="00CF6DF4"/>
    <w:rsid w:val="00CF6EA7"/>
    <w:rsid w:val="00CF706A"/>
    <w:rsid w:val="00CF7684"/>
    <w:rsid w:val="00CF7A07"/>
    <w:rsid w:val="00CF7AF7"/>
    <w:rsid w:val="00D00171"/>
    <w:rsid w:val="00D0063E"/>
    <w:rsid w:val="00D00680"/>
    <w:rsid w:val="00D00A23"/>
    <w:rsid w:val="00D00AB2"/>
    <w:rsid w:val="00D011FE"/>
    <w:rsid w:val="00D016AB"/>
    <w:rsid w:val="00D019FA"/>
    <w:rsid w:val="00D01CCF"/>
    <w:rsid w:val="00D0212E"/>
    <w:rsid w:val="00D0214A"/>
    <w:rsid w:val="00D026CD"/>
    <w:rsid w:val="00D029FE"/>
    <w:rsid w:val="00D02A25"/>
    <w:rsid w:val="00D03363"/>
    <w:rsid w:val="00D041D8"/>
    <w:rsid w:val="00D0442E"/>
    <w:rsid w:val="00D0455A"/>
    <w:rsid w:val="00D04C15"/>
    <w:rsid w:val="00D04F7B"/>
    <w:rsid w:val="00D0512C"/>
    <w:rsid w:val="00D053C2"/>
    <w:rsid w:val="00D05FA5"/>
    <w:rsid w:val="00D06211"/>
    <w:rsid w:val="00D0690A"/>
    <w:rsid w:val="00D069A9"/>
    <w:rsid w:val="00D06E9F"/>
    <w:rsid w:val="00D06FFF"/>
    <w:rsid w:val="00D07871"/>
    <w:rsid w:val="00D07B7D"/>
    <w:rsid w:val="00D07D7B"/>
    <w:rsid w:val="00D07F74"/>
    <w:rsid w:val="00D105FD"/>
    <w:rsid w:val="00D10C29"/>
    <w:rsid w:val="00D10DD2"/>
    <w:rsid w:val="00D113E7"/>
    <w:rsid w:val="00D116BB"/>
    <w:rsid w:val="00D116F0"/>
    <w:rsid w:val="00D11724"/>
    <w:rsid w:val="00D119B8"/>
    <w:rsid w:val="00D11A72"/>
    <w:rsid w:val="00D11B26"/>
    <w:rsid w:val="00D11B66"/>
    <w:rsid w:val="00D122BD"/>
    <w:rsid w:val="00D123EA"/>
    <w:rsid w:val="00D124C5"/>
    <w:rsid w:val="00D126F2"/>
    <w:rsid w:val="00D12A77"/>
    <w:rsid w:val="00D12C8C"/>
    <w:rsid w:val="00D12E24"/>
    <w:rsid w:val="00D134C5"/>
    <w:rsid w:val="00D135C9"/>
    <w:rsid w:val="00D13CD4"/>
    <w:rsid w:val="00D14332"/>
    <w:rsid w:val="00D144C6"/>
    <w:rsid w:val="00D1455C"/>
    <w:rsid w:val="00D14C3A"/>
    <w:rsid w:val="00D14D0D"/>
    <w:rsid w:val="00D15178"/>
    <w:rsid w:val="00D151AE"/>
    <w:rsid w:val="00D15979"/>
    <w:rsid w:val="00D159A3"/>
    <w:rsid w:val="00D15B0C"/>
    <w:rsid w:val="00D15F88"/>
    <w:rsid w:val="00D167E6"/>
    <w:rsid w:val="00D16C97"/>
    <w:rsid w:val="00D16F9B"/>
    <w:rsid w:val="00D174D0"/>
    <w:rsid w:val="00D17611"/>
    <w:rsid w:val="00D17A0C"/>
    <w:rsid w:val="00D17E0F"/>
    <w:rsid w:val="00D17E1D"/>
    <w:rsid w:val="00D17E36"/>
    <w:rsid w:val="00D203EE"/>
    <w:rsid w:val="00D20AA8"/>
    <w:rsid w:val="00D211A0"/>
    <w:rsid w:val="00D21366"/>
    <w:rsid w:val="00D21A5A"/>
    <w:rsid w:val="00D21ADF"/>
    <w:rsid w:val="00D21E2C"/>
    <w:rsid w:val="00D21F33"/>
    <w:rsid w:val="00D22039"/>
    <w:rsid w:val="00D22381"/>
    <w:rsid w:val="00D22762"/>
    <w:rsid w:val="00D22863"/>
    <w:rsid w:val="00D22A36"/>
    <w:rsid w:val="00D22D74"/>
    <w:rsid w:val="00D231EA"/>
    <w:rsid w:val="00D23502"/>
    <w:rsid w:val="00D23769"/>
    <w:rsid w:val="00D239B8"/>
    <w:rsid w:val="00D23D32"/>
    <w:rsid w:val="00D23D51"/>
    <w:rsid w:val="00D23FA1"/>
    <w:rsid w:val="00D24778"/>
    <w:rsid w:val="00D25409"/>
    <w:rsid w:val="00D259F3"/>
    <w:rsid w:val="00D25ADF"/>
    <w:rsid w:val="00D25BE6"/>
    <w:rsid w:val="00D25C2E"/>
    <w:rsid w:val="00D25FFA"/>
    <w:rsid w:val="00D264A4"/>
    <w:rsid w:val="00D268E0"/>
    <w:rsid w:val="00D26CEC"/>
    <w:rsid w:val="00D26E87"/>
    <w:rsid w:val="00D27086"/>
    <w:rsid w:val="00D274D5"/>
    <w:rsid w:val="00D274E2"/>
    <w:rsid w:val="00D27609"/>
    <w:rsid w:val="00D279F9"/>
    <w:rsid w:val="00D27BB8"/>
    <w:rsid w:val="00D27CDB"/>
    <w:rsid w:val="00D27D1C"/>
    <w:rsid w:val="00D27E92"/>
    <w:rsid w:val="00D30112"/>
    <w:rsid w:val="00D3018C"/>
    <w:rsid w:val="00D30458"/>
    <w:rsid w:val="00D30B67"/>
    <w:rsid w:val="00D30D2F"/>
    <w:rsid w:val="00D30E04"/>
    <w:rsid w:val="00D31138"/>
    <w:rsid w:val="00D31529"/>
    <w:rsid w:val="00D3190D"/>
    <w:rsid w:val="00D31C33"/>
    <w:rsid w:val="00D32416"/>
    <w:rsid w:val="00D326A2"/>
    <w:rsid w:val="00D32B9F"/>
    <w:rsid w:val="00D3345B"/>
    <w:rsid w:val="00D33974"/>
    <w:rsid w:val="00D33BA6"/>
    <w:rsid w:val="00D34629"/>
    <w:rsid w:val="00D346EB"/>
    <w:rsid w:val="00D34B45"/>
    <w:rsid w:val="00D35190"/>
    <w:rsid w:val="00D35A16"/>
    <w:rsid w:val="00D35DEF"/>
    <w:rsid w:val="00D36000"/>
    <w:rsid w:val="00D362D1"/>
    <w:rsid w:val="00D3648B"/>
    <w:rsid w:val="00D36D7D"/>
    <w:rsid w:val="00D36FEC"/>
    <w:rsid w:val="00D3723B"/>
    <w:rsid w:val="00D377B1"/>
    <w:rsid w:val="00D37996"/>
    <w:rsid w:val="00D37C81"/>
    <w:rsid w:val="00D37DF7"/>
    <w:rsid w:val="00D405B2"/>
    <w:rsid w:val="00D40BBB"/>
    <w:rsid w:val="00D4101C"/>
    <w:rsid w:val="00D411AB"/>
    <w:rsid w:val="00D41778"/>
    <w:rsid w:val="00D41B32"/>
    <w:rsid w:val="00D41BD7"/>
    <w:rsid w:val="00D41E32"/>
    <w:rsid w:val="00D42078"/>
    <w:rsid w:val="00D42CC1"/>
    <w:rsid w:val="00D42D59"/>
    <w:rsid w:val="00D42F6C"/>
    <w:rsid w:val="00D43663"/>
    <w:rsid w:val="00D43A1F"/>
    <w:rsid w:val="00D44755"/>
    <w:rsid w:val="00D4477C"/>
    <w:rsid w:val="00D44AA2"/>
    <w:rsid w:val="00D45524"/>
    <w:rsid w:val="00D45EDA"/>
    <w:rsid w:val="00D46126"/>
    <w:rsid w:val="00D461B7"/>
    <w:rsid w:val="00D46750"/>
    <w:rsid w:val="00D4788B"/>
    <w:rsid w:val="00D47CB3"/>
    <w:rsid w:val="00D47F43"/>
    <w:rsid w:val="00D47FC6"/>
    <w:rsid w:val="00D5004E"/>
    <w:rsid w:val="00D506A4"/>
    <w:rsid w:val="00D50D8F"/>
    <w:rsid w:val="00D50DFF"/>
    <w:rsid w:val="00D50F88"/>
    <w:rsid w:val="00D512A4"/>
    <w:rsid w:val="00D5135C"/>
    <w:rsid w:val="00D5138A"/>
    <w:rsid w:val="00D517A9"/>
    <w:rsid w:val="00D5195A"/>
    <w:rsid w:val="00D51A5D"/>
    <w:rsid w:val="00D51A7A"/>
    <w:rsid w:val="00D51B6D"/>
    <w:rsid w:val="00D51C63"/>
    <w:rsid w:val="00D521C2"/>
    <w:rsid w:val="00D52785"/>
    <w:rsid w:val="00D52B04"/>
    <w:rsid w:val="00D53401"/>
    <w:rsid w:val="00D5370C"/>
    <w:rsid w:val="00D537D1"/>
    <w:rsid w:val="00D539EF"/>
    <w:rsid w:val="00D53A72"/>
    <w:rsid w:val="00D54038"/>
    <w:rsid w:val="00D54213"/>
    <w:rsid w:val="00D542E7"/>
    <w:rsid w:val="00D544E4"/>
    <w:rsid w:val="00D5490B"/>
    <w:rsid w:val="00D54F96"/>
    <w:rsid w:val="00D54FF3"/>
    <w:rsid w:val="00D5509A"/>
    <w:rsid w:val="00D550A4"/>
    <w:rsid w:val="00D5556F"/>
    <w:rsid w:val="00D55656"/>
    <w:rsid w:val="00D55A61"/>
    <w:rsid w:val="00D55E63"/>
    <w:rsid w:val="00D5610F"/>
    <w:rsid w:val="00D5676F"/>
    <w:rsid w:val="00D567D7"/>
    <w:rsid w:val="00D569BD"/>
    <w:rsid w:val="00D56AE7"/>
    <w:rsid w:val="00D57027"/>
    <w:rsid w:val="00D573B0"/>
    <w:rsid w:val="00D57521"/>
    <w:rsid w:val="00D576B6"/>
    <w:rsid w:val="00D578DF"/>
    <w:rsid w:val="00D5792F"/>
    <w:rsid w:val="00D57967"/>
    <w:rsid w:val="00D579E1"/>
    <w:rsid w:val="00D600EC"/>
    <w:rsid w:val="00D60147"/>
    <w:rsid w:val="00D6036C"/>
    <w:rsid w:val="00D60747"/>
    <w:rsid w:val="00D60CB8"/>
    <w:rsid w:val="00D60DEF"/>
    <w:rsid w:val="00D6110E"/>
    <w:rsid w:val="00D61D9D"/>
    <w:rsid w:val="00D61E8B"/>
    <w:rsid w:val="00D6217D"/>
    <w:rsid w:val="00D6231B"/>
    <w:rsid w:val="00D62439"/>
    <w:rsid w:val="00D62C17"/>
    <w:rsid w:val="00D62DFA"/>
    <w:rsid w:val="00D62FE3"/>
    <w:rsid w:val="00D63ACC"/>
    <w:rsid w:val="00D63D29"/>
    <w:rsid w:val="00D63EDB"/>
    <w:rsid w:val="00D6519E"/>
    <w:rsid w:val="00D65C79"/>
    <w:rsid w:val="00D6601C"/>
    <w:rsid w:val="00D66421"/>
    <w:rsid w:val="00D66949"/>
    <w:rsid w:val="00D674AD"/>
    <w:rsid w:val="00D67A38"/>
    <w:rsid w:val="00D67A60"/>
    <w:rsid w:val="00D67A77"/>
    <w:rsid w:val="00D67E77"/>
    <w:rsid w:val="00D70016"/>
    <w:rsid w:val="00D70178"/>
    <w:rsid w:val="00D70194"/>
    <w:rsid w:val="00D701CE"/>
    <w:rsid w:val="00D701D4"/>
    <w:rsid w:val="00D701D7"/>
    <w:rsid w:val="00D704D7"/>
    <w:rsid w:val="00D7069F"/>
    <w:rsid w:val="00D7083D"/>
    <w:rsid w:val="00D708A9"/>
    <w:rsid w:val="00D7100B"/>
    <w:rsid w:val="00D71188"/>
    <w:rsid w:val="00D7121B"/>
    <w:rsid w:val="00D71336"/>
    <w:rsid w:val="00D713A4"/>
    <w:rsid w:val="00D71461"/>
    <w:rsid w:val="00D71471"/>
    <w:rsid w:val="00D71B67"/>
    <w:rsid w:val="00D71BF6"/>
    <w:rsid w:val="00D71C56"/>
    <w:rsid w:val="00D71F09"/>
    <w:rsid w:val="00D72368"/>
    <w:rsid w:val="00D72BE6"/>
    <w:rsid w:val="00D72F25"/>
    <w:rsid w:val="00D73B2C"/>
    <w:rsid w:val="00D73C72"/>
    <w:rsid w:val="00D73DDB"/>
    <w:rsid w:val="00D7429D"/>
    <w:rsid w:val="00D745D7"/>
    <w:rsid w:val="00D75080"/>
    <w:rsid w:val="00D7519D"/>
    <w:rsid w:val="00D75281"/>
    <w:rsid w:val="00D75378"/>
    <w:rsid w:val="00D75A53"/>
    <w:rsid w:val="00D75B25"/>
    <w:rsid w:val="00D75DC9"/>
    <w:rsid w:val="00D76004"/>
    <w:rsid w:val="00D760B7"/>
    <w:rsid w:val="00D763AA"/>
    <w:rsid w:val="00D7657C"/>
    <w:rsid w:val="00D765FD"/>
    <w:rsid w:val="00D76616"/>
    <w:rsid w:val="00D76BAD"/>
    <w:rsid w:val="00D76C97"/>
    <w:rsid w:val="00D76D95"/>
    <w:rsid w:val="00D76E8B"/>
    <w:rsid w:val="00D7706C"/>
    <w:rsid w:val="00D77433"/>
    <w:rsid w:val="00D779A5"/>
    <w:rsid w:val="00D77DAD"/>
    <w:rsid w:val="00D77F24"/>
    <w:rsid w:val="00D80C6B"/>
    <w:rsid w:val="00D80CCC"/>
    <w:rsid w:val="00D80F0E"/>
    <w:rsid w:val="00D810BB"/>
    <w:rsid w:val="00D812DC"/>
    <w:rsid w:val="00D81524"/>
    <w:rsid w:val="00D81801"/>
    <w:rsid w:val="00D81807"/>
    <w:rsid w:val="00D81ADA"/>
    <w:rsid w:val="00D81FBB"/>
    <w:rsid w:val="00D8205D"/>
    <w:rsid w:val="00D8222E"/>
    <w:rsid w:val="00D82A69"/>
    <w:rsid w:val="00D8352F"/>
    <w:rsid w:val="00D836E9"/>
    <w:rsid w:val="00D83760"/>
    <w:rsid w:val="00D8395B"/>
    <w:rsid w:val="00D83D93"/>
    <w:rsid w:val="00D83FBF"/>
    <w:rsid w:val="00D844C1"/>
    <w:rsid w:val="00D8456E"/>
    <w:rsid w:val="00D8462F"/>
    <w:rsid w:val="00D846FB"/>
    <w:rsid w:val="00D849D6"/>
    <w:rsid w:val="00D84E58"/>
    <w:rsid w:val="00D85504"/>
    <w:rsid w:val="00D8567A"/>
    <w:rsid w:val="00D86512"/>
    <w:rsid w:val="00D86695"/>
    <w:rsid w:val="00D867A8"/>
    <w:rsid w:val="00D86A06"/>
    <w:rsid w:val="00D86ABB"/>
    <w:rsid w:val="00D86AD8"/>
    <w:rsid w:val="00D87080"/>
    <w:rsid w:val="00D87115"/>
    <w:rsid w:val="00D8714F"/>
    <w:rsid w:val="00D8715C"/>
    <w:rsid w:val="00D8744F"/>
    <w:rsid w:val="00D879C1"/>
    <w:rsid w:val="00D87B29"/>
    <w:rsid w:val="00D87D0E"/>
    <w:rsid w:val="00D87D72"/>
    <w:rsid w:val="00D9035B"/>
    <w:rsid w:val="00D90444"/>
    <w:rsid w:val="00D90A77"/>
    <w:rsid w:val="00D90BA1"/>
    <w:rsid w:val="00D91492"/>
    <w:rsid w:val="00D9177C"/>
    <w:rsid w:val="00D917C8"/>
    <w:rsid w:val="00D91911"/>
    <w:rsid w:val="00D91A0A"/>
    <w:rsid w:val="00D91A82"/>
    <w:rsid w:val="00D91B5D"/>
    <w:rsid w:val="00D91B8A"/>
    <w:rsid w:val="00D91CB8"/>
    <w:rsid w:val="00D92EED"/>
    <w:rsid w:val="00D92F25"/>
    <w:rsid w:val="00D932E6"/>
    <w:rsid w:val="00D9376B"/>
    <w:rsid w:val="00D93878"/>
    <w:rsid w:val="00D93E53"/>
    <w:rsid w:val="00D9449B"/>
    <w:rsid w:val="00D94A33"/>
    <w:rsid w:val="00D94AD1"/>
    <w:rsid w:val="00D94B35"/>
    <w:rsid w:val="00D95A14"/>
    <w:rsid w:val="00D95E5C"/>
    <w:rsid w:val="00D96232"/>
    <w:rsid w:val="00D96787"/>
    <w:rsid w:val="00D967A5"/>
    <w:rsid w:val="00D96B99"/>
    <w:rsid w:val="00D96D89"/>
    <w:rsid w:val="00D9732F"/>
    <w:rsid w:val="00D97CB3"/>
    <w:rsid w:val="00D97F7F"/>
    <w:rsid w:val="00DA00C4"/>
    <w:rsid w:val="00DA00E5"/>
    <w:rsid w:val="00DA032B"/>
    <w:rsid w:val="00DA037D"/>
    <w:rsid w:val="00DA0430"/>
    <w:rsid w:val="00DA0735"/>
    <w:rsid w:val="00DA114E"/>
    <w:rsid w:val="00DA1306"/>
    <w:rsid w:val="00DA1461"/>
    <w:rsid w:val="00DA182E"/>
    <w:rsid w:val="00DA1E23"/>
    <w:rsid w:val="00DA31BB"/>
    <w:rsid w:val="00DA32AF"/>
    <w:rsid w:val="00DA33EF"/>
    <w:rsid w:val="00DA35AD"/>
    <w:rsid w:val="00DA374B"/>
    <w:rsid w:val="00DA3A26"/>
    <w:rsid w:val="00DA3EAD"/>
    <w:rsid w:val="00DA3EC2"/>
    <w:rsid w:val="00DA4370"/>
    <w:rsid w:val="00DA4479"/>
    <w:rsid w:val="00DA4694"/>
    <w:rsid w:val="00DA477A"/>
    <w:rsid w:val="00DA4820"/>
    <w:rsid w:val="00DA4973"/>
    <w:rsid w:val="00DA4F32"/>
    <w:rsid w:val="00DA5172"/>
    <w:rsid w:val="00DA5259"/>
    <w:rsid w:val="00DA545B"/>
    <w:rsid w:val="00DA585B"/>
    <w:rsid w:val="00DA5A3E"/>
    <w:rsid w:val="00DA5E69"/>
    <w:rsid w:val="00DA67B4"/>
    <w:rsid w:val="00DA68A5"/>
    <w:rsid w:val="00DA6B61"/>
    <w:rsid w:val="00DA6CF4"/>
    <w:rsid w:val="00DA70E8"/>
    <w:rsid w:val="00DA73AF"/>
    <w:rsid w:val="00DA7CFE"/>
    <w:rsid w:val="00DA7EE5"/>
    <w:rsid w:val="00DB0056"/>
    <w:rsid w:val="00DB016D"/>
    <w:rsid w:val="00DB0236"/>
    <w:rsid w:val="00DB09C0"/>
    <w:rsid w:val="00DB0DD9"/>
    <w:rsid w:val="00DB10A8"/>
    <w:rsid w:val="00DB111B"/>
    <w:rsid w:val="00DB11DF"/>
    <w:rsid w:val="00DB1431"/>
    <w:rsid w:val="00DB19CC"/>
    <w:rsid w:val="00DB1E5D"/>
    <w:rsid w:val="00DB25E3"/>
    <w:rsid w:val="00DB2C19"/>
    <w:rsid w:val="00DB30F4"/>
    <w:rsid w:val="00DB31E4"/>
    <w:rsid w:val="00DB37A3"/>
    <w:rsid w:val="00DB3A12"/>
    <w:rsid w:val="00DB3C55"/>
    <w:rsid w:val="00DB3D95"/>
    <w:rsid w:val="00DB3D9F"/>
    <w:rsid w:val="00DB436C"/>
    <w:rsid w:val="00DB4863"/>
    <w:rsid w:val="00DB49CD"/>
    <w:rsid w:val="00DB4EF9"/>
    <w:rsid w:val="00DB5435"/>
    <w:rsid w:val="00DB5698"/>
    <w:rsid w:val="00DB575F"/>
    <w:rsid w:val="00DB59FC"/>
    <w:rsid w:val="00DB5F7B"/>
    <w:rsid w:val="00DB63F0"/>
    <w:rsid w:val="00DB66AC"/>
    <w:rsid w:val="00DB6947"/>
    <w:rsid w:val="00DB6B48"/>
    <w:rsid w:val="00DB6D8A"/>
    <w:rsid w:val="00DB6E07"/>
    <w:rsid w:val="00DB7131"/>
    <w:rsid w:val="00DB7344"/>
    <w:rsid w:val="00DB73D7"/>
    <w:rsid w:val="00DB761A"/>
    <w:rsid w:val="00DB768C"/>
    <w:rsid w:val="00DB7748"/>
    <w:rsid w:val="00DB77CD"/>
    <w:rsid w:val="00DB7916"/>
    <w:rsid w:val="00DB7E20"/>
    <w:rsid w:val="00DB7E8D"/>
    <w:rsid w:val="00DB7ED2"/>
    <w:rsid w:val="00DB7FA2"/>
    <w:rsid w:val="00DC0050"/>
    <w:rsid w:val="00DC04B5"/>
    <w:rsid w:val="00DC08BF"/>
    <w:rsid w:val="00DC08D5"/>
    <w:rsid w:val="00DC0D2B"/>
    <w:rsid w:val="00DC0EA9"/>
    <w:rsid w:val="00DC1061"/>
    <w:rsid w:val="00DC10C3"/>
    <w:rsid w:val="00DC10F2"/>
    <w:rsid w:val="00DC1326"/>
    <w:rsid w:val="00DC143B"/>
    <w:rsid w:val="00DC1926"/>
    <w:rsid w:val="00DC1C01"/>
    <w:rsid w:val="00DC1E36"/>
    <w:rsid w:val="00DC2244"/>
    <w:rsid w:val="00DC22A2"/>
    <w:rsid w:val="00DC2860"/>
    <w:rsid w:val="00DC2886"/>
    <w:rsid w:val="00DC28B0"/>
    <w:rsid w:val="00DC2B13"/>
    <w:rsid w:val="00DC2C91"/>
    <w:rsid w:val="00DC390F"/>
    <w:rsid w:val="00DC3A85"/>
    <w:rsid w:val="00DC3C5E"/>
    <w:rsid w:val="00DC3E4A"/>
    <w:rsid w:val="00DC4CD9"/>
    <w:rsid w:val="00DC56E3"/>
    <w:rsid w:val="00DC5DB6"/>
    <w:rsid w:val="00DC5EC0"/>
    <w:rsid w:val="00DC6192"/>
    <w:rsid w:val="00DC6EC3"/>
    <w:rsid w:val="00DC737F"/>
    <w:rsid w:val="00DC77BD"/>
    <w:rsid w:val="00DC7ADB"/>
    <w:rsid w:val="00DC7B45"/>
    <w:rsid w:val="00DC7B88"/>
    <w:rsid w:val="00DC7C54"/>
    <w:rsid w:val="00DC7F49"/>
    <w:rsid w:val="00DD0179"/>
    <w:rsid w:val="00DD05D4"/>
    <w:rsid w:val="00DD09EB"/>
    <w:rsid w:val="00DD0BEA"/>
    <w:rsid w:val="00DD0C04"/>
    <w:rsid w:val="00DD0CED"/>
    <w:rsid w:val="00DD15F1"/>
    <w:rsid w:val="00DD1A9E"/>
    <w:rsid w:val="00DD2301"/>
    <w:rsid w:val="00DD2520"/>
    <w:rsid w:val="00DD28FB"/>
    <w:rsid w:val="00DD30CB"/>
    <w:rsid w:val="00DD323E"/>
    <w:rsid w:val="00DD32CC"/>
    <w:rsid w:val="00DD357B"/>
    <w:rsid w:val="00DD3791"/>
    <w:rsid w:val="00DD3A1E"/>
    <w:rsid w:val="00DD3AFE"/>
    <w:rsid w:val="00DD3D22"/>
    <w:rsid w:val="00DD3E41"/>
    <w:rsid w:val="00DD417C"/>
    <w:rsid w:val="00DD426D"/>
    <w:rsid w:val="00DD436B"/>
    <w:rsid w:val="00DD4752"/>
    <w:rsid w:val="00DD47E4"/>
    <w:rsid w:val="00DD488F"/>
    <w:rsid w:val="00DD4AFB"/>
    <w:rsid w:val="00DD4D46"/>
    <w:rsid w:val="00DD4DAF"/>
    <w:rsid w:val="00DD50A3"/>
    <w:rsid w:val="00DD5130"/>
    <w:rsid w:val="00DD5349"/>
    <w:rsid w:val="00DD5420"/>
    <w:rsid w:val="00DD5595"/>
    <w:rsid w:val="00DD56DD"/>
    <w:rsid w:val="00DD584B"/>
    <w:rsid w:val="00DD5928"/>
    <w:rsid w:val="00DD5948"/>
    <w:rsid w:val="00DD6030"/>
    <w:rsid w:val="00DD616C"/>
    <w:rsid w:val="00DD6294"/>
    <w:rsid w:val="00DD67E5"/>
    <w:rsid w:val="00DD6A57"/>
    <w:rsid w:val="00DD6DAA"/>
    <w:rsid w:val="00DD6DE4"/>
    <w:rsid w:val="00DD7848"/>
    <w:rsid w:val="00DD7EAF"/>
    <w:rsid w:val="00DE01F6"/>
    <w:rsid w:val="00DE0520"/>
    <w:rsid w:val="00DE0857"/>
    <w:rsid w:val="00DE0CD5"/>
    <w:rsid w:val="00DE0FBE"/>
    <w:rsid w:val="00DE1031"/>
    <w:rsid w:val="00DE13A3"/>
    <w:rsid w:val="00DE1B18"/>
    <w:rsid w:val="00DE1BF6"/>
    <w:rsid w:val="00DE1D5F"/>
    <w:rsid w:val="00DE1E8F"/>
    <w:rsid w:val="00DE1FD6"/>
    <w:rsid w:val="00DE1FDE"/>
    <w:rsid w:val="00DE20F1"/>
    <w:rsid w:val="00DE21F5"/>
    <w:rsid w:val="00DE2411"/>
    <w:rsid w:val="00DE2445"/>
    <w:rsid w:val="00DE2792"/>
    <w:rsid w:val="00DE2C16"/>
    <w:rsid w:val="00DE2EB4"/>
    <w:rsid w:val="00DE34E7"/>
    <w:rsid w:val="00DE357C"/>
    <w:rsid w:val="00DE375E"/>
    <w:rsid w:val="00DE38E9"/>
    <w:rsid w:val="00DE390B"/>
    <w:rsid w:val="00DE3A21"/>
    <w:rsid w:val="00DE3A6C"/>
    <w:rsid w:val="00DE3CE5"/>
    <w:rsid w:val="00DE3DDD"/>
    <w:rsid w:val="00DE4063"/>
    <w:rsid w:val="00DE4144"/>
    <w:rsid w:val="00DE42F3"/>
    <w:rsid w:val="00DE472C"/>
    <w:rsid w:val="00DE4778"/>
    <w:rsid w:val="00DE4B1A"/>
    <w:rsid w:val="00DE56AD"/>
    <w:rsid w:val="00DE56E8"/>
    <w:rsid w:val="00DE5851"/>
    <w:rsid w:val="00DE5853"/>
    <w:rsid w:val="00DE5A62"/>
    <w:rsid w:val="00DE6788"/>
    <w:rsid w:val="00DE686E"/>
    <w:rsid w:val="00DE6EB9"/>
    <w:rsid w:val="00DE722E"/>
    <w:rsid w:val="00DE76A7"/>
    <w:rsid w:val="00DE78CE"/>
    <w:rsid w:val="00DE7B6E"/>
    <w:rsid w:val="00DE7CCD"/>
    <w:rsid w:val="00DF021A"/>
    <w:rsid w:val="00DF027A"/>
    <w:rsid w:val="00DF02D6"/>
    <w:rsid w:val="00DF074F"/>
    <w:rsid w:val="00DF0B23"/>
    <w:rsid w:val="00DF0BD6"/>
    <w:rsid w:val="00DF0D67"/>
    <w:rsid w:val="00DF0EA2"/>
    <w:rsid w:val="00DF0ED5"/>
    <w:rsid w:val="00DF0ED7"/>
    <w:rsid w:val="00DF123F"/>
    <w:rsid w:val="00DF12B3"/>
    <w:rsid w:val="00DF17D8"/>
    <w:rsid w:val="00DF1A16"/>
    <w:rsid w:val="00DF1C08"/>
    <w:rsid w:val="00DF1CF9"/>
    <w:rsid w:val="00DF201F"/>
    <w:rsid w:val="00DF21F4"/>
    <w:rsid w:val="00DF2409"/>
    <w:rsid w:val="00DF2583"/>
    <w:rsid w:val="00DF26B1"/>
    <w:rsid w:val="00DF2865"/>
    <w:rsid w:val="00DF2CE5"/>
    <w:rsid w:val="00DF2E7F"/>
    <w:rsid w:val="00DF3158"/>
    <w:rsid w:val="00DF3219"/>
    <w:rsid w:val="00DF3814"/>
    <w:rsid w:val="00DF3BF6"/>
    <w:rsid w:val="00DF3DA5"/>
    <w:rsid w:val="00DF43D4"/>
    <w:rsid w:val="00DF4400"/>
    <w:rsid w:val="00DF480A"/>
    <w:rsid w:val="00DF4AC4"/>
    <w:rsid w:val="00DF4CAF"/>
    <w:rsid w:val="00DF4FB9"/>
    <w:rsid w:val="00DF52AB"/>
    <w:rsid w:val="00DF52D1"/>
    <w:rsid w:val="00DF56A1"/>
    <w:rsid w:val="00DF5789"/>
    <w:rsid w:val="00DF5984"/>
    <w:rsid w:val="00DF5A45"/>
    <w:rsid w:val="00DF6037"/>
    <w:rsid w:val="00DF630F"/>
    <w:rsid w:val="00DF663B"/>
    <w:rsid w:val="00DF6AC9"/>
    <w:rsid w:val="00DF6BBE"/>
    <w:rsid w:val="00DF6E21"/>
    <w:rsid w:val="00DF70FF"/>
    <w:rsid w:val="00DF71D8"/>
    <w:rsid w:val="00DF7366"/>
    <w:rsid w:val="00E006FB"/>
    <w:rsid w:val="00E00719"/>
    <w:rsid w:val="00E0085F"/>
    <w:rsid w:val="00E00B43"/>
    <w:rsid w:val="00E0109D"/>
    <w:rsid w:val="00E0188B"/>
    <w:rsid w:val="00E0196D"/>
    <w:rsid w:val="00E01CA7"/>
    <w:rsid w:val="00E01D99"/>
    <w:rsid w:val="00E01DFE"/>
    <w:rsid w:val="00E020CB"/>
    <w:rsid w:val="00E02CDD"/>
    <w:rsid w:val="00E02D07"/>
    <w:rsid w:val="00E02E95"/>
    <w:rsid w:val="00E02F1B"/>
    <w:rsid w:val="00E03326"/>
    <w:rsid w:val="00E033BA"/>
    <w:rsid w:val="00E03504"/>
    <w:rsid w:val="00E03692"/>
    <w:rsid w:val="00E037B3"/>
    <w:rsid w:val="00E037C1"/>
    <w:rsid w:val="00E0382F"/>
    <w:rsid w:val="00E03846"/>
    <w:rsid w:val="00E03980"/>
    <w:rsid w:val="00E03DA9"/>
    <w:rsid w:val="00E041EC"/>
    <w:rsid w:val="00E047AD"/>
    <w:rsid w:val="00E0489F"/>
    <w:rsid w:val="00E058EE"/>
    <w:rsid w:val="00E05B26"/>
    <w:rsid w:val="00E05C35"/>
    <w:rsid w:val="00E05F83"/>
    <w:rsid w:val="00E06676"/>
    <w:rsid w:val="00E0669F"/>
    <w:rsid w:val="00E066D2"/>
    <w:rsid w:val="00E066F5"/>
    <w:rsid w:val="00E06A0D"/>
    <w:rsid w:val="00E07009"/>
    <w:rsid w:val="00E0716E"/>
    <w:rsid w:val="00E073BA"/>
    <w:rsid w:val="00E075DE"/>
    <w:rsid w:val="00E0775F"/>
    <w:rsid w:val="00E07AA3"/>
    <w:rsid w:val="00E07AB5"/>
    <w:rsid w:val="00E07DCD"/>
    <w:rsid w:val="00E10A5A"/>
    <w:rsid w:val="00E10E1B"/>
    <w:rsid w:val="00E10EC8"/>
    <w:rsid w:val="00E1117B"/>
    <w:rsid w:val="00E1135E"/>
    <w:rsid w:val="00E1171C"/>
    <w:rsid w:val="00E11D68"/>
    <w:rsid w:val="00E11DB0"/>
    <w:rsid w:val="00E11E45"/>
    <w:rsid w:val="00E120FC"/>
    <w:rsid w:val="00E1213E"/>
    <w:rsid w:val="00E1219F"/>
    <w:rsid w:val="00E1228B"/>
    <w:rsid w:val="00E12742"/>
    <w:rsid w:val="00E12A7B"/>
    <w:rsid w:val="00E12CBB"/>
    <w:rsid w:val="00E12D6C"/>
    <w:rsid w:val="00E12EDF"/>
    <w:rsid w:val="00E13408"/>
    <w:rsid w:val="00E1363C"/>
    <w:rsid w:val="00E1448C"/>
    <w:rsid w:val="00E14B7B"/>
    <w:rsid w:val="00E14CA0"/>
    <w:rsid w:val="00E14D04"/>
    <w:rsid w:val="00E14D30"/>
    <w:rsid w:val="00E14DD1"/>
    <w:rsid w:val="00E15B76"/>
    <w:rsid w:val="00E15DA7"/>
    <w:rsid w:val="00E16431"/>
    <w:rsid w:val="00E16805"/>
    <w:rsid w:val="00E16910"/>
    <w:rsid w:val="00E1695A"/>
    <w:rsid w:val="00E16B28"/>
    <w:rsid w:val="00E16CA5"/>
    <w:rsid w:val="00E16D2F"/>
    <w:rsid w:val="00E171C1"/>
    <w:rsid w:val="00E17961"/>
    <w:rsid w:val="00E17B40"/>
    <w:rsid w:val="00E17D3A"/>
    <w:rsid w:val="00E17D6E"/>
    <w:rsid w:val="00E17F71"/>
    <w:rsid w:val="00E2013D"/>
    <w:rsid w:val="00E2094D"/>
    <w:rsid w:val="00E20DD3"/>
    <w:rsid w:val="00E2102D"/>
    <w:rsid w:val="00E21224"/>
    <w:rsid w:val="00E2148C"/>
    <w:rsid w:val="00E21834"/>
    <w:rsid w:val="00E21A10"/>
    <w:rsid w:val="00E21BFF"/>
    <w:rsid w:val="00E21C86"/>
    <w:rsid w:val="00E21CE8"/>
    <w:rsid w:val="00E21EAD"/>
    <w:rsid w:val="00E21F8A"/>
    <w:rsid w:val="00E223B3"/>
    <w:rsid w:val="00E22541"/>
    <w:rsid w:val="00E22D6F"/>
    <w:rsid w:val="00E22E87"/>
    <w:rsid w:val="00E2360B"/>
    <w:rsid w:val="00E23C52"/>
    <w:rsid w:val="00E23C67"/>
    <w:rsid w:val="00E23CEF"/>
    <w:rsid w:val="00E23D0D"/>
    <w:rsid w:val="00E23FAE"/>
    <w:rsid w:val="00E24064"/>
    <w:rsid w:val="00E245C3"/>
    <w:rsid w:val="00E246BA"/>
    <w:rsid w:val="00E247DE"/>
    <w:rsid w:val="00E24BC4"/>
    <w:rsid w:val="00E24D7A"/>
    <w:rsid w:val="00E24F76"/>
    <w:rsid w:val="00E2631F"/>
    <w:rsid w:val="00E263EE"/>
    <w:rsid w:val="00E2648C"/>
    <w:rsid w:val="00E2675C"/>
    <w:rsid w:val="00E26A6B"/>
    <w:rsid w:val="00E26D12"/>
    <w:rsid w:val="00E26F6B"/>
    <w:rsid w:val="00E273C1"/>
    <w:rsid w:val="00E275B2"/>
    <w:rsid w:val="00E27665"/>
    <w:rsid w:val="00E278AC"/>
    <w:rsid w:val="00E27BEE"/>
    <w:rsid w:val="00E27CED"/>
    <w:rsid w:val="00E301CA"/>
    <w:rsid w:val="00E301F3"/>
    <w:rsid w:val="00E3052B"/>
    <w:rsid w:val="00E30EEA"/>
    <w:rsid w:val="00E31471"/>
    <w:rsid w:val="00E316BA"/>
    <w:rsid w:val="00E31710"/>
    <w:rsid w:val="00E31859"/>
    <w:rsid w:val="00E31F3E"/>
    <w:rsid w:val="00E32188"/>
    <w:rsid w:val="00E328AB"/>
    <w:rsid w:val="00E328D8"/>
    <w:rsid w:val="00E32B5E"/>
    <w:rsid w:val="00E32CE2"/>
    <w:rsid w:val="00E32CE6"/>
    <w:rsid w:val="00E32D37"/>
    <w:rsid w:val="00E32F10"/>
    <w:rsid w:val="00E33316"/>
    <w:rsid w:val="00E33B59"/>
    <w:rsid w:val="00E33C12"/>
    <w:rsid w:val="00E33F65"/>
    <w:rsid w:val="00E340C1"/>
    <w:rsid w:val="00E34142"/>
    <w:rsid w:val="00E3441A"/>
    <w:rsid w:val="00E34583"/>
    <w:rsid w:val="00E3460C"/>
    <w:rsid w:val="00E3489A"/>
    <w:rsid w:val="00E3495E"/>
    <w:rsid w:val="00E349E8"/>
    <w:rsid w:val="00E34C62"/>
    <w:rsid w:val="00E34E32"/>
    <w:rsid w:val="00E359B8"/>
    <w:rsid w:val="00E35C41"/>
    <w:rsid w:val="00E35CB7"/>
    <w:rsid w:val="00E35F92"/>
    <w:rsid w:val="00E3617F"/>
    <w:rsid w:val="00E3638F"/>
    <w:rsid w:val="00E368F9"/>
    <w:rsid w:val="00E36CE6"/>
    <w:rsid w:val="00E37094"/>
    <w:rsid w:val="00E37667"/>
    <w:rsid w:val="00E37DF4"/>
    <w:rsid w:val="00E4024F"/>
    <w:rsid w:val="00E40398"/>
    <w:rsid w:val="00E406DA"/>
    <w:rsid w:val="00E40ADA"/>
    <w:rsid w:val="00E40B1E"/>
    <w:rsid w:val="00E415FC"/>
    <w:rsid w:val="00E4170E"/>
    <w:rsid w:val="00E41CB6"/>
    <w:rsid w:val="00E42315"/>
    <w:rsid w:val="00E4246E"/>
    <w:rsid w:val="00E43398"/>
    <w:rsid w:val="00E43AA3"/>
    <w:rsid w:val="00E43EB0"/>
    <w:rsid w:val="00E43FB8"/>
    <w:rsid w:val="00E44214"/>
    <w:rsid w:val="00E44A2D"/>
    <w:rsid w:val="00E44A83"/>
    <w:rsid w:val="00E44BFF"/>
    <w:rsid w:val="00E44C59"/>
    <w:rsid w:val="00E453AF"/>
    <w:rsid w:val="00E45478"/>
    <w:rsid w:val="00E4549D"/>
    <w:rsid w:val="00E45BF2"/>
    <w:rsid w:val="00E45DEA"/>
    <w:rsid w:val="00E4677E"/>
    <w:rsid w:val="00E46935"/>
    <w:rsid w:val="00E46AA1"/>
    <w:rsid w:val="00E471D6"/>
    <w:rsid w:val="00E471FF"/>
    <w:rsid w:val="00E47684"/>
    <w:rsid w:val="00E47A76"/>
    <w:rsid w:val="00E500ED"/>
    <w:rsid w:val="00E50366"/>
    <w:rsid w:val="00E50757"/>
    <w:rsid w:val="00E50C4C"/>
    <w:rsid w:val="00E51829"/>
    <w:rsid w:val="00E51A57"/>
    <w:rsid w:val="00E52AE1"/>
    <w:rsid w:val="00E52D7D"/>
    <w:rsid w:val="00E52E0B"/>
    <w:rsid w:val="00E535AA"/>
    <w:rsid w:val="00E53651"/>
    <w:rsid w:val="00E5382B"/>
    <w:rsid w:val="00E53DCD"/>
    <w:rsid w:val="00E54066"/>
    <w:rsid w:val="00E540C1"/>
    <w:rsid w:val="00E54291"/>
    <w:rsid w:val="00E54585"/>
    <w:rsid w:val="00E5459C"/>
    <w:rsid w:val="00E545DA"/>
    <w:rsid w:val="00E5475E"/>
    <w:rsid w:val="00E549C2"/>
    <w:rsid w:val="00E54AB5"/>
    <w:rsid w:val="00E55266"/>
    <w:rsid w:val="00E55537"/>
    <w:rsid w:val="00E557B5"/>
    <w:rsid w:val="00E55814"/>
    <w:rsid w:val="00E55E1B"/>
    <w:rsid w:val="00E55FB3"/>
    <w:rsid w:val="00E56BD8"/>
    <w:rsid w:val="00E56F3C"/>
    <w:rsid w:val="00E574B1"/>
    <w:rsid w:val="00E57AB4"/>
    <w:rsid w:val="00E57B6A"/>
    <w:rsid w:val="00E57D28"/>
    <w:rsid w:val="00E600B9"/>
    <w:rsid w:val="00E602BA"/>
    <w:rsid w:val="00E60952"/>
    <w:rsid w:val="00E60A3B"/>
    <w:rsid w:val="00E614A2"/>
    <w:rsid w:val="00E61819"/>
    <w:rsid w:val="00E61A81"/>
    <w:rsid w:val="00E61E23"/>
    <w:rsid w:val="00E61EA3"/>
    <w:rsid w:val="00E620A6"/>
    <w:rsid w:val="00E6210D"/>
    <w:rsid w:val="00E62171"/>
    <w:rsid w:val="00E62545"/>
    <w:rsid w:val="00E62656"/>
    <w:rsid w:val="00E62768"/>
    <w:rsid w:val="00E62781"/>
    <w:rsid w:val="00E62E62"/>
    <w:rsid w:val="00E62F0B"/>
    <w:rsid w:val="00E635B9"/>
    <w:rsid w:val="00E6448D"/>
    <w:rsid w:val="00E644E9"/>
    <w:rsid w:val="00E6462C"/>
    <w:rsid w:val="00E64745"/>
    <w:rsid w:val="00E64781"/>
    <w:rsid w:val="00E64A14"/>
    <w:rsid w:val="00E64ED7"/>
    <w:rsid w:val="00E6593A"/>
    <w:rsid w:val="00E65BCA"/>
    <w:rsid w:val="00E65F73"/>
    <w:rsid w:val="00E65F80"/>
    <w:rsid w:val="00E660E4"/>
    <w:rsid w:val="00E66309"/>
    <w:rsid w:val="00E66365"/>
    <w:rsid w:val="00E664B9"/>
    <w:rsid w:val="00E66A92"/>
    <w:rsid w:val="00E66FF1"/>
    <w:rsid w:val="00E672A9"/>
    <w:rsid w:val="00E672DE"/>
    <w:rsid w:val="00E67380"/>
    <w:rsid w:val="00E67F46"/>
    <w:rsid w:val="00E70029"/>
    <w:rsid w:val="00E700B0"/>
    <w:rsid w:val="00E700C2"/>
    <w:rsid w:val="00E71702"/>
    <w:rsid w:val="00E7174F"/>
    <w:rsid w:val="00E718FA"/>
    <w:rsid w:val="00E719D3"/>
    <w:rsid w:val="00E71AE3"/>
    <w:rsid w:val="00E720FE"/>
    <w:rsid w:val="00E7210E"/>
    <w:rsid w:val="00E72339"/>
    <w:rsid w:val="00E72A3A"/>
    <w:rsid w:val="00E72A86"/>
    <w:rsid w:val="00E72C29"/>
    <w:rsid w:val="00E72D83"/>
    <w:rsid w:val="00E72DAB"/>
    <w:rsid w:val="00E73270"/>
    <w:rsid w:val="00E73583"/>
    <w:rsid w:val="00E73A50"/>
    <w:rsid w:val="00E73E05"/>
    <w:rsid w:val="00E740F1"/>
    <w:rsid w:val="00E7442B"/>
    <w:rsid w:val="00E748F5"/>
    <w:rsid w:val="00E74BD9"/>
    <w:rsid w:val="00E74CD1"/>
    <w:rsid w:val="00E74DB2"/>
    <w:rsid w:val="00E74EE7"/>
    <w:rsid w:val="00E75023"/>
    <w:rsid w:val="00E75233"/>
    <w:rsid w:val="00E75236"/>
    <w:rsid w:val="00E757D1"/>
    <w:rsid w:val="00E75D1A"/>
    <w:rsid w:val="00E764CF"/>
    <w:rsid w:val="00E76782"/>
    <w:rsid w:val="00E76956"/>
    <w:rsid w:val="00E76A83"/>
    <w:rsid w:val="00E76AE4"/>
    <w:rsid w:val="00E76B6E"/>
    <w:rsid w:val="00E76DB9"/>
    <w:rsid w:val="00E77030"/>
    <w:rsid w:val="00E7723B"/>
    <w:rsid w:val="00E773C5"/>
    <w:rsid w:val="00E776A1"/>
    <w:rsid w:val="00E77744"/>
    <w:rsid w:val="00E777AD"/>
    <w:rsid w:val="00E777D8"/>
    <w:rsid w:val="00E779CB"/>
    <w:rsid w:val="00E80036"/>
    <w:rsid w:val="00E800DF"/>
    <w:rsid w:val="00E808CB"/>
    <w:rsid w:val="00E80B80"/>
    <w:rsid w:val="00E81445"/>
    <w:rsid w:val="00E814BC"/>
    <w:rsid w:val="00E81603"/>
    <w:rsid w:val="00E81756"/>
    <w:rsid w:val="00E818D6"/>
    <w:rsid w:val="00E81A4E"/>
    <w:rsid w:val="00E81A79"/>
    <w:rsid w:val="00E81FF0"/>
    <w:rsid w:val="00E82C70"/>
    <w:rsid w:val="00E82DC8"/>
    <w:rsid w:val="00E8320F"/>
    <w:rsid w:val="00E83541"/>
    <w:rsid w:val="00E8398D"/>
    <w:rsid w:val="00E83C2D"/>
    <w:rsid w:val="00E83D1B"/>
    <w:rsid w:val="00E84AB4"/>
    <w:rsid w:val="00E84B48"/>
    <w:rsid w:val="00E84CC9"/>
    <w:rsid w:val="00E84EBF"/>
    <w:rsid w:val="00E85268"/>
    <w:rsid w:val="00E85432"/>
    <w:rsid w:val="00E8590A"/>
    <w:rsid w:val="00E85931"/>
    <w:rsid w:val="00E85A29"/>
    <w:rsid w:val="00E85BD3"/>
    <w:rsid w:val="00E85F38"/>
    <w:rsid w:val="00E86062"/>
    <w:rsid w:val="00E861A8"/>
    <w:rsid w:val="00E8664F"/>
    <w:rsid w:val="00E86835"/>
    <w:rsid w:val="00E86E71"/>
    <w:rsid w:val="00E86ED2"/>
    <w:rsid w:val="00E87080"/>
    <w:rsid w:val="00E871DB"/>
    <w:rsid w:val="00E87629"/>
    <w:rsid w:val="00E87846"/>
    <w:rsid w:val="00E87853"/>
    <w:rsid w:val="00E90075"/>
    <w:rsid w:val="00E90423"/>
    <w:rsid w:val="00E9047F"/>
    <w:rsid w:val="00E90630"/>
    <w:rsid w:val="00E90AA3"/>
    <w:rsid w:val="00E90C12"/>
    <w:rsid w:val="00E90F1F"/>
    <w:rsid w:val="00E91621"/>
    <w:rsid w:val="00E9187D"/>
    <w:rsid w:val="00E91C47"/>
    <w:rsid w:val="00E91D47"/>
    <w:rsid w:val="00E91FEE"/>
    <w:rsid w:val="00E92935"/>
    <w:rsid w:val="00E93810"/>
    <w:rsid w:val="00E93E04"/>
    <w:rsid w:val="00E94121"/>
    <w:rsid w:val="00E9426C"/>
    <w:rsid w:val="00E94784"/>
    <w:rsid w:val="00E949D3"/>
    <w:rsid w:val="00E94A10"/>
    <w:rsid w:val="00E94AB0"/>
    <w:rsid w:val="00E957FC"/>
    <w:rsid w:val="00E95D01"/>
    <w:rsid w:val="00E95F11"/>
    <w:rsid w:val="00E95F82"/>
    <w:rsid w:val="00E96141"/>
    <w:rsid w:val="00E96473"/>
    <w:rsid w:val="00E96829"/>
    <w:rsid w:val="00E9686D"/>
    <w:rsid w:val="00E96A85"/>
    <w:rsid w:val="00E96BA9"/>
    <w:rsid w:val="00E96D0C"/>
    <w:rsid w:val="00E97172"/>
    <w:rsid w:val="00E9720F"/>
    <w:rsid w:val="00E974DB"/>
    <w:rsid w:val="00E9757C"/>
    <w:rsid w:val="00E9760E"/>
    <w:rsid w:val="00E97928"/>
    <w:rsid w:val="00E979A4"/>
    <w:rsid w:val="00E97A5E"/>
    <w:rsid w:val="00EA0071"/>
    <w:rsid w:val="00EA084B"/>
    <w:rsid w:val="00EA0D57"/>
    <w:rsid w:val="00EA0E45"/>
    <w:rsid w:val="00EA15DF"/>
    <w:rsid w:val="00EA1EAD"/>
    <w:rsid w:val="00EA205B"/>
    <w:rsid w:val="00EA2279"/>
    <w:rsid w:val="00EA2E86"/>
    <w:rsid w:val="00EA3628"/>
    <w:rsid w:val="00EA36AF"/>
    <w:rsid w:val="00EA36D3"/>
    <w:rsid w:val="00EA3702"/>
    <w:rsid w:val="00EA38FA"/>
    <w:rsid w:val="00EA3A96"/>
    <w:rsid w:val="00EA3C89"/>
    <w:rsid w:val="00EA3E9B"/>
    <w:rsid w:val="00EA446D"/>
    <w:rsid w:val="00EA460C"/>
    <w:rsid w:val="00EA4907"/>
    <w:rsid w:val="00EA4974"/>
    <w:rsid w:val="00EA4A2E"/>
    <w:rsid w:val="00EA4BB4"/>
    <w:rsid w:val="00EA4BCD"/>
    <w:rsid w:val="00EA4CE0"/>
    <w:rsid w:val="00EA4EE3"/>
    <w:rsid w:val="00EA52B7"/>
    <w:rsid w:val="00EA5618"/>
    <w:rsid w:val="00EA5AC7"/>
    <w:rsid w:val="00EA6303"/>
    <w:rsid w:val="00EA63E7"/>
    <w:rsid w:val="00EA66CA"/>
    <w:rsid w:val="00EA6795"/>
    <w:rsid w:val="00EA67FD"/>
    <w:rsid w:val="00EA6872"/>
    <w:rsid w:val="00EA69A8"/>
    <w:rsid w:val="00EA6B29"/>
    <w:rsid w:val="00EA6B90"/>
    <w:rsid w:val="00EA6DE9"/>
    <w:rsid w:val="00EA6EA1"/>
    <w:rsid w:val="00EA740F"/>
    <w:rsid w:val="00EA7587"/>
    <w:rsid w:val="00EA7A0F"/>
    <w:rsid w:val="00EB0310"/>
    <w:rsid w:val="00EB04B5"/>
    <w:rsid w:val="00EB06AF"/>
    <w:rsid w:val="00EB07D3"/>
    <w:rsid w:val="00EB1023"/>
    <w:rsid w:val="00EB1073"/>
    <w:rsid w:val="00EB118A"/>
    <w:rsid w:val="00EB14B2"/>
    <w:rsid w:val="00EB17BD"/>
    <w:rsid w:val="00EB199B"/>
    <w:rsid w:val="00EB1BC0"/>
    <w:rsid w:val="00EB210B"/>
    <w:rsid w:val="00EB2248"/>
    <w:rsid w:val="00EB2453"/>
    <w:rsid w:val="00EB269D"/>
    <w:rsid w:val="00EB26A0"/>
    <w:rsid w:val="00EB2979"/>
    <w:rsid w:val="00EB2A4D"/>
    <w:rsid w:val="00EB3434"/>
    <w:rsid w:val="00EB36CB"/>
    <w:rsid w:val="00EB37B0"/>
    <w:rsid w:val="00EB39B4"/>
    <w:rsid w:val="00EB39F9"/>
    <w:rsid w:val="00EB3BCE"/>
    <w:rsid w:val="00EB3EE1"/>
    <w:rsid w:val="00EB3FD7"/>
    <w:rsid w:val="00EB47E5"/>
    <w:rsid w:val="00EB5877"/>
    <w:rsid w:val="00EB5A86"/>
    <w:rsid w:val="00EB5CAD"/>
    <w:rsid w:val="00EB61ED"/>
    <w:rsid w:val="00EB621E"/>
    <w:rsid w:val="00EB65A1"/>
    <w:rsid w:val="00EB6633"/>
    <w:rsid w:val="00EB684B"/>
    <w:rsid w:val="00EB6F79"/>
    <w:rsid w:val="00EB70AC"/>
    <w:rsid w:val="00EB730C"/>
    <w:rsid w:val="00EB7561"/>
    <w:rsid w:val="00EB7939"/>
    <w:rsid w:val="00EB7B45"/>
    <w:rsid w:val="00EB7C89"/>
    <w:rsid w:val="00EC01B1"/>
    <w:rsid w:val="00EC02CC"/>
    <w:rsid w:val="00EC0324"/>
    <w:rsid w:val="00EC03BF"/>
    <w:rsid w:val="00EC076C"/>
    <w:rsid w:val="00EC0DD2"/>
    <w:rsid w:val="00EC0E73"/>
    <w:rsid w:val="00EC13B2"/>
    <w:rsid w:val="00EC14B6"/>
    <w:rsid w:val="00EC1543"/>
    <w:rsid w:val="00EC1CA0"/>
    <w:rsid w:val="00EC23B5"/>
    <w:rsid w:val="00EC2BC2"/>
    <w:rsid w:val="00EC2C2F"/>
    <w:rsid w:val="00EC2CF2"/>
    <w:rsid w:val="00EC2D72"/>
    <w:rsid w:val="00EC2DE4"/>
    <w:rsid w:val="00EC3092"/>
    <w:rsid w:val="00EC3159"/>
    <w:rsid w:val="00EC323A"/>
    <w:rsid w:val="00EC34E3"/>
    <w:rsid w:val="00EC3700"/>
    <w:rsid w:val="00EC37CE"/>
    <w:rsid w:val="00EC3C14"/>
    <w:rsid w:val="00EC3D4A"/>
    <w:rsid w:val="00EC3FFF"/>
    <w:rsid w:val="00EC445B"/>
    <w:rsid w:val="00EC4820"/>
    <w:rsid w:val="00EC4CB5"/>
    <w:rsid w:val="00EC4E83"/>
    <w:rsid w:val="00EC4F05"/>
    <w:rsid w:val="00EC5062"/>
    <w:rsid w:val="00EC53F0"/>
    <w:rsid w:val="00EC581C"/>
    <w:rsid w:val="00EC5DD1"/>
    <w:rsid w:val="00EC6927"/>
    <w:rsid w:val="00EC70F7"/>
    <w:rsid w:val="00EC71C7"/>
    <w:rsid w:val="00EC7EB7"/>
    <w:rsid w:val="00EC7F4A"/>
    <w:rsid w:val="00ED0291"/>
    <w:rsid w:val="00ED0516"/>
    <w:rsid w:val="00ED053F"/>
    <w:rsid w:val="00ED0BC4"/>
    <w:rsid w:val="00ED163A"/>
    <w:rsid w:val="00ED198F"/>
    <w:rsid w:val="00ED1A2D"/>
    <w:rsid w:val="00ED1A3D"/>
    <w:rsid w:val="00ED1BFF"/>
    <w:rsid w:val="00ED241C"/>
    <w:rsid w:val="00ED26AE"/>
    <w:rsid w:val="00ED28D4"/>
    <w:rsid w:val="00ED296D"/>
    <w:rsid w:val="00ED2B38"/>
    <w:rsid w:val="00ED2B49"/>
    <w:rsid w:val="00ED2CDF"/>
    <w:rsid w:val="00ED2F2E"/>
    <w:rsid w:val="00ED3A50"/>
    <w:rsid w:val="00ED4090"/>
    <w:rsid w:val="00ED4348"/>
    <w:rsid w:val="00ED43DA"/>
    <w:rsid w:val="00ED44E1"/>
    <w:rsid w:val="00ED46D7"/>
    <w:rsid w:val="00ED4C1B"/>
    <w:rsid w:val="00ED4FAC"/>
    <w:rsid w:val="00ED529E"/>
    <w:rsid w:val="00ED542F"/>
    <w:rsid w:val="00ED557C"/>
    <w:rsid w:val="00ED60BB"/>
    <w:rsid w:val="00ED66C5"/>
    <w:rsid w:val="00ED687C"/>
    <w:rsid w:val="00ED68AC"/>
    <w:rsid w:val="00ED6A8D"/>
    <w:rsid w:val="00ED6B2E"/>
    <w:rsid w:val="00ED6EBD"/>
    <w:rsid w:val="00ED710B"/>
    <w:rsid w:val="00ED7133"/>
    <w:rsid w:val="00ED746B"/>
    <w:rsid w:val="00ED7515"/>
    <w:rsid w:val="00ED7788"/>
    <w:rsid w:val="00ED7AA4"/>
    <w:rsid w:val="00ED7BF0"/>
    <w:rsid w:val="00ED7ED0"/>
    <w:rsid w:val="00EE0007"/>
    <w:rsid w:val="00EE11F8"/>
    <w:rsid w:val="00EE14A7"/>
    <w:rsid w:val="00EE190E"/>
    <w:rsid w:val="00EE1BEB"/>
    <w:rsid w:val="00EE1DB9"/>
    <w:rsid w:val="00EE1E35"/>
    <w:rsid w:val="00EE2033"/>
    <w:rsid w:val="00EE25B9"/>
    <w:rsid w:val="00EE27E2"/>
    <w:rsid w:val="00EE2819"/>
    <w:rsid w:val="00EE2EC4"/>
    <w:rsid w:val="00EE309F"/>
    <w:rsid w:val="00EE3204"/>
    <w:rsid w:val="00EE38B4"/>
    <w:rsid w:val="00EE392A"/>
    <w:rsid w:val="00EE3A60"/>
    <w:rsid w:val="00EE3B06"/>
    <w:rsid w:val="00EE3B46"/>
    <w:rsid w:val="00EE3EC6"/>
    <w:rsid w:val="00EE3F23"/>
    <w:rsid w:val="00EE4BD4"/>
    <w:rsid w:val="00EE59ED"/>
    <w:rsid w:val="00EE6081"/>
    <w:rsid w:val="00EE60A1"/>
    <w:rsid w:val="00EE6168"/>
    <w:rsid w:val="00EE67C9"/>
    <w:rsid w:val="00EE6853"/>
    <w:rsid w:val="00EE6C9F"/>
    <w:rsid w:val="00EE772B"/>
    <w:rsid w:val="00EE7E5F"/>
    <w:rsid w:val="00EE7FA6"/>
    <w:rsid w:val="00EF01F1"/>
    <w:rsid w:val="00EF0345"/>
    <w:rsid w:val="00EF04B9"/>
    <w:rsid w:val="00EF067D"/>
    <w:rsid w:val="00EF0CF9"/>
    <w:rsid w:val="00EF0FFB"/>
    <w:rsid w:val="00EF105D"/>
    <w:rsid w:val="00EF1537"/>
    <w:rsid w:val="00EF16C6"/>
    <w:rsid w:val="00EF19FD"/>
    <w:rsid w:val="00EF1A9B"/>
    <w:rsid w:val="00EF1CF5"/>
    <w:rsid w:val="00EF2262"/>
    <w:rsid w:val="00EF2380"/>
    <w:rsid w:val="00EF2440"/>
    <w:rsid w:val="00EF24AA"/>
    <w:rsid w:val="00EF24F5"/>
    <w:rsid w:val="00EF2565"/>
    <w:rsid w:val="00EF270D"/>
    <w:rsid w:val="00EF2765"/>
    <w:rsid w:val="00EF27D0"/>
    <w:rsid w:val="00EF28B1"/>
    <w:rsid w:val="00EF2DE8"/>
    <w:rsid w:val="00EF32CD"/>
    <w:rsid w:val="00EF32F6"/>
    <w:rsid w:val="00EF3456"/>
    <w:rsid w:val="00EF4226"/>
    <w:rsid w:val="00EF42A4"/>
    <w:rsid w:val="00EF4580"/>
    <w:rsid w:val="00EF488B"/>
    <w:rsid w:val="00EF490B"/>
    <w:rsid w:val="00EF4A0D"/>
    <w:rsid w:val="00EF4D4A"/>
    <w:rsid w:val="00EF4E98"/>
    <w:rsid w:val="00EF4EF1"/>
    <w:rsid w:val="00EF539F"/>
    <w:rsid w:val="00EF5925"/>
    <w:rsid w:val="00EF5D71"/>
    <w:rsid w:val="00EF662C"/>
    <w:rsid w:val="00EF6861"/>
    <w:rsid w:val="00EF6928"/>
    <w:rsid w:val="00EF69CD"/>
    <w:rsid w:val="00EF6DB5"/>
    <w:rsid w:val="00EF6FA9"/>
    <w:rsid w:val="00EF7405"/>
    <w:rsid w:val="00EF78EA"/>
    <w:rsid w:val="00EF7ED5"/>
    <w:rsid w:val="00F00112"/>
    <w:rsid w:val="00F010A4"/>
    <w:rsid w:val="00F016E4"/>
    <w:rsid w:val="00F017DC"/>
    <w:rsid w:val="00F01CB5"/>
    <w:rsid w:val="00F01E6C"/>
    <w:rsid w:val="00F02045"/>
    <w:rsid w:val="00F02075"/>
    <w:rsid w:val="00F02159"/>
    <w:rsid w:val="00F031B6"/>
    <w:rsid w:val="00F03219"/>
    <w:rsid w:val="00F03702"/>
    <w:rsid w:val="00F03A67"/>
    <w:rsid w:val="00F03C06"/>
    <w:rsid w:val="00F03CE6"/>
    <w:rsid w:val="00F03E66"/>
    <w:rsid w:val="00F04097"/>
    <w:rsid w:val="00F045E2"/>
    <w:rsid w:val="00F04CAD"/>
    <w:rsid w:val="00F04EA7"/>
    <w:rsid w:val="00F051B0"/>
    <w:rsid w:val="00F051B6"/>
    <w:rsid w:val="00F05409"/>
    <w:rsid w:val="00F06034"/>
    <w:rsid w:val="00F06448"/>
    <w:rsid w:val="00F0689B"/>
    <w:rsid w:val="00F068E3"/>
    <w:rsid w:val="00F068FE"/>
    <w:rsid w:val="00F06B2F"/>
    <w:rsid w:val="00F06E52"/>
    <w:rsid w:val="00F06F62"/>
    <w:rsid w:val="00F077E9"/>
    <w:rsid w:val="00F078AE"/>
    <w:rsid w:val="00F07EC3"/>
    <w:rsid w:val="00F07FE8"/>
    <w:rsid w:val="00F100E0"/>
    <w:rsid w:val="00F10625"/>
    <w:rsid w:val="00F1079D"/>
    <w:rsid w:val="00F11081"/>
    <w:rsid w:val="00F11209"/>
    <w:rsid w:val="00F11547"/>
    <w:rsid w:val="00F1188F"/>
    <w:rsid w:val="00F11A95"/>
    <w:rsid w:val="00F11C15"/>
    <w:rsid w:val="00F11C39"/>
    <w:rsid w:val="00F11CEB"/>
    <w:rsid w:val="00F12334"/>
    <w:rsid w:val="00F1248F"/>
    <w:rsid w:val="00F1264C"/>
    <w:rsid w:val="00F126D2"/>
    <w:rsid w:val="00F12C6A"/>
    <w:rsid w:val="00F12EF2"/>
    <w:rsid w:val="00F130A4"/>
    <w:rsid w:val="00F13263"/>
    <w:rsid w:val="00F13573"/>
    <w:rsid w:val="00F1398B"/>
    <w:rsid w:val="00F139E1"/>
    <w:rsid w:val="00F13A4A"/>
    <w:rsid w:val="00F13EA0"/>
    <w:rsid w:val="00F140E4"/>
    <w:rsid w:val="00F14107"/>
    <w:rsid w:val="00F14388"/>
    <w:rsid w:val="00F1457D"/>
    <w:rsid w:val="00F14673"/>
    <w:rsid w:val="00F1469A"/>
    <w:rsid w:val="00F1480E"/>
    <w:rsid w:val="00F149A3"/>
    <w:rsid w:val="00F1501B"/>
    <w:rsid w:val="00F15443"/>
    <w:rsid w:val="00F1550B"/>
    <w:rsid w:val="00F15856"/>
    <w:rsid w:val="00F15866"/>
    <w:rsid w:val="00F15BD1"/>
    <w:rsid w:val="00F1643A"/>
    <w:rsid w:val="00F16440"/>
    <w:rsid w:val="00F16469"/>
    <w:rsid w:val="00F16554"/>
    <w:rsid w:val="00F1677E"/>
    <w:rsid w:val="00F16AC1"/>
    <w:rsid w:val="00F16ED0"/>
    <w:rsid w:val="00F172BD"/>
    <w:rsid w:val="00F174DB"/>
    <w:rsid w:val="00F1767B"/>
    <w:rsid w:val="00F17B2F"/>
    <w:rsid w:val="00F17DEB"/>
    <w:rsid w:val="00F20583"/>
    <w:rsid w:val="00F20797"/>
    <w:rsid w:val="00F20976"/>
    <w:rsid w:val="00F20B59"/>
    <w:rsid w:val="00F20E6E"/>
    <w:rsid w:val="00F20E97"/>
    <w:rsid w:val="00F21185"/>
    <w:rsid w:val="00F211C1"/>
    <w:rsid w:val="00F21539"/>
    <w:rsid w:val="00F217CB"/>
    <w:rsid w:val="00F21874"/>
    <w:rsid w:val="00F2199E"/>
    <w:rsid w:val="00F21B43"/>
    <w:rsid w:val="00F21D1A"/>
    <w:rsid w:val="00F21E65"/>
    <w:rsid w:val="00F21EEB"/>
    <w:rsid w:val="00F22268"/>
    <w:rsid w:val="00F2231E"/>
    <w:rsid w:val="00F2259E"/>
    <w:rsid w:val="00F22877"/>
    <w:rsid w:val="00F23077"/>
    <w:rsid w:val="00F234F2"/>
    <w:rsid w:val="00F236E1"/>
    <w:rsid w:val="00F23B1B"/>
    <w:rsid w:val="00F23BD9"/>
    <w:rsid w:val="00F240CE"/>
    <w:rsid w:val="00F240F6"/>
    <w:rsid w:val="00F24486"/>
    <w:rsid w:val="00F24755"/>
    <w:rsid w:val="00F255AC"/>
    <w:rsid w:val="00F25875"/>
    <w:rsid w:val="00F25DBB"/>
    <w:rsid w:val="00F25E7A"/>
    <w:rsid w:val="00F25F15"/>
    <w:rsid w:val="00F25FDD"/>
    <w:rsid w:val="00F266D9"/>
    <w:rsid w:val="00F26877"/>
    <w:rsid w:val="00F268BA"/>
    <w:rsid w:val="00F26E93"/>
    <w:rsid w:val="00F26F42"/>
    <w:rsid w:val="00F272E0"/>
    <w:rsid w:val="00F273BB"/>
    <w:rsid w:val="00F275D4"/>
    <w:rsid w:val="00F30302"/>
    <w:rsid w:val="00F30562"/>
    <w:rsid w:val="00F30952"/>
    <w:rsid w:val="00F30CB3"/>
    <w:rsid w:val="00F30CBE"/>
    <w:rsid w:val="00F30F97"/>
    <w:rsid w:val="00F3163A"/>
    <w:rsid w:val="00F316E3"/>
    <w:rsid w:val="00F317C9"/>
    <w:rsid w:val="00F31A97"/>
    <w:rsid w:val="00F31BB5"/>
    <w:rsid w:val="00F31DDB"/>
    <w:rsid w:val="00F3200C"/>
    <w:rsid w:val="00F3204F"/>
    <w:rsid w:val="00F320EB"/>
    <w:rsid w:val="00F32125"/>
    <w:rsid w:val="00F321E3"/>
    <w:rsid w:val="00F323D2"/>
    <w:rsid w:val="00F32665"/>
    <w:rsid w:val="00F32E30"/>
    <w:rsid w:val="00F32EE7"/>
    <w:rsid w:val="00F330A5"/>
    <w:rsid w:val="00F3344A"/>
    <w:rsid w:val="00F3372C"/>
    <w:rsid w:val="00F33FEC"/>
    <w:rsid w:val="00F3411B"/>
    <w:rsid w:val="00F34636"/>
    <w:rsid w:val="00F35842"/>
    <w:rsid w:val="00F359EB"/>
    <w:rsid w:val="00F36501"/>
    <w:rsid w:val="00F36694"/>
    <w:rsid w:val="00F3684D"/>
    <w:rsid w:val="00F36943"/>
    <w:rsid w:val="00F36CD4"/>
    <w:rsid w:val="00F3703F"/>
    <w:rsid w:val="00F3767D"/>
    <w:rsid w:val="00F37743"/>
    <w:rsid w:val="00F37BA2"/>
    <w:rsid w:val="00F4012C"/>
    <w:rsid w:val="00F4063A"/>
    <w:rsid w:val="00F4093E"/>
    <w:rsid w:val="00F40A54"/>
    <w:rsid w:val="00F4170C"/>
    <w:rsid w:val="00F41879"/>
    <w:rsid w:val="00F41AD5"/>
    <w:rsid w:val="00F41CFF"/>
    <w:rsid w:val="00F41F8F"/>
    <w:rsid w:val="00F42129"/>
    <w:rsid w:val="00F42280"/>
    <w:rsid w:val="00F422EB"/>
    <w:rsid w:val="00F4243B"/>
    <w:rsid w:val="00F42646"/>
    <w:rsid w:val="00F42AC1"/>
    <w:rsid w:val="00F42EA6"/>
    <w:rsid w:val="00F42FD1"/>
    <w:rsid w:val="00F43598"/>
    <w:rsid w:val="00F43626"/>
    <w:rsid w:val="00F436D2"/>
    <w:rsid w:val="00F43757"/>
    <w:rsid w:val="00F43A0D"/>
    <w:rsid w:val="00F43BF4"/>
    <w:rsid w:val="00F43C6F"/>
    <w:rsid w:val="00F43DAD"/>
    <w:rsid w:val="00F44001"/>
    <w:rsid w:val="00F4413B"/>
    <w:rsid w:val="00F44464"/>
    <w:rsid w:val="00F44E67"/>
    <w:rsid w:val="00F45032"/>
    <w:rsid w:val="00F45722"/>
    <w:rsid w:val="00F45F56"/>
    <w:rsid w:val="00F4606E"/>
    <w:rsid w:val="00F461EB"/>
    <w:rsid w:val="00F4667C"/>
    <w:rsid w:val="00F46963"/>
    <w:rsid w:val="00F47047"/>
    <w:rsid w:val="00F4761B"/>
    <w:rsid w:val="00F4786F"/>
    <w:rsid w:val="00F4792C"/>
    <w:rsid w:val="00F47B34"/>
    <w:rsid w:val="00F47B98"/>
    <w:rsid w:val="00F47C30"/>
    <w:rsid w:val="00F47F9B"/>
    <w:rsid w:val="00F50392"/>
    <w:rsid w:val="00F5044B"/>
    <w:rsid w:val="00F50828"/>
    <w:rsid w:val="00F50906"/>
    <w:rsid w:val="00F50AA7"/>
    <w:rsid w:val="00F50C49"/>
    <w:rsid w:val="00F515AB"/>
    <w:rsid w:val="00F517D6"/>
    <w:rsid w:val="00F51F1A"/>
    <w:rsid w:val="00F51FF7"/>
    <w:rsid w:val="00F520A7"/>
    <w:rsid w:val="00F5211D"/>
    <w:rsid w:val="00F521F2"/>
    <w:rsid w:val="00F5288F"/>
    <w:rsid w:val="00F52C19"/>
    <w:rsid w:val="00F52CC2"/>
    <w:rsid w:val="00F53002"/>
    <w:rsid w:val="00F5365A"/>
    <w:rsid w:val="00F53743"/>
    <w:rsid w:val="00F53A09"/>
    <w:rsid w:val="00F53A33"/>
    <w:rsid w:val="00F53B8B"/>
    <w:rsid w:val="00F53C98"/>
    <w:rsid w:val="00F53FA4"/>
    <w:rsid w:val="00F54714"/>
    <w:rsid w:val="00F54BA2"/>
    <w:rsid w:val="00F54C9C"/>
    <w:rsid w:val="00F54F6E"/>
    <w:rsid w:val="00F554CF"/>
    <w:rsid w:val="00F558D4"/>
    <w:rsid w:val="00F55FFC"/>
    <w:rsid w:val="00F56108"/>
    <w:rsid w:val="00F5612C"/>
    <w:rsid w:val="00F569DE"/>
    <w:rsid w:val="00F56BF3"/>
    <w:rsid w:val="00F56F60"/>
    <w:rsid w:val="00F571C3"/>
    <w:rsid w:val="00F576B5"/>
    <w:rsid w:val="00F577C6"/>
    <w:rsid w:val="00F57800"/>
    <w:rsid w:val="00F57A4E"/>
    <w:rsid w:val="00F57D96"/>
    <w:rsid w:val="00F57F76"/>
    <w:rsid w:val="00F603F5"/>
    <w:rsid w:val="00F6083E"/>
    <w:rsid w:val="00F60B70"/>
    <w:rsid w:val="00F61372"/>
    <w:rsid w:val="00F616A6"/>
    <w:rsid w:val="00F6185D"/>
    <w:rsid w:val="00F61D18"/>
    <w:rsid w:val="00F61E8E"/>
    <w:rsid w:val="00F61FC9"/>
    <w:rsid w:val="00F62238"/>
    <w:rsid w:val="00F6223E"/>
    <w:rsid w:val="00F622FD"/>
    <w:rsid w:val="00F62391"/>
    <w:rsid w:val="00F62A2D"/>
    <w:rsid w:val="00F62AC7"/>
    <w:rsid w:val="00F63929"/>
    <w:rsid w:val="00F63A0E"/>
    <w:rsid w:val="00F63B07"/>
    <w:rsid w:val="00F63CED"/>
    <w:rsid w:val="00F63D62"/>
    <w:rsid w:val="00F6416D"/>
    <w:rsid w:val="00F641E6"/>
    <w:rsid w:val="00F642E8"/>
    <w:rsid w:val="00F64AD0"/>
    <w:rsid w:val="00F64B72"/>
    <w:rsid w:val="00F64FC3"/>
    <w:rsid w:val="00F64FE7"/>
    <w:rsid w:val="00F655DB"/>
    <w:rsid w:val="00F658DA"/>
    <w:rsid w:val="00F6592F"/>
    <w:rsid w:val="00F65A96"/>
    <w:rsid w:val="00F65B4B"/>
    <w:rsid w:val="00F65B8A"/>
    <w:rsid w:val="00F65E8C"/>
    <w:rsid w:val="00F663A0"/>
    <w:rsid w:val="00F66455"/>
    <w:rsid w:val="00F664AF"/>
    <w:rsid w:val="00F66F43"/>
    <w:rsid w:val="00F67765"/>
    <w:rsid w:val="00F678E8"/>
    <w:rsid w:val="00F706DC"/>
    <w:rsid w:val="00F70D4F"/>
    <w:rsid w:val="00F70F4A"/>
    <w:rsid w:val="00F70FD0"/>
    <w:rsid w:val="00F7113A"/>
    <w:rsid w:val="00F71278"/>
    <w:rsid w:val="00F712F4"/>
    <w:rsid w:val="00F7132A"/>
    <w:rsid w:val="00F71708"/>
    <w:rsid w:val="00F721EA"/>
    <w:rsid w:val="00F723C0"/>
    <w:rsid w:val="00F7257B"/>
    <w:rsid w:val="00F72B0E"/>
    <w:rsid w:val="00F72BF8"/>
    <w:rsid w:val="00F72D40"/>
    <w:rsid w:val="00F72D4F"/>
    <w:rsid w:val="00F72F42"/>
    <w:rsid w:val="00F731D2"/>
    <w:rsid w:val="00F735B5"/>
    <w:rsid w:val="00F73A5D"/>
    <w:rsid w:val="00F73AC5"/>
    <w:rsid w:val="00F73C9D"/>
    <w:rsid w:val="00F73E94"/>
    <w:rsid w:val="00F73F5D"/>
    <w:rsid w:val="00F74121"/>
    <w:rsid w:val="00F74296"/>
    <w:rsid w:val="00F747B6"/>
    <w:rsid w:val="00F747F7"/>
    <w:rsid w:val="00F74E7A"/>
    <w:rsid w:val="00F74FA0"/>
    <w:rsid w:val="00F750BF"/>
    <w:rsid w:val="00F75181"/>
    <w:rsid w:val="00F75320"/>
    <w:rsid w:val="00F753CF"/>
    <w:rsid w:val="00F757DD"/>
    <w:rsid w:val="00F75913"/>
    <w:rsid w:val="00F75E1F"/>
    <w:rsid w:val="00F76222"/>
    <w:rsid w:val="00F763D2"/>
    <w:rsid w:val="00F767F2"/>
    <w:rsid w:val="00F76D63"/>
    <w:rsid w:val="00F76EF1"/>
    <w:rsid w:val="00F77075"/>
    <w:rsid w:val="00F772BD"/>
    <w:rsid w:val="00F77566"/>
    <w:rsid w:val="00F77748"/>
    <w:rsid w:val="00F77B9F"/>
    <w:rsid w:val="00F77E2A"/>
    <w:rsid w:val="00F80062"/>
    <w:rsid w:val="00F800C5"/>
    <w:rsid w:val="00F804B2"/>
    <w:rsid w:val="00F8050A"/>
    <w:rsid w:val="00F80C8A"/>
    <w:rsid w:val="00F81169"/>
    <w:rsid w:val="00F8119C"/>
    <w:rsid w:val="00F813AF"/>
    <w:rsid w:val="00F813E5"/>
    <w:rsid w:val="00F8177B"/>
    <w:rsid w:val="00F81CFA"/>
    <w:rsid w:val="00F82251"/>
    <w:rsid w:val="00F82403"/>
    <w:rsid w:val="00F82B0C"/>
    <w:rsid w:val="00F83339"/>
    <w:rsid w:val="00F83651"/>
    <w:rsid w:val="00F839FE"/>
    <w:rsid w:val="00F83D4F"/>
    <w:rsid w:val="00F8427A"/>
    <w:rsid w:val="00F84674"/>
    <w:rsid w:val="00F847FF"/>
    <w:rsid w:val="00F84A38"/>
    <w:rsid w:val="00F84A99"/>
    <w:rsid w:val="00F84CA9"/>
    <w:rsid w:val="00F84CDD"/>
    <w:rsid w:val="00F84E5D"/>
    <w:rsid w:val="00F85338"/>
    <w:rsid w:val="00F855E0"/>
    <w:rsid w:val="00F85A8A"/>
    <w:rsid w:val="00F85E5F"/>
    <w:rsid w:val="00F85FD0"/>
    <w:rsid w:val="00F86505"/>
    <w:rsid w:val="00F866D0"/>
    <w:rsid w:val="00F8681C"/>
    <w:rsid w:val="00F86C07"/>
    <w:rsid w:val="00F87A7C"/>
    <w:rsid w:val="00F87D2B"/>
    <w:rsid w:val="00F87D58"/>
    <w:rsid w:val="00F90500"/>
    <w:rsid w:val="00F909B8"/>
    <w:rsid w:val="00F90ACA"/>
    <w:rsid w:val="00F912CD"/>
    <w:rsid w:val="00F912FF"/>
    <w:rsid w:val="00F913F4"/>
    <w:rsid w:val="00F91578"/>
    <w:rsid w:val="00F919A5"/>
    <w:rsid w:val="00F91C99"/>
    <w:rsid w:val="00F91FBA"/>
    <w:rsid w:val="00F920DF"/>
    <w:rsid w:val="00F92166"/>
    <w:rsid w:val="00F9266C"/>
    <w:rsid w:val="00F92C5C"/>
    <w:rsid w:val="00F93175"/>
    <w:rsid w:val="00F937BA"/>
    <w:rsid w:val="00F94078"/>
    <w:rsid w:val="00F9431A"/>
    <w:rsid w:val="00F943C1"/>
    <w:rsid w:val="00F94493"/>
    <w:rsid w:val="00F94CF3"/>
    <w:rsid w:val="00F9509D"/>
    <w:rsid w:val="00F952D4"/>
    <w:rsid w:val="00F952DE"/>
    <w:rsid w:val="00F957C9"/>
    <w:rsid w:val="00F95A85"/>
    <w:rsid w:val="00F95E86"/>
    <w:rsid w:val="00F95F8D"/>
    <w:rsid w:val="00F96182"/>
    <w:rsid w:val="00F9639F"/>
    <w:rsid w:val="00F963DA"/>
    <w:rsid w:val="00F96403"/>
    <w:rsid w:val="00F9643D"/>
    <w:rsid w:val="00F967F7"/>
    <w:rsid w:val="00F96ACB"/>
    <w:rsid w:val="00F96C9A"/>
    <w:rsid w:val="00F972F3"/>
    <w:rsid w:val="00F9735E"/>
    <w:rsid w:val="00F973AF"/>
    <w:rsid w:val="00F973C6"/>
    <w:rsid w:val="00F97919"/>
    <w:rsid w:val="00F97C27"/>
    <w:rsid w:val="00FA09B0"/>
    <w:rsid w:val="00FA09B4"/>
    <w:rsid w:val="00FA0C7A"/>
    <w:rsid w:val="00FA106A"/>
    <w:rsid w:val="00FA1166"/>
    <w:rsid w:val="00FA1DCD"/>
    <w:rsid w:val="00FA2240"/>
    <w:rsid w:val="00FA27B3"/>
    <w:rsid w:val="00FA2FF6"/>
    <w:rsid w:val="00FA3120"/>
    <w:rsid w:val="00FA3396"/>
    <w:rsid w:val="00FA343C"/>
    <w:rsid w:val="00FA350E"/>
    <w:rsid w:val="00FA4023"/>
    <w:rsid w:val="00FA43A7"/>
    <w:rsid w:val="00FA44D9"/>
    <w:rsid w:val="00FA46C1"/>
    <w:rsid w:val="00FA49C3"/>
    <w:rsid w:val="00FA5B44"/>
    <w:rsid w:val="00FA623C"/>
    <w:rsid w:val="00FA68B5"/>
    <w:rsid w:val="00FA6B63"/>
    <w:rsid w:val="00FA6C5C"/>
    <w:rsid w:val="00FA6CF1"/>
    <w:rsid w:val="00FA75EF"/>
    <w:rsid w:val="00FA7753"/>
    <w:rsid w:val="00FA77BD"/>
    <w:rsid w:val="00FA7E3F"/>
    <w:rsid w:val="00FA7FCA"/>
    <w:rsid w:val="00FB01EC"/>
    <w:rsid w:val="00FB0985"/>
    <w:rsid w:val="00FB0AE6"/>
    <w:rsid w:val="00FB0CC7"/>
    <w:rsid w:val="00FB0CCE"/>
    <w:rsid w:val="00FB117B"/>
    <w:rsid w:val="00FB12A8"/>
    <w:rsid w:val="00FB14D4"/>
    <w:rsid w:val="00FB188E"/>
    <w:rsid w:val="00FB192B"/>
    <w:rsid w:val="00FB1935"/>
    <w:rsid w:val="00FB1A6B"/>
    <w:rsid w:val="00FB1D70"/>
    <w:rsid w:val="00FB20FB"/>
    <w:rsid w:val="00FB21C9"/>
    <w:rsid w:val="00FB240E"/>
    <w:rsid w:val="00FB246A"/>
    <w:rsid w:val="00FB280F"/>
    <w:rsid w:val="00FB2A0D"/>
    <w:rsid w:val="00FB2BE6"/>
    <w:rsid w:val="00FB2CA5"/>
    <w:rsid w:val="00FB2FF6"/>
    <w:rsid w:val="00FB3318"/>
    <w:rsid w:val="00FB3415"/>
    <w:rsid w:val="00FB35FD"/>
    <w:rsid w:val="00FB3A0C"/>
    <w:rsid w:val="00FB4253"/>
    <w:rsid w:val="00FB44B4"/>
    <w:rsid w:val="00FB463B"/>
    <w:rsid w:val="00FB4EAA"/>
    <w:rsid w:val="00FB4F9A"/>
    <w:rsid w:val="00FB529F"/>
    <w:rsid w:val="00FB5A06"/>
    <w:rsid w:val="00FB754F"/>
    <w:rsid w:val="00FB791F"/>
    <w:rsid w:val="00FB7943"/>
    <w:rsid w:val="00FB7C6D"/>
    <w:rsid w:val="00FB7F47"/>
    <w:rsid w:val="00FC04E5"/>
    <w:rsid w:val="00FC0734"/>
    <w:rsid w:val="00FC0957"/>
    <w:rsid w:val="00FC0FE0"/>
    <w:rsid w:val="00FC118B"/>
    <w:rsid w:val="00FC1B2C"/>
    <w:rsid w:val="00FC1CB7"/>
    <w:rsid w:val="00FC1FCE"/>
    <w:rsid w:val="00FC2034"/>
    <w:rsid w:val="00FC247E"/>
    <w:rsid w:val="00FC26AD"/>
    <w:rsid w:val="00FC2DF9"/>
    <w:rsid w:val="00FC2EF3"/>
    <w:rsid w:val="00FC317E"/>
    <w:rsid w:val="00FC328B"/>
    <w:rsid w:val="00FC3BF1"/>
    <w:rsid w:val="00FC3FA0"/>
    <w:rsid w:val="00FC43AF"/>
    <w:rsid w:val="00FC4717"/>
    <w:rsid w:val="00FC49E2"/>
    <w:rsid w:val="00FC4B61"/>
    <w:rsid w:val="00FC503A"/>
    <w:rsid w:val="00FC5254"/>
    <w:rsid w:val="00FC56FB"/>
    <w:rsid w:val="00FC58F4"/>
    <w:rsid w:val="00FC5A8E"/>
    <w:rsid w:val="00FC625A"/>
    <w:rsid w:val="00FC62C3"/>
    <w:rsid w:val="00FC6949"/>
    <w:rsid w:val="00FC6C62"/>
    <w:rsid w:val="00FC6D9B"/>
    <w:rsid w:val="00FC72FD"/>
    <w:rsid w:val="00FC7517"/>
    <w:rsid w:val="00FC799F"/>
    <w:rsid w:val="00FC7DDE"/>
    <w:rsid w:val="00FD0020"/>
    <w:rsid w:val="00FD005B"/>
    <w:rsid w:val="00FD04EE"/>
    <w:rsid w:val="00FD0DC4"/>
    <w:rsid w:val="00FD11D9"/>
    <w:rsid w:val="00FD11F8"/>
    <w:rsid w:val="00FD1438"/>
    <w:rsid w:val="00FD1613"/>
    <w:rsid w:val="00FD1638"/>
    <w:rsid w:val="00FD1ECC"/>
    <w:rsid w:val="00FD1F92"/>
    <w:rsid w:val="00FD2086"/>
    <w:rsid w:val="00FD2291"/>
    <w:rsid w:val="00FD251B"/>
    <w:rsid w:val="00FD2722"/>
    <w:rsid w:val="00FD272A"/>
    <w:rsid w:val="00FD36F8"/>
    <w:rsid w:val="00FD3A2A"/>
    <w:rsid w:val="00FD3C05"/>
    <w:rsid w:val="00FD3FB9"/>
    <w:rsid w:val="00FD4326"/>
    <w:rsid w:val="00FD4BC6"/>
    <w:rsid w:val="00FD5061"/>
    <w:rsid w:val="00FD50F3"/>
    <w:rsid w:val="00FD5135"/>
    <w:rsid w:val="00FD568D"/>
    <w:rsid w:val="00FD59E3"/>
    <w:rsid w:val="00FD5C7D"/>
    <w:rsid w:val="00FD5FF7"/>
    <w:rsid w:val="00FD61CF"/>
    <w:rsid w:val="00FD63C4"/>
    <w:rsid w:val="00FD69F4"/>
    <w:rsid w:val="00FD6A99"/>
    <w:rsid w:val="00FD6AEA"/>
    <w:rsid w:val="00FD6F47"/>
    <w:rsid w:val="00FD6FB2"/>
    <w:rsid w:val="00FD7C2E"/>
    <w:rsid w:val="00FD7D5C"/>
    <w:rsid w:val="00FD7DB4"/>
    <w:rsid w:val="00FD7EB6"/>
    <w:rsid w:val="00FE0963"/>
    <w:rsid w:val="00FE098C"/>
    <w:rsid w:val="00FE0AF5"/>
    <w:rsid w:val="00FE0CB9"/>
    <w:rsid w:val="00FE0D21"/>
    <w:rsid w:val="00FE10A9"/>
    <w:rsid w:val="00FE1199"/>
    <w:rsid w:val="00FE1425"/>
    <w:rsid w:val="00FE14ED"/>
    <w:rsid w:val="00FE162B"/>
    <w:rsid w:val="00FE18D8"/>
    <w:rsid w:val="00FE1E72"/>
    <w:rsid w:val="00FE21C9"/>
    <w:rsid w:val="00FE21E9"/>
    <w:rsid w:val="00FE2966"/>
    <w:rsid w:val="00FE2D16"/>
    <w:rsid w:val="00FE31B2"/>
    <w:rsid w:val="00FE3716"/>
    <w:rsid w:val="00FE37B3"/>
    <w:rsid w:val="00FE3C02"/>
    <w:rsid w:val="00FE3D19"/>
    <w:rsid w:val="00FE3DAA"/>
    <w:rsid w:val="00FE3E0F"/>
    <w:rsid w:val="00FE40EE"/>
    <w:rsid w:val="00FE4192"/>
    <w:rsid w:val="00FE4D74"/>
    <w:rsid w:val="00FE4EBE"/>
    <w:rsid w:val="00FE559F"/>
    <w:rsid w:val="00FE5675"/>
    <w:rsid w:val="00FE5DDE"/>
    <w:rsid w:val="00FE6127"/>
    <w:rsid w:val="00FE6281"/>
    <w:rsid w:val="00FE667E"/>
    <w:rsid w:val="00FE6865"/>
    <w:rsid w:val="00FE6B45"/>
    <w:rsid w:val="00FE6BDE"/>
    <w:rsid w:val="00FE6F3C"/>
    <w:rsid w:val="00FE7473"/>
    <w:rsid w:val="00FE74AB"/>
    <w:rsid w:val="00FE766E"/>
    <w:rsid w:val="00FE771D"/>
    <w:rsid w:val="00FE7783"/>
    <w:rsid w:val="00FE790B"/>
    <w:rsid w:val="00FE7AF1"/>
    <w:rsid w:val="00FF0007"/>
    <w:rsid w:val="00FF03A2"/>
    <w:rsid w:val="00FF0A01"/>
    <w:rsid w:val="00FF0CD1"/>
    <w:rsid w:val="00FF161B"/>
    <w:rsid w:val="00FF1653"/>
    <w:rsid w:val="00FF176C"/>
    <w:rsid w:val="00FF1812"/>
    <w:rsid w:val="00FF231D"/>
    <w:rsid w:val="00FF28FE"/>
    <w:rsid w:val="00FF2BC0"/>
    <w:rsid w:val="00FF2CBA"/>
    <w:rsid w:val="00FF2F39"/>
    <w:rsid w:val="00FF32A9"/>
    <w:rsid w:val="00FF33A2"/>
    <w:rsid w:val="00FF33A9"/>
    <w:rsid w:val="00FF3582"/>
    <w:rsid w:val="00FF3907"/>
    <w:rsid w:val="00FF3BC9"/>
    <w:rsid w:val="00FF3CAC"/>
    <w:rsid w:val="00FF3FAC"/>
    <w:rsid w:val="00FF4016"/>
    <w:rsid w:val="00FF421B"/>
    <w:rsid w:val="00FF4368"/>
    <w:rsid w:val="00FF4478"/>
    <w:rsid w:val="00FF4508"/>
    <w:rsid w:val="00FF4F68"/>
    <w:rsid w:val="00FF503C"/>
    <w:rsid w:val="00FF5044"/>
    <w:rsid w:val="00FF52DE"/>
    <w:rsid w:val="00FF55D8"/>
    <w:rsid w:val="00FF565C"/>
    <w:rsid w:val="00FF5A1D"/>
    <w:rsid w:val="00FF5F0C"/>
    <w:rsid w:val="00FF6002"/>
    <w:rsid w:val="00FF601C"/>
    <w:rsid w:val="00FF6341"/>
    <w:rsid w:val="00FF64BE"/>
    <w:rsid w:val="00FF66D1"/>
    <w:rsid w:val="00FF68EF"/>
    <w:rsid w:val="00FF70B5"/>
    <w:rsid w:val="00FF7189"/>
    <w:rsid w:val="00FF7721"/>
    <w:rsid w:val="00FF7E98"/>
    <w:rsid w:val="00FF7F30"/>
    <w:rsid w:val="011A11A4"/>
    <w:rsid w:val="0135355E"/>
    <w:rsid w:val="01405559"/>
    <w:rsid w:val="014B5B44"/>
    <w:rsid w:val="0182219D"/>
    <w:rsid w:val="018C5F7F"/>
    <w:rsid w:val="01BE4069"/>
    <w:rsid w:val="01BE5800"/>
    <w:rsid w:val="01E46F65"/>
    <w:rsid w:val="02305B7C"/>
    <w:rsid w:val="029A71D0"/>
    <w:rsid w:val="02E536DD"/>
    <w:rsid w:val="030E7004"/>
    <w:rsid w:val="03387699"/>
    <w:rsid w:val="035E737B"/>
    <w:rsid w:val="037A0CC5"/>
    <w:rsid w:val="037D3DF5"/>
    <w:rsid w:val="03F06C42"/>
    <w:rsid w:val="041B3357"/>
    <w:rsid w:val="04787C5D"/>
    <w:rsid w:val="04BB4520"/>
    <w:rsid w:val="04C34346"/>
    <w:rsid w:val="04E30437"/>
    <w:rsid w:val="052C13E6"/>
    <w:rsid w:val="05465FD3"/>
    <w:rsid w:val="05A827C4"/>
    <w:rsid w:val="05C56DB2"/>
    <w:rsid w:val="05D640FE"/>
    <w:rsid w:val="05F41FAA"/>
    <w:rsid w:val="05F45E3B"/>
    <w:rsid w:val="062E579C"/>
    <w:rsid w:val="062F07EF"/>
    <w:rsid w:val="063B78DC"/>
    <w:rsid w:val="067775A0"/>
    <w:rsid w:val="06971FEE"/>
    <w:rsid w:val="06A177BB"/>
    <w:rsid w:val="06BF1B73"/>
    <w:rsid w:val="06C123D8"/>
    <w:rsid w:val="06C615A8"/>
    <w:rsid w:val="070B0A13"/>
    <w:rsid w:val="076E0F6D"/>
    <w:rsid w:val="07865624"/>
    <w:rsid w:val="07A8116C"/>
    <w:rsid w:val="07BD0843"/>
    <w:rsid w:val="07E84F31"/>
    <w:rsid w:val="083772CA"/>
    <w:rsid w:val="0839529D"/>
    <w:rsid w:val="08846562"/>
    <w:rsid w:val="0885729E"/>
    <w:rsid w:val="08CA13FE"/>
    <w:rsid w:val="092D4D1C"/>
    <w:rsid w:val="09974C33"/>
    <w:rsid w:val="09B82947"/>
    <w:rsid w:val="09C7443B"/>
    <w:rsid w:val="0A5151D8"/>
    <w:rsid w:val="0A8C5FC6"/>
    <w:rsid w:val="0AD13E5D"/>
    <w:rsid w:val="0AEE083D"/>
    <w:rsid w:val="0B04049C"/>
    <w:rsid w:val="0B2C750C"/>
    <w:rsid w:val="0BF958C7"/>
    <w:rsid w:val="0C2561A2"/>
    <w:rsid w:val="0C3F3332"/>
    <w:rsid w:val="0C5A09A9"/>
    <w:rsid w:val="0CDB719E"/>
    <w:rsid w:val="0D56019D"/>
    <w:rsid w:val="0D9B12BB"/>
    <w:rsid w:val="0E0812B7"/>
    <w:rsid w:val="0E1B2880"/>
    <w:rsid w:val="0E407559"/>
    <w:rsid w:val="0EAB6A73"/>
    <w:rsid w:val="0EBB37EE"/>
    <w:rsid w:val="0EE325CA"/>
    <w:rsid w:val="0F4D0707"/>
    <w:rsid w:val="0FBA2A45"/>
    <w:rsid w:val="0FC41654"/>
    <w:rsid w:val="0FDE7285"/>
    <w:rsid w:val="100D1EFF"/>
    <w:rsid w:val="102D0C70"/>
    <w:rsid w:val="1042721E"/>
    <w:rsid w:val="104C05B8"/>
    <w:rsid w:val="11380256"/>
    <w:rsid w:val="1147532F"/>
    <w:rsid w:val="118C2ED5"/>
    <w:rsid w:val="11B176E2"/>
    <w:rsid w:val="11B83D31"/>
    <w:rsid w:val="11D07A25"/>
    <w:rsid w:val="124F25C1"/>
    <w:rsid w:val="126F5DEF"/>
    <w:rsid w:val="12795B29"/>
    <w:rsid w:val="12C82F5F"/>
    <w:rsid w:val="12F62B63"/>
    <w:rsid w:val="131D00A3"/>
    <w:rsid w:val="13696837"/>
    <w:rsid w:val="13862CF5"/>
    <w:rsid w:val="13AA30FE"/>
    <w:rsid w:val="13B31AEC"/>
    <w:rsid w:val="13FE3FBA"/>
    <w:rsid w:val="140E1568"/>
    <w:rsid w:val="142217CF"/>
    <w:rsid w:val="142B247A"/>
    <w:rsid w:val="14404369"/>
    <w:rsid w:val="14BB5E6A"/>
    <w:rsid w:val="14C9345F"/>
    <w:rsid w:val="152B7AE5"/>
    <w:rsid w:val="16527914"/>
    <w:rsid w:val="173E69E9"/>
    <w:rsid w:val="175D674F"/>
    <w:rsid w:val="176F562C"/>
    <w:rsid w:val="17861C35"/>
    <w:rsid w:val="179055A0"/>
    <w:rsid w:val="17B53534"/>
    <w:rsid w:val="17CD2550"/>
    <w:rsid w:val="1805209F"/>
    <w:rsid w:val="18114189"/>
    <w:rsid w:val="185669D9"/>
    <w:rsid w:val="18AB2825"/>
    <w:rsid w:val="18D13913"/>
    <w:rsid w:val="18F06F2D"/>
    <w:rsid w:val="19117739"/>
    <w:rsid w:val="19403824"/>
    <w:rsid w:val="19AD7F51"/>
    <w:rsid w:val="19B117EF"/>
    <w:rsid w:val="1A9E3747"/>
    <w:rsid w:val="1B393D4A"/>
    <w:rsid w:val="1B582F90"/>
    <w:rsid w:val="1B6479BA"/>
    <w:rsid w:val="1BA50D14"/>
    <w:rsid w:val="1BA677E7"/>
    <w:rsid w:val="1C05769F"/>
    <w:rsid w:val="1C157D87"/>
    <w:rsid w:val="1C352CA3"/>
    <w:rsid w:val="1C5C4CB1"/>
    <w:rsid w:val="1C625D30"/>
    <w:rsid w:val="1C7671E3"/>
    <w:rsid w:val="1C777601"/>
    <w:rsid w:val="1C7B6556"/>
    <w:rsid w:val="1C8738F9"/>
    <w:rsid w:val="1C8A493E"/>
    <w:rsid w:val="1CA62303"/>
    <w:rsid w:val="1CCB6998"/>
    <w:rsid w:val="1CD6623F"/>
    <w:rsid w:val="1CF90898"/>
    <w:rsid w:val="1CFA0FE7"/>
    <w:rsid w:val="1CFA589A"/>
    <w:rsid w:val="1D4824C2"/>
    <w:rsid w:val="1D8C69C4"/>
    <w:rsid w:val="1E1C7C6C"/>
    <w:rsid w:val="1E786F00"/>
    <w:rsid w:val="1E7C1E81"/>
    <w:rsid w:val="1EE26B01"/>
    <w:rsid w:val="1F147CCD"/>
    <w:rsid w:val="1F1F65F5"/>
    <w:rsid w:val="1F227F17"/>
    <w:rsid w:val="1F343C02"/>
    <w:rsid w:val="1F894478"/>
    <w:rsid w:val="1FAC7E53"/>
    <w:rsid w:val="1FC027D6"/>
    <w:rsid w:val="200008B3"/>
    <w:rsid w:val="20517FE3"/>
    <w:rsid w:val="20597707"/>
    <w:rsid w:val="20CE2C18"/>
    <w:rsid w:val="21577705"/>
    <w:rsid w:val="217C1DAF"/>
    <w:rsid w:val="218220DE"/>
    <w:rsid w:val="21FD7CFD"/>
    <w:rsid w:val="21FE096D"/>
    <w:rsid w:val="222C76C6"/>
    <w:rsid w:val="22466CF3"/>
    <w:rsid w:val="2253067F"/>
    <w:rsid w:val="22A344E7"/>
    <w:rsid w:val="22C9107A"/>
    <w:rsid w:val="22DE3197"/>
    <w:rsid w:val="22F10EAE"/>
    <w:rsid w:val="230E0741"/>
    <w:rsid w:val="23B459CF"/>
    <w:rsid w:val="23CB5BA3"/>
    <w:rsid w:val="23F63E16"/>
    <w:rsid w:val="243A32C2"/>
    <w:rsid w:val="243F71F1"/>
    <w:rsid w:val="24C0764C"/>
    <w:rsid w:val="25093A3B"/>
    <w:rsid w:val="25236D0D"/>
    <w:rsid w:val="252F645D"/>
    <w:rsid w:val="254338F2"/>
    <w:rsid w:val="255E2F6B"/>
    <w:rsid w:val="258858A9"/>
    <w:rsid w:val="25A9479F"/>
    <w:rsid w:val="25BE528E"/>
    <w:rsid w:val="25D8182D"/>
    <w:rsid w:val="25E21C3F"/>
    <w:rsid w:val="25F64D5E"/>
    <w:rsid w:val="26367C26"/>
    <w:rsid w:val="26757E2C"/>
    <w:rsid w:val="26790701"/>
    <w:rsid w:val="267970AE"/>
    <w:rsid w:val="273508EE"/>
    <w:rsid w:val="27483692"/>
    <w:rsid w:val="276F6E45"/>
    <w:rsid w:val="278066D7"/>
    <w:rsid w:val="27827B0F"/>
    <w:rsid w:val="27886287"/>
    <w:rsid w:val="279458B3"/>
    <w:rsid w:val="279F712B"/>
    <w:rsid w:val="27E843D9"/>
    <w:rsid w:val="27F53526"/>
    <w:rsid w:val="27F613F5"/>
    <w:rsid w:val="27FA5E76"/>
    <w:rsid w:val="280643E0"/>
    <w:rsid w:val="282C55A8"/>
    <w:rsid w:val="28510862"/>
    <w:rsid w:val="28690FE5"/>
    <w:rsid w:val="286C60B5"/>
    <w:rsid w:val="288E2BD2"/>
    <w:rsid w:val="28DC50AB"/>
    <w:rsid w:val="28E55271"/>
    <w:rsid w:val="28E7739E"/>
    <w:rsid w:val="29025585"/>
    <w:rsid w:val="2923374B"/>
    <w:rsid w:val="29357294"/>
    <w:rsid w:val="29BD796F"/>
    <w:rsid w:val="2A461A70"/>
    <w:rsid w:val="2A8220BE"/>
    <w:rsid w:val="2A85034E"/>
    <w:rsid w:val="2AAC3644"/>
    <w:rsid w:val="2B8073C2"/>
    <w:rsid w:val="2B8946FF"/>
    <w:rsid w:val="2C0A4741"/>
    <w:rsid w:val="2C804AD2"/>
    <w:rsid w:val="2CF86E08"/>
    <w:rsid w:val="2D0358F5"/>
    <w:rsid w:val="2D37238E"/>
    <w:rsid w:val="2D55232A"/>
    <w:rsid w:val="2D9B15EF"/>
    <w:rsid w:val="2DB61F8F"/>
    <w:rsid w:val="2E271974"/>
    <w:rsid w:val="2E304308"/>
    <w:rsid w:val="2E336D9D"/>
    <w:rsid w:val="2E44305A"/>
    <w:rsid w:val="2E5674BC"/>
    <w:rsid w:val="2E782484"/>
    <w:rsid w:val="2EB26D79"/>
    <w:rsid w:val="2F16026E"/>
    <w:rsid w:val="2F7145F4"/>
    <w:rsid w:val="2FBB3438"/>
    <w:rsid w:val="300A0CC8"/>
    <w:rsid w:val="30183F1E"/>
    <w:rsid w:val="301C1F55"/>
    <w:rsid w:val="303436A9"/>
    <w:rsid w:val="30580298"/>
    <w:rsid w:val="30646F90"/>
    <w:rsid w:val="30CB0402"/>
    <w:rsid w:val="30CE5FC9"/>
    <w:rsid w:val="310955F2"/>
    <w:rsid w:val="310E70CF"/>
    <w:rsid w:val="31197E88"/>
    <w:rsid w:val="31630496"/>
    <w:rsid w:val="31696FF6"/>
    <w:rsid w:val="31FB7C56"/>
    <w:rsid w:val="321E42BD"/>
    <w:rsid w:val="3231350B"/>
    <w:rsid w:val="324D2681"/>
    <w:rsid w:val="33A81F62"/>
    <w:rsid w:val="34457450"/>
    <w:rsid w:val="34BC749F"/>
    <w:rsid w:val="34BD2C73"/>
    <w:rsid w:val="34DA4494"/>
    <w:rsid w:val="350E185E"/>
    <w:rsid w:val="351E2CD3"/>
    <w:rsid w:val="35373F98"/>
    <w:rsid w:val="35871ED9"/>
    <w:rsid w:val="36246068"/>
    <w:rsid w:val="363B7932"/>
    <w:rsid w:val="365C615D"/>
    <w:rsid w:val="368C0193"/>
    <w:rsid w:val="36A06A1C"/>
    <w:rsid w:val="36D15C2A"/>
    <w:rsid w:val="36F24681"/>
    <w:rsid w:val="36FA4BBC"/>
    <w:rsid w:val="371D61FE"/>
    <w:rsid w:val="374B5AC3"/>
    <w:rsid w:val="37C8447C"/>
    <w:rsid w:val="38187E4F"/>
    <w:rsid w:val="3820445B"/>
    <w:rsid w:val="38210467"/>
    <w:rsid w:val="38255AF3"/>
    <w:rsid w:val="38401B73"/>
    <w:rsid w:val="384B1D2A"/>
    <w:rsid w:val="38565DC8"/>
    <w:rsid w:val="38D830D6"/>
    <w:rsid w:val="38F24247"/>
    <w:rsid w:val="39130B27"/>
    <w:rsid w:val="39780BBB"/>
    <w:rsid w:val="399267A7"/>
    <w:rsid w:val="39C9336C"/>
    <w:rsid w:val="39D617F2"/>
    <w:rsid w:val="39FD164C"/>
    <w:rsid w:val="3A7F1329"/>
    <w:rsid w:val="3A9553A3"/>
    <w:rsid w:val="3A9974DB"/>
    <w:rsid w:val="3AA163AA"/>
    <w:rsid w:val="3B1447C3"/>
    <w:rsid w:val="3B4E6F37"/>
    <w:rsid w:val="3B731AB5"/>
    <w:rsid w:val="3B746BC5"/>
    <w:rsid w:val="3B833738"/>
    <w:rsid w:val="3B874762"/>
    <w:rsid w:val="3C2527C5"/>
    <w:rsid w:val="3C5A4B2B"/>
    <w:rsid w:val="3C84642E"/>
    <w:rsid w:val="3CDA396C"/>
    <w:rsid w:val="3D0D7F13"/>
    <w:rsid w:val="3D6F75C9"/>
    <w:rsid w:val="3DBD343E"/>
    <w:rsid w:val="3DD33FB7"/>
    <w:rsid w:val="3DE90F01"/>
    <w:rsid w:val="3DFF703C"/>
    <w:rsid w:val="3E266E35"/>
    <w:rsid w:val="3EC517AA"/>
    <w:rsid w:val="3F213852"/>
    <w:rsid w:val="3F4829A1"/>
    <w:rsid w:val="3F6D6EBE"/>
    <w:rsid w:val="3F7F04D5"/>
    <w:rsid w:val="3F9A23F0"/>
    <w:rsid w:val="400F3656"/>
    <w:rsid w:val="404C221E"/>
    <w:rsid w:val="40A005F0"/>
    <w:rsid w:val="40A50B35"/>
    <w:rsid w:val="40C80671"/>
    <w:rsid w:val="417D76A0"/>
    <w:rsid w:val="417E1386"/>
    <w:rsid w:val="4190159F"/>
    <w:rsid w:val="41A203A0"/>
    <w:rsid w:val="422229DB"/>
    <w:rsid w:val="422B6BF4"/>
    <w:rsid w:val="42347713"/>
    <w:rsid w:val="42A94EAA"/>
    <w:rsid w:val="42BE52AF"/>
    <w:rsid w:val="435636B8"/>
    <w:rsid w:val="43B00A8F"/>
    <w:rsid w:val="43F817C6"/>
    <w:rsid w:val="43FB1A6A"/>
    <w:rsid w:val="44233152"/>
    <w:rsid w:val="452545FE"/>
    <w:rsid w:val="454B391C"/>
    <w:rsid w:val="45511B47"/>
    <w:rsid w:val="459557D9"/>
    <w:rsid w:val="45A15DDB"/>
    <w:rsid w:val="45A3513D"/>
    <w:rsid w:val="45B22926"/>
    <w:rsid w:val="4681712C"/>
    <w:rsid w:val="468B6718"/>
    <w:rsid w:val="46A96651"/>
    <w:rsid w:val="46B83805"/>
    <w:rsid w:val="46F83AAC"/>
    <w:rsid w:val="473B23EB"/>
    <w:rsid w:val="476250CF"/>
    <w:rsid w:val="47B32EAB"/>
    <w:rsid w:val="47C40E8C"/>
    <w:rsid w:val="48B1218F"/>
    <w:rsid w:val="48B14AB0"/>
    <w:rsid w:val="48BB286C"/>
    <w:rsid w:val="48D6123C"/>
    <w:rsid w:val="49150F51"/>
    <w:rsid w:val="492D2388"/>
    <w:rsid w:val="49480BD4"/>
    <w:rsid w:val="496E11C3"/>
    <w:rsid w:val="498A2208"/>
    <w:rsid w:val="499F04DF"/>
    <w:rsid w:val="49CB3BFF"/>
    <w:rsid w:val="49E76872"/>
    <w:rsid w:val="4A052F67"/>
    <w:rsid w:val="4A2B4010"/>
    <w:rsid w:val="4A485C50"/>
    <w:rsid w:val="4AA4619B"/>
    <w:rsid w:val="4AAE7A16"/>
    <w:rsid w:val="4AC62161"/>
    <w:rsid w:val="4B284D77"/>
    <w:rsid w:val="4BB0116C"/>
    <w:rsid w:val="4BCE5075"/>
    <w:rsid w:val="4BEC1507"/>
    <w:rsid w:val="4C212FF1"/>
    <w:rsid w:val="4C9857D9"/>
    <w:rsid w:val="4CD363C9"/>
    <w:rsid w:val="4D7D2176"/>
    <w:rsid w:val="4D7F6702"/>
    <w:rsid w:val="4D9A3D6D"/>
    <w:rsid w:val="4D9F26DC"/>
    <w:rsid w:val="4DD27ACF"/>
    <w:rsid w:val="4E1A7ECD"/>
    <w:rsid w:val="4E572AC4"/>
    <w:rsid w:val="4E7818B6"/>
    <w:rsid w:val="4E7D040D"/>
    <w:rsid w:val="4F123950"/>
    <w:rsid w:val="4F134C73"/>
    <w:rsid w:val="4F181D37"/>
    <w:rsid w:val="507519D9"/>
    <w:rsid w:val="50C663B9"/>
    <w:rsid w:val="50EC442B"/>
    <w:rsid w:val="517C422B"/>
    <w:rsid w:val="51824CF6"/>
    <w:rsid w:val="51F324C4"/>
    <w:rsid w:val="52127D7D"/>
    <w:rsid w:val="5235306E"/>
    <w:rsid w:val="52412A63"/>
    <w:rsid w:val="525672F6"/>
    <w:rsid w:val="52D63C2D"/>
    <w:rsid w:val="534179D1"/>
    <w:rsid w:val="53763D4D"/>
    <w:rsid w:val="53AF756F"/>
    <w:rsid w:val="53B74B2E"/>
    <w:rsid w:val="54135280"/>
    <w:rsid w:val="541B6C3A"/>
    <w:rsid w:val="54A03EB1"/>
    <w:rsid w:val="54AA3A44"/>
    <w:rsid w:val="54BB1F57"/>
    <w:rsid w:val="54CE0DED"/>
    <w:rsid w:val="54FE2E33"/>
    <w:rsid w:val="551C0BC0"/>
    <w:rsid w:val="5526139C"/>
    <w:rsid w:val="552B2D26"/>
    <w:rsid w:val="554E1470"/>
    <w:rsid w:val="55986D51"/>
    <w:rsid w:val="55D42624"/>
    <w:rsid w:val="56133CA0"/>
    <w:rsid w:val="56236101"/>
    <w:rsid w:val="5644089D"/>
    <w:rsid w:val="56514F45"/>
    <w:rsid w:val="5691397C"/>
    <w:rsid w:val="56DD4ABD"/>
    <w:rsid w:val="56F5736D"/>
    <w:rsid w:val="5703231E"/>
    <w:rsid w:val="57116442"/>
    <w:rsid w:val="57551708"/>
    <w:rsid w:val="578D3493"/>
    <w:rsid w:val="584D20BC"/>
    <w:rsid w:val="586A7A45"/>
    <w:rsid w:val="58914C8B"/>
    <w:rsid w:val="58B34744"/>
    <w:rsid w:val="58D2797E"/>
    <w:rsid w:val="58E3423E"/>
    <w:rsid w:val="58F23ED5"/>
    <w:rsid w:val="59016040"/>
    <w:rsid w:val="5956205C"/>
    <w:rsid w:val="59605874"/>
    <w:rsid w:val="5989788A"/>
    <w:rsid w:val="599637F4"/>
    <w:rsid w:val="599E6CB8"/>
    <w:rsid w:val="59E031E2"/>
    <w:rsid w:val="5A545E05"/>
    <w:rsid w:val="5A5B5FB9"/>
    <w:rsid w:val="5AA974E8"/>
    <w:rsid w:val="5AD0387F"/>
    <w:rsid w:val="5AE939D9"/>
    <w:rsid w:val="5B2E770A"/>
    <w:rsid w:val="5B8340E7"/>
    <w:rsid w:val="5B8D0599"/>
    <w:rsid w:val="5B937814"/>
    <w:rsid w:val="5BA627EA"/>
    <w:rsid w:val="5BAA125C"/>
    <w:rsid w:val="5C254E10"/>
    <w:rsid w:val="5C6E79F1"/>
    <w:rsid w:val="5C8657B1"/>
    <w:rsid w:val="5CA73484"/>
    <w:rsid w:val="5CB66DDB"/>
    <w:rsid w:val="5CE5499C"/>
    <w:rsid w:val="5CEB603C"/>
    <w:rsid w:val="5D647487"/>
    <w:rsid w:val="5D77243C"/>
    <w:rsid w:val="5DD60CDA"/>
    <w:rsid w:val="5E2F13E4"/>
    <w:rsid w:val="5EC546B7"/>
    <w:rsid w:val="5EE01513"/>
    <w:rsid w:val="5F515511"/>
    <w:rsid w:val="5F6E7975"/>
    <w:rsid w:val="5F815B25"/>
    <w:rsid w:val="5FA9036D"/>
    <w:rsid w:val="5FB20CF3"/>
    <w:rsid w:val="5FE20A6A"/>
    <w:rsid w:val="5FE572D3"/>
    <w:rsid w:val="5FE80DF1"/>
    <w:rsid w:val="5FED079B"/>
    <w:rsid w:val="60394F33"/>
    <w:rsid w:val="607754E4"/>
    <w:rsid w:val="607A028C"/>
    <w:rsid w:val="60FE1FC6"/>
    <w:rsid w:val="61072A71"/>
    <w:rsid w:val="61870BA9"/>
    <w:rsid w:val="61904268"/>
    <w:rsid w:val="61922827"/>
    <w:rsid w:val="61985AAE"/>
    <w:rsid w:val="619B21A0"/>
    <w:rsid w:val="61A24375"/>
    <w:rsid w:val="61B33ECC"/>
    <w:rsid w:val="61C95215"/>
    <w:rsid w:val="61CF4043"/>
    <w:rsid w:val="61E20F62"/>
    <w:rsid w:val="620863D2"/>
    <w:rsid w:val="62197E84"/>
    <w:rsid w:val="626058BD"/>
    <w:rsid w:val="62D70238"/>
    <w:rsid w:val="630014F2"/>
    <w:rsid w:val="63297D9A"/>
    <w:rsid w:val="634E5810"/>
    <w:rsid w:val="636310DD"/>
    <w:rsid w:val="63973714"/>
    <w:rsid w:val="63A81226"/>
    <w:rsid w:val="63F27828"/>
    <w:rsid w:val="63FC654F"/>
    <w:rsid w:val="64987D7C"/>
    <w:rsid w:val="650A079C"/>
    <w:rsid w:val="651D1C32"/>
    <w:rsid w:val="65E24C86"/>
    <w:rsid w:val="65E5355A"/>
    <w:rsid w:val="6621372E"/>
    <w:rsid w:val="66FA60C7"/>
    <w:rsid w:val="673C65F0"/>
    <w:rsid w:val="674A3D4F"/>
    <w:rsid w:val="678B52EF"/>
    <w:rsid w:val="679006E0"/>
    <w:rsid w:val="67C80B46"/>
    <w:rsid w:val="67E32BAF"/>
    <w:rsid w:val="67E365F1"/>
    <w:rsid w:val="680E64F1"/>
    <w:rsid w:val="68534DEC"/>
    <w:rsid w:val="685B5398"/>
    <w:rsid w:val="6864772D"/>
    <w:rsid w:val="68BC6A3B"/>
    <w:rsid w:val="69092D7D"/>
    <w:rsid w:val="69290CE5"/>
    <w:rsid w:val="692E211D"/>
    <w:rsid w:val="69C53915"/>
    <w:rsid w:val="69CD6014"/>
    <w:rsid w:val="69D8119A"/>
    <w:rsid w:val="6A121AD7"/>
    <w:rsid w:val="6A3C248C"/>
    <w:rsid w:val="6ABA024E"/>
    <w:rsid w:val="6AD23B35"/>
    <w:rsid w:val="6AFE0A74"/>
    <w:rsid w:val="6B23319C"/>
    <w:rsid w:val="6C3226C6"/>
    <w:rsid w:val="6C545FF5"/>
    <w:rsid w:val="6C591BE2"/>
    <w:rsid w:val="6C97063E"/>
    <w:rsid w:val="6CFA6CD4"/>
    <w:rsid w:val="6D0817B0"/>
    <w:rsid w:val="6D1C3215"/>
    <w:rsid w:val="6D554232"/>
    <w:rsid w:val="6D8B4FC7"/>
    <w:rsid w:val="6D91070B"/>
    <w:rsid w:val="6E0A4A26"/>
    <w:rsid w:val="6E303D23"/>
    <w:rsid w:val="6E4B04B7"/>
    <w:rsid w:val="6E5A4385"/>
    <w:rsid w:val="6E5E1B6C"/>
    <w:rsid w:val="6E704204"/>
    <w:rsid w:val="6EEC6834"/>
    <w:rsid w:val="6EED5F9B"/>
    <w:rsid w:val="6EEF71D1"/>
    <w:rsid w:val="6EF04F82"/>
    <w:rsid w:val="6F021A16"/>
    <w:rsid w:val="6F1C43D6"/>
    <w:rsid w:val="6F1D40CE"/>
    <w:rsid w:val="6F422420"/>
    <w:rsid w:val="6F514777"/>
    <w:rsid w:val="6FCE6181"/>
    <w:rsid w:val="7051517A"/>
    <w:rsid w:val="70976085"/>
    <w:rsid w:val="70A20B32"/>
    <w:rsid w:val="70A647A4"/>
    <w:rsid w:val="70B8395F"/>
    <w:rsid w:val="70C2731D"/>
    <w:rsid w:val="70D85BD1"/>
    <w:rsid w:val="715B338A"/>
    <w:rsid w:val="71695F18"/>
    <w:rsid w:val="716A7ADC"/>
    <w:rsid w:val="71D64AC4"/>
    <w:rsid w:val="71DE2E53"/>
    <w:rsid w:val="721D27C5"/>
    <w:rsid w:val="721F39FF"/>
    <w:rsid w:val="729E121E"/>
    <w:rsid w:val="72D65495"/>
    <w:rsid w:val="72E23A7A"/>
    <w:rsid w:val="72F6179B"/>
    <w:rsid w:val="733252F0"/>
    <w:rsid w:val="735B2E64"/>
    <w:rsid w:val="738003CA"/>
    <w:rsid w:val="7396120A"/>
    <w:rsid w:val="73B31C20"/>
    <w:rsid w:val="73C56EED"/>
    <w:rsid w:val="74180D50"/>
    <w:rsid w:val="741E3A74"/>
    <w:rsid w:val="74917CCB"/>
    <w:rsid w:val="74CC56DC"/>
    <w:rsid w:val="75026B62"/>
    <w:rsid w:val="758D4AB4"/>
    <w:rsid w:val="758E30F3"/>
    <w:rsid w:val="75D12961"/>
    <w:rsid w:val="76067AB8"/>
    <w:rsid w:val="765941C5"/>
    <w:rsid w:val="76E859B6"/>
    <w:rsid w:val="771A165E"/>
    <w:rsid w:val="77380912"/>
    <w:rsid w:val="773B6CD4"/>
    <w:rsid w:val="776D6665"/>
    <w:rsid w:val="77E302C4"/>
    <w:rsid w:val="77E30949"/>
    <w:rsid w:val="77E36DBE"/>
    <w:rsid w:val="77F16A53"/>
    <w:rsid w:val="783525A0"/>
    <w:rsid w:val="786F12BD"/>
    <w:rsid w:val="786F1AA9"/>
    <w:rsid w:val="7872551D"/>
    <w:rsid w:val="78B86EE8"/>
    <w:rsid w:val="7920071D"/>
    <w:rsid w:val="795E580C"/>
    <w:rsid w:val="796849BB"/>
    <w:rsid w:val="796F2BD6"/>
    <w:rsid w:val="79B56BC5"/>
    <w:rsid w:val="79C52BC7"/>
    <w:rsid w:val="79C747F6"/>
    <w:rsid w:val="7A2861E8"/>
    <w:rsid w:val="7A36659D"/>
    <w:rsid w:val="7A6027C1"/>
    <w:rsid w:val="7A854A12"/>
    <w:rsid w:val="7B237820"/>
    <w:rsid w:val="7B690757"/>
    <w:rsid w:val="7B974622"/>
    <w:rsid w:val="7C3C1587"/>
    <w:rsid w:val="7C6B3F7A"/>
    <w:rsid w:val="7C7C6FF4"/>
    <w:rsid w:val="7CA52AE4"/>
    <w:rsid w:val="7CC540AA"/>
    <w:rsid w:val="7CE3371D"/>
    <w:rsid w:val="7D165E47"/>
    <w:rsid w:val="7D3119EA"/>
    <w:rsid w:val="7D4E72F0"/>
    <w:rsid w:val="7D547C17"/>
    <w:rsid w:val="7D581DAF"/>
    <w:rsid w:val="7D860B69"/>
    <w:rsid w:val="7DA27F18"/>
    <w:rsid w:val="7DC673DC"/>
    <w:rsid w:val="7DD15417"/>
    <w:rsid w:val="7DED1691"/>
    <w:rsid w:val="7E662EAD"/>
    <w:rsid w:val="7E9219F9"/>
    <w:rsid w:val="7EA85A3A"/>
    <w:rsid w:val="7EC14C30"/>
    <w:rsid w:val="7EF87B3E"/>
    <w:rsid w:val="7F474277"/>
    <w:rsid w:val="7F52348C"/>
    <w:rsid w:val="7F85216B"/>
    <w:rsid w:val="7F924DA0"/>
    <w:rsid w:val="7FC602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qFormat="1"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9"/>
    <w:qFormat/>
    <w:uiPriority w:val="9"/>
    <w:pPr>
      <w:keepNext/>
      <w:keepLines/>
      <w:spacing w:before="340" w:after="330" w:line="576" w:lineRule="auto"/>
      <w:outlineLvl w:val="0"/>
    </w:pPr>
    <w:rPr>
      <w:b/>
      <w:bCs/>
      <w:kern w:val="44"/>
      <w:sz w:val="44"/>
      <w:szCs w:val="44"/>
    </w:rPr>
  </w:style>
  <w:style w:type="paragraph" w:styleId="3">
    <w:name w:val="heading 2"/>
    <w:basedOn w:val="1"/>
    <w:next w:val="1"/>
    <w:link w:val="60"/>
    <w:qFormat/>
    <w:uiPriority w:val="0"/>
    <w:pPr>
      <w:keepNext/>
      <w:keepLines/>
      <w:spacing w:before="260" w:after="260" w:line="413" w:lineRule="auto"/>
      <w:outlineLvl w:val="1"/>
    </w:pPr>
    <w:rPr>
      <w:rFonts w:ascii="Arial" w:hAnsi="Arial" w:eastAsia="黑体"/>
      <w:b/>
      <w:bCs/>
      <w:sz w:val="32"/>
      <w:szCs w:val="32"/>
    </w:rPr>
  </w:style>
  <w:style w:type="paragraph" w:styleId="4">
    <w:name w:val="heading 3"/>
    <w:basedOn w:val="1"/>
    <w:next w:val="1"/>
    <w:link w:val="61"/>
    <w:qFormat/>
    <w:uiPriority w:val="0"/>
    <w:pPr>
      <w:keepNext/>
      <w:keepLines/>
      <w:spacing w:before="260" w:after="260" w:line="413" w:lineRule="auto"/>
      <w:outlineLvl w:val="2"/>
    </w:pPr>
    <w:rPr>
      <w:b/>
      <w:bCs/>
      <w:sz w:val="32"/>
      <w:szCs w:val="32"/>
    </w:rPr>
  </w:style>
  <w:style w:type="paragraph" w:styleId="5">
    <w:name w:val="heading 4"/>
    <w:basedOn w:val="1"/>
    <w:next w:val="1"/>
    <w:link w:val="62"/>
    <w:qFormat/>
    <w:uiPriority w:val="0"/>
    <w:pPr>
      <w:keepNext/>
      <w:keepLines/>
      <w:widowControl/>
      <w:spacing w:before="120" w:after="120" w:line="360" w:lineRule="auto"/>
      <w:jc w:val="center"/>
      <w:outlineLvl w:val="3"/>
    </w:pPr>
    <w:rPr>
      <w:rFonts w:ascii="Arial" w:hAnsi="Arial" w:eastAsia="黑体"/>
      <w:kern w:val="0"/>
      <w:sz w:val="28"/>
      <w:szCs w:val="20"/>
    </w:rPr>
  </w:style>
  <w:style w:type="paragraph" w:styleId="6">
    <w:name w:val="heading 5"/>
    <w:basedOn w:val="1"/>
    <w:next w:val="7"/>
    <w:link w:val="63"/>
    <w:qFormat/>
    <w:uiPriority w:val="0"/>
    <w:pPr>
      <w:keepNext/>
      <w:keepLines/>
      <w:spacing w:before="280" w:after="290" w:line="372" w:lineRule="auto"/>
      <w:outlineLvl w:val="4"/>
    </w:pPr>
    <w:rPr>
      <w:b/>
      <w:sz w:val="28"/>
    </w:rPr>
  </w:style>
  <w:style w:type="paragraph" w:styleId="8">
    <w:name w:val="heading 6"/>
    <w:basedOn w:val="1"/>
    <w:next w:val="7"/>
    <w:link w:val="64"/>
    <w:qFormat/>
    <w:uiPriority w:val="0"/>
    <w:pPr>
      <w:keepNext/>
      <w:keepLines/>
      <w:spacing w:before="240" w:after="64" w:line="317" w:lineRule="auto"/>
      <w:outlineLvl w:val="5"/>
    </w:pPr>
    <w:rPr>
      <w:rFonts w:ascii="Arial" w:hAnsi="Arial" w:eastAsia="黑体"/>
      <w:b/>
      <w:sz w:val="24"/>
    </w:rPr>
  </w:style>
  <w:style w:type="paragraph" w:styleId="9">
    <w:name w:val="heading 7"/>
    <w:basedOn w:val="1"/>
    <w:next w:val="7"/>
    <w:link w:val="65"/>
    <w:qFormat/>
    <w:uiPriority w:val="0"/>
    <w:pPr>
      <w:keepNext/>
      <w:keepLines/>
      <w:spacing w:before="240" w:after="64" w:line="317" w:lineRule="auto"/>
      <w:outlineLvl w:val="6"/>
    </w:pPr>
    <w:rPr>
      <w:b/>
      <w:sz w:val="24"/>
    </w:rPr>
  </w:style>
  <w:style w:type="paragraph" w:styleId="10">
    <w:name w:val="heading 8"/>
    <w:basedOn w:val="1"/>
    <w:next w:val="7"/>
    <w:link w:val="66"/>
    <w:qFormat/>
    <w:uiPriority w:val="0"/>
    <w:pPr>
      <w:keepNext/>
      <w:keepLines/>
      <w:spacing w:before="240" w:after="64" w:line="317" w:lineRule="auto"/>
      <w:outlineLvl w:val="7"/>
    </w:pPr>
    <w:rPr>
      <w:rFonts w:ascii="Arial" w:hAnsi="Arial" w:eastAsia="黑体"/>
      <w:sz w:val="24"/>
    </w:rPr>
  </w:style>
  <w:style w:type="paragraph" w:styleId="11">
    <w:name w:val="heading 9"/>
    <w:basedOn w:val="1"/>
    <w:next w:val="7"/>
    <w:link w:val="67"/>
    <w:qFormat/>
    <w:uiPriority w:val="0"/>
    <w:pPr>
      <w:keepNext/>
      <w:keepLines/>
      <w:spacing w:before="240" w:after="64" w:line="317" w:lineRule="auto"/>
      <w:outlineLvl w:val="8"/>
    </w:pPr>
    <w:rPr>
      <w:rFonts w:ascii="Arial" w:hAnsi="Arial" w:eastAsia="黑体"/>
    </w:rPr>
  </w:style>
  <w:style w:type="character" w:default="1" w:styleId="53">
    <w:name w:val="Default Paragraph Font"/>
    <w:semiHidden/>
    <w:unhideWhenUsed/>
    <w:qFormat/>
    <w:uiPriority w:val="1"/>
  </w:style>
  <w:style w:type="table" w:default="1" w:styleId="51">
    <w:name w:val="Normal Table"/>
    <w:semiHidden/>
    <w:unhideWhenUsed/>
    <w:uiPriority w:val="99"/>
    <w:tblPr>
      <w:tblCellMar>
        <w:top w:w="0" w:type="dxa"/>
        <w:left w:w="108" w:type="dxa"/>
        <w:bottom w:w="0" w:type="dxa"/>
        <w:right w:w="108" w:type="dxa"/>
      </w:tblCellMar>
    </w:tblPr>
  </w:style>
  <w:style w:type="paragraph" w:styleId="7">
    <w:name w:val="Normal Indent"/>
    <w:basedOn w:val="1"/>
    <w:qFormat/>
    <w:uiPriority w:val="0"/>
    <w:pPr>
      <w:ind w:firstLine="420"/>
    </w:pPr>
    <w:rPr>
      <w:szCs w:val="20"/>
    </w:rPr>
  </w:style>
  <w:style w:type="paragraph" w:styleId="12">
    <w:name w:val="List 3"/>
    <w:basedOn w:val="1"/>
    <w:qFormat/>
    <w:uiPriority w:val="0"/>
    <w:pPr>
      <w:ind w:left="100" w:leftChars="400" w:hanging="200" w:hangingChars="200"/>
    </w:pPr>
  </w:style>
  <w:style w:type="paragraph" w:styleId="13">
    <w:name w:val="toc 7"/>
    <w:basedOn w:val="1"/>
    <w:next w:val="1"/>
    <w:qFormat/>
    <w:uiPriority w:val="0"/>
    <w:pPr>
      <w:tabs>
        <w:tab w:val="right" w:leader="dot" w:pos="9185"/>
      </w:tabs>
      <w:adjustRightInd w:val="0"/>
      <w:spacing w:line="312" w:lineRule="atLeast"/>
      <w:ind w:left="2520"/>
      <w:textAlignment w:val="baseline"/>
    </w:pPr>
    <w:rPr>
      <w:kern w:val="0"/>
      <w:szCs w:val="20"/>
    </w:rPr>
  </w:style>
  <w:style w:type="paragraph" w:styleId="14">
    <w:name w:val="List Number"/>
    <w:basedOn w:val="1"/>
    <w:qFormat/>
    <w:uiPriority w:val="0"/>
    <w:pPr>
      <w:widowControl/>
      <w:tabs>
        <w:tab w:val="left" w:pos="454"/>
        <w:tab w:val="left" w:pos="720"/>
        <w:tab w:val="left" w:pos="840"/>
      </w:tabs>
      <w:spacing w:after="156" w:afterLines="50"/>
      <w:ind w:left="454" w:hanging="284"/>
      <w:jc w:val="left"/>
    </w:pPr>
    <w:rPr>
      <w:kern w:val="0"/>
      <w:sz w:val="24"/>
      <w:szCs w:val="20"/>
    </w:rPr>
  </w:style>
  <w:style w:type="paragraph" w:styleId="15">
    <w:name w:val="caption"/>
    <w:basedOn w:val="1"/>
    <w:next w:val="1"/>
    <w:qFormat/>
    <w:uiPriority w:val="0"/>
    <w:pPr>
      <w:spacing w:before="152" w:after="160"/>
    </w:pPr>
    <w:rPr>
      <w:rFonts w:ascii="Arial" w:hAnsi="Arial" w:eastAsia="黑体" w:cs="Arial"/>
      <w:sz w:val="20"/>
      <w:szCs w:val="20"/>
    </w:rPr>
  </w:style>
  <w:style w:type="paragraph" w:styleId="16">
    <w:name w:val="Document Map"/>
    <w:basedOn w:val="1"/>
    <w:link w:val="68"/>
    <w:qFormat/>
    <w:uiPriority w:val="0"/>
    <w:pPr>
      <w:shd w:val="clear" w:color="auto" w:fill="000080"/>
      <w:adjustRightInd w:val="0"/>
      <w:spacing w:line="312" w:lineRule="atLeast"/>
      <w:textAlignment w:val="baseline"/>
    </w:pPr>
    <w:rPr>
      <w:kern w:val="0"/>
      <w:szCs w:val="20"/>
    </w:rPr>
  </w:style>
  <w:style w:type="paragraph" w:styleId="17">
    <w:name w:val="annotation text"/>
    <w:basedOn w:val="1"/>
    <w:link w:val="69"/>
    <w:qFormat/>
    <w:uiPriority w:val="0"/>
    <w:pPr>
      <w:jc w:val="left"/>
    </w:pPr>
  </w:style>
  <w:style w:type="paragraph" w:styleId="18">
    <w:name w:val="Body Text 3"/>
    <w:basedOn w:val="1"/>
    <w:link w:val="70"/>
    <w:qFormat/>
    <w:uiPriority w:val="0"/>
    <w:pPr>
      <w:spacing w:line="500" w:lineRule="exact"/>
    </w:pPr>
    <w:rPr>
      <w:b/>
      <w:bCs/>
      <w:sz w:val="24"/>
    </w:rPr>
  </w:style>
  <w:style w:type="paragraph" w:styleId="19">
    <w:name w:val="Body Text"/>
    <w:basedOn w:val="1"/>
    <w:link w:val="71"/>
    <w:qFormat/>
    <w:uiPriority w:val="0"/>
    <w:pPr>
      <w:spacing w:line="380" w:lineRule="exact"/>
    </w:pPr>
    <w:rPr>
      <w:sz w:val="24"/>
    </w:rPr>
  </w:style>
  <w:style w:type="paragraph" w:styleId="20">
    <w:name w:val="Body Text Indent"/>
    <w:basedOn w:val="1"/>
    <w:link w:val="72"/>
    <w:qFormat/>
    <w:uiPriority w:val="0"/>
    <w:pPr>
      <w:ind w:firstLine="830" w:firstLineChars="352"/>
    </w:pPr>
    <w:rPr>
      <w:rFonts w:ascii="仿宋_GB2312" w:eastAsia="仿宋_GB2312"/>
      <w:sz w:val="32"/>
      <w:szCs w:val="20"/>
    </w:rPr>
  </w:style>
  <w:style w:type="paragraph" w:styleId="21">
    <w:name w:val="List Number 3"/>
    <w:basedOn w:val="1"/>
    <w:qFormat/>
    <w:uiPriority w:val="0"/>
    <w:pPr>
      <w:tabs>
        <w:tab w:val="left" w:pos="1200"/>
      </w:tabs>
      <w:ind w:left="1200" w:leftChars="400" w:hanging="360" w:hangingChars="200"/>
    </w:pPr>
  </w:style>
  <w:style w:type="paragraph" w:styleId="22">
    <w:name w:val="List 2"/>
    <w:basedOn w:val="1"/>
    <w:qFormat/>
    <w:uiPriority w:val="0"/>
    <w:pPr>
      <w:ind w:left="100" w:leftChars="200" w:hanging="200" w:hangingChars="200"/>
    </w:pPr>
    <w:rPr>
      <w:sz w:val="28"/>
    </w:rPr>
  </w:style>
  <w:style w:type="paragraph" w:styleId="23">
    <w:name w:val="Block Text"/>
    <w:basedOn w:val="1"/>
    <w:qFormat/>
    <w:uiPriority w:val="0"/>
    <w:pPr>
      <w:adjustRightInd w:val="0"/>
      <w:ind w:left="420" w:right="33"/>
      <w:jc w:val="left"/>
      <w:textAlignment w:val="baseline"/>
    </w:pPr>
    <w:rPr>
      <w:kern w:val="0"/>
      <w:sz w:val="24"/>
      <w:szCs w:val="20"/>
    </w:rPr>
  </w:style>
  <w:style w:type="paragraph" w:styleId="24">
    <w:name w:val="toc 5"/>
    <w:basedOn w:val="1"/>
    <w:next w:val="1"/>
    <w:qFormat/>
    <w:uiPriority w:val="0"/>
    <w:pPr>
      <w:tabs>
        <w:tab w:val="right" w:leader="dot" w:pos="9185"/>
      </w:tabs>
      <w:adjustRightInd w:val="0"/>
      <w:spacing w:line="312" w:lineRule="atLeast"/>
      <w:ind w:left="1680"/>
      <w:textAlignment w:val="baseline"/>
    </w:pPr>
    <w:rPr>
      <w:kern w:val="0"/>
      <w:szCs w:val="20"/>
    </w:rPr>
  </w:style>
  <w:style w:type="paragraph" w:styleId="25">
    <w:name w:val="toc 3"/>
    <w:basedOn w:val="1"/>
    <w:next w:val="1"/>
    <w:qFormat/>
    <w:uiPriority w:val="39"/>
    <w:pPr>
      <w:ind w:left="840" w:leftChars="400"/>
    </w:pPr>
  </w:style>
  <w:style w:type="paragraph" w:styleId="26">
    <w:name w:val="Plain Text"/>
    <w:basedOn w:val="1"/>
    <w:link w:val="73"/>
    <w:qFormat/>
    <w:uiPriority w:val="0"/>
    <w:rPr>
      <w:rFonts w:ascii="宋体" w:hAnsi="Courier New" w:cs="Courier New"/>
      <w:szCs w:val="21"/>
    </w:rPr>
  </w:style>
  <w:style w:type="paragraph" w:styleId="27">
    <w:name w:val="toc 8"/>
    <w:basedOn w:val="1"/>
    <w:next w:val="1"/>
    <w:qFormat/>
    <w:uiPriority w:val="0"/>
    <w:pPr>
      <w:tabs>
        <w:tab w:val="right" w:leader="dot" w:pos="9185"/>
      </w:tabs>
      <w:adjustRightInd w:val="0"/>
      <w:spacing w:line="312" w:lineRule="atLeast"/>
      <w:ind w:left="2940"/>
      <w:textAlignment w:val="baseline"/>
    </w:pPr>
    <w:rPr>
      <w:kern w:val="0"/>
      <w:szCs w:val="20"/>
    </w:rPr>
  </w:style>
  <w:style w:type="paragraph" w:styleId="28">
    <w:name w:val="Date"/>
    <w:basedOn w:val="1"/>
    <w:next w:val="1"/>
    <w:link w:val="74"/>
    <w:qFormat/>
    <w:uiPriority w:val="0"/>
    <w:pPr>
      <w:ind w:left="100" w:leftChars="2500"/>
    </w:pPr>
    <w:rPr>
      <w:rFonts w:ascii="宋体" w:hAnsi="Courier New"/>
      <w:szCs w:val="21"/>
    </w:rPr>
  </w:style>
  <w:style w:type="paragraph" w:styleId="29">
    <w:name w:val="Body Text Indent 2"/>
    <w:basedOn w:val="1"/>
    <w:link w:val="75"/>
    <w:qFormat/>
    <w:uiPriority w:val="0"/>
    <w:pPr>
      <w:ind w:firstLine="630"/>
    </w:pPr>
    <w:rPr>
      <w:sz w:val="32"/>
      <w:szCs w:val="20"/>
    </w:rPr>
  </w:style>
  <w:style w:type="paragraph" w:styleId="30">
    <w:name w:val="Balloon Text"/>
    <w:basedOn w:val="1"/>
    <w:link w:val="76"/>
    <w:qFormat/>
    <w:uiPriority w:val="0"/>
    <w:rPr>
      <w:sz w:val="18"/>
      <w:szCs w:val="18"/>
    </w:rPr>
  </w:style>
  <w:style w:type="paragraph" w:styleId="31">
    <w:name w:val="footer"/>
    <w:basedOn w:val="1"/>
    <w:link w:val="77"/>
    <w:qFormat/>
    <w:uiPriority w:val="0"/>
    <w:pPr>
      <w:tabs>
        <w:tab w:val="center" w:pos="4153"/>
        <w:tab w:val="right" w:pos="8306"/>
      </w:tabs>
      <w:snapToGrid w:val="0"/>
      <w:jc w:val="left"/>
    </w:pPr>
    <w:rPr>
      <w:sz w:val="18"/>
      <w:szCs w:val="18"/>
    </w:rPr>
  </w:style>
  <w:style w:type="paragraph" w:styleId="32">
    <w:name w:val="header"/>
    <w:basedOn w:val="1"/>
    <w:link w:val="78"/>
    <w:qFormat/>
    <w:uiPriority w:val="0"/>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tabs>
        <w:tab w:val="right" w:leader="dot" w:pos="8398"/>
      </w:tabs>
      <w:spacing w:before="120" w:after="120"/>
      <w:ind w:firstLine="240" w:firstLineChars="100"/>
      <w:jc w:val="left"/>
    </w:pPr>
    <w:rPr>
      <w:rFonts w:ascii="宋体" w:hAnsi="宋体"/>
      <w:b/>
      <w:bCs/>
      <w:caps/>
      <w:sz w:val="24"/>
    </w:rPr>
  </w:style>
  <w:style w:type="paragraph" w:styleId="34">
    <w:name w:val="toc 4"/>
    <w:basedOn w:val="1"/>
    <w:next w:val="1"/>
    <w:qFormat/>
    <w:uiPriority w:val="0"/>
    <w:pPr>
      <w:tabs>
        <w:tab w:val="right" w:leader="dot" w:pos="9185"/>
      </w:tabs>
      <w:adjustRightInd w:val="0"/>
      <w:spacing w:line="312" w:lineRule="atLeast"/>
      <w:ind w:left="1260"/>
      <w:textAlignment w:val="baseline"/>
    </w:pPr>
    <w:rPr>
      <w:kern w:val="0"/>
      <w:szCs w:val="20"/>
    </w:rPr>
  </w:style>
  <w:style w:type="paragraph" w:styleId="35">
    <w:name w:val="List"/>
    <w:basedOn w:val="1"/>
    <w:qFormat/>
    <w:uiPriority w:val="0"/>
    <w:pPr>
      <w:ind w:left="200" w:hanging="200" w:hangingChars="200"/>
    </w:pPr>
    <w:rPr>
      <w:sz w:val="28"/>
    </w:rPr>
  </w:style>
  <w:style w:type="paragraph" w:styleId="36">
    <w:name w:val="toc 6"/>
    <w:basedOn w:val="1"/>
    <w:next w:val="1"/>
    <w:qFormat/>
    <w:uiPriority w:val="0"/>
    <w:pPr>
      <w:tabs>
        <w:tab w:val="right" w:leader="dot" w:pos="9185"/>
      </w:tabs>
      <w:adjustRightInd w:val="0"/>
      <w:spacing w:line="312" w:lineRule="atLeast"/>
      <w:ind w:left="2100"/>
      <w:textAlignment w:val="baseline"/>
    </w:pPr>
    <w:rPr>
      <w:kern w:val="0"/>
      <w:szCs w:val="20"/>
    </w:rPr>
  </w:style>
  <w:style w:type="paragraph" w:styleId="37">
    <w:name w:val="List 5"/>
    <w:basedOn w:val="1"/>
    <w:qFormat/>
    <w:uiPriority w:val="0"/>
    <w:pPr>
      <w:ind w:left="2100" w:hanging="420"/>
    </w:pPr>
    <w:rPr>
      <w:szCs w:val="20"/>
    </w:rPr>
  </w:style>
  <w:style w:type="paragraph" w:styleId="38">
    <w:name w:val="Body Text Indent 3"/>
    <w:basedOn w:val="1"/>
    <w:link w:val="79"/>
    <w:qFormat/>
    <w:uiPriority w:val="0"/>
    <w:pPr>
      <w:spacing w:after="120"/>
      <w:ind w:left="420" w:leftChars="200"/>
    </w:pPr>
    <w:rPr>
      <w:sz w:val="16"/>
      <w:szCs w:val="16"/>
    </w:rPr>
  </w:style>
  <w:style w:type="paragraph" w:styleId="39">
    <w:name w:val="toc 2"/>
    <w:basedOn w:val="1"/>
    <w:next w:val="1"/>
    <w:qFormat/>
    <w:uiPriority w:val="39"/>
    <w:pPr>
      <w:ind w:left="420" w:leftChars="200"/>
    </w:pPr>
  </w:style>
  <w:style w:type="paragraph" w:styleId="40">
    <w:name w:val="toc 9"/>
    <w:basedOn w:val="1"/>
    <w:next w:val="1"/>
    <w:qFormat/>
    <w:uiPriority w:val="0"/>
    <w:pPr>
      <w:tabs>
        <w:tab w:val="right" w:leader="dot" w:pos="9185"/>
      </w:tabs>
      <w:adjustRightInd w:val="0"/>
      <w:spacing w:line="312" w:lineRule="atLeast"/>
      <w:ind w:left="3360"/>
      <w:textAlignment w:val="baseline"/>
    </w:pPr>
    <w:rPr>
      <w:kern w:val="0"/>
      <w:szCs w:val="20"/>
    </w:rPr>
  </w:style>
  <w:style w:type="paragraph" w:styleId="41">
    <w:name w:val="Body Text 2"/>
    <w:basedOn w:val="1"/>
    <w:link w:val="80"/>
    <w:qFormat/>
    <w:uiPriority w:val="0"/>
    <w:pPr>
      <w:spacing w:after="120" w:line="480" w:lineRule="auto"/>
    </w:pPr>
  </w:style>
  <w:style w:type="paragraph" w:styleId="42">
    <w:name w:val="List 4"/>
    <w:basedOn w:val="1"/>
    <w:qFormat/>
    <w:uiPriority w:val="0"/>
    <w:pPr>
      <w:ind w:left="100" w:leftChars="600" w:hanging="200" w:hangingChars="200"/>
    </w:pPr>
  </w:style>
  <w:style w:type="paragraph" w:styleId="43">
    <w:name w:val="List Continue 2"/>
    <w:basedOn w:val="1"/>
    <w:qFormat/>
    <w:uiPriority w:val="0"/>
    <w:pPr>
      <w:spacing w:after="120"/>
      <w:ind w:left="840" w:leftChars="400"/>
    </w:pPr>
  </w:style>
  <w:style w:type="paragraph" w:styleId="44">
    <w:name w:val="HTML Preformatted"/>
    <w:basedOn w:val="1"/>
    <w:link w:val="8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45">
    <w:name w:val="Normal (Web)"/>
    <w:basedOn w:val="1"/>
    <w:qFormat/>
    <w:uiPriority w:val="0"/>
    <w:pPr>
      <w:widowControl/>
      <w:spacing w:before="100" w:beforeAutospacing="1" w:after="100" w:afterAutospacing="1"/>
      <w:jc w:val="left"/>
    </w:pPr>
    <w:rPr>
      <w:rFonts w:ascii="宋体" w:hAnsi="宋体"/>
      <w:kern w:val="0"/>
      <w:sz w:val="24"/>
    </w:rPr>
  </w:style>
  <w:style w:type="paragraph" w:styleId="46">
    <w:name w:val="index 1"/>
    <w:basedOn w:val="1"/>
    <w:next w:val="1"/>
    <w:qFormat/>
    <w:uiPriority w:val="0"/>
    <w:pPr>
      <w:spacing w:line="400" w:lineRule="exact"/>
      <w:ind w:firstLine="420" w:firstLineChars="200"/>
    </w:pPr>
    <w:rPr>
      <w:rFonts w:ascii="宋体" w:hAnsi="Courier New"/>
      <w:b/>
      <w:szCs w:val="20"/>
    </w:rPr>
  </w:style>
  <w:style w:type="paragraph" w:styleId="47">
    <w:name w:val="Title"/>
    <w:basedOn w:val="1"/>
    <w:link w:val="82"/>
    <w:qFormat/>
    <w:uiPriority w:val="0"/>
    <w:pPr>
      <w:jc w:val="center"/>
    </w:pPr>
    <w:rPr>
      <w:sz w:val="30"/>
    </w:rPr>
  </w:style>
  <w:style w:type="paragraph" w:styleId="48">
    <w:name w:val="annotation subject"/>
    <w:basedOn w:val="17"/>
    <w:next w:val="17"/>
    <w:link w:val="83"/>
    <w:qFormat/>
    <w:uiPriority w:val="0"/>
    <w:rPr>
      <w:b/>
      <w:bCs/>
    </w:rPr>
  </w:style>
  <w:style w:type="paragraph" w:styleId="49">
    <w:name w:val="Body Text First Indent"/>
    <w:basedOn w:val="19"/>
    <w:link w:val="84"/>
    <w:qFormat/>
    <w:uiPriority w:val="0"/>
    <w:pPr>
      <w:spacing w:after="120" w:line="240" w:lineRule="auto"/>
      <w:ind w:firstLine="420" w:firstLineChars="100"/>
    </w:pPr>
    <w:rPr>
      <w:sz w:val="21"/>
    </w:rPr>
  </w:style>
  <w:style w:type="paragraph" w:styleId="50">
    <w:name w:val="Body Text First Indent 2"/>
    <w:basedOn w:val="1"/>
    <w:link w:val="85"/>
    <w:qFormat/>
    <w:uiPriority w:val="0"/>
    <w:pPr>
      <w:spacing w:after="120"/>
      <w:ind w:left="420" w:leftChars="200" w:firstLine="420" w:firstLineChars="200"/>
    </w:pPr>
  </w:style>
  <w:style w:type="table" w:styleId="52">
    <w:name w:val="Table Grid"/>
    <w:basedOn w:val="5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4">
    <w:name w:val="Strong"/>
    <w:basedOn w:val="53"/>
    <w:qFormat/>
    <w:uiPriority w:val="22"/>
    <w:rPr>
      <w:b/>
      <w:bCs/>
    </w:rPr>
  </w:style>
  <w:style w:type="character" w:styleId="55">
    <w:name w:val="page number"/>
    <w:qFormat/>
    <w:uiPriority w:val="0"/>
  </w:style>
  <w:style w:type="character" w:styleId="56">
    <w:name w:val="FollowedHyperlink"/>
    <w:qFormat/>
    <w:uiPriority w:val="99"/>
    <w:rPr>
      <w:color w:val="800080"/>
      <w:u w:val="single"/>
    </w:rPr>
  </w:style>
  <w:style w:type="character" w:styleId="57">
    <w:name w:val="Hyperlink"/>
    <w:qFormat/>
    <w:uiPriority w:val="99"/>
    <w:rPr>
      <w:color w:val="0000FF"/>
      <w:u w:val="single"/>
    </w:rPr>
  </w:style>
  <w:style w:type="character" w:styleId="58">
    <w:name w:val="annotation reference"/>
    <w:qFormat/>
    <w:uiPriority w:val="0"/>
    <w:rPr>
      <w:sz w:val="21"/>
      <w:szCs w:val="21"/>
    </w:rPr>
  </w:style>
  <w:style w:type="character" w:customStyle="1" w:styleId="59">
    <w:name w:val="标题 1 字符1"/>
    <w:link w:val="2"/>
    <w:qFormat/>
    <w:uiPriority w:val="9"/>
    <w:rPr>
      <w:rFonts w:eastAsia="宋体"/>
      <w:b/>
      <w:bCs/>
      <w:kern w:val="44"/>
      <w:sz w:val="44"/>
      <w:szCs w:val="44"/>
      <w:lang w:val="en-US" w:eastAsia="zh-CN" w:bidi="ar-SA"/>
    </w:rPr>
  </w:style>
  <w:style w:type="character" w:customStyle="1" w:styleId="60">
    <w:name w:val="标题 2 字符1"/>
    <w:link w:val="3"/>
    <w:qFormat/>
    <w:uiPriority w:val="0"/>
    <w:rPr>
      <w:rFonts w:ascii="Arial" w:hAnsi="Arial" w:eastAsia="黑体"/>
      <w:b/>
      <w:bCs/>
      <w:kern w:val="2"/>
      <w:sz w:val="32"/>
      <w:szCs w:val="32"/>
    </w:rPr>
  </w:style>
  <w:style w:type="character" w:customStyle="1" w:styleId="61">
    <w:name w:val="标题 3 字符1"/>
    <w:link w:val="4"/>
    <w:qFormat/>
    <w:uiPriority w:val="0"/>
    <w:rPr>
      <w:b/>
      <w:bCs/>
      <w:kern w:val="2"/>
      <w:sz w:val="32"/>
      <w:szCs w:val="32"/>
    </w:rPr>
  </w:style>
  <w:style w:type="character" w:customStyle="1" w:styleId="62">
    <w:name w:val="标题 4 字符1"/>
    <w:link w:val="5"/>
    <w:qFormat/>
    <w:uiPriority w:val="0"/>
    <w:rPr>
      <w:rFonts w:ascii="Arial" w:hAnsi="Arial" w:eastAsia="黑体"/>
      <w:sz w:val="28"/>
    </w:rPr>
  </w:style>
  <w:style w:type="character" w:customStyle="1" w:styleId="63">
    <w:name w:val="标题 5 字符1"/>
    <w:link w:val="6"/>
    <w:qFormat/>
    <w:uiPriority w:val="0"/>
    <w:rPr>
      <w:b/>
      <w:kern w:val="2"/>
      <w:sz w:val="28"/>
      <w:szCs w:val="24"/>
    </w:rPr>
  </w:style>
  <w:style w:type="character" w:customStyle="1" w:styleId="64">
    <w:name w:val="标题 6 字符1"/>
    <w:link w:val="8"/>
    <w:qFormat/>
    <w:uiPriority w:val="0"/>
    <w:rPr>
      <w:rFonts w:ascii="Arial" w:hAnsi="Arial" w:eastAsia="黑体"/>
      <w:b/>
      <w:kern w:val="2"/>
      <w:sz w:val="24"/>
      <w:szCs w:val="24"/>
    </w:rPr>
  </w:style>
  <w:style w:type="character" w:customStyle="1" w:styleId="65">
    <w:name w:val="标题 7 字符1"/>
    <w:link w:val="9"/>
    <w:qFormat/>
    <w:uiPriority w:val="0"/>
    <w:rPr>
      <w:b/>
      <w:kern w:val="2"/>
      <w:sz w:val="24"/>
      <w:szCs w:val="24"/>
    </w:rPr>
  </w:style>
  <w:style w:type="character" w:customStyle="1" w:styleId="66">
    <w:name w:val="标题 8 字符1"/>
    <w:link w:val="10"/>
    <w:qFormat/>
    <w:uiPriority w:val="0"/>
    <w:rPr>
      <w:rFonts w:ascii="Arial" w:hAnsi="Arial" w:eastAsia="黑体"/>
      <w:kern w:val="2"/>
      <w:sz w:val="24"/>
      <w:szCs w:val="24"/>
    </w:rPr>
  </w:style>
  <w:style w:type="character" w:customStyle="1" w:styleId="67">
    <w:name w:val="标题 9 字符1"/>
    <w:link w:val="11"/>
    <w:qFormat/>
    <w:uiPriority w:val="0"/>
    <w:rPr>
      <w:rFonts w:ascii="Arial" w:hAnsi="Arial" w:eastAsia="黑体"/>
      <w:kern w:val="2"/>
      <w:sz w:val="21"/>
      <w:szCs w:val="24"/>
    </w:rPr>
  </w:style>
  <w:style w:type="character" w:customStyle="1" w:styleId="68">
    <w:name w:val="文档结构图 字符1"/>
    <w:link w:val="16"/>
    <w:qFormat/>
    <w:uiPriority w:val="0"/>
    <w:rPr>
      <w:sz w:val="21"/>
      <w:shd w:val="clear" w:color="auto" w:fill="000080"/>
    </w:rPr>
  </w:style>
  <w:style w:type="character" w:customStyle="1" w:styleId="69">
    <w:name w:val="批注文字 字符1"/>
    <w:link w:val="17"/>
    <w:qFormat/>
    <w:uiPriority w:val="0"/>
    <w:rPr>
      <w:kern w:val="2"/>
      <w:sz w:val="21"/>
      <w:szCs w:val="24"/>
    </w:rPr>
  </w:style>
  <w:style w:type="character" w:customStyle="1" w:styleId="70">
    <w:name w:val="正文文本 3 字符1"/>
    <w:link w:val="18"/>
    <w:qFormat/>
    <w:uiPriority w:val="0"/>
    <w:rPr>
      <w:b/>
      <w:bCs/>
      <w:kern w:val="2"/>
      <w:sz w:val="24"/>
      <w:szCs w:val="24"/>
    </w:rPr>
  </w:style>
  <w:style w:type="character" w:customStyle="1" w:styleId="71">
    <w:name w:val="正文文本 字符1"/>
    <w:link w:val="19"/>
    <w:qFormat/>
    <w:uiPriority w:val="99"/>
    <w:rPr>
      <w:kern w:val="2"/>
      <w:sz w:val="24"/>
      <w:szCs w:val="24"/>
    </w:rPr>
  </w:style>
  <w:style w:type="character" w:customStyle="1" w:styleId="72">
    <w:name w:val="正文文本缩进 字符1"/>
    <w:link w:val="20"/>
    <w:qFormat/>
    <w:uiPriority w:val="99"/>
    <w:rPr>
      <w:rFonts w:ascii="仿宋_GB2312" w:eastAsia="仿宋_GB2312"/>
      <w:kern w:val="2"/>
      <w:sz w:val="32"/>
    </w:rPr>
  </w:style>
  <w:style w:type="character" w:customStyle="1" w:styleId="73">
    <w:name w:val="纯文本 字符1"/>
    <w:link w:val="26"/>
    <w:qFormat/>
    <w:uiPriority w:val="99"/>
    <w:rPr>
      <w:rFonts w:ascii="宋体" w:hAnsi="Courier New" w:eastAsia="宋体" w:cs="Courier New"/>
      <w:kern w:val="2"/>
      <w:sz w:val="21"/>
      <w:szCs w:val="21"/>
      <w:lang w:val="en-US" w:eastAsia="zh-CN" w:bidi="ar-SA"/>
    </w:rPr>
  </w:style>
  <w:style w:type="character" w:customStyle="1" w:styleId="74">
    <w:name w:val="日期 字符1"/>
    <w:link w:val="28"/>
    <w:qFormat/>
    <w:uiPriority w:val="0"/>
    <w:rPr>
      <w:rFonts w:ascii="宋体" w:hAnsi="Courier New" w:cs="Courier New"/>
      <w:kern w:val="2"/>
      <w:sz w:val="21"/>
      <w:szCs w:val="21"/>
    </w:rPr>
  </w:style>
  <w:style w:type="character" w:customStyle="1" w:styleId="75">
    <w:name w:val="正文文本缩进 2 字符1"/>
    <w:link w:val="29"/>
    <w:qFormat/>
    <w:uiPriority w:val="0"/>
    <w:rPr>
      <w:kern w:val="2"/>
      <w:sz w:val="32"/>
    </w:rPr>
  </w:style>
  <w:style w:type="character" w:customStyle="1" w:styleId="76">
    <w:name w:val="批注框文本 字符1"/>
    <w:link w:val="30"/>
    <w:qFormat/>
    <w:uiPriority w:val="0"/>
    <w:rPr>
      <w:kern w:val="2"/>
      <w:sz w:val="18"/>
      <w:szCs w:val="18"/>
    </w:rPr>
  </w:style>
  <w:style w:type="character" w:customStyle="1" w:styleId="77">
    <w:name w:val="页脚 字符1"/>
    <w:link w:val="31"/>
    <w:qFormat/>
    <w:uiPriority w:val="0"/>
    <w:rPr>
      <w:kern w:val="2"/>
      <w:sz w:val="18"/>
      <w:szCs w:val="18"/>
    </w:rPr>
  </w:style>
  <w:style w:type="character" w:customStyle="1" w:styleId="78">
    <w:name w:val="页眉 字符1"/>
    <w:link w:val="32"/>
    <w:qFormat/>
    <w:uiPriority w:val="99"/>
    <w:rPr>
      <w:kern w:val="2"/>
      <w:sz w:val="18"/>
      <w:szCs w:val="18"/>
    </w:rPr>
  </w:style>
  <w:style w:type="character" w:customStyle="1" w:styleId="79">
    <w:name w:val="正文文本缩进 3 字符1"/>
    <w:link w:val="38"/>
    <w:qFormat/>
    <w:uiPriority w:val="0"/>
    <w:rPr>
      <w:kern w:val="2"/>
      <w:sz w:val="16"/>
      <w:szCs w:val="16"/>
    </w:rPr>
  </w:style>
  <w:style w:type="character" w:customStyle="1" w:styleId="80">
    <w:name w:val="正文文本 2 字符1"/>
    <w:link w:val="41"/>
    <w:qFormat/>
    <w:uiPriority w:val="0"/>
    <w:rPr>
      <w:kern w:val="2"/>
      <w:sz w:val="21"/>
      <w:szCs w:val="24"/>
    </w:rPr>
  </w:style>
  <w:style w:type="character" w:customStyle="1" w:styleId="81">
    <w:name w:val="HTML 预设格式 字符1"/>
    <w:link w:val="44"/>
    <w:qFormat/>
    <w:uiPriority w:val="0"/>
    <w:rPr>
      <w:rFonts w:ascii="黑体" w:hAnsi="Courier New" w:eastAsia="黑体" w:cs="Courier New"/>
    </w:rPr>
  </w:style>
  <w:style w:type="character" w:customStyle="1" w:styleId="82">
    <w:name w:val="标题 字符1"/>
    <w:link w:val="47"/>
    <w:qFormat/>
    <w:uiPriority w:val="0"/>
    <w:rPr>
      <w:kern w:val="2"/>
      <w:sz w:val="30"/>
      <w:szCs w:val="24"/>
    </w:rPr>
  </w:style>
  <w:style w:type="character" w:customStyle="1" w:styleId="83">
    <w:name w:val="批注主题 字符1"/>
    <w:link w:val="48"/>
    <w:qFormat/>
    <w:uiPriority w:val="0"/>
    <w:rPr>
      <w:b/>
      <w:bCs/>
      <w:kern w:val="2"/>
      <w:sz w:val="21"/>
      <w:szCs w:val="24"/>
    </w:rPr>
  </w:style>
  <w:style w:type="character" w:customStyle="1" w:styleId="84">
    <w:name w:val="正文文本首行缩进 字符1"/>
    <w:link w:val="49"/>
    <w:qFormat/>
    <w:uiPriority w:val="0"/>
    <w:rPr>
      <w:kern w:val="2"/>
      <w:sz w:val="21"/>
      <w:szCs w:val="24"/>
    </w:rPr>
  </w:style>
  <w:style w:type="character" w:customStyle="1" w:styleId="85">
    <w:name w:val="正文文本首行缩进 2 字符1"/>
    <w:link w:val="50"/>
    <w:qFormat/>
    <w:uiPriority w:val="0"/>
    <w:rPr>
      <w:kern w:val="2"/>
      <w:sz w:val="21"/>
      <w:szCs w:val="24"/>
    </w:rPr>
  </w:style>
  <w:style w:type="character" w:customStyle="1" w:styleId="86">
    <w:name w:val="标题 4 字符"/>
    <w:semiHidden/>
    <w:qFormat/>
    <w:uiPriority w:val="9"/>
    <w:rPr>
      <w:rFonts w:ascii="等线 Light" w:hAnsi="等线 Light" w:eastAsia="等线 Light" w:cs="Times New Roman"/>
      <w:b/>
      <w:bCs/>
      <w:kern w:val="2"/>
      <w:sz w:val="28"/>
      <w:szCs w:val="28"/>
    </w:rPr>
  </w:style>
  <w:style w:type="character" w:customStyle="1" w:styleId="87">
    <w:name w:val="HTML 预设格式 字符"/>
    <w:semiHidden/>
    <w:qFormat/>
    <w:uiPriority w:val="99"/>
    <w:rPr>
      <w:rFonts w:ascii="Courier New" w:hAnsi="Courier New" w:cs="Courier New"/>
      <w:kern w:val="2"/>
    </w:rPr>
  </w:style>
  <w:style w:type="character" w:customStyle="1" w:styleId="88">
    <w:name w:val="graytext1"/>
    <w:qFormat/>
    <w:uiPriority w:val="0"/>
    <w:rPr>
      <w:color w:val="666666"/>
    </w:rPr>
  </w:style>
  <w:style w:type="character" w:customStyle="1" w:styleId="89">
    <w:name w:val="标题 6 字符"/>
    <w:semiHidden/>
    <w:qFormat/>
    <w:uiPriority w:val="9"/>
    <w:rPr>
      <w:rFonts w:ascii="等线 Light" w:hAnsi="等线 Light" w:eastAsia="等线 Light" w:cs="Times New Roman"/>
      <w:b/>
      <w:bCs/>
      <w:kern w:val="2"/>
      <w:sz w:val="24"/>
      <w:szCs w:val="24"/>
    </w:rPr>
  </w:style>
  <w:style w:type="character" w:customStyle="1" w:styleId="90">
    <w:name w:val="white"/>
    <w:qFormat/>
    <w:uiPriority w:val="0"/>
  </w:style>
  <w:style w:type="character" w:customStyle="1" w:styleId="91">
    <w:name w:val="text11"/>
    <w:qFormat/>
    <w:uiPriority w:val="0"/>
    <w:rPr>
      <w:rFonts w:hint="default" w:ascii="Verdana" w:hAnsi="Verdana"/>
      <w:color w:val="4E4E4E"/>
      <w:sz w:val="18"/>
      <w:szCs w:val="18"/>
    </w:rPr>
  </w:style>
  <w:style w:type="character" w:customStyle="1" w:styleId="92">
    <w:name w:val="gray12"/>
    <w:qFormat/>
    <w:uiPriority w:val="0"/>
  </w:style>
  <w:style w:type="character" w:customStyle="1" w:styleId="93">
    <w:name w:val="font01"/>
    <w:qFormat/>
    <w:uiPriority w:val="0"/>
    <w:rPr>
      <w:rFonts w:hint="eastAsia" w:ascii="宋体" w:hAnsi="宋体" w:eastAsia="宋体"/>
      <w:color w:val="000000"/>
      <w:sz w:val="22"/>
      <w:szCs w:val="22"/>
      <w:u w:val="none"/>
    </w:rPr>
  </w:style>
  <w:style w:type="character" w:customStyle="1" w:styleId="94">
    <w:name w:val="mark8"/>
    <w:qFormat/>
    <w:uiPriority w:val="0"/>
    <w:rPr>
      <w:b/>
      <w:bCs/>
      <w:sz w:val="21"/>
      <w:szCs w:val="21"/>
    </w:rPr>
  </w:style>
  <w:style w:type="character" w:customStyle="1" w:styleId="95">
    <w:name w:val="纯文本 Char1"/>
    <w:qFormat/>
    <w:uiPriority w:val="0"/>
    <w:rPr>
      <w:rFonts w:ascii="宋体" w:hAnsi="Courier New" w:eastAsia="宋体" w:cs="Courier New"/>
      <w:kern w:val="2"/>
      <w:sz w:val="21"/>
      <w:szCs w:val="21"/>
      <w:lang w:val="en-US" w:eastAsia="zh-CN" w:bidi="ar-SA"/>
    </w:rPr>
  </w:style>
  <w:style w:type="character" w:customStyle="1" w:styleId="96">
    <w:name w:val="short_text1"/>
    <w:qFormat/>
    <w:uiPriority w:val="0"/>
    <w:rPr>
      <w:sz w:val="26"/>
    </w:rPr>
  </w:style>
  <w:style w:type="character" w:customStyle="1" w:styleId="97">
    <w:name w:val="1ji Char"/>
    <w:link w:val="98"/>
    <w:qFormat/>
    <w:uiPriority w:val="0"/>
    <w:rPr>
      <w:rFonts w:ascii="宋体" w:hAnsi="宋体" w:eastAsia="宋体"/>
      <w:b/>
      <w:bCs/>
      <w:kern w:val="44"/>
      <w:sz w:val="36"/>
      <w:szCs w:val="44"/>
      <w:lang w:val="en-US" w:eastAsia="zh-CN" w:bidi="ar-SA"/>
    </w:rPr>
  </w:style>
  <w:style w:type="paragraph" w:customStyle="1" w:styleId="98">
    <w:name w:val="1ji"/>
    <w:basedOn w:val="2"/>
    <w:link w:val="97"/>
    <w:qFormat/>
    <w:uiPriority w:val="0"/>
    <w:pPr>
      <w:keepLines w:val="0"/>
      <w:widowControl/>
      <w:spacing w:before="0" w:after="0" w:line="240" w:lineRule="auto"/>
      <w:jc w:val="center"/>
    </w:pPr>
    <w:rPr>
      <w:rFonts w:ascii="宋体" w:hAnsi="宋体"/>
      <w:sz w:val="36"/>
    </w:rPr>
  </w:style>
  <w:style w:type="character" w:customStyle="1" w:styleId="99">
    <w:name w:val="标题 7 字符"/>
    <w:semiHidden/>
    <w:qFormat/>
    <w:uiPriority w:val="9"/>
    <w:rPr>
      <w:b/>
      <w:bCs/>
      <w:kern w:val="2"/>
      <w:sz w:val="24"/>
      <w:szCs w:val="24"/>
    </w:rPr>
  </w:style>
  <w:style w:type="character" w:customStyle="1" w:styleId="100">
    <w:name w:val="批注主题 字符"/>
    <w:qFormat/>
    <w:uiPriority w:val="0"/>
    <w:rPr>
      <w:b/>
      <w:bCs/>
      <w:kern w:val="2"/>
      <w:sz w:val="21"/>
      <w:szCs w:val="24"/>
    </w:rPr>
  </w:style>
  <w:style w:type="character" w:customStyle="1" w:styleId="101">
    <w:name w:val="正文文本首行缩进 字符"/>
    <w:semiHidden/>
    <w:qFormat/>
    <w:uiPriority w:val="99"/>
  </w:style>
  <w:style w:type="character" w:customStyle="1" w:styleId="102">
    <w:name w:val="f151"/>
    <w:qFormat/>
    <w:uiPriority w:val="0"/>
    <w:rPr>
      <w:sz w:val="23"/>
      <w:szCs w:val="23"/>
    </w:rPr>
  </w:style>
  <w:style w:type="character" w:customStyle="1" w:styleId="103">
    <w:name w:val="标题 5 字符"/>
    <w:semiHidden/>
    <w:qFormat/>
    <w:uiPriority w:val="9"/>
    <w:rPr>
      <w:b/>
      <w:bCs/>
      <w:kern w:val="2"/>
      <w:sz w:val="28"/>
      <w:szCs w:val="28"/>
    </w:rPr>
  </w:style>
  <w:style w:type="character" w:customStyle="1" w:styleId="104">
    <w:name w:val="content2"/>
    <w:qFormat/>
    <w:uiPriority w:val="0"/>
  </w:style>
  <w:style w:type="character" w:customStyle="1" w:styleId="105">
    <w:name w:val="062"/>
    <w:qFormat/>
    <w:uiPriority w:val="0"/>
    <w:rPr>
      <w:rFonts w:ascii="宋体" w:hAnsi="宋体"/>
      <w:b/>
      <w:bCs/>
      <w:sz w:val="32"/>
    </w:rPr>
  </w:style>
  <w:style w:type="character" w:customStyle="1" w:styleId="106">
    <w:name w:val="正文文本缩进 字符"/>
    <w:semiHidden/>
    <w:qFormat/>
    <w:uiPriority w:val="99"/>
    <w:rPr>
      <w:kern w:val="2"/>
      <w:sz w:val="21"/>
      <w:szCs w:val="24"/>
    </w:rPr>
  </w:style>
  <w:style w:type="character" w:customStyle="1" w:styleId="107">
    <w:name w:val="small"/>
    <w:qFormat/>
    <w:uiPriority w:val="0"/>
  </w:style>
  <w:style w:type="character" w:customStyle="1" w:styleId="108">
    <w:name w:val="页眉 字符"/>
    <w:semiHidden/>
    <w:qFormat/>
    <w:uiPriority w:val="99"/>
    <w:rPr>
      <w:kern w:val="2"/>
      <w:sz w:val="18"/>
      <w:szCs w:val="18"/>
    </w:rPr>
  </w:style>
  <w:style w:type="character" w:customStyle="1" w:styleId="109">
    <w:name w:val="标题 字符"/>
    <w:qFormat/>
    <w:uiPriority w:val="10"/>
    <w:rPr>
      <w:rFonts w:ascii="等线 Light" w:hAnsi="等线 Light" w:eastAsia="等线 Light" w:cs="Times New Roman"/>
      <w:b/>
      <w:bCs/>
      <w:kern w:val="2"/>
      <w:sz w:val="32"/>
      <w:szCs w:val="32"/>
    </w:rPr>
  </w:style>
  <w:style w:type="character" w:customStyle="1" w:styleId="110">
    <w:name w:val="批注文字 字符"/>
    <w:qFormat/>
    <w:uiPriority w:val="0"/>
    <w:rPr>
      <w:kern w:val="2"/>
      <w:sz w:val="21"/>
      <w:szCs w:val="24"/>
    </w:rPr>
  </w:style>
  <w:style w:type="character" w:customStyle="1" w:styleId="111">
    <w:name w:val="标题 2 字符"/>
    <w:semiHidden/>
    <w:qFormat/>
    <w:uiPriority w:val="9"/>
    <w:rPr>
      <w:rFonts w:ascii="等线 Light" w:hAnsi="等线 Light" w:eastAsia="等线 Light" w:cs="Times New Roman"/>
      <w:b/>
      <w:bCs/>
      <w:kern w:val="2"/>
      <w:sz w:val="32"/>
      <w:szCs w:val="32"/>
    </w:rPr>
  </w:style>
  <w:style w:type="character" w:customStyle="1" w:styleId="112">
    <w:name w:val="文档结构图 字符"/>
    <w:semiHidden/>
    <w:qFormat/>
    <w:uiPriority w:val="99"/>
    <w:rPr>
      <w:rFonts w:ascii="Microsoft YaHei UI" w:eastAsia="Microsoft YaHei UI"/>
      <w:kern w:val="2"/>
      <w:sz w:val="18"/>
      <w:szCs w:val="18"/>
    </w:rPr>
  </w:style>
  <w:style w:type="character" w:customStyle="1" w:styleId="113">
    <w:name w:val="z-窗体顶端 字符1"/>
    <w:link w:val="114"/>
    <w:qFormat/>
    <w:uiPriority w:val="0"/>
    <w:rPr>
      <w:rFonts w:ascii="Arial"/>
      <w:vanish/>
      <w:kern w:val="2"/>
      <w:sz w:val="16"/>
      <w:szCs w:val="24"/>
    </w:rPr>
  </w:style>
  <w:style w:type="paragraph" w:customStyle="1" w:styleId="114">
    <w:name w:val="z-窗体顶端1"/>
    <w:basedOn w:val="1"/>
    <w:next w:val="1"/>
    <w:link w:val="113"/>
    <w:qFormat/>
    <w:uiPriority w:val="0"/>
    <w:pPr>
      <w:pBdr>
        <w:bottom w:val="single" w:color="auto" w:sz="6" w:space="1"/>
      </w:pBdr>
      <w:jc w:val="center"/>
    </w:pPr>
    <w:rPr>
      <w:rFonts w:ascii="Arial"/>
      <w:vanish/>
      <w:sz w:val="16"/>
    </w:rPr>
  </w:style>
  <w:style w:type="character" w:customStyle="1" w:styleId="115">
    <w:name w:val="highlight"/>
    <w:qFormat/>
    <w:uiPriority w:val="0"/>
  </w:style>
  <w:style w:type="character" w:customStyle="1" w:styleId="116">
    <w:name w:val="1051"/>
    <w:qFormat/>
    <w:uiPriority w:val="0"/>
    <w:rPr>
      <w:sz w:val="21"/>
      <w:szCs w:val="21"/>
    </w:rPr>
  </w:style>
  <w:style w:type="character" w:customStyle="1" w:styleId="117">
    <w:name w:val="批注框文本 字符"/>
    <w:semiHidden/>
    <w:qFormat/>
    <w:uiPriority w:val="99"/>
    <w:rPr>
      <w:kern w:val="2"/>
      <w:sz w:val="18"/>
      <w:szCs w:val="18"/>
    </w:rPr>
  </w:style>
  <w:style w:type="character" w:customStyle="1" w:styleId="118">
    <w:name w:val="style21"/>
    <w:qFormat/>
    <w:uiPriority w:val="0"/>
    <w:rPr>
      <w:sz w:val="17"/>
      <w:szCs w:val="17"/>
    </w:rPr>
  </w:style>
  <w:style w:type="character" w:customStyle="1" w:styleId="119">
    <w:name w:val="正文文本 3 字符"/>
    <w:semiHidden/>
    <w:qFormat/>
    <w:uiPriority w:val="99"/>
    <w:rPr>
      <w:kern w:val="2"/>
      <w:sz w:val="16"/>
      <w:szCs w:val="16"/>
    </w:rPr>
  </w:style>
  <w:style w:type="character" w:customStyle="1" w:styleId="120">
    <w:name w:val="unnamed3"/>
    <w:qFormat/>
    <w:uiPriority w:val="0"/>
  </w:style>
  <w:style w:type="character" w:customStyle="1" w:styleId="121">
    <w:name w:val="fd"/>
    <w:qFormat/>
    <w:uiPriority w:val="0"/>
  </w:style>
  <w:style w:type="character" w:customStyle="1" w:styleId="122">
    <w:name w:val="标题 9 字符"/>
    <w:semiHidden/>
    <w:qFormat/>
    <w:uiPriority w:val="9"/>
    <w:rPr>
      <w:rFonts w:ascii="等线 Light" w:hAnsi="等线 Light" w:eastAsia="等线 Light" w:cs="Times New Roman"/>
      <w:kern w:val="2"/>
      <w:sz w:val="21"/>
      <w:szCs w:val="21"/>
    </w:rPr>
  </w:style>
  <w:style w:type="character" w:customStyle="1" w:styleId="123">
    <w:name w:val="正文文本缩进 2 字符"/>
    <w:semiHidden/>
    <w:qFormat/>
    <w:uiPriority w:val="99"/>
    <w:rPr>
      <w:kern w:val="2"/>
      <w:sz w:val="21"/>
      <w:szCs w:val="24"/>
    </w:rPr>
  </w:style>
  <w:style w:type="character" w:customStyle="1" w:styleId="124">
    <w:name w:val="z-窗体顶端 字符"/>
    <w:semiHidden/>
    <w:qFormat/>
    <w:uiPriority w:val="99"/>
    <w:rPr>
      <w:rFonts w:ascii="Arial" w:hAnsi="Arial" w:cs="Arial"/>
      <w:vanish/>
      <w:kern w:val="2"/>
      <w:sz w:val="16"/>
      <w:szCs w:val="16"/>
    </w:rPr>
  </w:style>
  <w:style w:type="character" w:customStyle="1" w:styleId="125">
    <w:name w:val="case31"/>
    <w:qFormat/>
    <w:uiPriority w:val="0"/>
    <w:rPr>
      <w:rFonts w:hint="default"/>
      <w:sz w:val="21"/>
      <w:szCs w:val="21"/>
    </w:rPr>
  </w:style>
  <w:style w:type="character" w:customStyle="1" w:styleId="126">
    <w:name w:val="标题3 Char"/>
    <w:link w:val="127"/>
    <w:qFormat/>
    <w:uiPriority w:val="0"/>
    <w:rPr>
      <w:rFonts w:ascii="宋体" w:hAnsi="宋体"/>
      <w:b/>
      <w:bCs/>
      <w:kern w:val="44"/>
      <w:sz w:val="24"/>
      <w:szCs w:val="24"/>
    </w:rPr>
  </w:style>
  <w:style w:type="paragraph" w:customStyle="1" w:styleId="127">
    <w:name w:val="标题3"/>
    <w:basedOn w:val="2"/>
    <w:link w:val="126"/>
    <w:qFormat/>
    <w:uiPriority w:val="0"/>
    <w:pPr>
      <w:spacing w:before="0" w:beforeLines="50" w:after="0" w:afterLines="50" w:line="400" w:lineRule="exact"/>
    </w:pPr>
    <w:rPr>
      <w:rFonts w:ascii="宋体" w:hAnsi="宋体"/>
      <w:sz w:val="24"/>
      <w:szCs w:val="24"/>
    </w:rPr>
  </w:style>
  <w:style w:type="character" w:customStyle="1" w:styleId="128">
    <w:name w:val="标题 3 字符"/>
    <w:semiHidden/>
    <w:qFormat/>
    <w:uiPriority w:val="9"/>
    <w:rPr>
      <w:b/>
      <w:bCs/>
      <w:kern w:val="2"/>
      <w:sz w:val="32"/>
      <w:szCs w:val="32"/>
    </w:rPr>
  </w:style>
  <w:style w:type="character" w:customStyle="1" w:styleId="129">
    <w:name w:val="正文文本 2 字符"/>
    <w:semiHidden/>
    <w:qFormat/>
    <w:uiPriority w:val="99"/>
    <w:rPr>
      <w:kern w:val="2"/>
      <w:sz w:val="21"/>
      <w:szCs w:val="24"/>
    </w:rPr>
  </w:style>
  <w:style w:type="character" w:customStyle="1" w:styleId="130">
    <w:name w:val="标题 1 字符"/>
    <w:qFormat/>
    <w:uiPriority w:val="9"/>
    <w:rPr>
      <w:b/>
      <w:bCs/>
      <w:kern w:val="44"/>
      <w:sz w:val="44"/>
      <w:szCs w:val="44"/>
    </w:rPr>
  </w:style>
  <w:style w:type="character" w:customStyle="1" w:styleId="131">
    <w:name w:val="页脚 字符"/>
    <w:qFormat/>
    <w:uiPriority w:val="99"/>
    <w:rPr>
      <w:kern w:val="2"/>
      <w:sz w:val="18"/>
      <w:szCs w:val="18"/>
    </w:rPr>
  </w:style>
  <w:style w:type="character" w:customStyle="1" w:styleId="132">
    <w:name w:val="正文文本首行缩进 2 字符"/>
    <w:semiHidden/>
    <w:qFormat/>
    <w:uiPriority w:val="99"/>
  </w:style>
  <w:style w:type="character" w:customStyle="1" w:styleId="133">
    <w:name w:val="apple-converted-space"/>
    <w:qFormat/>
    <w:uiPriority w:val="0"/>
  </w:style>
  <w:style w:type="character" w:customStyle="1" w:styleId="134">
    <w:name w:val="日期 字符"/>
    <w:semiHidden/>
    <w:qFormat/>
    <w:uiPriority w:val="99"/>
    <w:rPr>
      <w:kern w:val="2"/>
      <w:sz w:val="21"/>
      <w:szCs w:val="24"/>
    </w:rPr>
  </w:style>
  <w:style w:type="character" w:customStyle="1" w:styleId="135">
    <w:name w:val="纯文本 字符"/>
    <w:qFormat/>
    <w:uiPriority w:val="99"/>
    <w:rPr>
      <w:rFonts w:ascii="等线" w:hAnsi="Courier New" w:eastAsia="等线" w:cs="Courier New"/>
      <w:kern w:val="2"/>
      <w:sz w:val="21"/>
      <w:szCs w:val="24"/>
    </w:rPr>
  </w:style>
  <w:style w:type="character" w:customStyle="1" w:styleId="136">
    <w:name w:val="style11"/>
    <w:qFormat/>
    <w:uiPriority w:val="0"/>
    <w:rPr>
      <w:rFonts w:hint="default" w:ascii="Arial" w:hAnsi="Arial" w:cs="Arial"/>
    </w:rPr>
  </w:style>
  <w:style w:type="character" w:customStyle="1" w:styleId="137">
    <w:name w:val="标题 8 字符"/>
    <w:semiHidden/>
    <w:qFormat/>
    <w:uiPriority w:val="9"/>
    <w:rPr>
      <w:rFonts w:ascii="等线 Light" w:hAnsi="等线 Light" w:eastAsia="等线 Light" w:cs="Times New Roman"/>
      <w:kern w:val="2"/>
      <w:sz w:val="24"/>
      <w:szCs w:val="24"/>
    </w:rPr>
  </w:style>
  <w:style w:type="character" w:customStyle="1" w:styleId="138">
    <w:name w:val="正文文本缩进 3 字符"/>
    <w:semiHidden/>
    <w:qFormat/>
    <w:uiPriority w:val="99"/>
    <w:rPr>
      <w:kern w:val="2"/>
      <w:sz w:val="16"/>
      <w:szCs w:val="16"/>
    </w:rPr>
  </w:style>
  <w:style w:type="character" w:customStyle="1" w:styleId="139">
    <w:name w:val="正文文本 字符"/>
    <w:semiHidden/>
    <w:qFormat/>
    <w:uiPriority w:val="99"/>
    <w:rPr>
      <w:kern w:val="2"/>
      <w:sz w:val="21"/>
      <w:szCs w:val="24"/>
    </w:rPr>
  </w:style>
  <w:style w:type="paragraph" w:customStyle="1" w:styleId="140">
    <w:name w:val="Char Char Char Char Char Char Char"/>
    <w:basedOn w:val="1"/>
    <w:qFormat/>
    <w:uiPriority w:val="0"/>
  </w:style>
  <w:style w:type="paragraph" w:customStyle="1" w:styleId="141">
    <w:name w:val="缺省文本"/>
    <w:basedOn w:val="1"/>
    <w:qFormat/>
    <w:uiPriority w:val="0"/>
    <w:pPr>
      <w:autoSpaceDE w:val="0"/>
      <w:autoSpaceDN w:val="0"/>
      <w:adjustRightInd w:val="0"/>
      <w:spacing w:line="360" w:lineRule="auto"/>
      <w:jc w:val="left"/>
    </w:pPr>
    <w:rPr>
      <w:kern w:val="0"/>
      <w:sz w:val="24"/>
      <w:szCs w:val="20"/>
    </w:rPr>
  </w:style>
  <w:style w:type="paragraph" w:customStyle="1" w:styleId="142">
    <w:name w:val="TOC 标题1"/>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143">
    <w:name w:val="paragraphindent"/>
    <w:basedOn w:val="1"/>
    <w:qFormat/>
    <w:uiPriority w:val="0"/>
    <w:pPr>
      <w:widowControl/>
      <w:spacing w:before="100" w:beforeAutospacing="1" w:after="100" w:afterAutospacing="1"/>
      <w:jc w:val="left"/>
    </w:pPr>
    <w:rPr>
      <w:rFonts w:ascii="宋体" w:hAnsi="宋体" w:cs="宋体"/>
      <w:kern w:val="0"/>
      <w:sz w:val="24"/>
    </w:rPr>
  </w:style>
  <w:style w:type="paragraph" w:customStyle="1" w:styleId="144">
    <w:name w:val="默认段落字体 Para Char1"/>
    <w:next w:val="1"/>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145">
    <w:name w:val="Char Char Char"/>
    <w:basedOn w:val="16"/>
    <w:qFormat/>
    <w:uiPriority w:val="0"/>
    <w:pPr>
      <w:adjustRightInd/>
      <w:spacing w:line="240" w:lineRule="auto"/>
      <w:textAlignment w:val="auto"/>
    </w:pPr>
    <w:rPr>
      <w:rFonts w:ascii="Tahoma" w:hAnsi="Tahoma"/>
      <w:kern w:val="2"/>
      <w:sz w:val="24"/>
      <w:szCs w:val="24"/>
    </w:rPr>
  </w:style>
  <w:style w:type="paragraph" w:customStyle="1" w:styleId="146">
    <w:name w:val="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147">
    <w:name w:val="_Style 109"/>
    <w:basedOn w:val="1"/>
    <w:next w:val="148"/>
    <w:qFormat/>
    <w:uiPriority w:val="34"/>
    <w:pPr>
      <w:ind w:firstLine="420" w:firstLineChars="200"/>
    </w:pPr>
    <w:rPr>
      <w:rFonts w:ascii="Calibri" w:hAnsi="Calibri"/>
      <w:szCs w:val="22"/>
    </w:rPr>
  </w:style>
  <w:style w:type="paragraph" w:styleId="148">
    <w:name w:val="List Paragraph"/>
    <w:basedOn w:val="1"/>
    <w:qFormat/>
    <w:uiPriority w:val="99"/>
    <w:pPr>
      <w:ind w:firstLine="420" w:firstLineChars="200"/>
    </w:pPr>
    <w:rPr>
      <w:rFonts w:ascii="Calibri" w:hAnsi="Calibri"/>
      <w:szCs w:val="22"/>
    </w:rPr>
  </w:style>
  <w:style w:type="paragraph" w:customStyle="1" w:styleId="149">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50">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151">
    <w:name w:val="2-2ji"/>
    <w:basedOn w:val="3"/>
    <w:qFormat/>
    <w:uiPriority w:val="0"/>
    <w:pPr>
      <w:adjustRightInd w:val="0"/>
      <w:spacing w:before="0" w:after="0" w:line="360" w:lineRule="auto"/>
      <w:jc w:val="center"/>
      <w:textAlignment w:val="baseline"/>
    </w:pPr>
    <w:rPr>
      <w:rFonts w:ascii="宋体" w:hAnsi="宋体" w:eastAsia="宋体"/>
      <w:bCs w:val="0"/>
      <w:kern w:val="0"/>
      <w:sz w:val="36"/>
    </w:rPr>
  </w:style>
  <w:style w:type="paragraph" w:customStyle="1" w:styleId="152">
    <w:name w:val="Char"/>
    <w:basedOn w:val="1"/>
    <w:qFormat/>
    <w:uiPriority w:val="0"/>
    <w:pPr>
      <w:widowControl/>
      <w:spacing w:line="500" w:lineRule="exact"/>
      <w:outlineLvl w:val="2"/>
    </w:pPr>
    <w:rPr>
      <w:rFonts w:ascii="黑体" w:hAnsi="Verdana" w:eastAsia="黑体" w:cs="黑体"/>
      <w:kern w:val="0"/>
      <w:sz w:val="28"/>
      <w:szCs w:val="28"/>
      <w:lang w:eastAsia="en-US"/>
    </w:rPr>
  </w:style>
  <w:style w:type="paragraph" w:customStyle="1" w:styleId="153">
    <w:name w:val="Char Char Char Char Char Char Char1"/>
    <w:basedOn w:val="1"/>
    <w:qFormat/>
    <w:uiPriority w:val="0"/>
  </w:style>
  <w:style w:type="paragraph" w:customStyle="1" w:styleId="154">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155">
    <w:name w:val="xl31"/>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paragraph" w:customStyle="1" w:styleId="156">
    <w:name w:val="tgt1"/>
    <w:basedOn w:val="1"/>
    <w:qFormat/>
    <w:uiPriority w:val="0"/>
    <w:pPr>
      <w:widowControl/>
      <w:spacing w:after="150"/>
      <w:jc w:val="left"/>
    </w:pPr>
    <w:rPr>
      <w:rFonts w:ascii="宋体" w:hAnsi="宋体" w:cs="宋体"/>
      <w:kern w:val="0"/>
      <w:sz w:val="24"/>
    </w:rPr>
  </w:style>
  <w:style w:type="paragraph" w:customStyle="1" w:styleId="157">
    <w:name w:val="444"/>
    <w:basedOn w:val="1"/>
    <w:qFormat/>
    <w:uiPriority w:val="0"/>
    <w:pPr>
      <w:adjustRightInd w:val="0"/>
      <w:spacing w:line="312" w:lineRule="atLeast"/>
      <w:jc w:val="center"/>
      <w:textAlignment w:val="baseline"/>
    </w:pPr>
    <w:rPr>
      <w:b/>
      <w:kern w:val="0"/>
      <w:sz w:val="36"/>
      <w:szCs w:val="36"/>
    </w:rPr>
  </w:style>
  <w:style w:type="paragraph" w:customStyle="1" w:styleId="158">
    <w:name w:val="表格"/>
    <w:basedOn w:val="1"/>
    <w:qFormat/>
    <w:uiPriority w:val="0"/>
    <w:pPr>
      <w:spacing w:line="400" w:lineRule="exact"/>
    </w:pPr>
    <w:rPr>
      <w:sz w:val="24"/>
    </w:rPr>
  </w:style>
  <w:style w:type="paragraph" w:customStyle="1" w:styleId="159">
    <w:name w:val="F2"/>
    <w:basedOn w:val="1"/>
    <w:qFormat/>
    <w:uiPriority w:val="0"/>
    <w:pPr>
      <w:autoSpaceDE w:val="0"/>
      <w:autoSpaceDN w:val="0"/>
      <w:adjustRightInd w:val="0"/>
      <w:ind w:firstLine="601"/>
      <w:textAlignment w:val="baseline"/>
    </w:pPr>
    <w:rPr>
      <w:kern w:val="0"/>
      <w:sz w:val="24"/>
      <w:szCs w:val="20"/>
    </w:rPr>
  </w:style>
  <w:style w:type="paragraph" w:customStyle="1" w:styleId="160">
    <w:name w:val="2ji"/>
    <w:basedOn w:val="3"/>
    <w:qFormat/>
    <w:uiPriority w:val="0"/>
    <w:pPr>
      <w:adjustRightInd w:val="0"/>
      <w:spacing w:before="0" w:after="0" w:line="360" w:lineRule="auto"/>
      <w:textAlignment w:val="baseline"/>
    </w:pPr>
    <w:rPr>
      <w:rFonts w:ascii="宋体" w:hAnsi="宋体" w:eastAsia="宋体"/>
      <w:kern w:val="0"/>
      <w:sz w:val="21"/>
      <w:szCs w:val="21"/>
    </w:rPr>
  </w:style>
  <w:style w:type="paragraph" w:customStyle="1" w:styleId="161">
    <w:name w:val="Char Char Char1"/>
    <w:basedOn w:val="16"/>
    <w:qFormat/>
    <w:uiPriority w:val="0"/>
    <w:pPr>
      <w:adjustRightInd/>
      <w:spacing w:line="240" w:lineRule="auto"/>
      <w:textAlignment w:val="auto"/>
    </w:pPr>
    <w:rPr>
      <w:rFonts w:ascii="Tahoma" w:hAnsi="Tahoma"/>
      <w:kern w:val="2"/>
      <w:sz w:val="24"/>
      <w:szCs w:val="24"/>
    </w:rPr>
  </w:style>
  <w:style w:type="paragraph" w:customStyle="1" w:styleId="162">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163">
    <w:name w:val="Char21"/>
    <w:basedOn w:val="1"/>
    <w:qFormat/>
    <w:uiPriority w:val="0"/>
    <w:pPr>
      <w:widowControl/>
      <w:spacing w:after="160" w:line="240" w:lineRule="exact"/>
      <w:jc w:val="left"/>
    </w:pPr>
    <w:rPr>
      <w:rFonts w:ascii="Verdana" w:hAnsi="Verdana"/>
      <w:kern w:val="0"/>
      <w:szCs w:val="20"/>
      <w:lang w:eastAsia="en-US"/>
    </w:rPr>
  </w:style>
  <w:style w:type="paragraph" w:customStyle="1" w:styleId="164">
    <w:name w:val="次小点说明 Char"/>
    <w:basedOn w:val="7"/>
    <w:qFormat/>
    <w:uiPriority w:val="0"/>
    <w:pPr>
      <w:ind w:firstLine="0"/>
    </w:pPr>
    <w:rPr>
      <w:sz w:val="24"/>
      <w:szCs w:val="24"/>
    </w:rPr>
  </w:style>
  <w:style w:type="paragraph" w:customStyle="1" w:styleId="165">
    <w:name w:val="Char3"/>
    <w:basedOn w:val="1"/>
    <w:qFormat/>
    <w:uiPriority w:val="0"/>
    <w:pPr>
      <w:widowControl/>
      <w:spacing w:line="500" w:lineRule="exact"/>
      <w:outlineLvl w:val="2"/>
    </w:pPr>
    <w:rPr>
      <w:rFonts w:ascii="黑体" w:hAnsi="Verdana" w:eastAsia="黑体" w:cs="黑体"/>
      <w:kern w:val="0"/>
      <w:sz w:val="28"/>
      <w:szCs w:val="28"/>
      <w:lang w:eastAsia="en-US"/>
    </w:rPr>
  </w:style>
  <w:style w:type="paragraph" w:customStyle="1" w:styleId="166">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pPr>
    <w:rPr>
      <w:kern w:val="0"/>
      <w:szCs w:val="21"/>
    </w:rPr>
  </w:style>
  <w:style w:type="paragraph" w:customStyle="1" w:styleId="167">
    <w:name w:val="Char Char Char Char Char Char Char Char Char Char Char Char Char"/>
    <w:basedOn w:val="16"/>
    <w:qFormat/>
    <w:uiPriority w:val="0"/>
    <w:pPr>
      <w:adjustRightInd/>
      <w:spacing w:line="240" w:lineRule="auto"/>
      <w:textAlignment w:val="auto"/>
    </w:pPr>
    <w:rPr>
      <w:rFonts w:ascii="Tahoma" w:hAnsi="Tahoma"/>
      <w:kern w:val="2"/>
      <w:sz w:val="24"/>
      <w:szCs w:val="24"/>
    </w:rPr>
  </w:style>
  <w:style w:type="paragraph" w:customStyle="1" w:styleId="168">
    <w:name w:val="Char Char Char Char Char Char Char Char Char Char Char Char Char Char Char Char1"/>
    <w:basedOn w:val="1"/>
    <w:qFormat/>
    <w:uiPriority w:val="0"/>
    <w:pPr>
      <w:tabs>
        <w:tab w:val="left" w:pos="360"/>
      </w:tabs>
      <w:spacing w:line="360" w:lineRule="auto"/>
      <w:ind w:left="482" w:firstLine="200" w:firstLineChars="200"/>
    </w:pPr>
    <w:rPr>
      <w:rFonts w:ascii="宋体"/>
      <w:sz w:val="24"/>
    </w:rPr>
  </w:style>
  <w:style w:type="paragraph" w:customStyle="1" w:styleId="169">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70">
    <w:name w:val="样式1"/>
    <w:basedOn w:val="1"/>
    <w:qFormat/>
    <w:uiPriority w:val="0"/>
    <w:pPr>
      <w:spacing w:before="120" w:after="120" w:line="300" w:lineRule="auto"/>
    </w:pPr>
    <w:rPr>
      <w:rFonts w:ascii="宋体" w:hAnsi="宋体"/>
      <w:b/>
      <w:sz w:val="24"/>
      <w:szCs w:val="20"/>
    </w:rPr>
  </w:style>
  <w:style w:type="paragraph" w:customStyle="1" w:styleId="171">
    <w:name w:val="Char Char Char Char Char Char Char Char Char Char Char Char Char1"/>
    <w:basedOn w:val="16"/>
    <w:qFormat/>
    <w:uiPriority w:val="0"/>
    <w:pPr>
      <w:adjustRightInd/>
      <w:spacing w:line="240" w:lineRule="auto"/>
      <w:textAlignment w:val="auto"/>
    </w:pPr>
    <w:rPr>
      <w:rFonts w:ascii="Tahoma" w:hAnsi="Tahoma"/>
      <w:kern w:val="2"/>
      <w:sz w:val="24"/>
      <w:szCs w:val="24"/>
    </w:rPr>
  </w:style>
  <w:style w:type="paragraph" w:customStyle="1" w:styleId="172">
    <w:name w:val="默认段落字体 Para Char"/>
    <w:basedOn w:val="1"/>
    <w:qFormat/>
    <w:uiPriority w:val="0"/>
    <w:pPr>
      <w:adjustRightInd w:val="0"/>
      <w:spacing w:line="360" w:lineRule="auto"/>
    </w:pPr>
    <w:rPr>
      <w:kern w:val="0"/>
      <w:sz w:val="24"/>
      <w:szCs w:val="20"/>
    </w:rPr>
  </w:style>
  <w:style w:type="paragraph" w:customStyle="1" w:styleId="173">
    <w:name w:val="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4">
    <w:name w:val="a9"/>
    <w:basedOn w:val="1"/>
    <w:qFormat/>
    <w:uiPriority w:val="0"/>
    <w:pPr>
      <w:widowControl/>
      <w:spacing w:before="100" w:beforeAutospacing="1" w:after="100" w:afterAutospacing="1"/>
      <w:jc w:val="left"/>
    </w:pPr>
    <w:rPr>
      <w:rFonts w:ascii="宋体" w:hAnsi="宋体" w:cs="宋体"/>
      <w:kern w:val="0"/>
      <w:sz w:val="24"/>
    </w:rPr>
  </w:style>
  <w:style w:type="paragraph" w:customStyle="1" w:styleId="175">
    <w:name w:val="xl21"/>
    <w:basedOn w:val="1"/>
    <w:qFormat/>
    <w:uiPriority w:val="0"/>
    <w:pPr>
      <w:widowControl/>
      <w:spacing w:before="100" w:beforeAutospacing="1" w:after="100" w:afterAutospacing="1"/>
      <w:jc w:val="center"/>
    </w:pPr>
    <w:rPr>
      <w:rFonts w:ascii="宋体" w:hAnsi="宋体"/>
      <w:b/>
      <w:bCs/>
      <w:kern w:val="0"/>
      <w:sz w:val="28"/>
      <w:szCs w:val="28"/>
    </w:rPr>
  </w:style>
  <w:style w:type="paragraph" w:customStyle="1" w:styleId="176">
    <w:name w:val="Char4"/>
    <w:basedOn w:val="1"/>
    <w:qFormat/>
    <w:uiPriority w:val="0"/>
    <w:pPr>
      <w:tabs>
        <w:tab w:val="left" w:pos="360"/>
      </w:tabs>
      <w:ind w:left="252" w:hanging="252" w:hangingChars="140"/>
    </w:pPr>
    <w:rPr>
      <w:rFonts w:ascii="宋体"/>
      <w:sz w:val="18"/>
      <w:szCs w:val="18"/>
    </w:rPr>
  </w:style>
  <w:style w:type="paragraph" w:customStyle="1" w:styleId="177">
    <w:name w:val="Char Char Char Char Char Char1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17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79">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180">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81">
    <w:name w:val="正文首行缩进两字符"/>
    <w:basedOn w:val="1"/>
    <w:qFormat/>
    <w:uiPriority w:val="0"/>
    <w:pPr>
      <w:spacing w:line="360" w:lineRule="auto"/>
      <w:ind w:firstLine="200" w:firstLineChars="200"/>
    </w:pPr>
  </w:style>
  <w:style w:type="paragraph" w:customStyle="1" w:styleId="182">
    <w:name w:val="正文段"/>
    <w:basedOn w:val="1"/>
    <w:qFormat/>
    <w:uiPriority w:val="0"/>
    <w:pPr>
      <w:widowControl/>
      <w:snapToGrid w:val="0"/>
      <w:spacing w:after="156" w:afterLines="50"/>
      <w:ind w:firstLine="200" w:firstLineChars="200"/>
    </w:pPr>
    <w:rPr>
      <w:kern w:val="0"/>
      <w:sz w:val="24"/>
      <w:szCs w:val="20"/>
    </w:rPr>
  </w:style>
  <w:style w:type="paragraph" w:customStyle="1" w:styleId="183">
    <w:name w:val="默认段落字体 Para Char Char Char Char Char Char Char Char Char1 Char Char Char Char"/>
    <w:basedOn w:val="1"/>
    <w:qFormat/>
    <w:uiPriority w:val="0"/>
    <w:rPr>
      <w:rFonts w:ascii="Tahoma" w:hAnsi="Tahoma"/>
      <w:sz w:val="24"/>
      <w:szCs w:val="20"/>
    </w:rPr>
  </w:style>
  <w:style w:type="paragraph" w:customStyle="1" w:styleId="184">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185">
    <w:name w:val="1"/>
    <w:basedOn w:val="1"/>
    <w:next w:val="26"/>
    <w:qFormat/>
    <w:uiPriority w:val="0"/>
    <w:rPr>
      <w:rFonts w:ascii="宋体" w:hAnsi="Courier New"/>
      <w:szCs w:val="20"/>
    </w:rPr>
  </w:style>
  <w:style w:type="paragraph" w:customStyle="1" w:styleId="186">
    <w:name w:val="Char1"/>
    <w:basedOn w:val="1"/>
    <w:qFormat/>
    <w:uiPriority w:val="0"/>
    <w:rPr>
      <w:szCs w:val="21"/>
    </w:rPr>
  </w:style>
  <w:style w:type="paragraph" w:customStyle="1" w:styleId="187">
    <w:name w:val="五号正文（标准）"/>
    <w:basedOn w:val="1"/>
    <w:qFormat/>
    <w:uiPriority w:val="0"/>
    <w:pPr>
      <w:spacing w:line="360" w:lineRule="auto"/>
      <w:ind w:right="55" w:firstLine="560" w:firstLineChars="200"/>
    </w:pPr>
    <w:rPr>
      <w:rFonts w:eastAsia="仿宋_GB2312"/>
      <w:sz w:val="28"/>
      <w:szCs w:val="20"/>
    </w:rPr>
  </w:style>
  <w:style w:type="paragraph" w:customStyle="1" w:styleId="188">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89">
    <w:name w:val="Char Char Char2"/>
    <w:basedOn w:val="1"/>
    <w:qFormat/>
    <w:uiPriority w:val="0"/>
    <w:rPr>
      <w:rFonts w:ascii="Tahoma" w:hAnsi="Tahoma"/>
      <w:sz w:val="24"/>
      <w:szCs w:val="20"/>
    </w:rPr>
  </w:style>
  <w:style w:type="paragraph" w:customStyle="1" w:styleId="190">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4"/>
    </w:rPr>
  </w:style>
  <w:style w:type="paragraph" w:customStyle="1" w:styleId="191">
    <w:name w:val="List Paragraph1"/>
    <w:basedOn w:val="1"/>
    <w:qFormat/>
    <w:uiPriority w:val="0"/>
    <w:pPr>
      <w:ind w:firstLine="420" w:firstLineChars="200"/>
    </w:pPr>
    <w:rPr>
      <w:rFonts w:ascii="Calibri" w:hAnsi="Calibri"/>
      <w:szCs w:val="22"/>
    </w:rPr>
  </w:style>
  <w:style w:type="paragraph" w:customStyle="1" w:styleId="192">
    <w:name w:val="样式 首行缩进:  2 字符"/>
    <w:basedOn w:val="1"/>
    <w:qFormat/>
    <w:uiPriority w:val="0"/>
    <w:pPr>
      <w:spacing w:line="400" w:lineRule="exact"/>
      <w:ind w:firstLine="200" w:firstLineChars="200"/>
    </w:pPr>
    <w:rPr>
      <w:rFonts w:cs="宋体"/>
      <w:sz w:val="24"/>
    </w:rPr>
  </w:style>
  <w:style w:type="paragraph" w:customStyle="1" w:styleId="193">
    <w:name w:val="普通 (Web)"/>
    <w:basedOn w:val="1"/>
    <w:qFormat/>
    <w:uiPriority w:val="0"/>
    <w:pPr>
      <w:widowControl/>
      <w:spacing w:before="100" w:beforeAutospacing="1" w:after="100" w:afterAutospacing="1"/>
      <w:jc w:val="left"/>
    </w:pPr>
    <w:rPr>
      <w:rFonts w:ascii="宋体" w:hAnsi="宋体"/>
      <w:kern w:val="0"/>
      <w:sz w:val="24"/>
    </w:rPr>
  </w:style>
  <w:style w:type="paragraph" w:customStyle="1" w:styleId="194">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95">
    <w:name w:val="Char Char Char Char Char Char1 Char1"/>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196">
    <w:name w:val="修订1"/>
    <w:unhideWhenUsed/>
    <w:qFormat/>
    <w:uiPriority w:val="99"/>
    <w:rPr>
      <w:rFonts w:ascii="Times New Roman" w:hAnsi="Times New Roman" w:eastAsia="宋体" w:cs="Times New Roman"/>
      <w:kern w:val="2"/>
      <w:sz w:val="21"/>
      <w:szCs w:val="24"/>
      <w:lang w:val="en-US" w:eastAsia="zh-CN" w:bidi="ar-SA"/>
    </w:rPr>
  </w:style>
  <w:style w:type="character" w:customStyle="1" w:styleId="197">
    <w:name w:val="未处理的提及1"/>
    <w:unhideWhenUsed/>
    <w:qFormat/>
    <w:uiPriority w:val="99"/>
    <w:rPr>
      <w:color w:val="605E5C"/>
      <w:shd w:val="clear" w:color="auto" w:fill="E1DFDD"/>
    </w:rPr>
  </w:style>
  <w:style w:type="character" w:customStyle="1" w:styleId="198">
    <w:name w:val="批注文字 Char"/>
    <w:qFormat/>
    <w:uiPriority w:val="0"/>
    <w:rPr>
      <w:kern w:val="2"/>
      <w:sz w:val="21"/>
      <w:szCs w:val="24"/>
    </w:rPr>
  </w:style>
  <w:style w:type="character" w:styleId="199">
    <w:name w:val="Placeholder Text"/>
    <w:unhideWhenUsed/>
    <w:qFormat/>
    <w:uiPriority w:val="99"/>
    <w:rPr>
      <w:color w:val="808080"/>
    </w:rPr>
  </w:style>
  <w:style w:type="paragraph" w:customStyle="1" w:styleId="200">
    <w:name w:val="正文-2字符首行缩进"/>
    <w:basedOn w:val="1"/>
    <w:link w:val="201"/>
    <w:qFormat/>
    <w:uiPriority w:val="0"/>
    <w:pPr>
      <w:widowControl/>
      <w:spacing w:line="360" w:lineRule="auto"/>
      <w:ind w:firstLine="200" w:firstLineChars="200"/>
    </w:pPr>
    <w:rPr>
      <w:rFonts w:ascii="仿宋_GB2312" w:hAnsi="Calibri" w:eastAsia="仿宋_GB2312"/>
      <w:kern w:val="0"/>
      <w:sz w:val="28"/>
      <w:szCs w:val="22"/>
    </w:rPr>
  </w:style>
  <w:style w:type="character" w:customStyle="1" w:styleId="201">
    <w:name w:val="正文-2字符首行缩进 Char"/>
    <w:link w:val="200"/>
    <w:qFormat/>
    <w:uiPriority w:val="0"/>
    <w:rPr>
      <w:rFonts w:ascii="仿宋_GB2312" w:hAnsi="Calibri" w:eastAsia="仿宋_GB2312"/>
      <w:sz w:val="28"/>
      <w:szCs w:val="22"/>
    </w:rPr>
  </w:style>
  <w:style w:type="paragraph" w:customStyle="1" w:styleId="202">
    <w:name w:val="列出段落1"/>
    <w:basedOn w:val="1"/>
    <w:qFormat/>
    <w:uiPriority w:val="99"/>
    <w:pPr>
      <w:ind w:firstLine="420" w:firstLineChars="200"/>
    </w:pPr>
    <w:rPr>
      <w:rFonts w:ascii="等线" w:hAnsi="等线" w:eastAsia="等线"/>
    </w:rPr>
  </w:style>
  <w:style w:type="character" w:customStyle="1" w:styleId="203">
    <w:name w:val="未处理的提及2"/>
    <w:unhideWhenUsed/>
    <w:qFormat/>
    <w:uiPriority w:val="99"/>
    <w:rPr>
      <w:color w:val="605E5C"/>
      <w:shd w:val="clear" w:color="auto" w:fill="E1DFDD"/>
    </w:rPr>
  </w:style>
  <w:style w:type="character" w:customStyle="1" w:styleId="204">
    <w:name w:val="标题 2 Char"/>
    <w:qFormat/>
    <w:uiPriority w:val="0"/>
    <w:rPr>
      <w:rFonts w:ascii="Arial" w:hAnsi="Arial" w:eastAsia="黑体"/>
      <w:b/>
      <w:bCs/>
      <w:kern w:val="2"/>
      <w:sz w:val="32"/>
      <w:szCs w:val="32"/>
    </w:rPr>
  </w:style>
  <w:style w:type="character" w:customStyle="1" w:styleId="205">
    <w:name w:val="15"/>
    <w:qFormat/>
    <w:uiPriority w:val="0"/>
    <w:rPr>
      <w:rFonts w:hint="eastAsia" w:ascii="宋体" w:hAnsi="宋体" w:eastAsia="宋体"/>
      <w:color w:val="000000"/>
      <w:spacing w:val="0"/>
      <w:sz w:val="22"/>
      <w:szCs w:val="22"/>
    </w:rPr>
  </w:style>
  <w:style w:type="character" w:customStyle="1" w:styleId="206">
    <w:name w:val="批注文字 字符2"/>
    <w:qFormat/>
    <w:uiPriority w:val="0"/>
    <w:rPr>
      <w:kern w:val="2"/>
      <w:sz w:val="21"/>
      <w:szCs w:val="24"/>
    </w:rPr>
  </w:style>
  <w:style w:type="paragraph" w:customStyle="1" w:styleId="207">
    <w:name w:val="reader-word-layer"/>
    <w:basedOn w:val="1"/>
    <w:qFormat/>
    <w:uiPriority w:val="0"/>
    <w:pPr>
      <w:widowControl/>
      <w:spacing w:before="100" w:beforeAutospacing="1" w:after="100" w:afterAutospacing="1"/>
      <w:jc w:val="left"/>
    </w:pPr>
    <w:rPr>
      <w:rFonts w:ascii="宋体" w:hAnsi="宋体" w:cs="宋体"/>
      <w:kern w:val="0"/>
      <w:sz w:val="24"/>
    </w:rPr>
  </w:style>
  <w:style w:type="character" w:customStyle="1" w:styleId="208">
    <w:name w:val="未处理的提及3"/>
    <w:unhideWhenUsed/>
    <w:qFormat/>
    <w:uiPriority w:val="99"/>
    <w:rPr>
      <w:color w:val="605E5C"/>
      <w:shd w:val="clear" w:color="auto" w:fill="E1DFDD"/>
    </w:rPr>
  </w:style>
  <w:style w:type="paragraph" w:customStyle="1" w:styleId="209">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210">
    <w:name w:val="目录 53"/>
    <w:next w:val="1"/>
    <w:qFormat/>
    <w:uiPriority w:val="0"/>
    <w:pPr>
      <w:wordWrap w:val="0"/>
      <w:ind w:left="1275"/>
      <w:jc w:val="both"/>
    </w:pPr>
    <w:rPr>
      <w:rFonts w:ascii="Times New Roman" w:hAnsi="Times New Roman" w:eastAsia="宋体" w:cs="Times New Roman"/>
      <w:sz w:val="21"/>
      <w:lang w:val="en-US" w:eastAsia="zh-CN" w:bidi="ar-SA"/>
    </w:rPr>
  </w:style>
  <w:style w:type="paragraph" w:customStyle="1" w:styleId="211">
    <w:name w:val="修订2"/>
    <w:unhideWhenUsed/>
    <w:qFormat/>
    <w:uiPriority w:val="99"/>
    <w:rPr>
      <w:rFonts w:ascii="Times New Roman" w:hAnsi="Times New Roman" w:eastAsia="宋体" w:cs="Times New Roman"/>
      <w:kern w:val="2"/>
      <w:sz w:val="21"/>
      <w:szCs w:val="24"/>
      <w:lang w:val="en-US" w:eastAsia="zh-CN" w:bidi="ar-SA"/>
    </w:rPr>
  </w:style>
  <w:style w:type="paragraph" w:customStyle="1" w:styleId="212">
    <w:name w:val="Table Text"/>
    <w:basedOn w:val="1"/>
    <w:semiHidden/>
    <w:qFormat/>
    <w:uiPriority w:val="0"/>
    <w:rPr>
      <w:rFonts w:ascii="宋体" w:hAnsi="宋体" w:cs="宋体"/>
      <w:sz w:val="18"/>
      <w:szCs w:val="18"/>
      <w:lang w:eastAsia="en-US"/>
    </w:rPr>
  </w:style>
  <w:style w:type="table" w:customStyle="1" w:styleId="213">
    <w:name w:val="Table Normal"/>
    <w:semiHidden/>
    <w:unhideWhenUsed/>
    <w:qFormat/>
    <w:uiPriority w:val="0"/>
    <w:tblPr>
      <w:tblCellMar>
        <w:top w:w="0" w:type="dxa"/>
        <w:left w:w="0" w:type="dxa"/>
        <w:bottom w:w="0" w:type="dxa"/>
        <w:right w:w="0" w:type="dxa"/>
      </w:tblCellMar>
    </w:tblPr>
  </w:style>
  <w:style w:type="character" w:customStyle="1" w:styleId="214">
    <w:name w:val="font31"/>
    <w:basedOn w:val="53"/>
    <w:qFormat/>
    <w:uiPriority w:val="0"/>
    <w:rPr>
      <w:rFonts w:hint="eastAsia" w:ascii="宋体" w:hAnsi="宋体" w:eastAsia="宋体" w:cs="宋体"/>
      <w:b/>
      <w:bCs/>
      <w:color w:val="000000"/>
      <w:sz w:val="21"/>
      <w:szCs w:val="21"/>
      <w:u w:val="none"/>
    </w:rPr>
  </w:style>
  <w:style w:type="character" w:customStyle="1" w:styleId="215">
    <w:name w:val="font21"/>
    <w:basedOn w:val="53"/>
    <w:qFormat/>
    <w:uiPriority w:val="0"/>
    <w:rPr>
      <w:rFonts w:hint="eastAsia" w:ascii="宋体" w:hAnsi="宋体" w:eastAsia="宋体" w:cs="宋体"/>
      <w:color w:val="000000"/>
      <w:sz w:val="21"/>
      <w:szCs w:val="21"/>
      <w:u w:val="none"/>
    </w:rPr>
  </w:style>
  <w:style w:type="paragraph" w:customStyle="1" w:styleId="216">
    <w:name w:val="marklang-paragraph"/>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3.emf"/><Relationship Id="rId18" Type="http://schemas.openxmlformats.org/officeDocument/2006/relationships/image" Target="media/image2.png"/><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header" Target="header8.xml"/><Relationship Id="rId14" Type="http://schemas.openxmlformats.org/officeDocument/2006/relationships/header" Target="header7.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105</Pages>
  <Words>17355</Words>
  <Characters>18725</Characters>
  <Lines>598</Lines>
  <Paragraphs>168</Paragraphs>
  <TotalTime>11</TotalTime>
  <ScaleCrop>false</ScaleCrop>
  <LinksUpToDate>false</LinksUpToDate>
  <CharactersWithSpaces>18931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2026-09-29T10:16:00Z</dcterms:created>
  <dc:creator>微软用户</dc:creator>
  <cp:lastModifiedBy>WPS_1460455803</cp:lastModifiedBy>
  <cp:lastPrinted>2016-03-22T07:52:00Z</cp:lastPrinted>
  <dcterms:modified xsi:type="dcterms:W3CDTF">2026-09-29T14:42:29Z</dcterms:modified>
  <dc:title>桂财采〔2009〕 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Subject">
    <vt:lpwstr/>
  </property>
  <property fmtid="{D5CDD505-2E9C-101B-9397-08002B2CF9AE}" pid="4" name="Keywords">
    <vt:lpwstr/>
  </property>
  <property fmtid="{D5CDD505-2E9C-101B-9397-08002B2CF9AE}" pid="5" name="_Author">
    <vt:lpwstr>微软用户</vt:lpwstr>
  </property>
  <property fmtid="{D5CDD505-2E9C-101B-9397-08002B2CF9AE}" pid="6" name="_Category">
    <vt:lpwstr/>
  </property>
  <property fmtid="{D5CDD505-2E9C-101B-9397-08002B2CF9AE}" pid="7" name="Slides">
    <vt:lpwstr>0</vt:lpwstr>
  </property>
  <property fmtid="{D5CDD505-2E9C-101B-9397-08002B2CF9AE}" pid="8" name="Categories">
    <vt:lpwstr/>
  </property>
  <property fmtid="{D5CDD505-2E9C-101B-9397-08002B2CF9AE}" pid="9" name="Approval Level">
    <vt:lpwstr/>
  </property>
  <property fmtid="{D5CDD505-2E9C-101B-9397-08002B2CF9AE}" pid="10" name="_Comments">
    <vt:lpwstr/>
  </property>
  <property fmtid="{D5CDD505-2E9C-101B-9397-08002B2CF9AE}" pid="11" name="Assigned To">
    <vt:lpwstr/>
  </property>
  <property fmtid="{D5CDD505-2E9C-101B-9397-08002B2CF9AE}" pid="12" name="ContentTypeId">
    <vt:lpwstr>0x010100766A5C3ADF4EA94E9357209EBD74570E</vt:lpwstr>
  </property>
  <property fmtid="{D5CDD505-2E9C-101B-9397-08002B2CF9AE}" pid="13" name="ICV">
    <vt:lpwstr>D5840D9EBA4F470AA44B083BC1BE09E5_13</vt:lpwstr>
  </property>
  <property fmtid="{D5CDD505-2E9C-101B-9397-08002B2CF9AE}" pid="14" name="KSOTemplateDocerSaveRecord">
    <vt:lpwstr>eyJoZGlkIjoiNDBkYjE0Zjk5NWRjOGM0NTNjN2QyNTkzOTFiMjQwYzYiLCJ1c2VySWQiOiIyMTA4NDg0NzcifQ==</vt:lpwstr>
  </property>
</Properties>
</file>